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7E808">
      <w:pPr>
        <w:spacing w:line="360" w:lineRule="auto"/>
        <w:jc w:val="center"/>
        <w:rPr>
          <w:rFonts w:hint="eastAsia" w:ascii="宋体" w:hAnsi="宋体"/>
          <w:color w:val="auto"/>
          <w:kern w:val="0"/>
          <w:sz w:val="36"/>
          <w:szCs w:val="36"/>
          <w:highlight w:val="none"/>
          <w:u w:val="single"/>
        </w:rPr>
      </w:pPr>
      <w:bookmarkStart w:id="0" w:name="_Toc287620665"/>
    </w:p>
    <w:p w14:paraId="3B6CB5E2">
      <w:pPr>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u w:val="single"/>
          <w:lang w:eastAsia="zh-CN"/>
        </w:rPr>
        <w:t>重庆市金迈实业有限公司生产区环境整治项目</w:t>
      </w:r>
    </w:p>
    <w:p w14:paraId="08B7E4E3">
      <w:pPr>
        <w:autoSpaceDE w:val="0"/>
        <w:autoSpaceDN w:val="0"/>
        <w:adjustRightInd w:val="0"/>
        <w:snapToGrid w:val="0"/>
        <w:spacing w:line="360" w:lineRule="auto"/>
        <w:jc w:val="left"/>
        <w:rPr>
          <w:rFonts w:ascii="宋体" w:hAnsi="宋体"/>
          <w:color w:val="auto"/>
          <w:kern w:val="0"/>
          <w:sz w:val="20"/>
          <w:szCs w:val="20"/>
          <w:highlight w:val="none"/>
        </w:rPr>
      </w:pPr>
    </w:p>
    <w:p w14:paraId="01080AFA">
      <w:pPr>
        <w:autoSpaceDE w:val="0"/>
        <w:autoSpaceDN w:val="0"/>
        <w:adjustRightInd w:val="0"/>
        <w:snapToGrid w:val="0"/>
        <w:spacing w:line="360" w:lineRule="auto"/>
        <w:jc w:val="left"/>
        <w:rPr>
          <w:rFonts w:ascii="宋体" w:hAnsi="宋体"/>
          <w:color w:val="auto"/>
          <w:kern w:val="0"/>
          <w:sz w:val="20"/>
          <w:szCs w:val="20"/>
          <w:highlight w:val="none"/>
        </w:rPr>
      </w:pPr>
    </w:p>
    <w:p w14:paraId="571FDD3B">
      <w:pPr>
        <w:pStyle w:val="2"/>
        <w:rPr>
          <w:color w:val="auto"/>
          <w:highlight w:val="none"/>
        </w:rPr>
      </w:pPr>
    </w:p>
    <w:p w14:paraId="53195A5B">
      <w:pPr>
        <w:rPr>
          <w:color w:val="auto"/>
          <w:highlight w:val="none"/>
        </w:rPr>
      </w:pPr>
    </w:p>
    <w:p w14:paraId="7B92D375">
      <w:pPr>
        <w:pStyle w:val="2"/>
        <w:rPr>
          <w:color w:val="auto"/>
          <w:highlight w:val="none"/>
        </w:rPr>
      </w:pPr>
    </w:p>
    <w:p w14:paraId="7300A363">
      <w:pPr>
        <w:rPr>
          <w:color w:val="auto"/>
          <w:highlight w:val="none"/>
        </w:rPr>
      </w:pPr>
    </w:p>
    <w:p w14:paraId="46596788">
      <w:pPr>
        <w:pStyle w:val="2"/>
        <w:rPr>
          <w:color w:val="auto"/>
          <w:highlight w:val="none"/>
        </w:rPr>
      </w:pPr>
    </w:p>
    <w:p w14:paraId="24EB410B">
      <w:pPr>
        <w:pStyle w:val="2"/>
        <w:rPr>
          <w:color w:val="auto"/>
          <w:highlight w:val="none"/>
        </w:rPr>
      </w:pPr>
    </w:p>
    <w:p w14:paraId="3AA43D14">
      <w:pPr>
        <w:autoSpaceDE w:val="0"/>
        <w:autoSpaceDN w:val="0"/>
        <w:adjustRightInd w:val="0"/>
        <w:snapToGrid w:val="0"/>
        <w:spacing w:line="360" w:lineRule="auto"/>
        <w:jc w:val="left"/>
        <w:rPr>
          <w:rFonts w:ascii="宋体" w:hAnsi="宋体"/>
          <w:color w:val="auto"/>
          <w:kern w:val="0"/>
          <w:sz w:val="20"/>
          <w:szCs w:val="20"/>
          <w:highlight w:val="none"/>
        </w:rPr>
      </w:pPr>
    </w:p>
    <w:p w14:paraId="6FF830DE">
      <w:pPr>
        <w:autoSpaceDE w:val="0"/>
        <w:autoSpaceDN w:val="0"/>
        <w:adjustRightInd w:val="0"/>
        <w:snapToGrid w:val="0"/>
        <w:spacing w:line="360" w:lineRule="auto"/>
        <w:jc w:val="left"/>
        <w:rPr>
          <w:rFonts w:ascii="宋体" w:hAnsi="宋体"/>
          <w:color w:val="auto"/>
          <w:kern w:val="0"/>
          <w:sz w:val="20"/>
          <w:szCs w:val="20"/>
          <w:highlight w:val="none"/>
        </w:rPr>
      </w:pPr>
    </w:p>
    <w:p w14:paraId="162B4283">
      <w:pPr>
        <w:autoSpaceDE w:val="0"/>
        <w:autoSpaceDN w:val="0"/>
        <w:adjustRightInd w:val="0"/>
        <w:snapToGrid w:val="0"/>
        <w:spacing w:line="360" w:lineRule="auto"/>
        <w:jc w:val="left"/>
        <w:rPr>
          <w:rFonts w:ascii="宋体" w:hAnsi="宋体"/>
          <w:color w:val="auto"/>
          <w:kern w:val="0"/>
          <w:sz w:val="20"/>
          <w:szCs w:val="20"/>
          <w:highlight w:val="none"/>
        </w:rPr>
      </w:pPr>
    </w:p>
    <w:p w14:paraId="0B876821">
      <w:pPr>
        <w:autoSpaceDE w:val="0"/>
        <w:autoSpaceDN w:val="0"/>
        <w:adjustRightInd w:val="0"/>
        <w:snapToGrid w:val="0"/>
        <w:spacing w:line="360" w:lineRule="auto"/>
        <w:jc w:val="left"/>
        <w:rPr>
          <w:rFonts w:ascii="宋体" w:hAnsi="宋体"/>
          <w:color w:val="auto"/>
          <w:kern w:val="0"/>
          <w:sz w:val="20"/>
          <w:szCs w:val="20"/>
          <w:highlight w:val="none"/>
        </w:rPr>
      </w:pPr>
    </w:p>
    <w:p w14:paraId="664941CB">
      <w:pPr>
        <w:jc w:val="center"/>
        <w:rPr>
          <w:rFonts w:hint="eastAsia" w:ascii="宋体" w:hAnsi="宋体" w:cs="宋体"/>
          <w:color w:val="auto"/>
          <w:sz w:val="72"/>
          <w:szCs w:val="72"/>
          <w:highlight w:val="none"/>
        </w:rPr>
      </w:pPr>
      <w:r>
        <w:rPr>
          <w:rFonts w:hint="eastAsia" w:ascii="宋体" w:hAnsi="宋体" w:cs="宋体"/>
          <w:color w:val="auto"/>
          <w:sz w:val="72"/>
          <w:szCs w:val="72"/>
          <w:highlight w:val="none"/>
          <w:lang w:val="en-US" w:eastAsia="zh-CN"/>
        </w:rPr>
        <w:t>竞争性比选</w:t>
      </w:r>
      <w:r>
        <w:rPr>
          <w:rFonts w:hint="eastAsia" w:ascii="宋体" w:hAnsi="宋体" w:cs="宋体"/>
          <w:color w:val="auto"/>
          <w:sz w:val="72"/>
          <w:szCs w:val="72"/>
          <w:highlight w:val="none"/>
        </w:rPr>
        <w:t>文件</w:t>
      </w:r>
    </w:p>
    <w:p w14:paraId="4F73CDE8">
      <w:pPr>
        <w:autoSpaceDE w:val="0"/>
        <w:autoSpaceDN w:val="0"/>
        <w:adjustRightInd w:val="0"/>
        <w:snapToGrid w:val="0"/>
        <w:spacing w:line="360" w:lineRule="auto"/>
        <w:jc w:val="center"/>
        <w:rPr>
          <w:rFonts w:ascii="宋体" w:hAnsi="宋体"/>
          <w:color w:val="auto"/>
          <w:kern w:val="0"/>
          <w:sz w:val="72"/>
          <w:szCs w:val="72"/>
          <w:highlight w:val="none"/>
        </w:rPr>
      </w:pPr>
    </w:p>
    <w:p w14:paraId="68501917">
      <w:pPr>
        <w:autoSpaceDE w:val="0"/>
        <w:autoSpaceDN w:val="0"/>
        <w:adjustRightInd w:val="0"/>
        <w:snapToGrid w:val="0"/>
        <w:spacing w:line="360" w:lineRule="auto"/>
        <w:jc w:val="left"/>
        <w:rPr>
          <w:rFonts w:ascii="宋体" w:hAnsi="宋体"/>
          <w:color w:val="auto"/>
          <w:kern w:val="0"/>
          <w:sz w:val="10"/>
          <w:szCs w:val="10"/>
          <w:highlight w:val="none"/>
        </w:rPr>
      </w:pPr>
    </w:p>
    <w:p w14:paraId="0C7085CF">
      <w:pPr>
        <w:autoSpaceDE w:val="0"/>
        <w:autoSpaceDN w:val="0"/>
        <w:adjustRightInd w:val="0"/>
        <w:snapToGrid w:val="0"/>
        <w:spacing w:line="360" w:lineRule="auto"/>
        <w:jc w:val="left"/>
        <w:rPr>
          <w:rFonts w:ascii="宋体" w:hAnsi="宋体"/>
          <w:color w:val="auto"/>
          <w:kern w:val="0"/>
          <w:sz w:val="20"/>
          <w:szCs w:val="20"/>
          <w:highlight w:val="none"/>
        </w:rPr>
      </w:pPr>
    </w:p>
    <w:p w14:paraId="4F086C94">
      <w:pPr>
        <w:autoSpaceDE w:val="0"/>
        <w:autoSpaceDN w:val="0"/>
        <w:adjustRightInd w:val="0"/>
        <w:snapToGrid w:val="0"/>
        <w:spacing w:line="360" w:lineRule="auto"/>
        <w:jc w:val="left"/>
        <w:rPr>
          <w:rFonts w:ascii="宋体" w:hAnsi="宋体"/>
          <w:color w:val="auto"/>
          <w:kern w:val="0"/>
          <w:sz w:val="20"/>
          <w:szCs w:val="20"/>
          <w:highlight w:val="none"/>
        </w:rPr>
      </w:pPr>
    </w:p>
    <w:p w14:paraId="1F28B908">
      <w:pPr>
        <w:autoSpaceDE w:val="0"/>
        <w:autoSpaceDN w:val="0"/>
        <w:adjustRightInd w:val="0"/>
        <w:snapToGrid w:val="0"/>
        <w:spacing w:line="360" w:lineRule="auto"/>
        <w:rPr>
          <w:rFonts w:ascii="宋体" w:hAnsi="宋体"/>
          <w:color w:val="auto"/>
          <w:kern w:val="0"/>
          <w:sz w:val="20"/>
          <w:szCs w:val="20"/>
          <w:highlight w:val="none"/>
        </w:rPr>
      </w:pPr>
    </w:p>
    <w:p w14:paraId="56287B67">
      <w:pPr>
        <w:autoSpaceDE w:val="0"/>
        <w:autoSpaceDN w:val="0"/>
        <w:adjustRightInd w:val="0"/>
        <w:snapToGrid w:val="0"/>
        <w:spacing w:line="360" w:lineRule="auto"/>
        <w:jc w:val="left"/>
        <w:rPr>
          <w:rFonts w:ascii="宋体" w:hAnsi="宋体"/>
          <w:color w:val="auto"/>
          <w:kern w:val="0"/>
          <w:sz w:val="20"/>
          <w:szCs w:val="20"/>
          <w:highlight w:val="none"/>
        </w:rPr>
      </w:pPr>
    </w:p>
    <w:p w14:paraId="051CCF5C">
      <w:pPr>
        <w:pStyle w:val="2"/>
        <w:rPr>
          <w:color w:val="auto"/>
          <w:highlight w:val="none"/>
        </w:rPr>
      </w:pPr>
    </w:p>
    <w:p w14:paraId="0C970E8B">
      <w:pPr>
        <w:autoSpaceDE w:val="0"/>
        <w:autoSpaceDN w:val="0"/>
        <w:adjustRightInd w:val="0"/>
        <w:snapToGrid w:val="0"/>
        <w:spacing w:line="360" w:lineRule="auto"/>
        <w:rPr>
          <w:rFonts w:ascii="宋体" w:hAnsi="宋体"/>
          <w:color w:val="auto"/>
          <w:kern w:val="0"/>
          <w:sz w:val="20"/>
          <w:szCs w:val="20"/>
          <w:highlight w:val="none"/>
        </w:rPr>
      </w:pPr>
    </w:p>
    <w:p w14:paraId="16FBA986">
      <w:pPr>
        <w:autoSpaceDE w:val="0"/>
        <w:autoSpaceDN w:val="0"/>
        <w:adjustRightInd w:val="0"/>
        <w:snapToGrid w:val="0"/>
        <w:spacing w:line="360" w:lineRule="auto"/>
        <w:rPr>
          <w:rFonts w:ascii="宋体" w:hAnsi="宋体"/>
          <w:color w:val="auto"/>
          <w:kern w:val="0"/>
          <w:sz w:val="20"/>
          <w:szCs w:val="20"/>
          <w:highlight w:val="none"/>
        </w:rPr>
      </w:pPr>
    </w:p>
    <w:p w14:paraId="251DF102">
      <w:pPr>
        <w:autoSpaceDE w:val="0"/>
        <w:autoSpaceDN w:val="0"/>
        <w:adjustRightInd w:val="0"/>
        <w:snapToGrid w:val="0"/>
        <w:spacing w:line="360" w:lineRule="auto"/>
        <w:rPr>
          <w:rFonts w:ascii="宋体" w:hAnsi="宋体"/>
          <w:color w:val="auto"/>
          <w:kern w:val="0"/>
          <w:sz w:val="20"/>
          <w:szCs w:val="20"/>
          <w:highlight w:val="none"/>
        </w:rPr>
      </w:pPr>
    </w:p>
    <w:p w14:paraId="3462E114">
      <w:pPr>
        <w:tabs>
          <w:tab w:val="left" w:pos="6219"/>
        </w:tabs>
        <w:autoSpaceDE w:val="0"/>
        <w:autoSpaceDN w:val="0"/>
        <w:adjustRightInd w:val="0"/>
        <w:snapToGrid w:val="0"/>
        <w:spacing w:line="480" w:lineRule="auto"/>
        <w:jc w:val="center"/>
        <w:rPr>
          <w:rFonts w:ascii="宋体" w:hAnsi="宋体"/>
          <w:b w:val="0"/>
          <w:bCs/>
          <w:color w:val="auto"/>
          <w:w w:val="99"/>
          <w:kern w:val="0"/>
          <w:sz w:val="28"/>
          <w:szCs w:val="28"/>
          <w:highlight w:val="none"/>
        </w:rPr>
      </w:pPr>
      <w:r>
        <w:rPr>
          <w:rFonts w:hint="eastAsia" w:ascii="宋体" w:hAnsi="宋体"/>
          <w:b w:val="0"/>
          <w:bCs/>
          <w:color w:val="auto"/>
          <w:w w:val="99"/>
          <w:kern w:val="0"/>
          <w:sz w:val="28"/>
          <w:szCs w:val="28"/>
          <w:highlight w:val="none"/>
          <w:lang w:val="en-US" w:eastAsia="zh-CN"/>
        </w:rPr>
        <w:t>比选人</w:t>
      </w:r>
      <w:r>
        <w:rPr>
          <w:rFonts w:ascii="宋体" w:hAnsi="宋体"/>
          <w:b w:val="0"/>
          <w:bCs/>
          <w:color w:val="auto"/>
          <w:w w:val="99"/>
          <w:kern w:val="0"/>
          <w:sz w:val="28"/>
          <w:szCs w:val="28"/>
          <w:highlight w:val="none"/>
        </w:rPr>
        <w:t>：</w:t>
      </w:r>
      <w:r>
        <w:rPr>
          <w:rFonts w:hint="eastAsia" w:ascii="宋体" w:hAnsi="宋体"/>
          <w:b w:val="0"/>
          <w:bCs/>
          <w:color w:val="auto"/>
          <w:kern w:val="0"/>
          <w:sz w:val="28"/>
          <w:szCs w:val="28"/>
          <w:highlight w:val="none"/>
          <w:u w:val="single"/>
          <w:lang w:eastAsia="zh-CN"/>
        </w:rPr>
        <w:t xml:space="preserve">重庆市金迈实业有限公司 </w:t>
      </w:r>
      <w:r>
        <w:rPr>
          <w:rFonts w:ascii="宋体" w:hAnsi="宋体"/>
          <w:b w:val="0"/>
          <w:bCs/>
          <w:color w:val="auto"/>
          <w:w w:val="99"/>
          <w:kern w:val="0"/>
          <w:sz w:val="28"/>
          <w:szCs w:val="28"/>
          <w:highlight w:val="none"/>
        </w:rPr>
        <w:t>（盖单位法人章）</w:t>
      </w:r>
    </w:p>
    <w:p w14:paraId="77942A94">
      <w:pPr>
        <w:tabs>
          <w:tab w:val="left" w:pos="6252"/>
        </w:tabs>
        <w:autoSpaceDE w:val="0"/>
        <w:autoSpaceDN w:val="0"/>
        <w:adjustRightInd w:val="0"/>
        <w:snapToGrid w:val="0"/>
        <w:spacing w:line="480" w:lineRule="auto"/>
        <w:jc w:val="center"/>
        <w:rPr>
          <w:rFonts w:ascii="宋体" w:hAnsi="宋体"/>
          <w:b/>
          <w:color w:val="auto"/>
          <w:kern w:val="0"/>
          <w:sz w:val="28"/>
          <w:szCs w:val="28"/>
          <w:highlight w:val="none"/>
        </w:rPr>
      </w:pPr>
      <w:r>
        <w:rPr>
          <w:rFonts w:hint="eastAsia" w:ascii="宋体" w:hAnsi="宋体"/>
          <w:b w:val="0"/>
          <w:bCs/>
          <w:color w:val="auto"/>
          <w:spacing w:val="8"/>
          <w:kern w:val="0"/>
          <w:sz w:val="28"/>
          <w:szCs w:val="28"/>
          <w:highlight w:val="none"/>
          <w:lang w:val="en-US" w:eastAsia="zh-CN"/>
        </w:rPr>
        <w:t>比选</w:t>
      </w:r>
      <w:r>
        <w:rPr>
          <w:rFonts w:ascii="宋体" w:hAnsi="宋体"/>
          <w:b w:val="0"/>
          <w:bCs/>
          <w:color w:val="auto"/>
          <w:spacing w:val="8"/>
          <w:kern w:val="0"/>
          <w:sz w:val="28"/>
          <w:szCs w:val="28"/>
          <w:highlight w:val="none"/>
        </w:rPr>
        <w:t>代理机构：</w:t>
      </w:r>
      <w:r>
        <w:rPr>
          <w:rFonts w:hint="eastAsia" w:ascii="宋体" w:hAnsi="宋体"/>
          <w:b w:val="0"/>
          <w:bCs/>
          <w:color w:val="auto"/>
          <w:kern w:val="0"/>
          <w:sz w:val="28"/>
          <w:szCs w:val="28"/>
          <w:highlight w:val="none"/>
          <w:u w:val="single"/>
          <w:lang w:eastAsia="zh-CN"/>
        </w:rPr>
        <w:t>中大宇辰项目管理有限公司</w:t>
      </w:r>
      <w:r>
        <w:rPr>
          <w:rFonts w:ascii="宋体" w:hAnsi="宋体"/>
          <w:b w:val="0"/>
          <w:bCs/>
          <w:color w:val="auto"/>
          <w:w w:val="99"/>
          <w:kern w:val="0"/>
          <w:sz w:val="28"/>
          <w:szCs w:val="28"/>
          <w:highlight w:val="none"/>
        </w:rPr>
        <w:t>（盖单位法人章）</w:t>
      </w:r>
    </w:p>
    <w:p w14:paraId="1FCC22D8">
      <w:pPr>
        <w:autoSpaceDE w:val="0"/>
        <w:autoSpaceDN w:val="0"/>
        <w:adjustRightInd w:val="0"/>
        <w:snapToGrid w:val="0"/>
        <w:spacing w:line="360" w:lineRule="auto"/>
        <w:rPr>
          <w:rFonts w:ascii="宋体" w:hAnsi="宋体"/>
          <w:b/>
          <w:color w:val="auto"/>
          <w:kern w:val="0"/>
          <w:sz w:val="20"/>
          <w:szCs w:val="20"/>
          <w:highlight w:val="none"/>
        </w:rPr>
      </w:pPr>
    </w:p>
    <w:p w14:paraId="56D5F423">
      <w:pPr>
        <w:spacing w:line="72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十二</w:t>
      </w:r>
      <w:r>
        <w:rPr>
          <w:rFonts w:hint="eastAsia" w:ascii="宋体" w:hAnsi="宋体" w:cs="宋体"/>
          <w:b/>
          <w:color w:val="auto"/>
          <w:sz w:val="30"/>
          <w:szCs w:val="30"/>
          <w:highlight w:val="none"/>
        </w:rPr>
        <w:t>月</w:t>
      </w:r>
    </w:p>
    <w:p w14:paraId="0302DDDA">
      <w:pPr>
        <w:pStyle w:val="3"/>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5168152E">
      <w:pPr>
        <w:pStyle w:val="120"/>
        <w:jc w:val="center"/>
        <w:rPr>
          <w:rFonts w:ascii="宋体" w:hAnsi="宋体"/>
          <w:color w:val="auto"/>
          <w:sz w:val="44"/>
          <w:szCs w:val="44"/>
          <w:highlight w:val="none"/>
        </w:rPr>
      </w:pPr>
      <w:bookmarkStart w:id="1" w:name="_Toc28843"/>
      <w:bookmarkStart w:id="2"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1"/>
      <w:bookmarkEnd w:id="2"/>
    </w:p>
    <w:p w14:paraId="1FCAFD6D">
      <w:pPr>
        <w:pStyle w:val="31"/>
        <w:tabs>
          <w:tab w:val="right" w:leader="dot" w:pos="9459"/>
        </w:tabs>
        <w:spacing w:line="360" w:lineRule="auto"/>
        <w:rPr>
          <w:rFonts w:ascii="Calibri" w:hAnsi="Calibri"/>
          <w:b w:val="0"/>
          <w:bCs w:val="0"/>
          <w:caps w:val="0"/>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"_Toc57905811" </w:instrText>
      </w:r>
      <w:r>
        <w:rPr>
          <w:color w:val="auto"/>
          <w:sz w:val="28"/>
          <w:szCs w:val="28"/>
          <w:highlight w:val="none"/>
        </w:rPr>
        <w:fldChar w:fldCharType="separate"/>
      </w:r>
      <w:r>
        <w:rPr>
          <w:rStyle w:val="54"/>
          <w:rFonts w:hint="eastAsia" w:ascii="宋体" w:hAnsi="宋体"/>
          <w:snapToGrid w:val="0"/>
          <w:color w:val="auto"/>
          <w:kern w:val="0"/>
          <w:sz w:val="28"/>
          <w:szCs w:val="28"/>
          <w:highlight w:val="none"/>
        </w:rPr>
        <w:t>第一章</w:t>
      </w:r>
      <w:r>
        <w:rPr>
          <w:rStyle w:val="54"/>
          <w:rFonts w:ascii="宋体" w:hAnsi="宋体"/>
          <w:snapToGrid w:val="0"/>
          <w:color w:val="auto"/>
          <w:kern w:val="0"/>
          <w:sz w:val="28"/>
          <w:szCs w:val="28"/>
          <w:highlight w:val="none"/>
        </w:rPr>
        <w:t xml:space="preserve">  </w:t>
      </w:r>
      <w:r>
        <w:rPr>
          <w:rStyle w:val="54"/>
          <w:rFonts w:hint="eastAsia" w:ascii="宋体" w:hAnsi="宋体"/>
          <w:snapToGrid w:val="0"/>
          <w:color w:val="auto"/>
          <w:kern w:val="0"/>
          <w:sz w:val="28"/>
          <w:szCs w:val="28"/>
          <w:highlight w:val="none"/>
          <w:lang w:eastAsia="zh-CN"/>
        </w:rPr>
        <w:t>比选</w:t>
      </w:r>
      <w:r>
        <w:rPr>
          <w:rStyle w:val="54"/>
          <w:rFonts w:hint="eastAsia" w:ascii="宋体" w:hAnsi="宋体"/>
          <w:snapToGrid w:val="0"/>
          <w:color w:val="auto"/>
          <w:kern w:val="0"/>
          <w:sz w:val="28"/>
          <w:szCs w:val="28"/>
          <w:highlight w:val="none"/>
        </w:rPr>
        <w:t>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_Toc57905811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14:paraId="17539C6F">
      <w:pPr>
        <w:pStyle w:val="31"/>
        <w:tabs>
          <w:tab w:val="right" w:leader="dot" w:pos="9459"/>
        </w:tabs>
        <w:spacing w:line="360" w:lineRule="auto"/>
        <w:rPr>
          <w:rFonts w:ascii="Calibri" w:hAnsi="Calibri"/>
          <w:small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"_Toc57905828" </w:instrText>
      </w:r>
      <w:r>
        <w:rPr>
          <w:color w:val="auto"/>
          <w:sz w:val="28"/>
          <w:szCs w:val="28"/>
          <w:highlight w:val="none"/>
        </w:rPr>
        <w:fldChar w:fldCharType="separate"/>
      </w:r>
      <w:r>
        <w:rPr>
          <w:rStyle w:val="54"/>
          <w:rFonts w:hint="eastAsia" w:ascii="宋体" w:hAnsi="宋体"/>
          <w:snapToGrid w:val="0"/>
          <w:color w:val="auto"/>
          <w:kern w:val="0"/>
          <w:sz w:val="28"/>
          <w:szCs w:val="28"/>
          <w:highlight w:val="none"/>
        </w:rPr>
        <w:t>第二章</w:t>
      </w:r>
      <w:r>
        <w:rPr>
          <w:rStyle w:val="54"/>
          <w:rFonts w:ascii="宋体" w:hAnsi="宋体"/>
          <w:snapToGrid w:val="0"/>
          <w:color w:val="auto"/>
          <w:kern w:val="0"/>
          <w:sz w:val="28"/>
          <w:szCs w:val="28"/>
          <w:highlight w:val="none"/>
        </w:rPr>
        <w:t xml:space="preserve">  </w:t>
      </w:r>
      <w:r>
        <w:rPr>
          <w:rStyle w:val="54"/>
          <w:rFonts w:hint="eastAsia" w:ascii="宋体" w:hAnsi="宋体"/>
          <w:snapToGrid w:val="0"/>
          <w:color w:val="auto"/>
          <w:kern w:val="0"/>
          <w:sz w:val="28"/>
          <w:szCs w:val="28"/>
          <w:highlight w:val="none"/>
          <w:lang w:eastAsia="zh-CN"/>
        </w:rPr>
        <w:t>竞选人</w:t>
      </w:r>
      <w:r>
        <w:rPr>
          <w:rStyle w:val="54"/>
          <w:rFonts w:hint="eastAsia" w:ascii="宋体" w:hAnsi="宋体"/>
          <w:snapToGrid w:val="0"/>
          <w:color w:val="auto"/>
          <w:kern w:val="0"/>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_Toc57905828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5E3956E4">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"_Toc57905895" </w:instrText>
      </w:r>
      <w:r>
        <w:rPr>
          <w:color w:val="auto"/>
          <w:sz w:val="28"/>
          <w:szCs w:val="28"/>
          <w:highlight w:val="none"/>
        </w:rPr>
        <w:fldChar w:fldCharType="separate"/>
      </w:r>
      <w:r>
        <w:rPr>
          <w:rStyle w:val="54"/>
          <w:rFonts w:hint="eastAsia" w:ascii="宋体" w:hAnsi="宋体"/>
          <w:color w:val="auto"/>
          <w:sz w:val="28"/>
          <w:szCs w:val="28"/>
          <w:highlight w:val="none"/>
        </w:rPr>
        <w:t>第三章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rPr>
        <w:t>评标办法（综合评估法）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_Toc57905895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14:paraId="7CC651B6">
      <w:pPr>
        <w:pStyle w:val="31"/>
        <w:tabs>
          <w:tab w:val="right" w:leader="dot" w:pos="9459"/>
        </w:tabs>
        <w:spacing w:line="360" w:lineRule="auto"/>
        <w:rPr>
          <w:rFonts w:hint="eastAsia" w:ascii="Calibri" w:hAnsi="Calibri" w:eastAsia="宋体"/>
          <w:b w:val="0"/>
          <w:bCs w:val="0"/>
          <w:caps w:val="0"/>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"_Toc57905906" </w:instrText>
      </w:r>
      <w:r>
        <w:rPr>
          <w:color w:val="auto"/>
          <w:sz w:val="28"/>
          <w:szCs w:val="28"/>
          <w:highlight w:val="none"/>
        </w:rPr>
        <w:fldChar w:fldCharType="separate"/>
      </w:r>
      <w:r>
        <w:rPr>
          <w:rStyle w:val="54"/>
          <w:rFonts w:hint="eastAsia" w:ascii="宋体" w:hAnsi="宋体"/>
          <w:color w:val="auto"/>
          <w:kern w:val="0"/>
          <w:sz w:val="28"/>
          <w:szCs w:val="28"/>
          <w:highlight w:val="none"/>
        </w:rPr>
        <w:t>第四章</w:t>
      </w:r>
      <w:r>
        <w:rPr>
          <w:rStyle w:val="54"/>
          <w:rFonts w:ascii="宋体" w:hAnsi="宋体"/>
          <w:color w:val="auto"/>
          <w:kern w:val="0"/>
          <w:sz w:val="28"/>
          <w:szCs w:val="28"/>
          <w:highlight w:val="none"/>
        </w:rPr>
        <w:t xml:space="preserve">  </w:t>
      </w:r>
      <w:r>
        <w:rPr>
          <w:rStyle w:val="54"/>
          <w:rFonts w:hint="eastAsia" w:ascii="宋体" w:hAnsi="宋体"/>
          <w:color w:val="auto"/>
          <w:kern w:val="0"/>
          <w:sz w:val="28"/>
          <w:szCs w:val="28"/>
          <w:highlight w:val="none"/>
        </w:rPr>
        <w:t>合同条款及格式</w:t>
      </w:r>
      <w:r>
        <w:rPr>
          <w:color w:val="auto"/>
          <w:sz w:val="28"/>
          <w:szCs w:val="28"/>
          <w:highlight w:val="none"/>
        </w:rPr>
        <w:tab/>
      </w:r>
      <w:r>
        <w:rPr>
          <w:rFonts w:hint="eastAsia"/>
          <w:color w:val="auto"/>
          <w:sz w:val="28"/>
          <w:szCs w:val="28"/>
          <w:highlight w:val="none"/>
          <w:lang w:val="en-US" w:eastAsia="zh-CN"/>
        </w:rPr>
        <w:t>4</w:t>
      </w:r>
      <w:r>
        <w:rPr>
          <w:color w:val="auto"/>
          <w:sz w:val="28"/>
          <w:szCs w:val="28"/>
          <w:highlight w:val="none"/>
        </w:rPr>
        <w:fldChar w:fldCharType="end"/>
      </w:r>
      <w:r>
        <w:rPr>
          <w:rFonts w:hint="eastAsia"/>
          <w:color w:val="auto"/>
          <w:sz w:val="28"/>
          <w:szCs w:val="28"/>
          <w:highlight w:val="none"/>
          <w:lang w:val="en-US" w:eastAsia="zh-CN"/>
        </w:rPr>
        <w:t>3</w:t>
      </w:r>
    </w:p>
    <w:p w14:paraId="1E135FB5">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"_Toc57905910" </w:instrText>
      </w:r>
      <w:r>
        <w:rPr>
          <w:color w:val="auto"/>
          <w:sz w:val="28"/>
          <w:szCs w:val="28"/>
          <w:highlight w:val="none"/>
        </w:rPr>
        <w:fldChar w:fldCharType="separate"/>
      </w:r>
      <w:r>
        <w:rPr>
          <w:rStyle w:val="54"/>
          <w:rFonts w:hint="eastAsia" w:ascii="宋体" w:hAnsi="宋体"/>
          <w:color w:val="auto"/>
          <w:sz w:val="28"/>
          <w:szCs w:val="28"/>
          <w:highlight w:val="none"/>
        </w:rPr>
        <w:t>第五章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rPr>
        <w:t>工程量清单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_Toc57905910 \h </w:instrText>
      </w:r>
      <w:r>
        <w:rPr>
          <w:color w:val="auto"/>
          <w:sz w:val="28"/>
          <w:szCs w:val="28"/>
          <w:highlight w:val="none"/>
        </w:rPr>
        <w:fldChar w:fldCharType="separate"/>
      </w:r>
      <w:r>
        <w:rPr>
          <w:color w:val="auto"/>
          <w:sz w:val="28"/>
          <w:szCs w:val="28"/>
          <w:highlight w:val="none"/>
        </w:rPr>
        <w:t>107</w:t>
      </w:r>
      <w:r>
        <w:rPr>
          <w:color w:val="auto"/>
          <w:sz w:val="28"/>
          <w:szCs w:val="28"/>
          <w:highlight w:val="none"/>
        </w:rPr>
        <w:fldChar w:fldCharType="end"/>
      </w:r>
      <w:r>
        <w:rPr>
          <w:color w:val="auto"/>
          <w:sz w:val="28"/>
          <w:szCs w:val="28"/>
          <w:highlight w:val="none"/>
        </w:rPr>
        <w:fldChar w:fldCharType="end"/>
      </w:r>
    </w:p>
    <w:p w14:paraId="1DD36043">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"_Toc57905912" </w:instrText>
      </w:r>
      <w:r>
        <w:rPr>
          <w:color w:val="auto"/>
          <w:sz w:val="28"/>
          <w:szCs w:val="28"/>
          <w:highlight w:val="none"/>
        </w:rPr>
        <w:fldChar w:fldCharType="separate"/>
      </w:r>
      <w:r>
        <w:rPr>
          <w:rStyle w:val="54"/>
          <w:rFonts w:hint="eastAsia" w:ascii="宋体" w:hAnsi="宋体"/>
          <w:color w:val="auto"/>
          <w:sz w:val="28"/>
          <w:szCs w:val="28"/>
          <w:highlight w:val="none"/>
        </w:rPr>
        <w:t>第六章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rPr>
        <w:t>图纸</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_Toc57905912 \h </w:instrText>
      </w:r>
      <w:r>
        <w:rPr>
          <w:color w:val="auto"/>
          <w:sz w:val="28"/>
          <w:szCs w:val="28"/>
          <w:highlight w:val="none"/>
        </w:rPr>
        <w:fldChar w:fldCharType="separate"/>
      </w:r>
      <w:r>
        <w:rPr>
          <w:color w:val="auto"/>
          <w:sz w:val="28"/>
          <w:szCs w:val="28"/>
          <w:highlight w:val="none"/>
        </w:rPr>
        <w:t>108</w:t>
      </w:r>
      <w:r>
        <w:rPr>
          <w:color w:val="auto"/>
          <w:sz w:val="28"/>
          <w:szCs w:val="28"/>
          <w:highlight w:val="none"/>
        </w:rPr>
        <w:fldChar w:fldCharType="end"/>
      </w:r>
      <w:r>
        <w:rPr>
          <w:color w:val="auto"/>
          <w:sz w:val="28"/>
          <w:szCs w:val="28"/>
          <w:highlight w:val="none"/>
        </w:rPr>
        <w:fldChar w:fldCharType="end"/>
      </w:r>
    </w:p>
    <w:p w14:paraId="50C2F6AD">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"_Toc57905914" </w:instrText>
      </w:r>
      <w:r>
        <w:rPr>
          <w:color w:val="auto"/>
          <w:sz w:val="28"/>
          <w:szCs w:val="28"/>
          <w:highlight w:val="none"/>
        </w:rPr>
        <w:fldChar w:fldCharType="separate"/>
      </w:r>
      <w:r>
        <w:rPr>
          <w:rStyle w:val="54"/>
          <w:rFonts w:hint="eastAsia" w:ascii="宋体" w:hAnsi="宋体"/>
          <w:color w:val="auto"/>
          <w:sz w:val="28"/>
          <w:szCs w:val="28"/>
          <w:highlight w:val="none"/>
        </w:rPr>
        <w:t>第七章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rPr>
        <w:t>技术标准和要求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_Toc57905914 \h </w:instrText>
      </w:r>
      <w:r>
        <w:rPr>
          <w:color w:val="auto"/>
          <w:sz w:val="28"/>
          <w:szCs w:val="28"/>
          <w:highlight w:val="none"/>
        </w:rPr>
        <w:fldChar w:fldCharType="separate"/>
      </w:r>
      <w:r>
        <w:rPr>
          <w:color w:val="auto"/>
          <w:sz w:val="28"/>
          <w:szCs w:val="28"/>
          <w:highlight w:val="none"/>
        </w:rPr>
        <w:t>109</w:t>
      </w:r>
      <w:r>
        <w:rPr>
          <w:color w:val="auto"/>
          <w:sz w:val="28"/>
          <w:szCs w:val="28"/>
          <w:highlight w:val="none"/>
        </w:rPr>
        <w:fldChar w:fldCharType="end"/>
      </w:r>
      <w:r>
        <w:rPr>
          <w:color w:val="auto"/>
          <w:sz w:val="28"/>
          <w:szCs w:val="28"/>
          <w:highlight w:val="none"/>
        </w:rPr>
        <w:fldChar w:fldCharType="end"/>
      </w:r>
    </w:p>
    <w:p w14:paraId="2492C90E">
      <w:pPr>
        <w:pStyle w:val="31"/>
        <w:tabs>
          <w:tab w:val="right" w:leader="dot" w:pos="9459"/>
        </w:tabs>
        <w:spacing w:line="360" w:lineRule="auto"/>
        <w:rPr>
          <w:rFonts w:ascii="Calibri" w:hAnsi="Calibri"/>
          <w:b w:val="0"/>
          <w:bCs w:val="0"/>
          <w:caps w:val="0"/>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"_Toc57905916" </w:instrText>
      </w:r>
      <w:r>
        <w:rPr>
          <w:color w:val="auto"/>
          <w:sz w:val="28"/>
          <w:szCs w:val="28"/>
          <w:highlight w:val="none"/>
        </w:rPr>
        <w:fldChar w:fldCharType="separate"/>
      </w:r>
      <w:r>
        <w:rPr>
          <w:rStyle w:val="54"/>
          <w:rFonts w:hint="eastAsia" w:ascii="宋体" w:hAnsi="宋体"/>
          <w:color w:val="auto"/>
          <w:sz w:val="28"/>
          <w:szCs w:val="28"/>
          <w:highlight w:val="none"/>
        </w:rPr>
        <w:t>第八章</w:t>
      </w:r>
      <w:r>
        <w:rPr>
          <w:rStyle w:val="54"/>
          <w:rFonts w:ascii="宋体" w:hAnsi="宋体"/>
          <w:color w:val="auto"/>
          <w:sz w:val="28"/>
          <w:szCs w:val="28"/>
          <w:highlight w:val="none"/>
        </w:rPr>
        <w:t xml:space="preserve">  </w:t>
      </w:r>
      <w:r>
        <w:rPr>
          <w:rStyle w:val="54"/>
          <w:rFonts w:hint="eastAsia" w:ascii="宋体" w:hAnsi="宋体"/>
          <w:color w:val="auto"/>
          <w:sz w:val="28"/>
          <w:szCs w:val="28"/>
          <w:highlight w:val="none"/>
          <w:lang w:eastAsia="zh-CN"/>
        </w:rPr>
        <w:t>竞选文件</w:t>
      </w:r>
      <w:r>
        <w:rPr>
          <w:rStyle w:val="54"/>
          <w:rFonts w:hint="eastAsia" w:ascii="宋体" w:hAnsi="宋体"/>
          <w:color w:val="auto"/>
          <w:sz w:val="28"/>
          <w:szCs w:val="28"/>
          <w:highlight w:val="none"/>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_Toc57905916 \h </w:instrText>
      </w:r>
      <w:r>
        <w:rPr>
          <w:color w:val="auto"/>
          <w:sz w:val="28"/>
          <w:szCs w:val="28"/>
          <w:highlight w:val="none"/>
        </w:rPr>
        <w:fldChar w:fldCharType="separate"/>
      </w:r>
      <w:r>
        <w:rPr>
          <w:color w:val="auto"/>
          <w:sz w:val="28"/>
          <w:szCs w:val="28"/>
          <w:highlight w:val="none"/>
        </w:rPr>
        <w:t>110</w:t>
      </w:r>
      <w:r>
        <w:rPr>
          <w:color w:val="auto"/>
          <w:sz w:val="28"/>
          <w:szCs w:val="28"/>
          <w:highlight w:val="none"/>
        </w:rPr>
        <w:fldChar w:fldCharType="end"/>
      </w:r>
      <w:r>
        <w:rPr>
          <w:color w:val="auto"/>
          <w:sz w:val="28"/>
          <w:szCs w:val="28"/>
          <w:highlight w:val="none"/>
        </w:rPr>
        <w:fldChar w:fldCharType="end"/>
      </w:r>
    </w:p>
    <w:p w14:paraId="3D96AAD0">
      <w:pPr>
        <w:spacing w:line="360" w:lineRule="auto"/>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r>
        <w:rPr>
          <w:rFonts w:ascii="宋体" w:hAnsi="宋体"/>
          <w:bCs/>
          <w:color w:val="auto"/>
          <w:sz w:val="28"/>
          <w:szCs w:val="28"/>
          <w:highlight w:val="none"/>
          <w:lang w:val="zh-CN"/>
        </w:rPr>
        <w:fldChar w:fldCharType="end"/>
      </w:r>
      <w:bookmarkEnd w:id="0"/>
      <w:bookmarkStart w:id="3" w:name="_Toc430530414"/>
      <w:bookmarkEnd w:id="3"/>
    </w:p>
    <w:p w14:paraId="03DE7A46">
      <w:pPr>
        <w:pStyle w:val="3"/>
        <w:widowControl w:val="0"/>
        <w:wordWrap/>
        <w:spacing w:before="0" w:after="0" w:line="360" w:lineRule="auto"/>
        <w:jc w:val="center"/>
        <w:textAlignment w:val="auto"/>
        <w:rPr>
          <w:rFonts w:ascii="宋体" w:hAnsi="宋体"/>
          <w:snapToGrid w:val="0"/>
          <w:color w:val="auto"/>
          <w:kern w:val="0"/>
          <w:highlight w:val="none"/>
        </w:rPr>
      </w:pPr>
      <w:bookmarkStart w:id="4" w:name="_Toc12819"/>
      <w:bookmarkStart w:id="5" w:name="_Toc430530415"/>
      <w:bookmarkStart w:id="6" w:name="_Toc287620666"/>
      <w:bookmarkStart w:id="7" w:name="_Toc287607727"/>
      <w:bookmarkStart w:id="8" w:name="_Toc224103298"/>
      <w:bookmarkStart w:id="9" w:name="_Toc57905811"/>
      <w:bookmarkStart w:id="10" w:name="_Toc509218691"/>
      <w:bookmarkStart w:id="11" w:name="_Toc277082535"/>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w:t>
      </w:r>
      <w:r>
        <w:rPr>
          <w:rFonts w:ascii="宋体" w:hAnsi="宋体"/>
          <w:snapToGrid w:val="0"/>
          <w:color w:val="auto"/>
          <w:kern w:val="0"/>
          <w:highlight w:val="none"/>
        </w:rPr>
        <w:t>公告</w:t>
      </w:r>
      <w:bookmarkEnd w:id="4"/>
      <w:bookmarkEnd w:id="5"/>
      <w:bookmarkEnd w:id="6"/>
      <w:bookmarkEnd w:id="7"/>
      <w:bookmarkEnd w:id="8"/>
      <w:bookmarkEnd w:id="9"/>
      <w:bookmarkEnd w:id="10"/>
      <w:bookmarkEnd w:id="11"/>
    </w:p>
    <w:p w14:paraId="3141A8F2">
      <w:pPr>
        <w:widowControl w:val="0"/>
        <w:wordWrap/>
        <w:autoSpaceDE w:val="0"/>
        <w:autoSpaceDN w:val="0"/>
        <w:adjustRightInd w:val="0"/>
        <w:snapToGrid w:val="0"/>
        <w:spacing w:line="360" w:lineRule="auto"/>
        <w:jc w:val="center"/>
        <w:textAlignment w:val="auto"/>
        <w:rPr>
          <w:rFonts w:ascii="宋体" w:hAnsi="宋体"/>
          <w:snapToGrid w:val="0"/>
          <w:color w:val="auto"/>
          <w:kern w:val="0"/>
          <w:sz w:val="28"/>
          <w:szCs w:val="28"/>
          <w:highlight w:val="none"/>
        </w:rPr>
      </w:pPr>
      <w:r>
        <w:rPr>
          <w:rFonts w:hint="eastAsia" w:ascii="宋体" w:hAnsi="宋体"/>
          <w:snapToGrid w:val="0"/>
          <w:color w:val="auto"/>
          <w:kern w:val="0"/>
          <w:sz w:val="28"/>
          <w:szCs w:val="28"/>
          <w:highlight w:val="none"/>
          <w:u w:val="single"/>
          <w:lang w:eastAsia="zh-CN"/>
        </w:rPr>
        <w:t>重庆市金迈实业有限公司生产区环境整治项目</w:t>
      </w:r>
      <w:r>
        <w:rPr>
          <w:rFonts w:hint="eastAsia" w:ascii="宋体" w:hAnsi="宋体"/>
          <w:snapToGrid w:val="0"/>
          <w:color w:val="auto"/>
          <w:w w:val="99"/>
          <w:kern w:val="0"/>
          <w:sz w:val="28"/>
          <w:szCs w:val="28"/>
          <w:highlight w:val="none"/>
          <w:lang w:eastAsia="zh-CN"/>
        </w:rPr>
        <w:t>比选</w:t>
      </w:r>
      <w:r>
        <w:rPr>
          <w:rFonts w:ascii="宋体" w:hAnsi="宋体"/>
          <w:snapToGrid w:val="0"/>
          <w:color w:val="auto"/>
          <w:w w:val="99"/>
          <w:kern w:val="0"/>
          <w:sz w:val="28"/>
          <w:szCs w:val="28"/>
          <w:highlight w:val="none"/>
        </w:rPr>
        <w:t>公告</w:t>
      </w:r>
    </w:p>
    <w:p w14:paraId="11A35C3F">
      <w:pPr>
        <w:pStyle w:val="4"/>
        <w:widowControl w:val="0"/>
        <w:wordWrap/>
        <w:spacing w:before="0" w:after="0" w:line="460" w:lineRule="exact"/>
        <w:textAlignment w:val="auto"/>
        <w:rPr>
          <w:rFonts w:ascii="宋体" w:hAnsi="宋体"/>
          <w:snapToGrid w:val="0"/>
          <w:color w:val="auto"/>
          <w:sz w:val="28"/>
          <w:szCs w:val="28"/>
          <w:highlight w:val="none"/>
        </w:rPr>
      </w:pPr>
      <w:bookmarkStart w:id="12" w:name="_Toc224103299"/>
      <w:bookmarkStart w:id="13" w:name="_Toc509218692"/>
      <w:bookmarkStart w:id="14" w:name="_Toc200359238"/>
      <w:bookmarkStart w:id="15" w:name="_Toc430530416"/>
      <w:bookmarkStart w:id="16" w:name="_Toc287607728"/>
      <w:bookmarkStart w:id="17" w:name="_Toc287620667"/>
      <w:bookmarkStart w:id="18" w:name="_Toc277082536"/>
      <w:bookmarkStart w:id="19" w:name="_Toc27491"/>
      <w:bookmarkStart w:id="20" w:name="_Toc200359427"/>
      <w:bookmarkStart w:id="21" w:name="_Toc57905812"/>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条件</w:t>
      </w:r>
      <w:bookmarkEnd w:id="12"/>
      <w:bookmarkEnd w:id="13"/>
      <w:bookmarkEnd w:id="14"/>
      <w:bookmarkEnd w:id="15"/>
      <w:bookmarkEnd w:id="16"/>
      <w:bookmarkEnd w:id="17"/>
      <w:bookmarkEnd w:id="18"/>
      <w:bookmarkEnd w:id="19"/>
      <w:bookmarkEnd w:id="20"/>
      <w:bookmarkEnd w:id="21"/>
    </w:p>
    <w:p w14:paraId="26AC65AB">
      <w:pPr>
        <w:widowControl w:val="0"/>
        <w:tabs>
          <w:tab w:val="left" w:pos="3315"/>
          <w:tab w:val="left" w:pos="3390"/>
          <w:tab w:val="left" w:pos="6120"/>
          <w:tab w:val="left" w:pos="8850"/>
        </w:tabs>
        <w:wordWrap/>
        <w:autoSpaceDE w:val="0"/>
        <w:autoSpaceDN w:val="0"/>
        <w:adjustRightInd w:val="0"/>
        <w:snapToGrid w:val="0"/>
        <w:spacing w:line="460" w:lineRule="exact"/>
        <w:ind w:firstLine="42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position w:val="-2"/>
          <w:szCs w:val="21"/>
          <w:highlight w:val="none"/>
          <w:u w:val="single"/>
          <w:lang w:eastAsia="zh-CN"/>
        </w:rPr>
        <w:t>重庆市金迈实业有限公司生产区环境整治项目</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lang w:eastAsia="zh-CN"/>
        </w:rPr>
        <w:t xml:space="preserve">重庆市金迈实业有限公司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eastAsia="宋体" w:cs="Times New Roman"/>
          <w:snapToGrid w:val="0"/>
          <w:color w:val="auto"/>
          <w:kern w:val="0"/>
          <w:position w:val="-2"/>
          <w:szCs w:val="21"/>
          <w:highlight w:val="none"/>
          <w:u w:val="single"/>
          <w:lang w:val="en-US" w:eastAsia="zh-CN"/>
        </w:rPr>
        <w:t xml:space="preserve">业主自筹 </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eastAsia="zh-CN"/>
        </w:rPr>
        <w:t xml:space="preserve">重庆市金迈实业有限公司 </w:t>
      </w:r>
      <w:r>
        <w:rPr>
          <w:rFonts w:ascii="宋体" w:hAnsi="宋体"/>
          <w:snapToGrid w:val="0"/>
          <w:color w:val="auto"/>
          <w:kern w:val="0"/>
          <w:position w:val="-2"/>
          <w:szCs w:val="21"/>
          <w:highlight w:val="none"/>
        </w:rPr>
        <w:t>。项目已具备</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条件，现对</w:t>
      </w:r>
      <w:r>
        <w:rPr>
          <w:rFonts w:hint="eastAsia" w:ascii="宋体" w:hAnsi="宋体"/>
          <w:snapToGrid w:val="0"/>
          <w:color w:val="auto"/>
          <w:kern w:val="0"/>
          <w:position w:val="-2"/>
          <w:szCs w:val="21"/>
          <w:highlight w:val="none"/>
          <w:u w:val="single"/>
        </w:rPr>
        <w:t>该项目的施工</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w:t>
      </w:r>
    </w:p>
    <w:p w14:paraId="6B2F8353">
      <w:pPr>
        <w:pStyle w:val="4"/>
        <w:widowControl w:val="0"/>
        <w:wordWrap/>
        <w:spacing w:before="0" w:after="0" w:line="460" w:lineRule="exact"/>
        <w:textAlignment w:val="auto"/>
        <w:rPr>
          <w:rFonts w:ascii="宋体" w:hAnsi="宋体"/>
          <w:snapToGrid w:val="0"/>
          <w:color w:val="auto"/>
          <w:sz w:val="28"/>
          <w:szCs w:val="28"/>
          <w:highlight w:val="none"/>
        </w:rPr>
      </w:pPr>
      <w:bookmarkStart w:id="22" w:name="_Toc509218693"/>
      <w:bookmarkStart w:id="23" w:name="_Toc277082537"/>
      <w:bookmarkStart w:id="24" w:name="_Toc16344"/>
      <w:bookmarkStart w:id="25" w:name="_Toc224103300"/>
      <w:bookmarkStart w:id="26" w:name="_Toc287607729"/>
      <w:bookmarkStart w:id="27" w:name="_Toc57905813"/>
      <w:bookmarkStart w:id="28" w:name="_Toc200359428"/>
      <w:bookmarkStart w:id="29" w:name="_Toc200359239"/>
      <w:bookmarkStart w:id="30" w:name="_Toc430530417"/>
      <w:bookmarkStart w:id="31" w:name="_Toc28762066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lang w:eastAsia="zh-CN"/>
        </w:rPr>
        <w:t>比选</w:t>
      </w:r>
      <w:r>
        <w:rPr>
          <w:rFonts w:ascii="宋体" w:hAnsi="宋体"/>
          <w:snapToGrid w:val="0"/>
          <w:color w:val="auto"/>
          <w:sz w:val="28"/>
          <w:szCs w:val="28"/>
          <w:highlight w:val="none"/>
        </w:rPr>
        <w:t>范围</w:t>
      </w:r>
      <w:bookmarkEnd w:id="22"/>
      <w:bookmarkEnd w:id="23"/>
      <w:bookmarkEnd w:id="24"/>
      <w:bookmarkEnd w:id="25"/>
      <w:bookmarkEnd w:id="26"/>
      <w:bookmarkEnd w:id="27"/>
      <w:bookmarkEnd w:id="28"/>
      <w:bookmarkEnd w:id="29"/>
      <w:bookmarkEnd w:id="30"/>
      <w:bookmarkEnd w:id="31"/>
    </w:p>
    <w:p w14:paraId="77194F6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rPr>
        <w:t>重庆市南川区</w:t>
      </w:r>
      <w:r>
        <w:rPr>
          <w:rFonts w:hint="eastAsia" w:ascii="宋体" w:hAnsi="宋体"/>
          <w:snapToGrid w:val="0"/>
          <w:color w:val="auto"/>
          <w:kern w:val="0"/>
          <w:szCs w:val="21"/>
          <w:highlight w:val="none"/>
          <w:u w:val="single"/>
          <w:lang w:eastAsia="zh-CN"/>
        </w:rPr>
        <w:t>。</w:t>
      </w:r>
    </w:p>
    <w:p w14:paraId="1EB87C7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lang w:eastAsia="zh-CN"/>
        </w:rPr>
        <w:t>本工程为重庆市金迈实业有限公司生产区环境整治项目，主要建设内容包括：室外花池开挖、混凝土地面拆除、不锈钢网拆除更换、路面硬化、新建沥青混凝土路面、新建排水沟、绿化修复、室外给排水工程等。</w:t>
      </w:r>
    </w:p>
    <w:p w14:paraId="073A31F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2.3 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项目合同估算金额：</w:t>
      </w:r>
      <w:r>
        <w:rPr>
          <w:rFonts w:hint="eastAsia" w:ascii="宋体" w:hAnsi="宋体" w:eastAsia="宋体" w:cs="宋体"/>
          <w:color w:val="auto"/>
          <w:kern w:val="2"/>
          <w:sz w:val="21"/>
          <w:szCs w:val="21"/>
          <w:highlight w:val="none"/>
          <w:u w:val="single"/>
          <w:lang w:val="en-US" w:eastAsia="zh-CN" w:bidi="ar-SA"/>
        </w:rPr>
        <w:t>106.776949</w:t>
      </w:r>
      <w:r>
        <w:rPr>
          <w:rFonts w:hint="eastAsia" w:ascii="宋体" w:hAnsi="宋体" w:cs="宋体"/>
          <w:color w:val="auto"/>
          <w:kern w:val="2"/>
          <w:sz w:val="21"/>
          <w:szCs w:val="21"/>
          <w:highlight w:val="none"/>
          <w:u w:val="single"/>
          <w:lang w:val="en-US" w:eastAsia="zh-CN" w:bidi="ar-SA"/>
        </w:rPr>
        <w:t>万</w:t>
      </w:r>
      <w:r>
        <w:rPr>
          <w:rFonts w:hint="eastAsia" w:ascii="宋体" w:hAnsi="宋体"/>
          <w:snapToGrid w:val="0"/>
          <w:color w:val="auto"/>
          <w:kern w:val="0"/>
          <w:szCs w:val="21"/>
          <w:highlight w:val="none"/>
          <w:u w:val="single"/>
          <w:lang w:val="en-US" w:eastAsia="zh-CN"/>
        </w:rPr>
        <w:t>元</w:t>
      </w:r>
    </w:p>
    <w:p w14:paraId="09B999B7">
      <w:pPr>
        <w:pStyle w:val="2"/>
        <w:keepNext w:val="0"/>
        <w:keepLines w:val="0"/>
        <w:pageBreakBefore w:val="0"/>
        <w:widowControl w:val="0"/>
        <w:kinsoku/>
        <w:wordWrap/>
        <w:overflowPunct/>
        <w:topLinePunct w:val="0"/>
        <w:bidi w:val="0"/>
        <w:spacing w:after="0" w:line="400" w:lineRule="exact"/>
        <w:ind w:firstLine="420" w:firstLineChars="200"/>
        <w:textAlignment w:val="auto"/>
        <w:rPr>
          <w:rFonts w:hint="eastAsia"/>
          <w:color w:val="auto"/>
          <w:sz w:val="20"/>
          <w:szCs w:val="24"/>
          <w:highlight w:val="none"/>
          <w:u w:val="single"/>
          <w:lang w:val="en-US" w:eastAsia="zh-CN"/>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范围：</w:t>
      </w:r>
      <w:r>
        <w:rPr>
          <w:rFonts w:hint="eastAsia" w:ascii="宋体" w:hAnsi="宋体" w:eastAsia="宋体" w:cs="Times New Roman"/>
          <w:snapToGrid w:val="0"/>
          <w:color w:val="auto"/>
          <w:kern w:val="0"/>
          <w:sz w:val="21"/>
          <w:szCs w:val="21"/>
          <w:highlight w:val="none"/>
          <w:u w:val="single"/>
          <w:lang w:val="en-US" w:eastAsia="zh-CN" w:bidi="ar-SA"/>
        </w:rPr>
        <w:t>比选人发布的施工设计图及图说中的全部工程内容，具体以比选人给出的工程量清单为准。</w:t>
      </w:r>
    </w:p>
    <w:p w14:paraId="25D5F20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szCs w:val="21"/>
          <w:highlight w:val="yellow"/>
          <w:u w:val="single"/>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14:paraId="77A8967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缺陷责任期要求：</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p w14:paraId="7059905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2.6 标段划分：</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7AE06C4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2.7 其他：</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p>
    <w:p w14:paraId="51E324F6">
      <w:pPr>
        <w:pStyle w:val="4"/>
        <w:widowControl w:val="0"/>
        <w:wordWrap/>
        <w:spacing w:before="0" w:after="0" w:line="460" w:lineRule="exact"/>
        <w:textAlignment w:val="auto"/>
        <w:rPr>
          <w:rFonts w:ascii="宋体" w:hAnsi="宋体"/>
          <w:snapToGrid w:val="0"/>
          <w:color w:val="auto"/>
          <w:sz w:val="28"/>
          <w:szCs w:val="28"/>
          <w:highlight w:val="none"/>
        </w:rPr>
      </w:pPr>
      <w:bookmarkStart w:id="32" w:name="_Toc57905814"/>
      <w:bookmarkStart w:id="33" w:name="_Toc200359429"/>
      <w:bookmarkStart w:id="34" w:name="_Toc509218694"/>
      <w:bookmarkStart w:id="35" w:name="_Toc430530418"/>
      <w:bookmarkStart w:id="36" w:name="_Toc19513"/>
      <w:bookmarkStart w:id="37" w:name="_Toc224103301"/>
      <w:bookmarkStart w:id="38" w:name="_Toc277082538"/>
      <w:bookmarkStart w:id="39" w:name="_Toc200359240"/>
      <w:bookmarkStart w:id="40" w:name="_Toc287620669"/>
      <w:bookmarkStart w:id="41" w:name="_Toc28760773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32"/>
      <w:bookmarkEnd w:id="33"/>
      <w:bookmarkEnd w:id="34"/>
      <w:bookmarkEnd w:id="35"/>
      <w:bookmarkEnd w:id="36"/>
      <w:bookmarkEnd w:id="37"/>
      <w:bookmarkEnd w:id="38"/>
      <w:bookmarkEnd w:id="39"/>
      <w:bookmarkEnd w:id="40"/>
      <w:bookmarkEnd w:id="41"/>
    </w:p>
    <w:p w14:paraId="77E0D992">
      <w:pPr>
        <w:pageBreakBefore w:val="0"/>
        <w:widowControl w:val="0"/>
        <w:tabs>
          <w:tab w:val="left" w:pos="3840"/>
          <w:tab w:val="left" w:pos="5300"/>
        </w:tabs>
        <w:kinsoku/>
        <w:wordWrap/>
        <w:overflowPunct/>
        <w:topLinePunct w:val="0"/>
        <w:autoSpaceDE w:val="0"/>
        <w:autoSpaceDN w:val="0"/>
        <w:bidi w:val="0"/>
        <w:adjustRightInd w:val="0"/>
        <w:snapToGrid w:val="0"/>
        <w:spacing w:line="440" w:lineRule="exact"/>
        <w:ind w:firstLine="420" w:firstLineChars="20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5A739212">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snapToGrid w:val="0"/>
          <w:color w:val="auto"/>
          <w:kern w:val="0"/>
          <w:szCs w:val="21"/>
          <w:highlight w:val="none"/>
        </w:rPr>
        <w:t>3.1.1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具备的资质条件</w:t>
      </w:r>
      <w:r>
        <w:rPr>
          <w:rFonts w:hint="eastAsia" w:ascii="宋体" w:hAnsi="宋体"/>
          <w:snapToGrid w:val="0"/>
          <w:color w:val="auto"/>
          <w:kern w:val="0"/>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须具备建设行政主管部门颁发的有效的</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工程施工总承包</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val="en-US" w:eastAsia="zh-CN"/>
        </w:rPr>
        <w:t>或市政公用工程施工总承包三级及以上资质</w:t>
      </w:r>
      <w:r>
        <w:rPr>
          <w:rFonts w:hint="eastAsia" w:ascii="宋体" w:hAnsi="宋体" w:eastAsia="宋体" w:cs="宋体"/>
          <w:color w:val="auto"/>
          <w:sz w:val="21"/>
          <w:szCs w:val="21"/>
          <w:highlight w:val="none"/>
          <w:lang w:eastAsia="zh-CN"/>
        </w:rPr>
        <w:t>（须提供有效的资质证书副本复印件或扫描件并加盖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单位公章）；</w:t>
      </w:r>
    </w:p>
    <w:p w14:paraId="03F8741D">
      <w:pPr>
        <w:pageBreakBefore w:val="0"/>
        <w:widowControl w:val="0"/>
        <w:numPr>
          <w:ilvl w:val="0"/>
          <w:numId w:val="1"/>
        </w:numPr>
        <w:tabs>
          <w:tab w:val="left" w:pos="3840"/>
          <w:tab w:val="left" w:pos="5300"/>
        </w:tabs>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须具备建设行政主管部门颁发的安全生产许可证（须提供有效的安全生产许可证复印件或扫描件并加盖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单位公章）。</w:t>
      </w:r>
    </w:p>
    <w:p w14:paraId="3E2A4919">
      <w:pPr>
        <w:pageBreakBefore w:val="0"/>
        <w:widowControl w:val="0"/>
        <w:numPr>
          <w:ilvl w:val="0"/>
          <w:numId w:val="0"/>
        </w:numPr>
        <w:tabs>
          <w:tab w:val="left" w:pos="3840"/>
          <w:tab w:val="left" w:pos="5300"/>
        </w:tabs>
        <w:kinsoku/>
        <w:wordWrap/>
        <w:overflowPunct/>
        <w:topLinePunct w:val="0"/>
        <w:autoSpaceDE w:val="0"/>
        <w:autoSpaceDN w:val="0"/>
        <w:bidi w:val="0"/>
        <w:adjustRightInd w:val="0"/>
        <w:snapToGrid w:val="0"/>
        <w:spacing w:line="440" w:lineRule="exact"/>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3.1.2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具备的业绩条件：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p>
    <w:p w14:paraId="2E5AC3D2">
      <w:pPr>
        <w:pageBreakBefore w:val="0"/>
        <w:widowControl w:val="0"/>
        <w:tabs>
          <w:tab w:val="left" w:pos="3840"/>
          <w:tab w:val="left" w:pos="5300"/>
        </w:tabs>
        <w:kinsoku/>
        <w:wordWrap/>
        <w:overflowPunct/>
        <w:topLinePunct w:val="0"/>
        <w:autoSpaceDE w:val="0"/>
        <w:autoSpaceDN w:val="0"/>
        <w:bidi w:val="0"/>
        <w:adjustRightInd w:val="0"/>
        <w:snapToGrid w:val="0"/>
        <w:spacing w:line="440" w:lineRule="exact"/>
        <w:ind w:firstLine="420" w:firstLineChars="200"/>
        <w:jc w:val="left"/>
        <w:textAlignment w:val="auto"/>
        <w:rPr>
          <w:rFonts w:ascii="宋体" w:hAnsi="宋体"/>
          <w:color w:val="auto"/>
          <w:szCs w:val="21"/>
          <w:highlight w:val="none"/>
        </w:rPr>
      </w:pPr>
      <w:r>
        <w:rPr>
          <w:rFonts w:hint="eastAsia" w:ascii="宋体" w:hAnsi="宋体"/>
          <w:snapToGrid w:val="0"/>
          <w:color w:val="auto"/>
          <w:kern w:val="0"/>
          <w:szCs w:val="21"/>
          <w:highlight w:val="none"/>
        </w:rPr>
        <w:t xml:space="preserve">3.1.3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还应在人员、设备、资金等方面具有相应的施工能力，详见</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须知前附表第1.4.1项内容。</w:t>
      </w:r>
    </w:p>
    <w:p w14:paraId="04D1A24A">
      <w:pPr>
        <w:pageBreakBefore w:val="0"/>
        <w:widowControl w:val="0"/>
        <w:tabs>
          <w:tab w:val="left" w:pos="3045"/>
          <w:tab w:val="left" w:pos="8310"/>
        </w:tabs>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3.2  本次</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w:t>
      </w:r>
    </w:p>
    <w:p w14:paraId="2772FC1A">
      <w:pPr>
        <w:pStyle w:val="4"/>
        <w:pageBreakBefore w:val="0"/>
        <w:widowControl w:val="0"/>
        <w:kinsoku/>
        <w:wordWrap/>
        <w:overflowPunct/>
        <w:topLinePunct w:val="0"/>
        <w:bidi w:val="0"/>
        <w:spacing w:before="0" w:after="0" w:line="440" w:lineRule="exact"/>
        <w:textAlignment w:val="auto"/>
        <w:rPr>
          <w:rFonts w:ascii="宋体" w:hAnsi="宋体"/>
          <w:snapToGrid w:val="0"/>
          <w:color w:val="auto"/>
          <w:sz w:val="28"/>
          <w:szCs w:val="28"/>
          <w:highlight w:val="none"/>
        </w:rPr>
      </w:pPr>
      <w:bookmarkStart w:id="42" w:name="_Toc430530419"/>
      <w:bookmarkStart w:id="43" w:name="_Toc10508"/>
      <w:bookmarkStart w:id="44" w:name="_Toc509218695"/>
      <w:bookmarkStart w:id="45" w:name="_Toc287607731"/>
      <w:bookmarkStart w:id="46" w:name="_Toc287620670"/>
      <w:bookmarkStart w:id="47" w:name="_Toc224103302"/>
      <w:bookmarkStart w:id="48" w:name="_Toc277082539"/>
      <w:bookmarkStart w:id="49" w:name="_Toc200359430"/>
      <w:bookmarkStart w:id="50" w:name="_Toc57905815"/>
      <w:bookmarkStart w:id="51" w:name="_Toc200359241"/>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竞争性比选文件</w:t>
      </w:r>
      <w:r>
        <w:rPr>
          <w:rFonts w:ascii="宋体" w:hAnsi="宋体"/>
          <w:snapToGrid w:val="0"/>
          <w:color w:val="auto"/>
          <w:sz w:val="28"/>
          <w:szCs w:val="28"/>
          <w:highlight w:val="none"/>
        </w:rPr>
        <w:t>的获取</w:t>
      </w:r>
      <w:bookmarkEnd w:id="42"/>
      <w:bookmarkEnd w:id="43"/>
      <w:bookmarkEnd w:id="44"/>
      <w:bookmarkEnd w:id="45"/>
      <w:bookmarkEnd w:id="46"/>
      <w:bookmarkEnd w:id="47"/>
      <w:bookmarkEnd w:id="48"/>
      <w:bookmarkEnd w:id="49"/>
      <w:bookmarkEnd w:id="50"/>
      <w:bookmarkEnd w:id="51"/>
    </w:p>
    <w:p w14:paraId="2F9E99A6">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u w:val="single"/>
          <w:lang w:eastAsia="zh-CN"/>
        </w:rPr>
        <w:t>行采家（https://www.gec123.com/）</w:t>
      </w:r>
      <w:r>
        <w:rPr>
          <w:rFonts w:ascii="宋体" w:hAnsi="宋体"/>
          <w:snapToGrid w:val="0"/>
          <w:color w:val="auto"/>
          <w:kern w:val="0"/>
          <w:szCs w:val="21"/>
          <w:highlight w:val="none"/>
        </w:rPr>
        <w:t>下载</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全部知晓有关招投标过程和全部内容。</w:t>
      </w:r>
    </w:p>
    <w:p w14:paraId="7A43D2DE">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4.2 竞争性比选文件提供期限：2025年</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日至2025年</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10</w:t>
      </w:r>
      <w:r>
        <w:rPr>
          <w:rFonts w:hint="eastAsia" w:ascii="宋体" w:hAnsi="宋体"/>
          <w:snapToGrid w:val="0"/>
          <w:color w:val="auto"/>
          <w:kern w:val="0"/>
          <w:szCs w:val="21"/>
          <w:highlight w:val="none"/>
        </w:rPr>
        <w:t>日18:00时。</w:t>
      </w:r>
    </w:p>
    <w:p w14:paraId="60615C9D">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4.3 报名方式：在竞争性比选文件提供期限内，竞选人填写《竞争性比选文件发售登记表》（加盖竞选人公章,格式详见附件），将竞争性比选文件发售登记表扫描件发送至邮箱</w:t>
      </w:r>
      <w:r>
        <w:rPr>
          <w:rFonts w:hint="eastAsia" w:ascii="宋体" w:hAnsi="宋体"/>
          <w:snapToGrid w:val="0"/>
          <w:color w:val="auto"/>
          <w:kern w:val="0"/>
          <w:szCs w:val="21"/>
          <w:highlight w:val="none"/>
          <w:lang w:val="en-US" w:eastAsia="zh-CN"/>
        </w:rPr>
        <w:t>1114584564</w:t>
      </w:r>
      <w:r>
        <w:rPr>
          <w:rFonts w:hint="eastAsia" w:ascii="宋体" w:hAnsi="宋体"/>
          <w:snapToGrid w:val="0"/>
          <w:color w:val="auto"/>
          <w:kern w:val="0"/>
          <w:szCs w:val="21"/>
          <w:highlight w:val="none"/>
        </w:rPr>
        <w:t>@qq.com，邮件主题为：项目名称+竞选人名称报名资料。同时联系工作人员缴纳本项目文件费。</w:t>
      </w:r>
    </w:p>
    <w:p w14:paraId="342903F5">
      <w:pPr>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宋体" w:hAnsi="宋体"/>
          <w:snapToGrid w:val="0"/>
          <w:color w:val="auto"/>
          <w:kern w:val="0"/>
          <w:sz w:val="21"/>
          <w:szCs w:val="21"/>
          <w:highlight w:val="none"/>
        </w:rPr>
      </w:pPr>
      <w:bookmarkStart w:id="52" w:name="_Toc28449"/>
      <w:bookmarkStart w:id="53" w:name="_Toc509218696"/>
      <w:bookmarkStart w:id="54" w:name="_Toc57905816"/>
      <w:bookmarkStart w:id="55" w:name="_Toc200359431"/>
      <w:bookmarkStart w:id="56" w:name="_Toc287620671"/>
      <w:bookmarkStart w:id="57" w:name="_Toc287607732"/>
      <w:bookmarkStart w:id="58" w:name="_Toc277082540"/>
      <w:bookmarkStart w:id="59" w:name="_Toc430530420"/>
      <w:bookmarkStart w:id="60" w:name="_Toc200359242"/>
      <w:bookmarkStart w:id="61" w:name="_Toc224103303"/>
      <w:r>
        <w:rPr>
          <w:rFonts w:hint="eastAsia" w:ascii="宋体" w:hAnsi="宋体"/>
          <w:snapToGrid w:val="0"/>
          <w:color w:val="auto"/>
          <w:kern w:val="0"/>
          <w:sz w:val="21"/>
          <w:szCs w:val="21"/>
          <w:highlight w:val="none"/>
        </w:rPr>
        <w:t>4.2</w:t>
      </w:r>
      <w:r>
        <w:rPr>
          <w:rFonts w:hint="eastAsia" w:ascii="宋体" w:hAnsi="宋体"/>
          <w:snapToGrid w:val="0"/>
          <w:color w:val="auto"/>
          <w:kern w:val="0"/>
          <w:sz w:val="21"/>
          <w:szCs w:val="21"/>
          <w:highlight w:val="none"/>
          <w:lang w:val="en-US" w:eastAsia="zh-CN"/>
        </w:rPr>
        <w:t>比选</w:t>
      </w:r>
      <w:r>
        <w:rPr>
          <w:rFonts w:hint="eastAsia" w:ascii="宋体" w:hAnsi="宋体"/>
          <w:snapToGrid w:val="0"/>
          <w:color w:val="auto"/>
          <w:kern w:val="0"/>
          <w:sz w:val="21"/>
          <w:szCs w:val="21"/>
          <w:highlight w:val="none"/>
        </w:rPr>
        <w:t>文件每套售价500元</w:t>
      </w:r>
      <w:r>
        <w:rPr>
          <w:rFonts w:hint="eastAsia" w:ascii="宋体" w:hAnsi="宋体"/>
          <w:snapToGrid w:val="0"/>
          <w:color w:val="auto"/>
          <w:kern w:val="0"/>
          <w:sz w:val="21"/>
          <w:szCs w:val="21"/>
          <w:highlight w:val="none"/>
          <w:lang w:val="en-US" w:eastAsia="zh-CN"/>
        </w:rPr>
        <w:t>/份</w:t>
      </w:r>
      <w:r>
        <w:rPr>
          <w:rFonts w:hint="eastAsia" w:ascii="宋体" w:hAnsi="宋体" w:eastAsia="宋体" w:cs="Times New Roman"/>
          <w:snapToGrid w:val="0"/>
          <w:color w:val="auto"/>
          <w:kern w:val="0"/>
          <w:szCs w:val="21"/>
          <w:highlight w:val="none"/>
          <w:lang w:val="en-US" w:eastAsia="zh-CN"/>
        </w:rPr>
        <w:t>（售后不退）</w:t>
      </w:r>
      <w:r>
        <w:rPr>
          <w:rFonts w:hint="eastAsia" w:ascii="宋体" w:hAnsi="宋体"/>
          <w:snapToGrid w:val="0"/>
          <w:color w:val="auto"/>
          <w:kern w:val="0"/>
          <w:sz w:val="21"/>
          <w:szCs w:val="21"/>
          <w:highlight w:val="none"/>
        </w:rPr>
        <w:t>。</w:t>
      </w:r>
    </w:p>
    <w:p w14:paraId="3BA8BD6F">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lang w:val="en-US" w:eastAsia="zh-CN"/>
        </w:rPr>
        <w:t>4.</w:t>
      </w:r>
      <w:r>
        <w:rPr>
          <w:rFonts w:hint="eastAsia" w:ascii="宋体" w:hAnsi="宋体" w:eastAsia="宋体" w:cs="Times New Roman"/>
          <w:snapToGrid w:val="0"/>
          <w:color w:val="auto"/>
          <w:kern w:val="0"/>
          <w:szCs w:val="21"/>
          <w:highlight w:val="none"/>
        </w:rPr>
        <w:t>4</w:t>
      </w:r>
      <w:r>
        <w:rPr>
          <w:rFonts w:hint="eastAsia" w:ascii="宋体" w:hAnsi="宋体" w:eastAsia="宋体" w:cs="Times New Roman"/>
          <w:snapToGrid w:val="0"/>
          <w:color w:val="auto"/>
          <w:kern w:val="0"/>
          <w:szCs w:val="21"/>
          <w:highlight w:val="none"/>
          <w:lang w:val="en-US" w:eastAsia="zh-CN"/>
        </w:rPr>
        <w:t>竞选人</w:t>
      </w:r>
      <w:r>
        <w:rPr>
          <w:rFonts w:hint="eastAsia" w:ascii="宋体" w:hAnsi="宋体" w:eastAsia="宋体" w:cs="Times New Roman"/>
          <w:snapToGrid w:val="0"/>
          <w:color w:val="auto"/>
          <w:kern w:val="0"/>
          <w:szCs w:val="21"/>
          <w:highlight w:val="none"/>
        </w:rPr>
        <w:t>须满足以下</w:t>
      </w:r>
      <w:r>
        <w:rPr>
          <w:rFonts w:hint="eastAsia" w:ascii="宋体" w:hAnsi="宋体" w:cs="Times New Roman"/>
          <w:snapToGrid w:val="0"/>
          <w:color w:val="auto"/>
          <w:kern w:val="0"/>
          <w:szCs w:val="21"/>
          <w:highlight w:val="none"/>
          <w:lang w:eastAsia="zh-CN"/>
        </w:rPr>
        <w:t>四</w:t>
      </w:r>
      <w:r>
        <w:rPr>
          <w:rFonts w:hint="eastAsia" w:ascii="宋体" w:hAnsi="宋体" w:eastAsia="宋体" w:cs="Times New Roman"/>
          <w:snapToGrid w:val="0"/>
          <w:color w:val="auto"/>
          <w:kern w:val="0"/>
          <w:szCs w:val="21"/>
          <w:highlight w:val="none"/>
        </w:rPr>
        <w:t>种要件，其</w:t>
      </w:r>
      <w:r>
        <w:rPr>
          <w:rFonts w:hint="eastAsia" w:ascii="宋体" w:hAnsi="宋体" w:eastAsia="宋体" w:cs="Times New Roman"/>
          <w:snapToGrid w:val="0"/>
          <w:color w:val="auto"/>
          <w:kern w:val="0"/>
          <w:szCs w:val="21"/>
          <w:highlight w:val="none"/>
          <w:lang w:val="en-US" w:eastAsia="zh-CN"/>
        </w:rPr>
        <w:t>竞选</w:t>
      </w:r>
      <w:r>
        <w:rPr>
          <w:rFonts w:hint="eastAsia" w:ascii="宋体" w:hAnsi="宋体" w:eastAsia="宋体" w:cs="Times New Roman"/>
          <w:snapToGrid w:val="0"/>
          <w:color w:val="auto"/>
          <w:kern w:val="0"/>
          <w:szCs w:val="21"/>
          <w:highlight w:val="none"/>
        </w:rPr>
        <w:t>文件才被接受：</w:t>
      </w:r>
    </w:p>
    <w:p w14:paraId="64683373">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1)根据采购邀请书要求的方式按时完成报名、签到；</w:t>
      </w:r>
    </w:p>
    <w:p w14:paraId="448DECF8">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2)按时递交了</w:t>
      </w:r>
      <w:r>
        <w:rPr>
          <w:rFonts w:hint="eastAsia" w:ascii="宋体" w:hAnsi="宋体" w:eastAsia="宋体" w:cs="Times New Roman"/>
          <w:snapToGrid w:val="0"/>
          <w:color w:val="auto"/>
          <w:kern w:val="0"/>
          <w:szCs w:val="21"/>
          <w:highlight w:val="none"/>
          <w:lang w:val="en-US" w:eastAsia="zh-CN"/>
        </w:rPr>
        <w:t>竞选</w:t>
      </w:r>
      <w:r>
        <w:rPr>
          <w:rFonts w:hint="eastAsia" w:ascii="宋体" w:hAnsi="宋体" w:eastAsia="宋体" w:cs="Times New Roman"/>
          <w:snapToGrid w:val="0"/>
          <w:color w:val="auto"/>
          <w:kern w:val="0"/>
          <w:szCs w:val="21"/>
          <w:highlight w:val="none"/>
        </w:rPr>
        <w:t>文件。</w:t>
      </w:r>
    </w:p>
    <w:p w14:paraId="4066B5E1">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lang w:eastAsia="zh-CN"/>
        </w:rPr>
      </w:pPr>
      <w:r>
        <w:rPr>
          <w:rFonts w:hint="eastAsia" w:ascii="宋体" w:hAnsi="宋体" w:eastAsia="宋体" w:cs="Times New Roman"/>
          <w:snapToGrid w:val="0"/>
          <w:color w:val="auto"/>
          <w:kern w:val="0"/>
          <w:szCs w:val="21"/>
          <w:highlight w:val="none"/>
        </w:rPr>
        <w:t>3)按时足额缴纳</w:t>
      </w:r>
      <w:r>
        <w:rPr>
          <w:rFonts w:hint="eastAsia" w:ascii="宋体" w:hAnsi="宋体" w:eastAsia="宋体" w:cs="Times New Roman"/>
          <w:snapToGrid w:val="0"/>
          <w:color w:val="auto"/>
          <w:kern w:val="0"/>
          <w:szCs w:val="21"/>
          <w:highlight w:val="none"/>
          <w:lang w:val="en-US" w:eastAsia="zh-CN"/>
        </w:rPr>
        <w:t>比选</w:t>
      </w:r>
      <w:r>
        <w:rPr>
          <w:rFonts w:hint="eastAsia" w:ascii="宋体" w:hAnsi="宋体" w:eastAsia="宋体" w:cs="Times New Roman"/>
          <w:snapToGrid w:val="0"/>
          <w:color w:val="auto"/>
          <w:kern w:val="0"/>
          <w:szCs w:val="21"/>
          <w:highlight w:val="none"/>
        </w:rPr>
        <w:t>文件费</w:t>
      </w:r>
      <w:r>
        <w:rPr>
          <w:rFonts w:hint="eastAsia" w:ascii="宋体" w:hAnsi="宋体" w:cs="Times New Roman"/>
          <w:snapToGrid w:val="0"/>
          <w:color w:val="auto"/>
          <w:kern w:val="0"/>
          <w:szCs w:val="21"/>
          <w:highlight w:val="none"/>
          <w:lang w:eastAsia="zh-CN"/>
        </w:rPr>
        <w:t>。</w:t>
      </w:r>
    </w:p>
    <w:p w14:paraId="72A5A32E">
      <w:pPr>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Cs w:val="21"/>
          <w:highlight w:val="none"/>
        </w:rPr>
      </w:pPr>
      <w:r>
        <w:rPr>
          <w:rFonts w:hint="eastAsia" w:ascii="宋体" w:hAnsi="宋体" w:cs="Times New Roman"/>
          <w:snapToGrid w:val="0"/>
          <w:color w:val="auto"/>
          <w:kern w:val="0"/>
          <w:szCs w:val="21"/>
          <w:highlight w:val="none"/>
          <w:lang w:val="en-US" w:eastAsia="zh-CN"/>
        </w:rPr>
        <w:t>4）按时缴纳了投标保证金</w:t>
      </w:r>
      <w:r>
        <w:rPr>
          <w:rFonts w:hint="eastAsia" w:ascii="宋体" w:hAnsi="宋体" w:eastAsia="宋体" w:cs="Times New Roman"/>
          <w:snapToGrid w:val="0"/>
          <w:color w:val="auto"/>
          <w:kern w:val="0"/>
          <w:szCs w:val="21"/>
          <w:highlight w:val="none"/>
        </w:rPr>
        <w:t>。</w:t>
      </w:r>
    </w:p>
    <w:p w14:paraId="6B44F815">
      <w:pPr>
        <w:pStyle w:val="4"/>
        <w:widowControl w:val="0"/>
        <w:wordWrap/>
        <w:spacing w:before="0" w:after="0" w:line="460" w:lineRule="exact"/>
        <w:textAlignment w:val="auto"/>
        <w:rPr>
          <w:rFonts w:ascii="宋体" w:hAnsi="宋体"/>
          <w:snapToGrid w:val="0"/>
          <w:color w:val="auto"/>
          <w:sz w:val="28"/>
          <w:szCs w:val="28"/>
          <w:highlight w:val="none"/>
        </w:rPr>
      </w:pPr>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bookmarkEnd w:id="52"/>
      <w:bookmarkEnd w:id="53"/>
      <w:bookmarkEnd w:id="54"/>
      <w:bookmarkEnd w:id="55"/>
      <w:bookmarkEnd w:id="56"/>
      <w:bookmarkEnd w:id="57"/>
      <w:bookmarkEnd w:id="58"/>
      <w:bookmarkEnd w:id="59"/>
      <w:bookmarkEnd w:id="60"/>
      <w:bookmarkEnd w:id="61"/>
      <w:r>
        <w:rPr>
          <w:rFonts w:hint="eastAsia" w:ascii="宋体" w:hAnsi="宋体" w:eastAsia="宋体" w:cs="Times New Roman"/>
          <w:b/>
          <w:bCs/>
          <w:snapToGrid w:val="0"/>
          <w:color w:val="auto"/>
          <w:kern w:val="2"/>
          <w:sz w:val="28"/>
          <w:szCs w:val="28"/>
          <w:highlight w:val="none"/>
          <w:lang w:val="en-US" w:eastAsia="zh-CN" w:bidi="ar-SA"/>
        </w:rPr>
        <w:t>线上报价及线下竞采程序</w:t>
      </w:r>
    </w:p>
    <w:p w14:paraId="1CA2A1B6">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宋体" w:hAnsi="宋体" w:eastAsia="宋体" w:cs="Times New Roman"/>
          <w:snapToGrid w:val="0"/>
          <w:color w:val="auto"/>
          <w:kern w:val="0"/>
          <w:sz w:val="21"/>
          <w:szCs w:val="21"/>
          <w:highlight w:val="none"/>
          <w:lang w:val="en-US" w:eastAsia="zh-CN"/>
        </w:rPr>
      </w:pPr>
      <w:r>
        <w:rPr>
          <w:rFonts w:hint="eastAsia" w:ascii="宋体" w:hAnsi="宋体" w:eastAsia="宋体" w:cs="Times New Roman"/>
          <w:snapToGrid w:val="0"/>
          <w:color w:val="auto"/>
          <w:kern w:val="0"/>
          <w:sz w:val="21"/>
          <w:szCs w:val="21"/>
          <w:highlight w:val="none"/>
          <w:lang w:val="en-US" w:eastAsia="zh-CN"/>
        </w:rPr>
        <w:t>5.1线上报价及竞选文件递交时间：</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16</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09</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ascii="宋体" w:hAnsi="宋体"/>
          <w:snapToGrid w:val="0"/>
          <w:color w:val="auto"/>
          <w:kern w:val="0"/>
          <w:szCs w:val="21"/>
          <w:highlight w:val="none"/>
        </w:rPr>
        <w:t>分</w:t>
      </w:r>
      <w:r>
        <w:rPr>
          <w:rFonts w:hint="eastAsia" w:ascii="宋体" w:hAnsi="宋体"/>
          <w:snapToGrid w:val="0"/>
          <w:color w:val="auto"/>
          <w:kern w:val="0"/>
          <w:szCs w:val="21"/>
          <w:highlight w:val="none"/>
          <w:lang w:val="en-US" w:eastAsia="zh-CN"/>
        </w:rPr>
        <w:t>至</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16</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ascii="宋体" w:hAnsi="宋体"/>
          <w:snapToGrid w:val="0"/>
          <w:color w:val="auto"/>
          <w:kern w:val="0"/>
          <w:szCs w:val="21"/>
          <w:highlight w:val="none"/>
        </w:rPr>
        <w:t>分</w:t>
      </w:r>
      <w:r>
        <w:rPr>
          <w:rFonts w:hint="eastAsia" w:ascii="宋体" w:hAnsi="宋体" w:eastAsia="宋体" w:cs="Times New Roman"/>
          <w:snapToGrid w:val="0"/>
          <w:color w:val="auto"/>
          <w:kern w:val="0"/>
          <w:sz w:val="21"/>
          <w:szCs w:val="21"/>
          <w:highlight w:val="none"/>
        </w:rPr>
        <w:t>（北京时间）</w:t>
      </w:r>
      <w:r>
        <w:rPr>
          <w:rFonts w:hint="eastAsia" w:ascii="宋体" w:hAnsi="宋体" w:eastAsia="宋体" w:cs="Times New Roman"/>
          <w:snapToGrid w:val="0"/>
          <w:color w:val="auto"/>
          <w:kern w:val="0"/>
          <w:sz w:val="21"/>
          <w:szCs w:val="21"/>
          <w:highlight w:val="none"/>
          <w:lang w:val="en-US" w:eastAsia="zh-CN"/>
        </w:rPr>
        <w:t>。</w:t>
      </w:r>
    </w:p>
    <w:p w14:paraId="33544AF7">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ascii="宋体" w:hAnsi="宋体"/>
          <w:snapToGrid w:val="0"/>
          <w:color w:val="auto"/>
          <w:kern w:val="0"/>
          <w:szCs w:val="21"/>
          <w:highlight w:val="none"/>
        </w:rPr>
      </w:pPr>
      <w:r>
        <w:rPr>
          <w:rFonts w:hint="eastAsia" w:ascii="宋体" w:hAnsi="宋体" w:eastAsia="宋体" w:cs="Times New Roman"/>
          <w:snapToGrid w:val="0"/>
          <w:color w:val="auto"/>
          <w:kern w:val="0"/>
          <w:sz w:val="21"/>
          <w:szCs w:val="21"/>
          <w:highlight w:val="none"/>
          <w:lang w:val="en-US" w:eastAsia="zh-CN"/>
        </w:rPr>
        <w:t>5.1.1线上报价及竞选文件递交要求：按本项目规定的时间在行采家（https://www.gec123.com/）网上报价，未在规定时间内报价及上传电子竞选文件的为</w:t>
      </w:r>
      <w:r>
        <w:rPr>
          <w:rFonts w:hint="eastAsia" w:ascii="宋体" w:hAnsi="宋体" w:eastAsia="宋体" w:cs="Times New Roman"/>
          <w:snapToGrid w:val="0"/>
          <w:color w:val="auto"/>
          <w:kern w:val="0"/>
          <w:sz w:val="21"/>
          <w:szCs w:val="21"/>
          <w:highlight w:val="none"/>
        </w:rPr>
        <w:t>无效竞选人</w:t>
      </w:r>
      <w:r>
        <w:rPr>
          <w:rFonts w:hint="eastAsia" w:ascii="宋体" w:hAnsi="宋体" w:eastAsia="宋体" w:cs="Times New Roman"/>
          <w:snapToGrid w:val="0"/>
          <w:color w:val="auto"/>
          <w:kern w:val="0"/>
          <w:sz w:val="21"/>
          <w:szCs w:val="21"/>
          <w:highlight w:val="none"/>
          <w:lang w:val="en-US" w:eastAsia="zh-CN"/>
        </w:rPr>
        <w:t>。线上递交报价及竞选文件与线下递交的竞选文件不一致时以线下递交的竞选文件为准。</w:t>
      </w:r>
    </w:p>
    <w:p w14:paraId="030EECB7">
      <w:pPr>
        <w:keepNext w:val="0"/>
        <w:keepLines w:val="0"/>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Times New Roman"/>
          <w:snapToGrid w:val="0"/>
          <w:color w:val="auto"/>
          <w:kern w:val="0"/>
          <w:sz w:val="21"/>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 xml:space="preserve"> </w:t>
      </w:r>
      <w:r>
        <w:rPr>
          <w:rFonts w:hint="eastAsia" w:ascii="宋体" w:hAnsi="宋体" w:eastAsia="宋体" w:cs="Times New Roman"/>
          <w:snapToGrid w:val="0"/>
          <w:color w:val="auto"/>
          <w:kern w:val="0"/>
          <w:sz w:val="21"/>
          <w:szCs w:val="21"/>
          <w:highlight w:val="none"/>
        </w:rPr>
        <w:t>线下递交竞选文件要求</w:t>
      </w:r>
    </w:p>
    <w:p w14:paraId="278F0BD8">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5.2.1线下</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递交的时间为</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16</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09</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30</w:t>
      </w:r>
      <w:r>
        <w:rPr>
          <w:rFonts w:ascii="宋体" w:hAnsi="宋体"/>
          <w:snapToGrid w:val="0"/>
          <w:color w:val="auto"/>
          <w:kern w:val="0"/>
          <w:szCs w:val="21"/>
          <w:highlight w:val="none"/>
        </w:rPr>
        <w:t>分</w:t>
      </w:r>
      <w:r>
        <w:rPr>
          <w:rFonts w:hint="eastAsia" w:ascii="宋体" w:hAnsi="宋体"/>
          <w:snapToGrid w:val="0"/>
          <w:color w:val="auto"/>
          <w:kern w:val="0"/>
          <w:szCs w:val="21"/>
          <w:highlight w:val="none"/>
          <w:lang w:val="en-US" w:eastAsia="zh-CN"/>
        </w:rPr>
        <w:t>至</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12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16</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00</w:t>
      </w:r>
      <w:r>
        <w:rPr>
          <w:rFonts w:ascii="宋体" w:hAnsi="宋体"/>
          <w:snapToGrid w:val="0"/>
          <w:color w:val="auto"/>
          <w:kern w:val="0"/>
          <w:szCs w:val="21"/>
          <w:highlight w:val="none"/>
        </w:rPr>
        <w:t>分</w:t>
      </w:r>
      <w:r>
        <w:rPr>
          <w:rFonts w:hint="eastAsia" w:ascii="宋体" w:hAnsi="宋体" w:eastAsia="宋体" w:cs="Times New Roman"/>
          <w:snapToGrid w:val="0"/>
          <w:color w:val="auto"/>
          <w:kern w:val="0"/>
          <w:sz w:val="21"/>
          <w:szCs w:val="21"/>
          <w:highlight w:val="none"/>
        </w:rPr>
        <w:t>（北京时间）</w:t>
      </w:r>
      <w:r>
        <w:rPr>
          <w:rFonts w:hint="eastAsia" w:ascii="宋体" w:hAnsi="宋体"/>
          <w:snapToGrid w:val="0"/>
          <w:color w:val="auto"/>
          <w:kern w:val="0"/>
          <w:szCs w:val="21"/>
          <w:highlight w:val="none"/>
          <w:lang w:eastAsia="zh-CN"/>
        </w:rPr>
        <w:t>。</w:t>
      </w:r>
    </w:p>
    <w:p w14:paraId="70397142">
      <w:pPr>
        <w:keepNext w:val="0"/>
        <w:keepLines w:val="0"/>
        <w:pageBreakBefore w:val="0"/>
        <w:widowControl w:val="0"/>
        <w:numPr>
          <w:ilvl w:val="0"/>
          <w:numId w:val="0"/>
        </w:numPr>
        <w:kinsoku/>
        <w:wordWrap/>
        <w:overflowPunct/>
        <w:topLinePunct w:val="0"/>
        <w:bidi w:val="0"/>
        <w:adjustRightInd/>
        <w:snapToGrid/>
        <w:spacing w:beforeAutospacing="0" w:afterAutospacing="0" w:line="44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5.2.2</w:t>
      </w:r>
      <w:r>
        <w:rPr>
          <w:rFonts w:hint="eastAsia" w:ascii="宋体" w:hAnsi="宋体" w:eastAsia="宋体" w:cs="Times New Roman"/>
          <w:snapToGrid w:val="0"/>
          <w:color w:val="auto"/>
          <w:kern w:val="0"/>
          <w:sz w:val="21"/>
          <w:szCs w:val="21"/>
          <w:highlight w:val="none"/>
        </w:rPr>
        <w:t>线下竞争性比选开始时间2025年</w:t>
      </w:r>
      <w:r>
        <w:rPr>
          <w:rFonts w:hint="eastAsia" w:ascii="宋体" w:hAnsi="宋体" w:cs="Times New Roman"/>
          <w:snapToGrid w:val="0"/>
          <w:color w:val="auto"/>
          <w:kern w:val="0"/>
          <w:sz w:val="21"/>
          <w:szCs w:val="21"/>
          <w:highlight w:val="none"/>
          <w:lang w:val="en-US" w:eastAsia="zh-CN"/>
        </w:rPr>
        <w:t>12</w:t>
      </w:r>
      <w:r>
        <w:rPr>
          <w:rFonts w:hint="eastAsia" w:ascii="宋体" w:hAnsi="宋体" w:eastAsia="宋体" w:cs="Times New Roman"/>
          <w:snapToGrid w:val="0"/>
          <w:color w:val="auto"/>
          <w:kern w:val="0"/>
          <w:sz w:val="21"/>
          <w:szCs w:val="21"/>
          <w:highlight w:val="none"/>
        </w:rPr>
        <w:t>月</w:t>
      </w:r>
      <w:r>
        <w:rPr>
          <w:rFonts w:hint="eastAsia" w:ascii="宋体" w:hAnsi="宋体" w:cs="Times New Roman"/>
          <w:snapToGrid w:val="0"/>
          <w:color w:val="auto"/>
          <w:kern w:val="0"/>
          <w:sz w:val="21"/>
          <w:szCs w:val="21"/>
          <w:highlight w:val="none"/>
          <w:lang w:val="en-US" w:eastAsia="zh-CN"/>
        </w:rPr>
        <w:t>16</w:t>
      </w:r>
      <w:r>
        <w:rPr>
          <w:rFonts w:hint="eastAsia" w:ascii="宋体" w:hAnsi="宋体" w:eastAsia="宋体" w:cs="Times New Roman"/>
          <w:snapToGrid w:val="0"/>
          <w:color w:val="auto"/>
          <w:kern w:val="0"/>
          <w:sz w:val="21"/>
          <w:szCs w:val="21"/>
          <w:highlight w:val="none"/>
        </w:rPr>
        <w:t>日</w:t>
      </w:r>
      <w:r>
        <w:rPr>
          <w:rFonts w:hint="eastAsia" w:ascii="宋体" w:hAnsi="宋体" w:cs="Times New Roman"/>
          <w:snapToGrid w:val="0"/>
          <w:color w:val="auto"/>
          <w:kern w:val="0"/>
          <w:sz w:val="21"/>
          <w:szCs w:val="21"/>
          <w:highlight w:val="none"/>
          <w:lang w:val="en-US" w:eastAsia="zh-CN"/>
        </w:rPr>
        <w:t>10</w:t>
      </w:r>
      <w:r>
        <w:rPr>
          <w:rFonts w:hint="eastAsia" w:ascii="宋体" w:hAnsi="宋体" w:eastAsia="宋体" w:cs="Times New Roman"/>
          <w:snapToGrid w:val="0"/>
          <w:color w:val="auto"/>
          <w:kern w:val="0"/>
          <w:sz w:val="21"/>
          <w:szCs w:val="21"/>
          <w:highlight w:val="none"/>
        </w:rPr>
        <w:t>时</w:t>
      </w:r>
      <w:r>
        <w:rPr>
          <w:rFonts w:hint="eastAsia" w:ascii="宋体" w:hAnsi="宋体" w:cs="Times New Roman"/>
          <w:snapToGrid w:val="0"/>
          <w:color w:val="auto"/>
          <w:kern w:val="0"/>
          <w:sz w:val="21"/>
          <w:szCs w:val="21"/>
          <w:highlight w:val="none"/>
          <w:lang w:val="en-US" w:eastAsia="zh-CN"/>
        </w:rPr>
        <w:t>00</w:t>
      </w:r>
      <w:r>
        <w:rPr>
          <w:rFonts w:hint="eastAsia" w:ascii="宋体" w:hAnsi="宋体" w:eastAsia="宋体" w:cs="Times New Roman"/>
          <w:snapToGrid w:val="0"/>
          <w:color w:val="auto"/>
          <w:kern w:val="0"/>
          <w:sz w:val="21"/>
          <w:szCs w:val="21"/>
          <w:highlight w:val="none"/>
        </w:rPr>
        <w:t>分（北京时间）</w:t>
      </w:r>
    </w:p>
    <w:p w14:paraId="48B10BE3">
      <w:pPr>
        <w:keepNext w:val="0"/>
        <w:keepLines w:val="0"/>
        <w:pageBreakBefore w:val="0"/>
        <w:widowControl w:val="0"/>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44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5.2.3</w:t>
      </w:r>
      <w:r>
        <w:rPr>
          <w:rFonts w:hint="eastAsia" w:ascii="宋体" w:hAnsi="宋体" w:eastAsia="宋体" w:cs="Times New Roman"/>
          <w:snapToGrid w:val="0"/>
          <w:color w:val="auto"/>
          <w:kern w:val="0"/>
          <w:sz w:val="21"/>
          <w:szCs w:val="21"/>
          <w:highlight w:val="none"/>
        </w:rPr>
        <w:t>线下</w:t>
      </w:r>
      <w:r>
        <w:rPr>
          <w:rFonts w:hint="eastAsia" w:ascii="宋体" w:hAnsi="宋体" w:eastAsia="宋体" w:cs="Times New Roman"/>
          <w:snapToGrid w:val="0"/>
          <w:color w:val="auto"/>
          <w:kern w:val="0"/>
          <w:sz w:val="21"/>
          <w:szCs w:val="21"/>
          <w:highlight w:val="none"/>
          <w:lang w:val="en-US" w:eastAsia="zh-CN"/>
        </w:rPr>
        <w:t>竞选文件递交</w:t>
      </w:r>
      <w:r>
        <w:rPr>
          <w:rFonts w:ascii="宋体" w:hAnsi="宋体"/>
          <w:snapToGrid w:val="0"/>
          <w:color w:val="auto"/>
          <w:kern w:val="0"/>
          <w:szCs w:val="21"/>
          <w:highlight w:val="none"/>
        </w:rPr>
        <w:t>地点为</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u w:val="single"/>
        </w:rPr>
        <w:t>重庆市公共资源交易中心（地址：重庆市渝北区青枫北路6号渝兴广场B9栋</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楼）</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具体接标处详见开标当天一楼大厅电子显示屏上交易日程安排。</w:t>
      </w:r>
    </w:p>
    <w:p w14:paraId="4C1CC063">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5.2</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人不予受理。</w:t>
      </w:r>
      <w:r>
        <w:rPr>
          <w:rFonts w:hint="eastAsia" w:ascii="宋体" w:hAnsi="宋体"/>
          <w:snapToGrid w:val="0"/>
          <w:color w:val="auto"/>
          <w:kern w:val="0"/>
          <w:szCs w:val="21"/>
          <w:highlight w:val="none"/>
          <w:lang w:val="en-US" w:eastAsia="zh-CN"/>
        </w:rPr>
        <w:t xml:space="preserve"> </w:t>
      </w:r>
    </w:p>
    <w:p w14:paraId="6260D272">
      <w:pPr>
        <w:pStyle w:val="4"/>
        <w:widowControl w:val="0"/>
        <w:wordWrap/>
        <w:spacing w:before="0" w:after="0" w:line="460" w:lineRule="exact"/>
        <w:textAlignment w:val="auto"/>
        <w:rPr>
          <w:rFonts w:ascii="宋体" w:hAnsi="宋体"/>
          <w:snapToGrid w:val="0"/>
          <w:color w:val="auto"/>
          <w:sz w:val="28"/>
          <w:szCs w:val="28"/>
          <w:highlight w:val="none"/>
        </w:rPr>
      </w:pPr>
      <w:bookmarkStart w:id="62" w:name="_Toc287607733"/>
      <w:bookmarkStart w:id="63" w:name="_Toc200359243"/>
      <w:bookmarkStart w:id="64" w:name="_Toc200359432"/>
      <w:bookmarkStart w:id="65" w:name="_Toc224103304"/>
      <w:bookmarkStart w:id="66" w:name="_Toc430530421"/>
      <w:bookmarkStart w:id="67" w:name="_Toc287620672"/>
      <w:bookmarkStart w:id="68" w:name="_Toc57905817"/>
      <w:bookmarkStart w:id="69" w:name="_Toc509218697"/>
      <w:bookmarkStart w:id="70" w:name="_Toc277082541"/>
      <w:bookmarkStart w:id="71" w:name="_Toc8166"/>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62"/>
      <w:bookmarkEnd w:id="63"/>
      <w:bookmarkEnd w:id="64"/>
      <w:bookmarkEnd w:id="65"/>
      <w:bookmarkEnd w:id="66"/>
      <w:bookmarkEnd w:id="67"/>
      <w:bookmarkEnd w:id="68"/>
      <w:bookmarkEnd w:id="69"/>
      <w:bookmarkEnd w:id="70"/>
      <w:bookmarkEnd w:id="71"/>
    </w:p>
    <w:p w14:paraId="19719FFC">
      <w:pPr>
        <w:widowControl w:val="0"/>
        <w:tabs>
          <w:tab w:val="left" w:pos="4950"/>
        </w:tabs>
        <w:wordWrap/>
        <w:autoSpaceDE w:val="0"/>
        <w:autoSpaceDN w:val="0"/>
        <w:adjustRightInd w:val="0"/>
        <w:snapToGrid w:val="0"/>
        <w:spacing w:line="45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公告同时在</w:t>
      </w:r>
      <w:r>
        <w:rPr>
          <w:rFonts w:hint="eastAsia" w:ascii="宋体" w:hAnsi="宋体"/>
          <w:snapToGrid w:val="0"/>
          <w:color w:val="auto"/>
          <w:kern w:val="0"/>
          <w:szCs w:val="21"/>
          <w:highlight w:val="none"/>
          <w:u w:val="single"/>
          <w:lang w:eastAsia="zh-CN"/>
        </w:rPr>
        <w:t>行采家（https://www.gec123.com/）</w:t>
      </w:r>
      <w:r>
        <w:rPr>
          <w:rFonts w:ascii="宋体" w:hAnsi="宋体"/>
          <w:snapToGrid w:val="0"/>
          <w:color w:val="auto"/>
          <w:kern w:val="0"/>
          <w:szCs w:val="21"/>
          <w:highlight w:val="none"/>
        </w:rPr>
        <w:t>上发布。</w:t>
      </w:r>
    </w:p>
    <w:p w14:paraId="0F95ABBB">
      <w:pPr>
        <w:pStyle w:val="4"/>
        <w:widowControl w:val="0"/>
        <w:wordWrap/>
        <w:spacing w:before="0" w:after="0" w:line="460" w:lineRule="exact"/>
        <w:textAlignment w:val="auto"/>
        <w:rPr>
          <w:rFonts w:ascii="宋体" w:hAnsi="宋体"/>
          <w:snapToGrid w:val="0"/>
          <w:color w:val="auto"/>
          <w:sz w:val="28"/>
          <w:szCs w:val="28"/>
          <w:highlight w:val="none"/>
        </w:rPr>
      </w:pPr>
      <w:bookmarkStart w:id="72" w:name="_Toc31352"/>
      <w:bookmarkStart w:id="73" w:name="_Toc14240"/>
      <w:bookmarkStart w:id="74" w:name="_Toc57905818"/>
      <w:bookmarkStart w:id="75" w:name="_Toc287620673"/>
      <w:bookmarkStart w:id="76" w:name="_Toc287607734"/>
      <w:bookmarkStart w:id="77" w:name="_Toc509218698"/>
      <w:bookmarkStart w:id="78" w:name="_Toc224103305"/>
      <w:bookmarkStart w:id="79" w:name="_Toc430530422"/>
      <w:bookmarkStart w:id="80" w:name="_Toc277082542"/>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72"/>
      <w:bookmarkEnd w:id="73"/>
      <w:bookmarkStart w:id="81" w:name="_Toc589"/>
      <w:r>
        <w:rPr>
          <w:rFonts w:ascii="宋体" w:hAnsi="宋体"/>
          <w:snapToGrid w:val="0"/>
          <w:color w:val="auto"/>
          <w:sz w:val="28"/>
          <w:szCs w:val="28"/>
          <w:highlight w:val="none"/>
        </w:rPr>
        <w:t>联系方式</w:t>
      </w:r>
      <w:bookmarkEnd w:id="74"/>
      <w:bookmarkEnd w:id="75"/>
      <w:bookmarkEnd w:id="76"/>
      <w:bookmarkEnd w:id="77"/>
      <w:bookmarkEnd w:id="78"/>
      <w:bookmarkEnd w:id="79"/>
      <w:bookmarkEnd w:id="80"/>
      <w:bookmarkEnd w:id="81"/>
    </w:p>
    <w:p w14:paraId="23C0424D">
      <w:pPr>
        <w:widowControl w:val="0"/>
        <w:tabs>
          <w:tab w:val="left" w:pos="5140"/>
          <w:tab w:val="left" w:pos="8520"/>
        </w:tabs>
        <w:wordWrap/>
        <w:autoSpaceDE w:val="0"/>
        <w:autoSpaceDN w:val="0"/>
        <w:adjustRightInd w:val="0"/>
        <w:snapToGrid w:val="0"/>
        <w:spacing w:line="45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比 选 人</w:t>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lang w:eastAsia="zh-CN"/>
        </w:rPr>
        <w:t xml:space="preserve">重庆市金迈实业有限公司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u w:val="single"/>
          <w:lang w:eastAsia="zh-CN"/>
        </w:rPr>
        <w:t>中大宇辰项目管理有限公司</w:t>
      </w:r>
      <w:r>
        <w:rPr>
          <w:rFonts w:ascii="宋体" w:hAnsi="宋体"/>
          <w:snapToGrid w:val="0"/>
          <w:color w:val="auto"/>
          <w:kern w:val="0"/>
          <w:szCs w:val="21"/>
          <w:highlight w:val="none"/>
          <w:u w:val="single"/>
        </w:rPr>
        <w:t xml:space="preserve"> </w:t>
      </w:r>
    </w:p>
    <w:p w14:paraId="285897BD">
      <w:pPr>
        <w:widowControl w:val="0"/>
        <w:tabs>
          <w:tab w:val="left" w:pos="5140"/>
          <w:tab w:val="left" w:pos="8420"/>
        </w:tabs>
        <w:wordWrap/>
        <w:autoSpaceDE w:val="0"/>
        <w:autoSpaceDN w:val="0"/>
        <w:adjustRightInd w:val="0"/>
        <w:snapToGrid w:val="0"/>
        <w:spacing w:line="450" w:lineRule="exact"/>
        <w:ind w:firstLine="420" w:firstLineChars="20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地    址：</w:t>
      </w:r>
      <w:r>
        <w:rPr>
          <w:rFonts w:hint="eastAsia" w:ascii="宋体" w:hAnsi="宋体"/>
          <w:snapToGrid w:val="0"/>
          <w:color w:val="auto"/>
          <w:kern w:val="0"/>
          <w:szCs w:val="21"/>
          <w:highlight w:val="none"/>
          <w:u w:val="single"/>
        </w:rPr>
        <w:t>重庆市南川区水江镇宁江路</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地址：</w:t>
      </w:r>
      <w:r>
        <w:rPr>
          <w:rFonts w:hint="eastAsia" w:ascii="宋体" w:hAnsi="宋体"/>
          <w:snapToGrid w:val="0"/>
          <w:color w:val="auto"/>
          <w:kern w:val="0"/>
          <w:position w:val="-3"/>
          <w:szCs w:val="21"/>
          <w:highlight w:val="none"/>
          <w:u w:val="single"/>
        </w:rPr>
        <w:t>重庆市渝北区金龙路财信城市国际</w:t>
      </w:r>
      <w:r>
        <w:rPr>
          <w:rFonts w:hint="eastAsia" w:ascii="宋体" w:hAnsi="宋体"/>
          <w:snapToGrid w:val="0"/>
          <w:color w:val="auto"/>
          <w:kern w:val="0"/>
          <w:position w:val="-3"/>
          <w:szCs w:val="21"/>
          <w:highlight w:val="none"/>
          <w:u w:val="single"/>
          <w:lang w:val="en-US" w:eastAsia="zh-CN"/>
        </w:rPr>
        <w:t>3栋7-7</w:t>
      </w:r>
    </w:p>
    <w:p w14:paraId="00DDFB43">
      <w:pPr>
        <w:widowControl w:val="0"/>
        <w:tabs>
          <w:tab w:val="left" w:pos="5140"/>
          <w:tab w:val="left" w:pos="8420"/>
        </w:tabs>
        <w:wordWrap/>
        <w:autoSpaceDE w:val="0"/>
        <w:autoSpaceDN w:val="0"/>
        <w:adjustRightInd w:val="0"/>
        <w:snapToGrid w:val="0"/>
        <w:spacing w:line="450" w:lineRule="exact"/>
        <w:ind w:firstLine="420" w:firstLineChars="20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u w:val="single"/>
        </w:rPr>
        <w:t>朱老师</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 系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宋老师</w:t>
      </w:r>
      <w:r>
        <w:rPr>
          <w:rFonts w:ascii="宋体" w:hAnsi="宋体"/>
          <w:snapToGrid w:val="0"/>
          <w:color w:val="auto"/>
          <w:kern w:val="0"/>
          <w:szCs w:val="21"/>
          <w:highlight w:val="none"/>
          <w:u w:val="single"/>
        </w:rPr>
        <w:t xml:space="preserve">                   </w:t>
      </w:r>
    </w:p>
    <w:p w14:paraId="09268405">
      <w:pPr>
        <w:widowControl w:val="0"/>
        <w:tabs>
          <w:tab w:val="left" w:pos="5140"/>
          <w:tab w:val="left" w:pos="8420"/>
        </w:tabs>
        <w:wordWrap/>
        <w:autoSpaceDE w:val="0"/>
        <w:autoSpaceDN w:val="0"/>
        <w:adjustRightInd w:val="0"/>
        <w:snapToGrid w:val="0"/>
        <w:spacing w:line="450" w:lineRule="exact"/>
        <w:ind w:firstLine="420" w:firstLineChars="200"/>
        <w:jc w:val="left"/>
        <w:textAlignment w:val="auto"/>
        <w:rPr>
          <w:rFonts w:ascii="宋体" w:hAnsi="宋体"/>
          <w:snapToGrid w:val="0"/>
          <w:color w:val="auto"/>
          <w:kern w:val="0"/>
          <w:szCs w:val="21"/>
          <w:highlight w:val="none"/>
          <w:u w:val="single"/>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023-71620205</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19822315397</w:t>
      </w:r>
      <w:r>
        <w:rPr>
          <w:rFonts w:ascii="宋体" w:hAnsi="宋体"/>
          <w:snapToGrid w:val="0"/>
          <w:color w:val="auto"/>
          <w:kern w:val="0"/>
          <w:szCs w:val="21"/>
          <w:highlight w:val="none"/>
          <w:u w:val="single"/>
        </w:rPr>
        <w:t xml:space="preserve">              </w:t>
      </w:r>
    </w:p>
    <w:p w14:paraId="0B6A4105">
      <w:pPr>
        <w:widowControl w:val="0"/>
        <w:wordWrap/>
        <w:autoSpaceDE w:val="0"/>
        <w:autoSpaceDN w:val="0"/>
        <w:adjustRightInd w:val="0"/>
        <w:snapToGrid w:val="0"/>
        <w:spacing w:line="440" w:lineRule="exact"/>
        <w:ind w:firstLine="3906" w:firstLineChars="1860"/>
        <w:jc w:val="right"/>
        <w:textAlignment w:val="auto"/>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2025</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12</w:t>
      </w:r>
      <w:r>
        <w:rPr>
          <w:rFonts w:ascii="宋体" w:hAnsi="宋体"/>
          <w:snapToGrid w:val="0"/>
          <w:color w:val="auto"/>
          <w:kern w:val="0"/>
          <w:szCs w:val="21"/>
          <w:highlight w:val="none"/>
        </w:rPr>
        <w:t>月</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56336F47">
      <w:pPr>
        <w:pStyle w:val="3"/>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82" w:name="_Toc287607735"/>
      <w:bookmarkStart w:id="83" w:name="_Toc287620674"/>
      <w:bookmarkStart w:id="84" w:name="_Toc224103306"/>
      <w:bookmarkStart w:id="85" w:name="_Toc430530423"/>
    </w:p>
    <w:bookmarkEnd w:id="82"/>
    <w:bookmarkEnd w:id="83"/>
    <w:bookmarkEnd w:id="84"/>
    <w:bookmarkEnd w:id="85"/>
    <w:p w14:paraId="37FE36C5">
      <w:pPr>
        <w:pStyle w:val="3"/>
        <w:spacing w:line="360" w:lineRule="auto"/>
        <w:jc w:val="center"/>
        <w:rPr>
          <w:rFonts w:ascii="宋体" w:hAnsi="宋体"/>
          <w:bCs w:val="0"/>
          <w:snapToGrid w:val="0"/>
          <w:color w:val="auto"/>
          <w:kern w:val="0"/>
          <w:highlight w:val="none"/>
        </w:rPr>
      </w:pPr>
      <w:bookmarkStart w:id="86" w:name="_Toc224103315"/>
      <w:bookmarkStart w:id="87" w:name="_Toc32148"/>
      <w:bookmarkStart w:id="88" w:name="_Toc57905828"/>
      <w:bookmarkStart w:id="89" w:name="_Toc287607744"/>
      <w:bookmarkStart w:id="90" w:name="_Toc430530432"/>
      <w:bookmarkStart w:id="91" w:name="_Toc287620683"/>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86"/>
      <w:bookmarkEnd w:id="87"/>
      <w:bookmarkEnd w:id="88"/>
      <w:bookmarkEnd w:id="89"/>
      <w:bookmarkEnd w:id="90"/>
      <w:bookmarkEnd w:id="91"/>
      <w:bookmarkStart w:id="92" w:name="_Toc224103316"/>
      <w:bookmarkStart w:id="93" w:name="_Toc277082551"/>
      <w:bookmarkStart w:id="94" w:name="_Toc430530433"/>
      <w:bookmarkStart w:id="95" w:name="_Toc287620684"/>
      <w:bookmarkStart w:id="96" w:name="_Toc287607745"/>
    </w:p>
    <w:p w14:paraId="2257FDDF">
      <w:pPr>
        <w:pStyle w:val="4"/>
        <w:spacing w:before="100" w:after="100" w:line="360" w:lineRule="auto"/>
        <w:rPr>
          <w:rFonts w:ascii="宋体" w:hAnsi="宋体"/>
          <w:color w:val="auto"/>
          <w:highlight w:val="none"/>
        </w:rPr>
      </w:pPr>
      <w:bookmarkStart w:id="97" w:name="_Toc57905829"/>
      <w:bookmarkStart w:id="98" w:name="_Toc8005"/>
      <w:bookmarkStart w:id="99" w:name="_Toc509218708"/>
      <w:r>
        <w:rPr>
          <w:rFonts w:hint="eastAsia" w:ascii="宋体" w:hAnsi="宋体"/>
          <w:color w:val="auto"/>
          <w:highlight w:val="none"/>
          <w:lang w:eastAsia="zh-CN"/>
        </w:rPr>
        <w:t>竞选人</w:t>
      </w:r>
      <w:r>
        <w:rPr>
          <w:rFonts w:hint="eastAsia" w:ascii="宋体" w:hAnsi="宋体"/>
          <w:color w:val="auto"/>
          <w:highlight w:val="none"/>
        </w:rPr>
        <w:t>须知前附表</w:t>
      </w:r>
      <w:bookmarkEnd w:id="92"/>
      <w:bookmarkEnd w:id="93"/>
      <w:bookmarkEnd w:id="94"/>
      <w:bookmarkEnd w:id="95"/>
      <w:bookmarkEnd w:id="96"/>
      <w:bookmarkEnd w:id="97"/>
      <w:bookmarkEnd w:id="98"/>
      <w:bookmarkEnd w:id="99"/>
    </w:p>
    <w:p w14:paraId="3ACAC8FC">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382F6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C2C2CC6">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6E2915E8">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0CF3BA22">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2B12E2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AE57D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52B4939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人</w:t>
            </w:r>
          </w:p>
        </w:tc>
        <w:tc>
          <w:tcPr>
            <w:tcW w:w="6490" w:type="dxa"/>
            <w:vAlign w:val="center"/>
          </w:tcPr>
          <w:p w14:paraId="1539A01E">
            <w:pPr>
              <w:autoSpaceDE w:val="0"/>
              <w:autoSpaceDN w:val="0"/>
              <w:adjustRightInd w:val="0"/>
              <w:snapToGrid w:val="0"/>
              <w:spacing w:line="400" w:lineRule="exact"/>
              <w:jc w:val="both"/>
              <w:rPr>
                <w:rFonts w:hint="eastAsia" w:ascii="宋体" w:hAnsi="宋体" w:eastAsia="宋体"/>
                <w:color w:val="auto"/>
                <w:szCs w:val="21"/>
                <w:highlight w:val="none"/>
                <w:lang w:eastAsia="zh-CN"/>
              </w:rPr>
            </w:pPr>
            <w:r>
              <w:rPr>
                <w:rFonts w:ascii="宋体" w:hAnsi="宋体"/>
                <w:color w:val="auto"/>
                <w:szCs w:val="21"/>
                <w:highlight w:val="none"/>
              </w:rPr>
              <w:t>名称：</w:t>
            </w:r>
            <w:r>
              <w:rPr>
                <w:rFonts w:hint="eastAsia" w:ascii="宋体" w:hAnsi="宋体"/>
                <w:color w:val="auto"/>
                <w:szCs w:val="21"/>
                <w:highlight w:val="none"/>
                <w:lang w:eastAsia="zh-CN"/>
              </w:rPr>
              <w:t xml:space="preserve">重庆市金迈实业有限公司 </w:t>
            </w:r>
          </w:p>
          <w:p w14:paraId="14F0361E">
            <w:pPr>
              <w:autoSpaceDE w:val="0"/>
              <w:autoSpaceDN w:val="0"/>
              <w:adjustRightInd w:val="0"/>
              <w:snapToGrid w:val="0"/>
              <w:spacing w:line="400" w:lineRule="exact"/>
              <w:jc w:val="both"/>
              <w:rPr>
                <w:rFonts w:ascii="宋体" w:hAnsi="宋体"/>
                <w:color w:val="auto"/>
                <w:szCs w:val="21"/>
                <w:highlight w:val="none"/>
              </w:rPr>
            </w:pPr>
            <w:r>
              <w:rPr>
                <w:rFonts w:ascii="宋体" w:hAnsi="宋体"/>
                <w:color w:val="auto"/>
                <w:szCs w:val="21"/>
                <w:highlight w:val="none"/>
              </w:rPr>
              <w:t>地址</w:t>
            </w:r>
            <w:r>
              <w:rPr>
                <w:rFonts w:hint="eastAsia" w:ascii="宋体" w:hAnsi="宋体" w:eastAsia="宋体" w:cs="Times New Roman"/>
                <w:color w:val="auto"/>
                <w:szCs w:val="21"/>
                <w:highlight w:val="none"/>
                <w:lang w:eastAsia="zh-CN"/>
              </w:rPr>
              <w:t>：重庆市南川区水江镇宁江路</w:t>
            </w:r>
          </w:p>
          <w:p w14:paraId="73A709F2">
            <w:pPr>
              <w:autoSpaceDE w:val="0"/>
              <w:autoSpaceDN w:val="0"/>
              <w:adjustRightInd w:val="0"/>
              <w:snapToGrid w:val="0"/>
              <w:spacing w:line="400" w:lineRule="exact"/>
              <w:jc w:val="both"/>
              <w:rPr>
                <w:rFonts w:hint="eastAsia" w:ascii="宋体" w:hAnsi="宋体" w:eastAsia="宋体"/>
                <w:color w:val="auto"/>
                <w:szCs w:val="21"/>
                <w:highlight w:val="none"/>
                <w:lang w:eastAsia="zh-CN"/>
              </w:rPr>
            </w:pPr>
            <w:r>
              <w:rPr>
                <w:rFonts w:ascii="宋体" w:hAnsi="宋体"/>
                <w:color w:val="auto"/>
                <w:szCs w:val="21"/>
                <w:highlight w:val="none"/>
              </w:rPr>
              <w:t>联系人：</w:t>
            </w:r>
            <w:r>
              <w:rPr>
                <w:rFonts w:hint="eastAsia" w:ascii="宋体" w:hAnsi="宋体"/>
                <w:color w:val="auto"/>
                <w:szCs w:val="21"/>
                <w:highlight w:val="none"/>
                <w:lang w:val="en-US" w:eastAsia="zh-CN"/>
              </w:rPr>
              <w:t>朱老师</w:t>
            </w:r>
          </w:p>
          <w:p w14:paraId="0E1A9E34">
            <w:pPr>
              <w:autoSpaceDE w:val="0"/>
              <w:autoSpaceDN w:val="0"/>
              <w:adjustRightInd w:val="0"/>
              <w:snapToGrid w:val="0"/>
              <w:spacing w:line="400" w:lineRule="exact"/>
              <w:jc w:val="both"/>
              <w:rPr>
                <w:rFonts w:ascii="宋体" w:hAnsi="宋体"/>
                <w:color w:val="auto"/>
                <w:szCs w:val="21"/>
                <w:highlight w:val="none"/>
              </w:rPr>
            </w:pPr>
            <w:r>
              <w:rPr>
                <w:rFonts w:ascii="宋体" w:hAnsi="宋体"/>
                <w:color w:val="auto"/>
                <w:szCs w:val="21"/>
                <w:highlight w:val="none"/>
              </w:rPr>
              <w:t>电</w:t>
            </w:r>
            <w:r>
              <w:rPr>
                <w:rFonts w:hint="eastAsia" w:ascii="宋体" w:hAnsi="宋体" w:eastAsia="宋体" w:cs="Times New Roman"/>
                <w:color w:val="auto"/>
                <w:szCs w:val="21"/>
                <w:highlight w:val="none"/>
                <w:lang w:val="en-US" w:eastAsia="zh-CN"/>
              </w:rPr>
              <w:t xml:space="preserve">话：023-71620205 </w:t>
            </w:r>
          </w:p>
        </w:tc>
      </w:tr>
      <w:tr w14:paraId="434C24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AC8F0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593E002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代理机构</w:t>
            </w:r>
          </w:p>
        </w:tc>
        <w:tc>
          <w:tcPr>
            <w:tcW w:w="6490" w:type="dxa"/>
            <w:vAlign w:val="center"/>
          </w:tcPr>
          <w:p w14:paraId="41C9E9A9">
            <w:pPr>
              <w:autoSpaceDE w:val="0"/>
              <w:autoSpaceDN w:val="0"/>
              <w:adjustRightInd w:val="0"/>
              <w:snapToGrid w:val="0"/>
              <w:spacing w:line="400" w:lineRule="exact"/>
              <w:jc w:val="both"/>
              <w:rPr>
                <w:rFonts w:hint="eastAsia" w:ascii="宋体" w:hAnsi="宋体" w:eastAsia="宋体"/>
                <w:color w:val="auto"/>
                <w:szCs w:val="21"/>
                <w:highlight w:val="none"/>
                <w:lang w:eastAsia="zh-CN"/>
              </w:rPr>
            </w:pPr>
            <w:r>
              <w:rPr>
                <w:rFonts w:ascii="宋体" w:hAnsi="宋体"/>
                <w:color w:val="auto"/>
                <w:szCs w:val="21"/>
                <w:highlight w:val="none"/>
              </w:rPr>
              <w:t>名称：</w:t>
            </w:r>
            <w:r>
              <w:rPr>
                <w:rFonts w:hint="eastAsia" w:ascii="宋体" w:hAnsi="宋体"/>
                <w:color w:val="auto"/>
                <w:szCs w:val="21"/>
                <w:highlight w:val="none"/>
                <w:lang w:eastAsia="zh-CN"/>
              </w:rPr>
              <w:t>中大宇辰项目管理有限公司</w:t>
            </w:r>
          </w:p>
          <w:p w14:paraId="45B1767A">
            <w:pPr>
              <w:autoSpaceDE w:val="0"/>
              <w:autoSpaceDN w:val="0"/>
              <w:adjustRightInd w:val="0"/>
              <w:snapToGrid w:val="0"/>
              <w:spacing w:line="400" w:lineRule="exact"/>
              <w:jc w:val="both"/>
              <w:rPr>
                <w:rFonts w:hint="eastAsia" w:ascii="宋体" w:hAnsi="宋体" w:eastAsia="宋体" w:cs="Times New Roman"/>
                <w:color w:val="auto"/>
                <w:szCs w:val="21"/>
                <w:highlight w:val="none"/>
                <w:lang w:eastAsia="zh-CN"/>
              </w:rPr>
            </w:pPr>
            <w:r>
              <w:rPr>
                <w:rFonts w:ascii="宋体" w:hAnsi="宋体"/>
                <w:color w:val="auto"/>
                <w:szCs w:val="21"/>
                <w:highlight w:val="none"/>
              </w:rPr>
              <w:t>地址：</w:t>
            </w:r>
            <w:r>
              <w:rPr>
                <w:rFonts w:hint="eastAsia" w:ascii="宋体" w:hAnsi="宋体" w:eastAsia="宋体" w:cs="Times New Roman"/>
                <w:color w:val="auto"/>
                <w:szCs w:val="21"/>
                <w:highlight w:val="none"/>
                <w:lang w:eastAsia="zh-CN"/>
              </w:rPr>
              <w:t>重庆市渝北区金龙路财信城市国际</w:t>
            </w:r>
            <w:r>
              <w:rPr>
                <w:rFonts w:hint="eastAsia" w:ascii="宋体" w:hAnsi="宋体" w:eastAsia="宋体" w:cs="Times New Roman"/>
                <w:color w:val="auto"/>
                <w:szCs w:val="21"/>
                <w:highlight w:val="none"/>
                <w:lang w:val="en-US" w:eastAsia="zh-CN"/>
              </w:rPr>
              <w:t>3栋7-7</w:t>
            </w:r>
          </w:p>
          <w:p w14:paraId="1676F114">
            <w:pPr>
              <w:autoSpaceDE w:val="0"/>
              <w:autoSpaceDN w:val="0"/>
              <w:adjustRightInd w:val="0"/>
              <w:snapToGrid w:val="0"/>
              <w:spacing w:line="400" w:lineRule="exact"/>
              <w:jc w:val="both"/>
              <w:rPr>
                <w:rFonts w:hint="eastAsia" w:ascii="宋体" w:hAnsi="宋体" w:eastAsia="宋体"/>
                <w:color w:val="auto"/>
                <w:szCs w:val="21"/>
                <w:highlight w:val="none"/>
                <w:lang w:eastAsia="zh-CN"/>
              </w:rPr>
            </w:pPr>
            <w:r>
              <w:rPr>
                <w:rFonts w:ascii="宋体" w:hAnsi="宋体"/>
                <w:color w:val="auto"/>
                <w:szCs w:val="21"/>
                <w:highlight w:val="none"/>
              </w:rPr>
              <w:t>联系人：</w:t>
            </w:r>
            <w:r>
              <w:rPr>
                <w:rFonts w:hint="eastAsia" w:ascii="宋体" w:hAnsi="宋体"/>
                <w:color w:val="auto"/>
                <w:szCs w:val="21"/>
                <w:highlight w:val="none"/>
                <w:lang w:val="en-US" w:eastAsia="zh-CN"/>
              </w:rPr>
              <w:t>宋老师</w:t>
            </w:r>
          </w:p>
          <w:p w14:paraId="02A467E4">
            <w:pPr>
              <w:autoSpaceDE w:val="0"/>
              <w:autoSpaceDN w:val="0"/>
              <w:adjustRightInd w:val="0"/>
              <w:snapToGrid w:val="0"/>
              <w:spacing w:line="400" w:lineRule="exact"/>
              <w:jc w:val="both"/>
              <w:rPr>
                <w:rFonts w:hint="default" w:ascii="宋体" w:hAnsi="宋体" w:eastAsia="宋体"/>
                <w:color w:val="auto"/>
                <w:szCs w:val="21"/>
                <w:highlight w:val="none"/>
                <w:lang w:val="en-US" w:eastAsia="zh-CN"/>
              </w:rPr>
            </w:pPr>
            <w:r>
              <w:rPr>
                <w:rFonts w:ascii="宋体" w:hAnsi="宋体"/>
                <w:color w:val="auto"/>
                <w:szCs w:val="21"/>
                <w:highlight w:val="none"/>
              </w:rPr>
              <w:t>电话：</w:t>
            </w:r>
            <w:r>
              <w:rPr>
                <w:rFonts w:hint="eastAsia" w:ascii="宋体" w:hAnsi="宋体"/>
                <w:color w:val="auto"/>
                <w:szCs w:val="21"/>
                <w:highlight w:val="none"/>
                <w:lang w:val="en-US" w:eastAsia="zh-CN"/>
              </w:rPr>
              <w:t>19822315397</w:t>
            </w:r>
          </w:p>
        </w:tc>
      </w:tr>
      <w:tr w14:paraId="76E49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FC404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7494A84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3DA95362">
            <w:pPr>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重庆市金迈实业有限公司生产区环境整治项目</w:t>
            </w:r>
          </w:p>
        </w:tc>
      </w:tr>
      <w:tr w14:paraId="2BA50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33982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23B2D82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14:paraId="5F6851ED">
            <w:pPr>
              <w:snapToGrid w:val="0"/>
              <w:spacing w:line="400" w:lineRule="exact"/>
              <w:jc w:val="left"/>
              <w:rPr>
                <w:rFonts w:ascii="宋体" w:hAnsi="宋体"/>
                <w:color w:val="auto"/>
                <w:szCs w:val="21"/>
                <w:highlight w:val="none"/>
              </w:rPr>
            </w:pPr>
            <w:r>
              <w:rPr>
                <w:rFonts w:hint="eastAsia" w:ascii="宋体" w:hAnsi="宋体" w:eastAsia="宋体" w:cs="Times New Roman"/>
                <w:color w:val="auto"/>
                <w:szCs w:val="21"/>
                <w:highlight w:val="none"/>
                <w:lang w:eastAsia="zh-CN"/>
              </w:rPr>
              <w:t>重庆市南川区。</w:t>
            </w:r>
          </w:p>
        </w:tc>
      </w:tr>
      <w:tr w14:paraId="5D3A7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FC897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2A431E7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1C048F42">
            <w:pPr>
              <w:widowControl w:val="0"/>
              <w:tabs>
                <w:tab w:val="left" w:pos="3840"/>
                <w:tab w:val="left" w:pos="5300"/>
              </w:tabs>
              <w:wordWrap/>
              <w:autoSpaceDE w:val="0"/>
              <w:autoSpaceDN w:val="0"/>
              <w:adjustRightInd w:val="0"/>
              <w:snapToGrid w:val="0"/>
              <w:spacing w:line="460" w:lineRule="exact"/>
              <w:ind w:firstLine="420" w:firstLineChars="200"/>
              <w:jc w:val="left"/>
              <w:textAlignment w:val="auto"/>
              <w:rPr>
                <w:rFonts w:ascii="宋体" w:hAnsi="宋体"/>
                <w:i/>
                <w:snapToGrid w:val="0"/>
                <w:color w:val="auto"/>
                <w:kern w:val="0"/>
                <w:szCs w:val="21"/>
                <w:highlight w:val="none"/>
              </w:rPr>
            </w:pPr>
            <w:r>
              <w:rPr>
                <w:rFonts w:hint="eastAsia" w:ascii="宋体" w:hAnsi="宋体"/>
                <w:snapToGrid w:val="0"/>
                <w:color w:val="auto"/>
                <w:kern w:val="0"/>
                <w:szCs w:val="21"/>
                <w:highlight w:val="none"/>
                <w:u w:val="single"/>
                <w:lang w:eastAsia="zh-CN"/>
              </w:rPr>
              <w:t>本工程为重庆市金迈实业有限公司生产区环境整治项目，主要建设内容包括：室外花池开挖、混凝土地面拆除、不锈钢网拆除更换、路面硬化、新建沥青混凝土路面、新建排水沟、绿化修复、室外给排水工程等。</w:t>
            </w:r>
          </w:p>
        </w:tc>
      </w:tr>
      <w:tr w14:paraId="0B612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54E1C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2AD1B652">
            <w:pPr>
              <w:snapToGrid w:val="0"/>
              <w:spacing w:line="400" w:lineRule="exact"/>
              <w:jc w:val="center"/>
              <w:rPr>
                <w:rFonts w:ascii="宋体" w:hAnsi="宋体"/>
                <w:color w:val="auto"/>
                <w:kern w:val="0"/>
                <w:szCs w:val="21"/>
                <w:highlight w:val="none"/>
              </w:rPr>
            </w:pPr>
            <w:r>
              <w:rPr>
                <w:rFonts w:hint="eastAsia" w:ascii="宋体" w:hAnsi="宋体" w:eastAsia="宋体" w:cs="Times New Roman"/>
                <w:color w:val="auto"/>
                <w:szCs w:val="21"/>
                <w:highlight w:val="none"/>
              </w:rPr>
              <w:t>资金来源</w:t>
            </w:r>
          </w:p>
        </w:tc>
        <w:tc>
          <w:tcPr>
            <w:tcW w:w="6490" w:type="dxa"/>
            <w:vAlign w:val="center"/>
          </w:tcPr>
          <w:p w14:paraId="65B55131">
            <w:pPr>
              <w:snapToGrid w:val="0"/>
              <w:spacing w:line="400" w:lineRule="exact"/>
              <w:ind w:firstLine="420" w:firstLineChars="200"/>
              <w:rPr>
                <w:rFonts w:ascii="宋体" w:hAnsi="宋体"/>
                <w:color w:val="auto"/>
                <w:szCs w:val="21"/>
                <w:highlight w:val="none"/>
              </w:rPr>
            </w:pPr>
            <w:r>
              <w:rPr>
                <w:rFonts w:hint="eastAsia" w:ascii="宋体" w:hAnsi="宋体" w:eastAsia="宋体" w:cs="Times New Roman"/>
                <w:snapToGrid w:val="0"/>
                <w:color w:val="auto"/>
                <w:kern w:val="0"/>
                <w:position w:val="-2"/>
                <w:szCs w:val="21"/>
                <w:highlight w:val="none"/>
                <w:u w:val="single"/>
                <w:lang w:val="en-US" w:eastAsia="zh-CN"/>
              </w:rPr>
              <w:t>业主自筹</w:t>
            </w:r>
          </w:p>
        </w:tc>
      </w:tr>
      <w:tr w14:paraId="0DDDA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502E6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3369477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612FC83B">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29167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76993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6703FFA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1C55B589">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532D0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211CF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1A4D0D4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范围</w:t>
            </w:r>
          </w:p>
        </w:tc>
        <w:tc>
          <w:tcPr>
            <w:tcW w:w="6490" w:type="dxa"/>
            <w:vAlign w:val="center"/>
          </w:tcPr>
          <w:p w14:paraId="6011FB35">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u w:val="single"/>
              </w:rPr>
              <w:t>比选人发布的施工设计图及图说中的全部工程内容，具体以比选人给出的工程量清单为准。</w:t>
            </w:r>
          </w:p>
        </w:tc>
      </w:tr>
      <w:tr w14:paraId="32F523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F70A35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4632EC9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10E04F8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391A7687">
            <w:pPr>
              <w:snapToGrid w:val="0"/>
              <w:spacing w:line="400" w:lineRule="exact"/>
              <w:ind w:firstLine="420" w:firstLineChars="200"/>
              <w:rPr>
                <w:rFonts w:ascii="宋体" w:hAnsi="宋体"/>
                <w:snapToGrid w:val="0"/>
                <w:color w:val="auto"/>
                <w:kern w:val="0"/>
                <w:szCs w:val="21"/>
                <w:highlight w:val="none"/>
                <w:u w:val="single"/>
              </w:rPr>
            </w:pPr>
            <w:r>
              <w:rPr>
                <w:rFonts w:hint="eastAsia" w:ascii="宋体" w:hAnsi="宋体"/>
                <w:color w:val="auto"/>
                <w:kern w:val="0"/>
                <w:szCs w:val="21"/>
                <w:highlight w:val="none"/>
              </w:rPr>
              <w:t>工期：</w:t>
            </w:r>
            <w:r>
              <w:rPr>
                <w:rFonts w:hint="eastAsia" w:ascii="宋体" w:hAnsi="宋体"/>
                <w:snapToGrid w:val="0"/>
                <w:color w:val="auto"/>
                <w:kern w:val="0"/>
                <w:szCs w:val="21"/>
                <w:highlight w:val="none"/>
                <w:u w:val="single"/>
                <w:lang w:val="en-US" w:eastAsia="zh-CN"/>
              </w:rPr>
              <w:t>90</w:t>
            </w:r>
            <w:r>
              <w:rPr>
                <w:rFonts w:hint="eastAsia" w:ascii="宋体" w:hAnsi="宋体"/>
                <w:snapToGrid w:val="0"/>
                <w:color w:val="auto"/>
                <w:kern w:val="0"/>
                <w:szCs w:val="21"/>
                <w:highlight w:val="none"/>
                <w:u w:val="single"/>
              </w:rPr>
              <w:t>日历天</w:t>
            </w:r>
          </w:p>
          <w:p w14:paraId="14F4EBA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24</w:t>
            </w:r>
            <w:r>
              <w:rPr>
                <w:rFonts w:hint="eastAsia" w:ascii="宋体" w:hAnsi="宋体"/>
                <w:snapToGrid w:val="0"/>
                <w:color w:val="auto"/>
                <w:kern w:val="0"/>
                <w:szCs w:val="21"/>
                <w:highlight w:val="none"/>
                <w:u w:val="single"/>
              </w:rPr>
              <w:t>个月</w:t>
            </w:r>
          </w:p>
        </w:tc>
      </w:tr>
      <w:tr w14:paraId="5C26D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83E42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58B07B8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19949DF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1FDF9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1335" w:type="dxa"/>
            <w:vAlign w:val="center"/>
          </w:tcPr>
          <w:p w14:paraId="0C76E8ED">
            <w:pPr>
              <w:snapToGrid w:val="0"/>
              <w:spacing w:line="400" w:lineRule="exact"/>
              <w:jc w:val="center"/>
              <w:rPr>
                <w:rFonts w:ascii="宋体" w:hAnsi="宋体"/>
                <w:color w:val="auto"/>
                <w:kern w:val="0"/>
                <w:szCs w:val="21"/>
                <w:highlight w:val="none"/>
              </w:rPr>
            </w:pPr>
          </w:p>
          <w:p w14:paraId="72D63C52">
            <w:pPr>
              <w:snapToGrid w:val="0"/>
              <w:spacing w:line="400" w:lineRule="exact"/>
              <w:jc w:val="center"/>
              <w:rPr>
                <w:rFonts w:ascii="宋体" w:hAnsi="宋体"/>
                <w:color w:val="auto"/>
                <w:kern w:val="0"/>
                <w:szCs w:val="21"/>
                <w:highlight w:val="none"/>
              </w:rPr>
            </w:pPr>
          </w:p>
          <w:p w14:paraId="22D41FB8">
            <w:pPr>
              <w:snapToGrid w:val="0"/>
              <w:spacing w:line="400" w:lineRule="exact"/>
              <w:jc w:val="center"/>
              <w:rPr>
                <w:rFonts w:ascii="宋体" w:hAnsi="宋体"/>
                <w:color w:val="auto"/>
                <w:kern w:val="0"/>
                <w:szCs w:val="21"/>
                <w:highlight w:val="none"/>
              </w:rPr>
            </w:pPr>
          </w:p>
          <w:p w14:paraId="6945992E">
            <w:pPr>
              <w:snapToGrid w:val="0"/>
              <w:spacing w:line="400" w:lineRule="exact"/>
              <w:jc w:val="center"/>
              <w:rPr>
                <w:rFonts w:ascii="宋体" w:hAnsi="宋体"/>
                <w:color w:val="auto"/>
                <w:kern w:val="0"/>
                <w:szCs w:val="21"/>
                <w:highlight w:val="none"/>
              </w:rPr>
            </w:pPr>
          </w:p>
          <w:p w14:paraId="365DB13A">
            <w:pPr>
              <w:snapToGrid w:val="0"/>
              <w:spacing w:line="400" w:lineRule="exact"/>
              <w:jc w:val="center"/>
              <w:rPr>
                <w:rFonts w:ascii="宋体" w:hAnsi="宋体"/>
                <w:color w:val="auto"/>
                <w:kern w:val="0"/>
                <w:szCs w:val="21"/>
                <w:highlight w:val="none"/>
              </w:rPr>
            </w:pPr>
          </w:p>
          <w:p w14:paraId="32D2002A">
            <w:pPr>
              <w:snapToGrid w:val="0"/>
              <w:spacing w:line="400" w:lineRule="exact"/>
              <w:jc w:val="center"/>
              <w:rPr>
                <w:rFonts w:ascii="宋体" w:hAnsi="宋体"/>
                <w:color w:val="auto"/>
                <w:kern w:val="0"/>
                <w:szCs w:val="21"/>
                <w:highlight w:val="none"/>
              </w:rPr>
            </w:pPr>
          </w:p>
          <w:p w14:paraId="0DEB274A">
            <w:pPr>
              <w:snapToGrid w:val="0"/>
              <w:spacing w:line="400" w:lineRule="exact"/>
              <w:jc w:val="center"/>
              <w:rPr>
                <w:rFonts w:ascii="宋体" w:hAnsi="宋体"/>
                <w:color w:val="auto"/>
                <w:kern w:val="0"/>
                <w:szCs w:val="21"/>
                <w:highlight w:val="none"/>
              </w:rPr>
            </w:pPr>
          </w:p>
          <w:p w14:paraId="7D5EC3C6">
            <w:pPr>
              <w:snapToGrid w:val="0"/>
              <w:spacing w:line="400" w:lineRule="exact"/>
              <w:jc w:val="center"/>
              <w:rPr>
                <w:rFonts w:ascii="宋体" w:hAnsi="宋体"/>
                <w:color w:val="auto"/>
                <w:kern w:val="0"/>
                <w:szCs w:val="21"/>
                <w:highlight w:val="none"/>
              </w:rPr>
            </w:pPr>
          </w:p>
          <w:p w14:paraId="077A1C08">
            <w:pPr>
              <w:snapToGrid w:val="0"/>
              <w:spacing w:line="400" w:lineRule="exact"/>
              <w:jc w:val="center"/>
              <w:rPr>
                <w:rFonts w:ascii="宋体" w:hAnsi="宋体"/>
                <w:color w:val="auto"/>
                <w:kern w:val="0"/>
                <w:szCs w:val="21"/>
                <w:highlight w:val="none"/>
              </w:rPr>
            </w:pPr>
          </w:p>
          <w:p w14:paraId="58EAF784">
            <w:pPr>
              <w:snapToGrid w:val="0"/>
              <w:spacing w:line="400" w:lineRule="exact"/>
              <w:jc w:val="center"/>
              <w:rPr>
                <w:rFonts w:ascii="宋体" w:hAnsi="宋体"/>
                <w:color w:val="auto"/>
                <w:kern w:val="0"/>
                <w:szCs w:val="21"/>
                <w:highlight w:val="none"/>
              </w:rPr>
            </w:pPr>
          </w:p>
          <w:p w14:paraId="3B3AD0E8">
            <w:pPr>
              <w:snapToGrid w:val="0"/>
              <w:spacing w:line="400" w:lineRule="exact"/>
              <w:jc w:val="center"/>
              <w:rPr>
                <w:rFonts w:ascii="宋体" w:hAnsi="宋体"/>
                <w:color w:val="auto"/>
                <w:kern w:val="0"/>
                <w:szCs w:val="21"/>
                <w:highlight w:val="none"/>
              </w:rPr>
            </w:pPr>
          </w:p>
          <w:p w14:paraId="53D5F1BF">
            <w:pPr>
              <w:snapToGrid w:val="0"/>
              <w:spacing w:line="400" w:lineRule="exact"/>
              <w:jc w:val="center"/>
              <w:rPr>
                <w:rFonts w:ascii="宋体" w:hAnsi="宋体"/>
                <w:color w:val="auto"/>
                <w:kern w:val="0"/>
                <w:szCs w:val="21"/>
                <w:highlight w:val="none"/>
              </w:rPr>
            </w:pPr>
          </w:p>
          <w:p w14:paraId="788406AF">
            <w:pPr>
              <w:snapToGrid w:val="0"/>
              <w:spacing w:line="400" w:lineRule="exact"/>
              <w:jc w:val="center"/>
              <w:rPr>
                <w:rFonts w:ascii="宋体" w:hAnsi="宋体"/>
                <w:color w:val="auto"/>
                <w:kern w:val="0"/>
                <w:szCs w:val="21"/>
                <w:highlight w:val="none"/>
              </w:rPr>
            </w:pPr>
          </w:p>
          <w:p w14:paraId="444E8241">
            <w:pPr>
              <w:snapToGrid w:val="0"/>
              <w:spacing w:line="400" w:lineRule="exact"/>
              <w:jc w:val="center"/>
              <w:rPr>
                <w:rFonts w:ascii="宋体" w:hAnsi="宋体"/>
                <w:color w:val="auto"/>
                <w:kern w:val="0"/>
                <w:szCs w:val="21"/>
                <w:highlight w:val="none"/>
              </w:rPr>
            </w:pPr>
          </w:p>
          <w:p w14:paraId="2F832D1E">
            <w:pPr>
              <w:snapToGrid w:val="0"/>
              <w:spacing w:line="400" w:lineRule="exact"/>
              <w:jc w:val="center"/>
              <w:rPr>
                <w:rFonts w:ascii="宋体" w:hAnsi="宋体"/>
                <w:color w:val="auto"/>
                <w:kern w:val="0"/>
                <w:szCs w:val="21"/>
                <w:highlight w:val="none"/>
              </w:rPr>
            </w:pPr>
          </w:p>
          <w:p w14:paraId="5C196B3D">
            <w:pPr>
              <w:snapToGrid w:val="0"/>
              <w:spacing w:line="400" w:lineRule="exact"/>
              <w:jc w:val="center"/>
              <w:rPr>
                <w:rFonts w:ascii="宋体" w:hAnsi="宋体"/>
                <w:color w:val="auto"/>
                <w:kern w:val="0"/>
                <w:szCs w:val="21"/>
                <w:highlight w:val="none"/>
              </w:rPr>
            </w:pPr>
          </w:p>
          <w:p w14:paraId="7226DAC6">
            <w:pPr>
              <w:snapToGrid w:val="0"/>
              <w:spacing w:line="400" w:lineRule="exact"/>
              <w:jc w:val="center"/>
              <w:rPr>
                <w:rFonts w:ascii="宋体" w:hAnsi="宋体"/>
                <w:color w:val="auto"/>
                <w:kern w:val="0"/>
                <w:szCs w:val="21"/>
                <w:highlight w:val="none"/>
              </w:rPr>
            </w:pPr>
          </w:p>
          <w:p w14:paraId="37C8960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332E59E3">
            <w:pPr>
              <w:snapToGrid w:val="0"/>
              <w:spacing w:line="400" w:lineRule="exact"/>
              <w:jc w:val="center"/>
              <w:rPr>
                <w:rFonts w:ascii="宋体" w:hAnsi="宋体"/>
                <w:color w:val="auto"/>
                <w:kern w:val="0"/>
                <w:szCs w:val="21"/>
                <w:highlight w:val="none"/>
              </w:rPr>
            </w:pPr>
          </w:p>
          <w:p w14:paraId="2814EB11">
            <w:pPr>
              <w:snapToGrid w:val="0"/>
              <w:spacing w:line="400" w:lineRule="exact"/>
              <w:jc w:val="center"/>
              <w:rPr>
                <w:rFonts w:ascii="宋体" w:hAnsi="宋体"/>
                <w:color w:val="auto"/>
                <w:kern w:val="0"/>
                <w:szCs w:val="21"/>
                <w:highlight w:val="none"/>
              </w:rPr>
            </w:pPr>
          </w:p>
          <w:p w14:paraId="2496DA56">
            <w:pPr>
              <w:snapToGrid w:val="0"/>
              <w:spacing w:line="400" w:lineRule="exact"/>
              <w:jc w:val="center"/>
              <w:rPr>
                <w:rFonts w:ascii="宋体" w:hAnsi="宋体"/>
                <w:color w:val="auto"/>
                <w:kern w:val="0"/>
                <w:szCs w:val="21"/>
                <w:highlight w:val="none"/>
              </w:rPr>
            </w:pPr>
          </w:p>
          <w:p w14:paraId="2DC03280">
            <w:pPr>
              <w:snapToGrid w:val="0"/>
              <w:spacing w:line="400" w:lineRule="exact"/>
              <w:jc w:val="center"/>
              <w:rPr>
                <w:rFonts w:ascii="宋体" w:hAnsi="宋体"/>
                <w:color w:val="auto"/>
                <w:kern w:val="0"/>
                <w:szCs w:val="21"/>
                <w:highlight w:val="none"/>
              </w:rPr>
            </w:pPr>
          </w:p>
          <w:p w14:paraId="1BA46DDD">
            <w:pPr>
              <w:snapToGrid w:val="0"/>
              <w:spacing w:line="400" w:lineRule="exact"/>
              <w:jc w:val="center"/>
              <w:rPr>
                <w:rFonts w:ascii="宋体" w:hAnsi="宋体"/>
                <w:color w:val="auto"/>
                <w:kern w:val="0"/>
                <w:szCs w:val="21"/>
                <w:highlight w:val="none"/>
              </w:rPr>
            </w:pPr>
          </w:p>
          <w:p w14:paraId="3244EBE5">
            <w:pPr>
              <w:snapToGrid w:val="0"/>
              <w:spacing w:line="400" w:lineRule="exact"/>
              <w:jc w:val="center"/>
              <w:rPr>
                <w:rFonts w:ascii="宋体" w:hAnsi="宋体"/>
                <w:color w:val="auto"/>
                <w:kern w:val="0"/>
                <w:szCs w:val="21"/>
                <w:highlight w:val="none"/>
              </w:rPr>
            </w:pPr>
          </w:p>
          <w:p w14:paraId="177D7A1A">
            <w:pPr>
              <w:snapToGrid w:val="0"/>
              <w:spacing w:line="400" w:lineRule="exact"/>
              <w:jc w:val="center"/>
              <w:rPr>
                <w:rFonts w:ascii="宋体" w:hAnsi="宋体"/>
                <w:color w:val="auto"/>
                <w:kern w:val="0"/>
                <w:szCs w:val="21"/>
                <w:highlight w:val="none"/>
              </w:rPr>
            </w:pPr>
          </w:p>
          <w:p w14:paraId="195C977F">
            <w:pPr>
              <w:snapToGrid w:val="0"/>
              <w:spacing w:line="400" w:lineRule="exact"/>
              <w:jc w:val="center"/>
              <w:rPr>
                <w:rFonts w:ascii="宋体" w:hAnsi="宋体"/>
                <w:color w:val="auto"/>
                <w:kern w:val="0"/>
                <w:szCs w:val="21"/>
                <w:highlight w:val="none"/>
              </w:rPr>
            </w:pPr>
          </w:p>
          <w:p w14:paraId="1EA04843">
            <w:pPr>
              <w:snapToGrid w:val="0"/>
              <w:spacing w:line="400" w:lineRule="exact"/>
              <w:jc w:val="center"/>
              <w:rPr>
                <w:rFonts w:ascii="宋体" w:hAnsi="宋体"/>
                <w:color w:val="auto"/>
                <w:kern w:val="0"/>
                <w:szCs w:val="21"/>
                <w:highlight w:val="none"/>
              </w:rPr>
            </w:pPr>
          </w:p>
          <w:p w14:paraId="03505F2D">
            <w:pPr>
              <w:snapToGrid w:val="0"/>
              <w:spacing w:line="400" w:lineRule="exact"/>
              <w:jc w:val="center"/>
              <w:rPr>
                <w:rFonts w:ascii="宋体" w:hAnsi="宋体"/>
                <w:color w:val="auto"/>
                <w:kern w:val="0"/>
                <w:szCs w:val="21"/>
                <w:highlight w:val="none"/>
              </w:rPr>
            </w:pPr>
          </w:p>
          <w:p w14:paraId="31E7FF05">
            <w:pPr>
              <w:snapToGrid w:val="0"/>
              <w:spacing w:line="400" w:lineRule="exact"/>
              <w:jc w:val="center"/>
              <w:rPr>
                <w:rFonts w:ascii="宋体" w:hAnsi="宋体"/>
                <w:color w:val="auto"/>
                <w:kern w:val="0"/>
                <w:szCs w:val="21"/>
                <w:highlight w:val="none"/>
              </w:rPr>
            </w:pPr>
          </w:p>
          <w:p w14:paraId="27A1B237">
            <w:pPr>
              <w:snapToGrid w:val="0"/>
              <w:spacing w:line="400" w:lineRule="exact"/>
              <w:jc w:val="center"/>
              <w:rPr>
                <w:rFonts w:ascii="宋体" w:hAnsi="宋体"/>
                <w:color w:val="auto"/>
                <w:kern w:val="0"/>
                <w:szCs w:val="21"/>
                <w:highlight w:val="none"/>
              </w:rPr>
            </w:pPr>
          </w:p>
          <w:p w14:paraId="082621A5">
            <w:pPr>
              <w:snapToGrid w:val="0"/>
              <w:spacing w:line="400" w:lineRule="exact"/>
              <w:jc w:val="center"/>
              <w:rPr>
                <w:rFonts w:ascii="宋体" w:hAnsi="宋体"/>
                <w:color w:val="auto"/>
                <w:kern w:val="0"/>
                <w:szCs w:val="21"/>
                <w:highlight w:val="none"/>
              </w:rPr>
            </w:pPr>
          </w:p>
          <w:p w14:paraId="2AE2B651">
            <w:pPr>
              <w:snapToGrid w:val="0"/>
              <w:spacing w:line="400" w:lineRule="exact"/>
              <w:jc w:val="center"/>
              <w:rPr>
                <w:rFonts w:ascii="宋体" w:hAnsi="宋体"/>
                <w:color w:val="auto"/>
                <w:kern w:val="0"/>
                <w:szCs w:val="21"/>
                <w:highlight w:val="none"/>
              </w:rPr>
            </w:pPr>
          </w:p>
          <w:p w14:paraId="154860D7">
            <w:pPr>
              <w:snapToGrid w:val="0"/>
              <w:spacing w:line="400" w:lineRule="exact"/>
              <w:jc w:val="center"/>
              <w:rPr>
                <w:rFonts w:ascii="宋体" w:hAnsi="宋体"/>
                <w:color w:val="auto"/>
                <w:kern w:val="0"/>
                <w:szCs w:val="21"/>
                <w:highlight w:val="none"/>
              </w:rPr>
            </w:pPr>
          </w:p>
          <w:p w14:paraId="28E03C58">
            <w:pPr>
              <w:snapToGrid w:val="0"/>
              <w:spacing w:line="400" w:lineRule="exact"/>
              <w:jc w:val="center"/>
              <w:rPr>
                <w:rFonts w:ascii="宋体" w:hAnsi="宋体"/>
                <w:color w:val="auto"/>
                <w:kern w:val="0"/>
                <w:szCs w:val="21"/>
                <w:highlight w:val="none"/>
              </w:rPr>
            </w:pPr>
          </w:p>
          <w:p w14:paraId="6E5D219A">
            <w:pPr>
              <w:snapToGrid w:val="0"/>
              <w:spacing w:line="400" w:lineRule="exact"/>
              <w:jc w:val="center"/>
              <w:rPr>
                <w:rFonts w:ascii="宋体" w:hAnsi="宋体"/>
                <w:color w:val="auto"/>
                <w:kern w:val="0"/>
                <w:szCs w:val="21"/>
                <w:highlight w:val="none"/>
              </w:rPr>
            </w:pPr>
          </w:p>
          <w:p w14:paraId="5BF6A41C">
            <w:pPr>
              <w:snapToGrid w:val="0"/>
              <w:spacing w:line="400" w:lineRule="exact"/>
              <w:jc w:val="center"/>
              <w:rPr>
                <w:rFonts w:ascii="宋体" w:hAnsi="宋体"/>
                <w:color w:val="auto"/>
                <w:kern w:val="0"/>
                <w:szCs w:val="21"/>
                <w:highlight w:val="none"/>
              </w:rPr>
            </w:pPr>
          </w:p>
          <w:p w14:paraId="3844CBCB">
            <w:pPr>
              <w:snapToGrid w:val="0"/>
              <w:spacing w:line="400" w:lineRule="exact"/>
              <w:jc w:val="center"/>
              <w:rPr>
                <w:rFonts w:ascii="宋体" w:hAnsi="宋体"/>
                <w:color w:val="auto"/>
                <w:kern w:val="0"/>
                <w:szCs w:val="21"/>
                <w:highlight w:val="none"/>
              </w:rPr>
            </w:pPr>
          </w:p>
          <w:p w14:paraId="44D98977">
            <w:pPr>
              <w:snapToGrid w:val="0"/>
              <w:spacing w:line="400" w:lineRule="exact"/>
              <w:jc w:val="center"/>
              <w:rPr>
                <w:rFonts w:ascii="宋体" w:hAnsi="宋体"/>
                <w:color w:val="auto"/>
                <w:kern w:val="0"/>
                <w:szCs w:val="21"/>
                <w:highlight w:val="none"/>
              </w:rPr>
            </w:pPr>
          </w:p>
          <w:p w14:paraId="70110D43">
            <w:pPr>
              <w:snapToGrid w:val="0"/>
              <w:spacing w:line="400" w:lineRule="exact"/>
              <w:jc w:val="center"/>
              <w:rPr>
                <w:rFonts w:ascii="宋体" w:hAnsi="宋体"/>
                <w:color w:val="auto"/>
                <w:kern w:val="0"/>
                <w:szCs w:val="21"/>
                <w:highlight w:val="none"/>
              </w:rPr>
            </w:pPr>
          </w:p>
          <w:p w14:paraId="121BF3C1">
            <w:pPr>
              <w:snapToGrid w:val="0"/>
              <w:spacing w:line="400" w:lineRule="exact"/>
              <w:jc w:val="center"/>
              <w:rPr>
                <w:rFonts w:ascii="宋体" w:hAnsi="宋体"/>
                <w:color w:val="auto"/>
                <w:kern w:val="0"/>
                <w:szCs w:val="21"/>
                <w:highlight w:val="none"/>
              </w:rPr>
            </w:pPr>
          </w:p>
          <w:p w14:paraId="3222D3F2">
            <w:pPr>
              <w:snapToGrid w:val="0"/>
              <w:spacing w:line="400" w:lineRule="exact"/>
              <w:jc w:val="center"/>
              <w:rPr>
                <w:rFonts w:ascii="宋体" w:hAnsi="宋体"/>
                <w:color w:val="auto"/>
                <w:kern w:val="0"/>
                <w:szCs w:val="21"/>
                <w:highlight w:val="none"/>
              </w:rPr>
            </w:pPr>
          </w:p>
          <w:p w14:paraId="5E2D0ECC">
            <w:pPr>
              <w:snapToGrid w:val="0"/>
              <w:spacing w:line="400" w:lineRule="exact"/>
              <w:jc w:val="center"/>
              <w:rPr>
                <w:rFonts w:ascii="宋体" w:hAnsi="宋体"/>
                <w:color w:val="auto"/>
                <w:kern w:val="0"/>
                <w:szCs w:val="21"/>
                <w:highlight w:val="none"/>
              </w:rPr>
            </w:pPr>
          </w:p>
          <w:p w14:paraId="3E981E6F">
            <w:pPr>
              <w:snapToGrid w:val="0"/>
              <w:spacing w:line="400" w:lineRule="exact"/>
              <w:jc w:val="center"/>
              <w:rPr>
                <w:rFonts w:ascii="宋体" w:hAnsi="宋体"/>
                <w:color w:val="auto"/>
                <w:kern w:val="0"/>
                <w:szCs w:val="21"/>
                <w:highlight w:val="none"/>
              </w:rPr>
            </w:pPr>
          </w:p>
          <w:p w14:paraId="19ABD8AF">
            <w:pPr>
              <w:snapToGrid w:val="0"/>
              <w:spacing w:line="400" w:lineRule="exact"/>
              <w:jc w:val="center"/>
              <w:rPr>
                <w:rFonts w:ascii="宋体" w:hAnsi="宋体"/>
                <w:color w:val="auto"/>
                <w:kern w:val="0"/>
                <w:szCs w:val="21"/>
                <w:highlight w:val="none"/>
              </w:rPr>
            </w:pPr>
          </w:p>
          <w:p w14:paraId="033BB4BE">
            <w:pPr>
              <w:snapToGrid w:val="0"/>
              <w:spacing w:line="400" w:lineRule="exact"/>
              <w:jc w:val="center"/>
              <w:rPr>
                <w:rFonts w:ascii="宋体" w:hAnsi="宋体"/>
                <w:color w:val="auto"/>
                <w:kern w:val="0"/>
                <w:szCs w:val="21"/>
                <w:highlight w:val="none"/>
              </w:rPr>
            </w:pPr>
          </w:p>
          <w:p w14:paraId="7CD90B3D">
            <w:pPr>
              <w:snapToGrid w:val="0"/>
              <w:spacing w:line="400" w:lineRule="exact"/>
              <w:jc w:val="center"/>
              <w:rPr>
                <w:rFonts w:ascii="宋体" w:hAnsi="宋体"/>
                <w:color w:val="auto"/>
                <w:kern w:val="0"/>
                <w:szCs w:val="21"/>
                <w:highlight w:val="none"/>
              </w:rPr>
            </w:pPr>
          </w:p>
          <w:p w14:paraId="38A2E382">
            <w:pPr>
              <w:snapToGrid w:val="0"/>
              <w:spacing w:line="400" w:lineRule="exact"/>
              <w:jc w:val="center"/>
              <w:rPr>
                <w:rFonts w:ascii="宋体" w:hAnsi="宋体"/>
                <w:color w:val="auto"/>
                <w:kern w:val="0"/>
                <w:szCs w:val="21"/>
                <w:highlight w:val="none"/>
              </w:rPr>
            </w:pPr>
          </w:p>
          <w:p w14:paraId="14EB9FE7">
            <w:pPr>
              <w:snapToGrid w:val="0"/>
              <w:spacing w:line="400" w:lineRule="exact"/>
              <w:jc w:val="center"/>
              <w:rPr>
                <w:rFonts w:ascii="宋体" w:hAnsi="宋体"/>
                <w:color w:val="auto"/>
                <w:kern w:val="0"/>
                <w:szCs w:val="21"/>
                <w:highlight w:val="none"/>
              </w:rPr>
            </w:pPr>
          </w:p>
          <w:p w14:paraId="53B65969">
            <w:pPr>
              <w:snapToGrid w:val="0"/>
              <w:spacing w:line="400" w:lineRule="exact"/>
              <w:jc w:val="center"/>
              <w:rPr>
                <w:rFonts w:ascii="宋体" w:hAnsi="宋体"/>
                <w:color w:val="auto"/>
                <w:kern w:val="0"/>
                <w:szCs w:val="21"/>
                <w:highlight w:val="none"/>
              </w:rPr>
            </w:pPr>
          </w:p>
          <w:p w14:paraId="03E902C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188FFFFA">
            <w:pPr>
              <w:snapToGrid w:val="0"/>
              <w:spacing w:line="400" w:lineRule="exact"/>
              <w:jc w:val="center"/>
              <w:rPr>
                <w:rFonts w:ascii="宋体" w:hAnsi="宋体"/>
                <w:color w:val="auto"/>
                <w:kern w:val="0"/>
                <w:szCs w:val="21"/>
                <w:highlight w:val="none"/>
              </w:rPr>
            </w:pPr>
          </w:p>
          <w:p w14:paraId="1973464A">
            <w:pPr>
              <w:snapToGrid w:val="0"/>
              <w:spacing w:line="400" w:lineRule="exact"/>
              <w:jc w:val="center"/>
              <w:rPr>
                <w:rFonts w:ascii="宋体" w:hAnsi="宋体"/>
                <w:color w:val="auto"/>
                <w:kern w:val="0"/>
                <w:szCs w:val="21"/>
                <w:highlight w:val="none"/>
              </w:rPr>
            </w:pPr>
          </w:p>
          <w:p w14:paraId="7DD28680">
            <w:pPr>
              <w:snapToGrid w:val="0"/>
              <w:spacing w:line="400" w:lineRule="exact"/>
              <w:jc w:val="center"/>
              <w:rPr>
                <w:rFonts w:ascii="宋体" w:hAnsi="宋体"/>
                <w:color w:val="auto"/>
                <w:kern w:val="0"/>
                <w:szCs w:val="21"/>
                <w:highlight w:val="none"/>
              </w:rPr>
            </w:pPr>
          </w:p>
          <w:p w14:paraId="162BD5A9">
            <w:pPr>
              <w:snapToGrid w:val="0"/>
              <w:spacing w:line="400" w:lineRule="exact"/>
              <w:jc w:val="center"/>
              <w:rPr>
                <w:rFonts w:ascii="宋体" w:hAnsi="宋体"/>
                <w:color w:val="auto"/>
                <w:kern w:val="0"/>
                <w:szCs w:val="21"/>
                <w:highlight w:val="none"/>
              </w:rPr>
            </w:pPr>
          </w:p>
          <w:p w14:paraId="59DE83CD">
            <w:pPr>
              <w:snapToGrid w:val="0"/>
              <w:spacing w:line="400" w:lineRule="exact"/>
              <w:jc w:val="center"/>
              <w:rPr>
                <w:rFonts w:ascii="宋体" w:hAnsi="宋体"/>
                <w:color w:val="auto"/>
                <w:kern w:val="0"/>
                <w:szCs w:val="21"/>
                <w:highlight w:val="none"/>
              </w:rPr>
            </w:pPr>
          </w:p>
          <w:p w14:paraId="4D5FDC6A">
            <w:pPr>
              <w:snapToGrid w:val="0"/>
              <w:spacing w:line="400" w:lineRule="exact"/>
              <w:jc w:val="center"/>
              <w:rPr>
                <w:rFonts w:ascii="宋体" w:hAnsi="宋体"/>
                <w:color w:val="auto"/>
                <w:kern w:val="0"/>
                <w:szCs w:val="21"/>
                <w:highlight w:val="none"/>
              </w:rPr>
            </w:pPr>
          </w:p>
          <w:p w14:paraId="14EEC409">
            <w:pPr>
              <w:snapToGrid w:val="0"/>
              <w:spacing w:line="400" w:lineRule="exact"/>
              <w:jc w:val="center"/>
              <w:rPr>
                <w:rFonts w:ascii="宋体" w:hAnsi="宋体"/>
                <w:color w:val="auto"/>
                <w:kern w:val="0"/>
                <w:szCs w:val="21"/>
                <w:highlight w:val="none"/>
              </w:rPr>
            </w:pPr>
          </w:p>
          <w:p w14:paraId="58E71703">
            <w:pPr>
              <w:snapToGrid w:val="0"/>
              <w:spacing w:line="400" w:lineRule="exact"/>
              <w:jc w:val="center"/>
              <w:rPr>
                <w:rFonts w:ascii="宋体" w:hAnsi="宋体"/>
                <w:color w:val="auto"/>
                <w:kern w:val="0"/>
                <w:szCs w:val="21"/>
                <w:highlight w:val="none"/>
              </w:rPr>
            </w:pPr>
          </w:p>
          <w:p w14:paraId="60677A58">
            <w:pPr>
              <w:snapToGrid w:val="0"/>
              <w:spacing w:line="400" w:lineRule="exact"/>
              <w:jc w:val="center"/>
              <w:rPr>
                <w:rFonts w:ascii="宋体" w:hAnsi="宋体"/>
                <w:color w:val="auto"/>
                <w:kern w:val="0"/>
                <w:szCs w:val="21"/>
                <w:highlight w:val="none"/>
              </w:rPr>
            </w:pPr>
          </w:p>
          <w:p w14:paraId="2820EC6F">
            <w:pPr>
              <w:snapToGrid w:val="0"/>
              <w:spacing w:line="400" w:lineRule="exact"/>
              <w:jc w:val="center"/>
              <w:rPr>
                <w:rFonts w:ascii="宋体" w:hAnsi="宋体"/>
                <w:color w:val="auto"/>
                <w:kern w:val="0"/>
                <w:szCs w:val="21"/>
                <w:highlight w:val="none"/>
              </w:rPr>
            </w:pPr>
          </w:p>
          <w:p w14:paraId="3069B410">
            <w:pPr>
              <w:snapToGrid w:val="0"/>
              <w:spacing w:line="400" w:lineRule="exact"/>
              <w:jc w:val="center"/>
              <w:rPr>
                <w:rFonts w:ascii="宋体" w:hAnsi="宋体"/>
                <w:color w:val="auto"/>
                <w:kern w:val="0"/>
                <w:szCs w:val="21"/>
                <w:highlight w:val="none"/>
              </w:rPr>
            </w:pPr>
          </w:p>
          <w:p w14:paraId="308AE27F">
            <w:pPr>
              <w:snapToGrid w:val="0"/>
              <w:spacing w:line="400" w:lineRule="exact"/>
              <w:jc w:val="center"/>
              <w:rPr>
                <w:rFonts w:ascii="宋体" w:hAnsi="宋体"/>
                <w:color w:val="auto"/>
                <w:kern w:val="0"/>
                <w:szCs w:val="21"/>
                <w:highlight w:val="none"/>
              </w:rPr>
            </w:pPr>
          </w:p>
          <w:p w14:paraId="01E535FA">
            <w:pPr>
              <w:snapToGrid w:val="0"/>
              <w:spacing w:line="400" w:lineRule="exact"/>
              <w:jc w:val="center"/>
              <w:rPr>
                <w:rFonts w:ascii="宋体" w:hAnsi="宋体"/>
                <w:color w:val="auto"/>
                <w:kern w:val="0"/>
                <w:szCs w:val="21"/>
                <w:highlight w:val="none"/>
              </w:rPr>
            </w:pPr>
          </w:p>
          <w:p w14:paraId="71760DA9">
            <w:pPr>
              <w:snapToGrid w:val="0"/>
              <w:spacing w:line="400" w:lineRule="exact"/>
              <w:jc w:val="center"/>
              <w:rPr>
                <w:rFonts w:ascii="宋体" w:hAnsi="宋体"/>
                <w:color w:val="auto"/>
                <w:kern w:val="0"/>
                <w:szCs w:val="21"/>
                <w:highlight w:val="none"/>
              </w:rPr>
            </w:pPr>
          </w:p>
          <w:p w14:paraId="6DF1D917">
            <w:pPr>
              <w:snapToGrid w:val="0"/>
              <w:spacing w:line="400" w:lineRule="exact"/>
              <w:jc w:val="center"/>
              <w:rPr>
                <w:rFonts w:ascii="宋体" w:hAnsi="宋体"/>
                <w:color w:val="auto"/>
                <w:kern w:val="0"/>
                <w:szCs w:val="21"/>
                <w:highlight w:val="none"/>
              </w:rPr>
            </w:pPr>
          </w:p>
          <w:p w14:paraId="50E44D02">
            <w:pPr>
              <w:snapToGrid w:val="0"/>
              <w:spacing w:line="400" w:lineRule="exact"/>
              <w:jc w:val="center"/>
              <w:rPr>
                <w:rFonts w:ascii="宋体" w:hAnsi="宋体"/>
                <w:color w:val="auto"/>
                <w:kern w:val="0"/>
                <w:szCs w:val="21"/>
                <w:highlight w:val="none"/>
              </w:rPr>
            </w:pPr>
          </w:p>
          <w:p w14:paraId="5E39D0FE">
            <w:pPr>
              <w:snapToGrid w:val="0"/>
              <w:spacing w:line="400" w:lineRule="exact"/>
              <w:jc w:val="center"/>
              <w:rPr>
                <w:rFonts w:ascii="宋体" w:hAnsi="宋体"/>
                <w:color w:val="auto"/>
                <w:kern w:val="0"/>
                <w:szCs w:val="21"/>
                <w:highlight w:val="none"/>
              </w:rPr>
            </w:pPr>
          </w:p>
          <w:p w14:paraId="27E07631">
            <w:pPr>
              <w:snapToGrid w:val="0"/>
              <w:spacing w:line="400" w:lineRule="exact"/>
              <w:jc w:val="center"/>
              <w:rPr>
                <w:rFonts w:ascii="宋体" w:hAnsi="宋体"/>
                <w:color w:val="auto"/>
                <w:kern w:val="0"/>
                <w:szCs w:val="21"/>
                <w:highlight w:val="none"/>
              </w:rPr>
            </w:pPr>
          </w:p>
          <w:p w14:paraId="68B164A6">
            <w:pPr>
              <w:snapToGrid w:val="0"/>
              <w:spacing w:line="400" w:lineRule="exact"/>
              <w:jc w:val="center"/>
              <w:rPr>
                <w:rFonts w:ascii="宋体" w:hAnsi="宋体"/>
                <w:color w:val="auto"/>
                <w:kern w:val="0"/>
                <w:szCs w:val="21"/>
                <w:highlight w:val="none"/>
              </w:rPr>
            </w:pPr>
          </w:p>
          <w:p w14:paraId="325E9D76">
            <w:pPr>
              <w:snapToGrid w:val="0"/>
              <w:spacing w:line="400" w:lineRule="exact"/>
              <w:jc w:val="center"/>
              <w:rPr>
                <w:rFonts w:ascii="宋体" w:hAnsi="宋体"/>
                <w:color w:val="auto"/>
                <w:kern w:val="0"/>
                <w:szCs w:val="21"/>
                <w:highlight w:val="none"/>
              </w:rPr>
            </w:pPr>
          </w:p>
          <w:p w14:paraId="6D3CDD9A">
            <w:pPr>
              <w:snapToGrid w:val="0"/>
              <w:spacing w:line="400" w:lineRule="exact"/>
              <w:jc w:val="center"/>
              <w:rPr>
                <w:rFonts w:ascii="宋体" w:hAnsi="宋体"/>
                <w:color w:val="auto"/>
                <w:kern w:val="0"/>
                <w:szCs w:val="21"/>
                <w:highlight w:val="none"/>
              </w:rPr>
            </w:pPr>
          </w:p>
          <w:p w14:paraId="398C5B56">
            <w:pPr>
              <w:snapToGrid w:val="0"/>
              <w:spacing w:line="400" w:lineRule="exact"/>
              <w:jc w:val="center"/>
              <w:rPr>
                <w:rFonts w:ascii="宋体" w:hAnsi="宋体"/>
                <w:color w:val="auto"/>
                <w:kern w:val="0"/>
                <w:szCs w:val="21"/>
                <w:highlight w:val="none"/>
              </w:rPr>
            </w:pPr>
          </w:p>
          <w:p w14:paraId="54FF2E22">
            <w:pPr>
              <w:snapToGrid w:val="0"/>
              <w:spacing w:line="400" w:lineRule="exact"/>
              <w:jc w:val="center"/>
              <w:rPr>
                <w:rFonts w:ascii="宋体" w:hAnsi="宋体"/>
                <w:color w:val="auto"/>
                <w:kern w:val="0"/>
                <w:szCs w:val="21"/>
                <w:highlight w:val="none"/>
              </w:rPr>
            </w:pPr>
          </w:p>
          <w:p w14:paraId="27CCCD64">
            <w:pPr>
              <w:snapToGrid w:val="0"/>
              <w:spacing w:line="400" w:lineRule="exact"/>
              <w:jc w:val="center"/>
              <w:rPr>
                <w:rFonts w:ascii="宋体" w:hAnsi="宋体"/>
                <w:color w:val="auto"/>
                <w:kern w:val="0"/>
                <w:szCs w:val="21"/>
                <w:highlight w:val="none"/>
              </w:rPr>
            </w:pPr>
          </w:p>
          <w:p w14:paraId="16CA71FD">
            <w:pPr>
              <w:snapToGrid w:val="0"/>
              <w:spacing w:line="400" w:lineRule="exact"/>
              <w:jc w:val="center"/>
              <w:rPr>
                <w:rFonts w:ascii="宋体" w:hAnsi="宋体"/>
                <w:color w:val="auto"/>
                <w:kern w:val="0"/>
                <w:szCs w:val="21"/>
                <w:highlight w:val="none"/>
              </w:rPr>
            </w:pPr>
          </w:p>
          <w:p w14:paraId="3EE71C55">
            <w:pPr>
              <w:snapToGrid w:val="0"/>
              <w:spacing w:line="400" w:lineRule="exact"/>
              <w:jc w:val="center"/>
              <w:rPr>
                <w:rFonts w:ascii="宋体" w:hAnsi="宋体"/>
                <w:color w:val="auto"/>
                <w:kern w:val="0"/>
                <w:szCs w:val="21"/>
                <w:highlight w:val="none"/>
              </w:rPr>
            </w:pPr>
          </w:p>
          <w:p w14:paraId="2AE1B507">
            <w:pPr>
              <w:snapToGrid w:val="0"/>
              <w:spacing w:line="400" w:lineRule="exact"/>
              <w:jc w:val="center"/>
              <w:rPr>
                <w:rFonts w:ascii="宋体" w:hAnsi="宋体"/>
                <w:color w:val="auto"/>
                <w:kern w:val="0"/>
                <w:szCs w:val="21"/>
                <w:highlight w:val="none"/>
              </w:rPr>
            </w:pPr>
          </w:p>
          <w:p w14:paraId="6281E3DE">
            <w:pPr>
              <w:snapToGrid w:val="0"/>
              <w:spacing w:line="400" w:lineRule="exact"/>
              <w:jc w:val="center"/>
              <w:rPr>
                <w:rFonts w:ascii="宋体" w:hAnsi="宋体"/>
                <w:color w:val="auto"/>
                <w:kern w:val="0"/>
                <w:szCs w:val="21"/>
                <w:highlight w:val="none"/>
              </w:rPr>
            </w:pPr>
          </w:p>
          <w:p w14:paraId="3A770F06">
            <w:pPr>
              <w:snapToGrid w:val="0"/>
              <w:spacing w:line="400" w:lineRule="exact"/>
              <w:jc w:val="center"/>
              <w:rPr>
                <w:rFonts w:ascii="宋体" w:hAnsi="宋体"/>
                <w:color w:val="auto"/>
                <w:kern w:val="0"/>
                <w:szCs w:val="21"/>
                <w:highlight w:val="none"/>
              </w:rPr>
            </w:pPr>
          </w:p>
          <w:p w14:paraId="06A3B6CE">
            <w:pPr>
              <w:snapToGrid w:val="0"/>
              <w:spacing w:line="400" w:lineRule="exact"/>
              <w:jc w:val="center"/>
              <w:rPr>
                <w:rFonts w:ascii="宋体" w:hAnsi="宋体"/>
                <w:color w:val="auto"/>
                <w:kern w:val="0"/>
                <w:szCs w:val="21"/>
                <w:highlight w:val="none"/>
              </w:rPr>
            </w:pPr>
          </w:p>
          <w:p w14:paraId="45B1CC70">
            <w:pPr>
              <w:snapToGrid w:val="0"/>
              <w:spacing w:line="400" w:lineRule="exact"/>
              <w:jc w:val="center"/>
              <w:rPr>
                <w:rFonts w:ascii="宋体" w:hAnsi="宋体"/>
                <w:color w:val="auto"/>
                <w:kern w:val="0"/>
                <w:szCs w:val="21"/>
                <w:highlight w:val="none"/>
              </w:rPr>
            </w:pPr>
          </w:p>
          <w:p w14:paraId="69A6886C">
            <w:pPr>
              <w:snapToGrid w:val="0"/>
              <w:spacing w:line="400" w:lineRule="exact"/>
              <w:jc w:val="center"/>
              <w:rPr>
                <w:rFonts w:ascii="宋体" w:hAnsi="宋体"/>
                <w:color w:val="auto"/>
                <w:kern w:val="0"/>
                <w:szCs w:val="21"/>
                <w:highlight w:val="none"/>
              </w:rPr>
            </w:pPr>
          </w:p>
          <w:p w14:paraId="3C78A59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2FB8B7E5">
            <w:pPr>
              <w:snapToGrid w:val="0"/>
              <w:spacing w:line="400" w:lineRule="exact"/>
              <w:jc w:val="center"/>
              <w:rPr>
                <w:rFonts w:ascii="宋体" w:hAnsi="宋体"/>
                <w:color w:val="auto"/>
                <w:kern w:val="0"/>
                <w:szCs w:val="21"/>
                <w:highlight w:val="none"/>
              </w:rPr>
            </w:pPr>
          </w:p>
          <w:p w14:paraId="6F31F9D8">
            <w:pPr>
              <w:snapToGrid w:val="0"/>
              <w:spacing w:line="400" w:lineRule="exact"/>
              <w:jc w:val="center"/>
              <w:rPr>
                <w:rFonts w:ascii="宋体" w:hAnsi="宋体"/>
                <w:color w:val="auto"/>
                <w:kern w:val="0"/>
                <w:szCs w:val="21"/>
                <w:highlight w:val="none"/>
              </w:rPr>
            </w:pPr>
          </w:p>
          <w:p w14:paraId="750CD450">
            <w:pPr>
              <w:snapToGrid w:val="0"/>
              <w:spacing w:line="400" w:lineRule="exact"/>
              <w:jc w:val="center"/>
              <w:rPr>
                <w:rFonts w:ascii="宋体" w:hAnsi="宋体"/>
                <w:color w:val="auto"/>
                <w:kern w:val="0"/>
                <w:szCs w:val="21"/>
                <w:highlight w:val="none"/>
              </w:rPr>
            </w:pPr>
          </w:p>
          <w:p w14:paraId="4C78E0EC">
            <w:pPr>
              <w:snapToGrid w:val="0"/>
              <w:spacing w:line="400" w:lineRule="exact"/>
              <w:jc w:val="center"/>
              <w:rPr>
                <w:rFonts w:ascii="宋体" w:hAnsi="宋体"/>
                <w:color w:val="auto"/>
                <w:kern w:val="0"/>
                <w:szCs w:val="21"/>
                <w:highlight w:val="none"/>
              </w:rPr>
            </w:pPr>
          </w:p>
          <w:p w14:paraId="0DE429B5">
            <w:pPr>
              <w:snapToGrid w:val="0"/>
              <w:spacing w:line="400" w:lineRule="exact"/>
              <w:jc w:val="center"/>
              <w:rPr>
                <w:rFonts w:ascii="宋体" w:hAnsi="宋体"/>
                <w:color w:val="auto"/>
                <w:kern w:val="0"/>
                <w:szCs w:val="21"/>
                <w:highlight w:val="none"/>
              </w:rPr>
            </w:pPr>
          </w:p>
          <w:p w14:paraId="4869970B">
            <w:pPr>
              <w:snapToGrid w:val="0"/>
              <w:spacing w:line="400" w:lineRule="exact"/>
              <w:jc w:val="center"/>
              <w:rPr>
                <w:rFonts w:ascii="宋体" w:hAnsi="宋体"/>
                <w:color w:val="auto"/>
                <w:kern w:val="0"/>
                <w:szCs w:val="21"/>
                <w:highlight w:val="none"/>
              </w:rPr>
            </w:pPr>
          </w:p>
          <w:p w14:paraId="56ACB3F3">
            <w:pPr>
              <w:snapToGrid w:val="0"/>
              <w:spacing w:line="400" w:lineRule="exact"/>
              <w:jc w:val="center"/>
              <w:rPr>
                <w:rFonts w:ascii="宋体" w:hAnsi="宋体"/>
                <w:color w:val="auto"/>
                <w:kern w:val="0"/>
                <w:szCs w:val="21"/>
                <w:highlight w:val="none"/>
              </w:rPr>
            </w:pPr>
          </w:p>
          <w:p w14:paraId="79DCC1FE">
            <w:pPr>
              <w:snapToGrid w:val="0"/>
              <w:spacing w:line="400" w:lineRule="exact"/>
              <w:jc w:val="center"/>
              <w:rPr>
                <w:rFonts w:ascii="宋体" w:hAnsi="宋体"/>
                <w:color w:val="auto"/>
                <w:kern w:val="0"/>
                <w:szCs w:val="21"/>
                <w:highlight w:val="none"/>
              </w:rPr>
            </w:pPr>
          </w:p>
          <w:p w14:paraId="1939693F">
            <w:pPr>
              <w:snapToGrid w:val="0"/>
              <w:spacing w:line="400" w:lineRule="exact"/>
              <w:jc w:val="center"/>
              <w:rPr>
                <w:rFonts w:ascii="宋体" w:hAnsi="宋体"/>
                <w:color w:val="auto"/>
                <w:kern w:val="0"/>
                <w:szCs w:val="21"/>
                <w:highlight w:val="none"/>
              </w:rPr>
            </w:pPr>
          </w:p>
          <w:p w14:paraId="00F10BB0">
            <w:pPr>
              <w:snapToGrid w:val="0"/>
              <w:spacing w:line="400" w:lineRule="exact"/>
              <w:jc w:val="both"/>
              <w:rPr>
                <w:rFonts w:ascii="宋体" w:hAnsi="宋体"/>
                <w:color w:val="auto"/>
                <w:kern w:val="0"/>
                <w:szCs w:val="21"/>
                <w:highlight w:val="none"/>
              </w:rPr>
            </w:pPr>
          </w:p>
        </w:tc>
        <w:tc>
          <w:tcPr>
            <w:tcW w:w="1644" w:type="dxa"/>
            <w:vAlign w:val="center"/>
          </w:tcPr>
          <w:p w14:paraId="4C33FA56">
            <w:pPr>
              <w:snapToGrid w:val="0"/>
              <w:spacing w:line="400" w:lineRule="exact"/>
              <w:jc w:val="center"/>
              <w:rPr>
                <w:rFonts w:ascii="宋体" w:hAnsi="宋体"/>
                <w:color w:val="auto"/>
                <w:kern w:val="0"/>
                <w:szCs w:val="21"/>
                <w:highlight w:val="none"/>
              </w:rPr>
            </w:pPr>
          </w:p>
          <w:p w14:paraId="52F58413">
            <w:pPr>
              <w:snapToGrid w:val="0"/>
              <w:spacing w:line="400" w:lineRule="exact"/>
              <w:jc w:val="center"/>
              <w:rPr>
                <w:rFonts w:ascii="宋体" w:hAnsi="宋体"/>
                <w:color w:val="auto"/>
                <w:kern w:val="0"/>
                <w:szCs w:val="21"/>
                <w:highlight w:val="none"/>
              </w:rPr>
            </w:pPr>
          </w:p>
          <w:p w14:paraId="1D010B28">
            <w:pPr>
              <w:snapToGrid w:val="0"/>
              <w:spacing w:line="400" w:lineRule="exact"/>
              <w:jc w:val="center"/>
              <w:rPr>
                <w:rFonts w:ascii="宋体" w:hAnsi="宋体"/>
                <w:color w:val="auto"/>
                <w:kern w:val="0"/>
                <w:szCs w:val="21"/>
                <w:highlight w:val="none"/>
              </w:rPr>
            </w:pPr>
          </w:p>
          <w:p w14:paraId="57049522">
            <w:pPr>
              <w:snapToGrid w:val="0"/>
              <w:spacing w:line="400" w:lineRule="exact"/>
              <w:jc w:val="center"/>
              <w:rPr>
                <w:rFonts w:ascii="宋体" w:hAnsi="宋体"/>
                <w:color w:val="auto"/>
                <w:kern w:val="0"/>
                <w:szCs w:val="21"/>
                <w:highlight w:val="none"/>
              </w:rPr>
            </w:pPr>
          </w:p>
          <w:p w14:paraId="2BA11494">
            <w:pPr>
              <w:snapToGrid w:val="0"/>
              <w:spacing w:line="400" w:lineRule="exact"/>
              <w:jc w:val="center"/>
              <w:rPr>
                <w:rFonts w:ascii="宋体" w:hAnsi="宋体"/>
                <w:color w:val="auto"/>
                <w:kern w:val="0"/>
                <w:szCs w:val="21"/>
                <w:highlight w:val="none"/>
              </w:rPr>
            </w:pPr>
          </w:p>
          <w:p w14:paraId="4EC01EF2">
            <w:pPr>
              <w:snapToGrid w:val="0"/>
              <w:spacing w:line="400" w:lineRule="exact"/>
              <w:jc w:val="center"/>
              <w:rPr>
                <w:rFonts w:ascii="宋体" w:hAnsi="宋体"/>
                <w:color w:val="auto"/>
                <w:kern w:val="0"/>
                <w:szCs w:val="21"/>
                <w:highlight w:val="none"/>
              </w:rPr>
            </w:pPr>
          </w:p>
          <w:p w14:paraId="4B3B3694">
            <w:pPr>
              <w:snapToGrid w:val="0"/>
              <w:spacing w:line="400" w:lineRule="exact"/>
              <w:jc w:val="center"/>
              <w:rPr>
                <w:rFonts w:ascii="宋体" w:hAnsi="宋体"/>
                <w:color w:val="auto"/>
                <w:kern w:val="0"/>
                <w:szCs w:val="21"/>
                <w:highlight w:val="none"/>
              </w:rPr>
            </w:pPr>
          </w:p>
          <w:p w14:paraId="50D5B343">
            <w:pPr>
              <w:snapToGrid w:val="0"/>
              <w:spacing w:line="400" w:lineRule="exact"/>
              <w:jc w:val="center"/>
              <w:rPr>
                <w:rFonts w:ascii="宋体" w:hAnsi="宋体"/>
                <w:color w:val="auto"/>
                <w:kern w:val="0"/>
                <w:szCs w:val="21"/>
                <w:highlight w:val="none"/>
              </w:rPr>
            </w:pPr>
          </w:p>
          <w:p w14:paraId="72654C72">
            <w:pPr>
              <w:snapToGrid w:val="0"/>
              <w:spacing w:line="400" w:lineRule="exact"/>
              <w:jc w:val="center"/>
              <w:rPr>
                <w:rFonts w:ascii="宋体" w:hAnsi="宋体"/>
                <w:color w:val="auto"/>
                <w:kern w:val="0"/>
                <w:szCs w:val="21"/>
                <w:highlight w:val="none"/>
              </w:rPr>
            </w:pPr>
          </w:p>
          <w:p w14:paraId="5760E303">
            <w:pPr>
              <w:snapToGrid w:val="0"/>
              <w:spacing w:line="400" w:lineRule="exact"/>
              <w:jc w:val="center"/>
              <w:rPr>
                <w:rFonts w:ascii="宋体" w:hAnsi="宋体"/>
                <w:color w:val="auto"/>
                <w:kern w:val="0"/>
                <w:szCs w:val="21"/>
                <w:highlight w:val="none"/>
              </w:rPr>
            </w:pPr>
          </w:p>
          <w:p w14:paraId="399F19F9">
            <w:pPr>
              <w:snapToGrid w:val="0"/>
              <w:spacing w:line="400" w:lineRule="exact"/>
              <w:jc w:val="center"/>
              <w:rPr>
                <w:rFonts w:ascii="宋体" w:hAnsi="宋体"/>
                <w:color w:val="auto"/>
                <w:kern w:val="0"/>
                <w:szCs w:val="21"/>
                <w:highlight w:val="none"/>
              </w:rPr>
            </w:pPr>
          </w:p>
          <w:p w14:paraId="2568A45A">
            <w:pPr>
              <w:snapToGrid w:val="0"/>
              <w:spacing w:line="400" w:lineRule="exact"/>
              <w:jc w:val="center"/>
              <w:rPr>
                <w:rFonts w:ascii="宋体" w:hAnsi="宋体"/>
                <w:color w:val="auto"/>
                <w:kern w:val="0"/>
                <w:szCs w:val="21"/>
                <w:highlight w:val="none"/>
              </w:rPr>
            </w:pPr>
          </w:p>
          <w:p w14:paraId="418BB3AE">
            <w:pPr>
              <w:snapToGrid w:val="0"/>
              <w:spacing w:line="400" w:lineRule="exact"/>
              <w:jc w:val="center"/>
              <w:rPr>
                <w:rFonts w:ascii="宋体" w:hAnsi="宋体"/>
                <w:color w:val="auto"/>
                <w:kern w:val="0"/>
                <w:szCs w:val="21"/>
                <w:highlight w:val="none"/>
              </w:rPr>
            </w:pPr>
          </w:p>
          <w:p w14:paraId="397B95D9">
            <w:pPr>
              <w:snapToGrid w:val="0"/>
              <w:spacing w:line="400" w:lineRule="exact"/>
              <w:jc w:val="center"/>
              <w:rPr>
                <w:rFonts w:ascii="宋体" w:hAnsi="宋体"/>
                <w:color w:val="auto"/>
                <w:kern w:val="0"/>
                <w:szCs w:val="21"/>
                <w:highlight w:val="none"/>
              </w:rPr>
            </w:pPr>
          </w:p>
          <w:p w14:paraId="0D8B6937">
            <w:pPr>
              <w:snapToGrid w:val="0"/>
              <w:spacing w:line="400" w:lineRule="exact"/>
              <w:jc w:val="center"/>
              <w:rPr>
                <w:rFonts w:ascii="宋体" w:hAnsi="宋体"/>
                <w:color w:val="auto"/>
                <w:kern w:val="0"/>
                <w:szCs w:val="21"/>
                <w:highlight w:val="none"/>
              </w:rPr>
            </w:pPr>
          </w:p>
          <w:p w14:paraId="5ACF201B">
            <w:pPr>
              <w:snapToGrid w:val="0"/>
              <w:spacing w:line="400" w:lineRule="exact"/>
              <w:jc w:val="center"/>
              <w:rPr>
                <w:rFonts w:ascii="宋体" w:hAnsi="宋体"/>
                <w:color w:val="auto"/>
                <w:kern w:val="0"/>
                <w:szCs w:val="21"/>
                <w:highlight w:val="none"/>
              </w:rPr>
            </w:pPr>
          </w:p>
          <w:p w14:paraId="7A591E86">
            <w:pPr>
              <w:snapToGrid w:val="0"/>
              <w:spacing w:line="400" w:lineRule="exact"/>
              <w:jc w:val="center"/>
              <w:rPr>
                <w:rFonts w:ascii="宋体" w:hAnsi="宋体"/>
                <w:color w:val="auto"/>
                <w:kern w:val="0"/>
                <w:szCs w:val="21"/>
                <w:highlight w:val="none"/>
              </w:rPr>
            </w:pPr>
          </w:p>
          <w:p w14:paraId="6425DC6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7A149F21">
            <w:pPr>
              <w:snapToGrid w:val="0"/>
              <w:spacing w:line="400" w:lineRule="exact"/>
              <w:jc w:val="center"/>
              <w:rPr>
                <w:rFonts w:ascii="宋体" w:hAnsi="宋体"/>
                <w:color w:val="auto"/>
                <w:kern w:val="0"/>
                <w:szCs w:val="21"/>
                <w:highlight w:val="none"/>
              </w:rPr>
            </w:pPr>
          </w:p>
          <w:p w14:paraId="5768F7E3">
            <w:pPr>
              <w:snapToGrid w:val="0"/>
              <w:spacing w:line="400" w:lineRule="exact"/>
              <w:jc w:val="center"/>
              <w:rPr>
                <w:rFonts w:ascii="宋体" w:hAnsi="宋体"/>
                <w:color w:val="auto"/>
                <w:kern w:val="0"/>
                <w:szCs w:val="21"/>
                <w:highlight w:val="none"/>
              </w:rPr>
            </w:pPr>
          </w:p>
          <w:p w14:paraId="1FAD323B">
            <w:pPr>
              <w:snapToGrid w:val="0"/>
              <w:spacing w:line="400" w:lineRule="exact"/>
              <w:jc w:val="center"/>
              <w:rPr>
                <w:rFonts w:ascii="宋体" w:hAnsi="宋体"/>
                <w:color w:val="auto"/>
                <w:kern w:val="0"/>
                <w:szCs w:val="21"/>
                <w:highlight w:val="none"/>
              </w:rPr>
            </w:pPr>
          </w:p>
          <w:p w14:paraId="6A61C759">
            <w:pPr>
              <w:snapToGrid w:val="0"/>
              <w:spacing w:line="400" w:lineRule="exact"/>
              <w:jc w:val="center"/>
              <w:rPr>
                <w:rFonts w:ascii="宋体" w:hAnsi="宋体"/>
                <w:color w:val="auto"/>
                <w:kern w:val="0"/>
                <w:szCs w:val="21"/>
                <w:highlight w:val="none"/>
              </w:rPr>
            </w:pPr>
          </w:p>
          <w:p w14:paraId="58096285">
            <w:pPr>
              <w:snapToGrid w:val="0"/>
              <w:spacing w:line="400" w:lineRule="exact"/>
              <w:jc w:val="center"/>
              <w:rPr>
                <w:rFonts w:ascii="宋体" w:hAnsi="宋体"/>
                <w:color w:val="auto"/>
                <w:kern w:val="0"/>
                <w:szCs w:val="21"/>
                <w:highlight w:val="none"/>
              </w:rPr>
            </w:pPr>
          </w:p>
          <w:p w14:paraId="7774192E">
            <w:pPr>
              <w:snapToGrid w:val="0"/>
              <w:spacing w:line="400" w:lineRule="exact"/>
              <w:jc w:val="center"/>
              <w:rPr>
                <w:rFonts w:ascii="宋体" w:hAnsi="宋体"/>
                <w:color w:val="auto"/>
                <w:kern w:val="0"/>
                <w:szCs w:val="21"/>
                <w:highlight w:val="none"/>
              </w:rPr>
            </w:pPr>
          </w:p>
          <w:p w14:paraId="069D7D1D">
            <w:pPr>
              <w:snapToGrid w:val="0"/>
              <w:spacing w:line="400" w:lineRule="exact"/>
              <w:jc w:val="center"/>
              <w:rPr>
                <w:rFonts w:ascii="宋体" w:hAnsi="宋体"/>
                <w:color w:val="auto"/>
                <w:kern w:val="0"/>
                <w:szCs w:val="21"/>
                <w:highlight w:val="none"/>
              </w:rPr>
            </w:pPr>
          </w:p>
          <w:p w14:paraId="4F2734C3">
            <w:pPr>
              <w:snapToGrid w:val="0"/>
              <w:spacing w:line="400" w:lineRule="exact"/>
              <w:jc w:val="center"/>
              <w:rPr>
                <w:rFonts w:ascii="宋体" w:hAnsi="宋体"/>
                <w:color w:val="auto"/>
                <w:kern w:val="0"/>
                <w:szCs w:val="21"/>
                <w:highlight w:val="none"/>
              </w:rPr>
            </w:pPr>
          </w:p>
          <w:p w14:paraId="4CC91239">
            <w:pPr>
              <w:snapToGrid w:val="0"/>
              <w:spacing w:line="400" w:lineRule="exact"/>
              <w:jc w:val="center"/>
              <w:rPr>
                <w:rFonts w:ascii="宋体" w:hAnsi="宋体"/>
                <w:color w:val="auto"/>
                <w:kern w:val="0"/>
                <w:szCs w:val="21"/>
                <w:highlight w:val="none"/>
              </w:rPr>
            </w:pPr>
          </w:p>
          <w:p w14:paraId="7E765509">
            <w:pPr>
              <w:snapToGrid w:val="0"/>
              <w:spacing w:line="400" w:lineRule="exact"/>
              <w:jc w:val="center"/>
              <w:rPr>
                <w:rFonts w:ascii="宋体" w:hAnsi="宋体"/>
                <w:color w:val="auto"/>
                <w:kern w:val="0"/>
                <w:szCs w:val="21"/>
                <w:highlight w:val="none"/>
              </w:rPr>
            </w:pPr>
          </w:p>
          <w:p w14:paraId="5EB359F6">
            <w:pPr>
              <w:snapToGrid w:val="0"/>
              <w:spacing w:line="400" w:lineRule="exact"/>
              <w:jc w:val="center"/>
              <w:rPr>
                <w:rFonts w:ascii="宋体" w:hAnsi="宋体"/>
                <w:color w:val="auto"/>
                <w:kern w:val="0"/>
                <w:szCs w:val="21"/>
                <w:highlight w:val="none"/>
              </w:rPr>
            </w:pPr>
          </w:p>
          <w:p w14:paraId="5C33991B">
            <w:pPr>
              <w:snapToGrid w:val="0"/>
              <w:spacing w:line="400" w:lineRule="exact"/>
              <w:jc w:val="center"/>
              <w:rPr>
                <w:rFonts w:ascii="宋体" w:hAnsi="宋体"/>
                <w:color w:val="auto"/>
                <w:kern w:val="0"/>
                <w:szCs w:val="21"/>
                <w:highlight w:val="none"/>
              </w:rPr>
            </w:pPr>
          </w:p>
          <w:p w14:paraId="167291C3">
            <w:pPr>
              <w:snapToGrid w:val="0"/>
              <w:spacing w:line="400" w:lineRule="exact"/>
              <w:jc w:val="center"/>
              <w:rPr>
                <w:rFonts w:ascii="宋体" w:hAnsi="宋体"/>
                <w:color w:val="auto"/>
                <w:kern w:val="0"/>
                <w:szCs w:val="21"/>
                <w:highlight w:val="none"/>
              </w:rPr>
            </w:pPr>
          </w:p>
          <w:p w14:paraId="5D774896">
            <w:pPr>
              <w:snapToGrid w:val="0"/>
              <w:spacing w:line="400" w:lineRule="exact"/>
              <w:jc w:val="center"/>
              <w:rPr>
                <w:rFonts w:ascii="宋体" w:hAnsi="宋体"/>
                <w:color w:val="auto"/>
                <w:kern w:val="0"/>
                <w:szCs w:val="21"/>
                <w:highlight w:val="none"/>
              </w:rPr>
            </w:pPr>
          </w:p>
          <w:p w14:paraId="6C38E4BF">
            <w:pPr>
              <w:snapToGrid w:val="0"/>
              <w:spacing w:line="400" w:lineRule="exact"/>
              <w:jc w:val="center"/>
              <w:rPr>
                <w:rFonts w:ascii="宋体" w:hAnsi="宋体"/>
                <w:color w:val="auto"/>
                <w:kern w:val="0"/>
                <w:szCs w:val="21"/>
                <w:highlight w:val="none"/>
              </w:rPr>
            </w:pPr>
          </w:p>
          <w:p w14:paraId="3AB17591">
            <w:pPr>
              <w:snapToGrid w:val="0"/>
              <w:spacing w:line="400" w:lineRule="exact"/>
              <w:jc w:val="center"/>
              <w:rPr>
                <w:rFonts w:ascii="宋体" w:hAnsi="宋体"/>
                <w:color w:val="auto"/>
                <w:kern w:val="0"/>
                <w:szCs w:val="21"/>
                <w:highlight w:val="none"/>
              </w:rPr>
            </w:pPr>
          </w:p>
          <w:p w14:paraId="256A921E">
            <w:pPr>
              <w:snapToGrid w:val="0"/>
              <w:spacing w:line="400" w:lineRule="exact"/>
              <w:jc w:val="center"/>
              <w:rPr>
                <w:rFonts w:ascii="宋体" w:hAnsi="宋体"/>
                <w:color w:val="auto"/>
                <w:kern w:val="0"/>
                <w:szCs w:val="21"/>
                <w:highlight w:val="none"/>
              </w:rPr>
            </w:pPr>
          </w:p>
          <w:p w14:paraId="71395611">
            <w:pPr>
              <w:snapToGrid w:val="0"/>
              <w:spacing w:line="400" w:lineRule="exact"/>
              <w:jc w:val="center"/>
              <w:rPr>
                <w:rFonts w:ascii="宋体" w:hAnsi="宋体"/>
                <w:color w:val="auto"/>
                <w:kern w:val="0"/>
                <w:szCs w:val="21"/>
                <w:highlight w:val="none"/>
              </w:rPr>
            </w:pPr>
          </w:p>
          <w:p w14:paraId="7A350706">
            <w:pPr>
              <w:snapToGrid w:val="0"/>
              <w:spacing w:line="400" w:lineRule="exact"/>
              <w:jc w:val="center"/>
              <w:rPr>
                <w:rFonts w:ascii="宋体" w:hAnsi="宋体"/>
                <w:color w:val="auto"/>
                <w:kern w:val="0"/>
                <w:szCs w:val="21"/>
                <w:highlight w:val="none"/>
              </w:rPr>
            </w:pPr>
          </w:p>
          <w:p w14:paraId="5FE3DC9F">
            <w:pPr>
              <w:snapToGrid w:val="0"/>
              <w:spacing w:line="400" w:lineRule="exact"/>
              <w:jc w:val="center"/>
              <w:rPr>
                <w:rFonts w:ascii="宋体" w:hAnsi="宋体"/>
                <w:color w:val="auto"/>
                <w:kern w:val="0"/>
                <w:szCs w:val="21"/>
                <w:highlight w:val="none"/>
              </w:rPr>
            </w:pPr>
          </w:p>
          <w:p w14:paraId="2570026D">
            <w:pPr>
              <w:snapToGrid w:val="0"/>
              <w:spacing w:line="400" w:lineRule="exact"/>
              <w:jc w:val="center"/>
              <w:rPr>
                <w:rFonts w:ascii="宋体" w:hAnsi="宋体"/>
                <w:color w:val="auto"/>
                <w:kern w:val="0"/>
                <w:szCs w:val="21"/>
                <w:highlight w:val="none"/>
              </w:rPr>
            </w:pPr>
          </w:p>
          <w:p w14:paraId="0B8BC028">
            <w:pPr>
              <w:snapToGrid w:val="0"/>
              <w:spacing w:line="400" w:lineRule="exact"/>
              <w:jc w:val="center"/>
              <w:rPr>
                <w:rFonts w:ascii="宋体" w:hAnsi="宋体"/>
                <w:color w:val="auto"/>
                <w:kern w:val="0"/>
                <w:szCs w:val="21"/>
                <w:highlight w:val="none"/>
              </w:rPr>
            </w:pPr>
          </w:p>
          <w:p w14:paraId="54E9CB7C">
            <w:pPr>
              <w:snapToGrid w:val="0"/>
              <w:spacing w:line="400" w:lineRule="exact"/>
              <w:jc w:val="center"/>
              <w:rPr>
                <w:rFonts w:ascii="宋体" w:hAnsi="宋体"/>
                <w:color w:val="auto"/>
                <w:kern w:val="0"/>
                <w:szCs w:val="21"/>
                <w:highlight w:val="none"/>
              </w:rPr>
            </w:pPr>
          </w:p>
          <w:p w14:paraId="20BF0262">
            <w:pPr>
              <w:snapToGrid w:val="0"/>
              <w:spacing w:line="400" w:lineRule="exact"/>
              <w:jc w:val="center"/>
              <w:rPr>
                <w:rFonts w:ascii="宋体" w:hAnsi="宋体"/>
                <w:color w:val="auto"/>
                <w:kern w:val="0"/>
                <w:szCs w:val="21"/>
                <w:highlight w:val="none"/>
              </w:rPr>
            </w:pPr>
          </w:p>
          <w:p w14:paraId="728DA1CC">
            <w:pPr>
              <w:snapToGrid w:val="0"/>
              <w:spacing w:line="400" w:lineRule="exact"/>
              <w:jc w:val="center"/>
              <w:rPr>
                <w:rFonts w:ascii="宋体" w:hAnsi="宋体"/>
                <w:color w:val="auto"/>
                <w:kern w:val="0"/>
                <w:szCs w:val="21"/>
                <w:highlight w:val="none"/>
              </w:rPr>
            </w:pPr>
          </w:p>
          <w:p w14:paraId="7DEC744E">
            <w:pPr>
              <w:snapToGrid w:val="0"/>
              <w:spacing w:line="400" w:lineRule="exact"/>
              <w:jc w:val="center"/>
              <w:rPr>
                <w:rFonts w:ascii="宋体" w:hAnsi="宋体"/>
                <w:color w:val="auto"/>
                <w:kern w:val="0"/>
                <w:szCs w:val="21"/>
                <w:highlight w:val="none"/>
              </w:rPr>
            </w:pPr>
          </w:p>
          <w:p w14:paraId="181760B8">
            <w:pPr>
              <w:snapToGrid w:val="0"/>
              <w:spacing w:line="400" w:lineRule="exact"/>
              <w:jc w:val="center"/>
              <w:rPr>
                <w:rFonts w:ascii="宋体" w:hAnsi="宋体"/>
                <w:color w:val="auto"/>
                <w:kern w:val="0"/>
                <w:szCs w:val="21"/>
                <w:highlight w:val="none"/>
              </w:rPr>
            </w:pPr>
          </w:p>
          <w:p w14:paraId="05559F45">
            <w:pPr>
              <w:snapToGrid w:val="0"/>
              <w:spacing w:line="400" w:lineRule="exact"/>
              <w:jc w:val="center"/>
              <w:rPr>
                <w:rFonts w:ascii="宋体" w:hAnsi="宋体"/>
                <w:color w:val="auto"/>
                <w:kern w:val="0"/>
                <w:szCs w:val="21"/>
                <w:highlight w:val="none"/>
              </w:rPr>
            </w:pPr>
          </w:p>
          <w:p w14:paraId="19CF8624">
            <w:pPr>
              <w:snapToGrid w:val="0"/>
              <w:spacing w:line="400" w:lineRule="exact"/>
              <w:jc w:val="center"/>
              <w:rPr>
                <w:rFonts w:ascii="宋体" w:hAnsi="宋体"/>
                <w:color w:val="auto"/>
                <w:kern w:val="0"/>
                <w:szCs w:val="21"/>
                <w:highlight w:val="none"/>
              </w:rPr>
            </w:pPr>
          </w:p>
          <w:p w14:paraId="1461DC22">
            <w:pPr>
              <w:snapToGrid w:val="0"/>
              <w:spacing w:line="400" w:lineRule="exact"/>
              <w:jc w:val="center"/>
              <w:rPr>
                <w:rFonts w:ascii="宋体" w:hAnsi="宋体"/>
                <w:color w:val="auto"/>
                <w:kern w:val="0"/>
                <w:szCs w:val="21"/>
                <w:highlight w:val="none"/>
              </w:rPr>
            </w:pPr>
          </w:p>
          <w:p w14:paraId="099237F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73E76B7F">
            <w:pPr>
              <w:snapToGrid w:val="0"/>
              <w:spacing w:line="400" w:lineRule="exact"/>
              <w:jc w:val="center"/>
              <w:rPr>
                <w:rFonts w:ascii="宋体" w:hAnsi="宋体"/>
                <w:color w:val="auto"/>
                <w:kern w:val="0"/>
                <w:szCs w:val="21"/>
                <w:highlight w:val="none"/>
              </w:rPr>
            </w:pPr>
          </w:p>
          <w:p w14:paraId="1572F054">
            <w:pPr>
              <w:snapToGrid w:val="0"/>
              <w:spacing w:line="400" w:lineRule="exact"/>
              <w:jc w:val="center"/>
              <w:rPr>
                <w:rFonts w:ascii="宋体" w:hAnsi="宋体"/>
                <w:color w:val="auto"/>
                <w:kern w:val="0"/>
                <w:szCs w:val="21"/>
                <w:highlight w:val="none"/>
              </w:rPr>
            </w:pPr>
          </w:p>
          <w:p w14:paraId="32EFCD6A">
            <w:pPr>
              <w:snapToGrid w:val="0"/>
              <w:spacing w:line="400" w:lineRule="exact"/>
              <w:jc w:val="center"/>
              <w:rPr>
                <w:rFonts w:ascii="宋体" w:hAnsi="宋体"/>
                <w:color w:val="auto"/>
                <w:kern w:val="0"/>
                <w:szCs w:val="21"/>
                <w:highlight w:val="none"/>
              </w:rPr>
            </w:pPr>
          </w:p>
          <w:p w14:paraId="203E3162">
            <w:pPr>
              <w:snapToGrid w:val="0"/>
              <w:spacing w:line="400" w:lineRule="exact"/>
              <w:jc w:val="center"/>
              <w:rPr>
                <w:rFonts w:ascii="宋体" w:hAnsi="宋体"/>
                <w:color w:val="auto"/>
                <w:kern w:val="0"/>
                <w:szCs w:val="21"/>
                <w:highlight w:val="none"/>
              </w:rPr>
            </w:pPr>
          </w:p>
          <w:p w14:paraId="34075ECF">
            <w:pPr>
              <w:snapToGrid w:val="0"/>
              <w:spacing w:line="400" w:lineRule="exact"/>
              <w:jc w:val="center"/>
              <w:rPr>
                <w:rFonts w:ascii="宋体" w:hAnsi="宋体"/>
                <w:color w:val="auto"/>
                <w:kern w:val="0"/>
                <w:szCs w:val="21"/>
                <w:highlight w:val="none"/>
              </w:rPr>
            </w:pPr>
          </w:p>
          <w:p w14:paraId="196A5F68">
            <w:pPr>
              <w:snapToGrid w:val="0"/>
              <w:spacing w:line="400" w:lineRule="exact"/>
              <w:jc w:val="center"/>
              <w:rPr>
                <w:rFonts w:ascii="宋体" w:hAnsi="宋体"/>
                <w:color w:val="auto"/>
                <w:kern w:val="0"/>
                <w:szCs w:val="21"/>
                <w:highlight w:val="none"/>
              </w:rPr>
            </w:pPr>
          </w:p>
          <w:p w14:paraId="7C8B7129">
            <w:pPr>
              <w:snapToGrid w:val="0"/>
              <w:spacing w:line="400" w:lineRule="exact"/>
              <w:jc w:val="center"/>
              <w:rPr>
                <w:rFonts w:ascii="宋体" w:hAnsi="宋体"/>
                <w:color w:val="auto"/>
                <w:kern w:val="0"/>
                <w:szCs w:val="21"/>
                <w:highlight w:val="none"/>
              </w:rPr>
            </w:pPr>
          </w:p>
          <w:p w14:paraId="2E13B42B">
            <w:pPr>
              <w:snapToGrid w:val="0"/>
              <w:spacing w:line="400" w:lineRule="exact"/>
              <w:jc w:val="center"/>
              <w:rPr>
                <w:rFonts w:ascii="宋体" w:hAnsi="宋体"/>
                <w:color w:val="auto"/>
                <w:kern w:val="0"/>
                <w:szCs w:val="21"/>
                <w:highlight w:val="none"/>
              </w:rPr>
            </w:pPr>
          </w:p>
          <w:p w14:paraId="57E8D1FA">
            <w:pPr>
              <w:snapToGrid w:val="0"/>
              <w:spacing w:line="400" w:lineRule="exact"/>
              <w:jc w:val="center"/>
              <w:rPr>
                <w:rFonts w:ascii="宋体" w:hAnsi="宋体"/>
                <w:color w:val="auto"/>
                <w:kern w:val="0"/>
                <w:szCs w:val="21"/>
                <w:highlight w:val="none"/>
              </w:rPr>
            </w:pPr>
          </w:p>
          <w:p w14:paraId="5EA98331">
            <w:pPr>
              <w:snapToGrid w:val="0"/>
              <w:spacing w:line="400" w:lineRule="exact"/>
              <w:jc w:val="center"/>
              <w:rPr>
                <w:rFonts w:ascii="宋体" w:hAnsi="宋体"/>
                <w:color w:val="auto"/>
                <w:kern w:val="0"/>
                <w:szCs w:val="21"/>
                <w:highlight w:val="none"/>
              </w:rPr>
            </w:pPr>
          </w:p>
          <w:p w14:paraId="404FC7AC">
            <w:pPr>
              <w:snapToGrid w:val="0"/>
              <w:spacing w:line="400" w:lineRule="exact"/>
              <w:jc w:val="center"/>
              <w:rPr>
                <w:rFonts w:ascii="宋体" w:hAnsi="宋体"/>
                <w:color w:val="auto"/>
                <w:kern w:val="0"/>
                <w:szCs w:val="21"/>
                <w:highlight w:val="none"/>
              </w:rPr>
            </w:pPr>
          </w:p>
          <w:p w14:paraId="4DAF08C3">
            <w:pPr>
              <w:snapToGrid w:val="0"/>
              <w:spacing w:line="400" w:lineRule="exact"/>
              <w:jc w:val="center"/>
              <w:rPr>
                <w:rFonts w:ascii="宋体" w:hAnsi="宋体"/>
                <w:color w:val="auto"/>
                <w:kern w:val="0"/>
                <w:szCs w:val="21"/>
                <w:highlight w:val="none"/>
              </w:rPr>
            </w:pPr>
          </w:p>
          <w:p w14:paraId="0D36B30A">
            <w:pPr>
              <w:snapToGrid w:val="0"/>
              <w:spacing w:line="400" w:lineRule="exact"/>
              <w:jc w:val="center"/>
              <w:rPr>
                <w:rFonts w:ascii="宋体" w:hAnsi="宋体"/>
                <w:color w:val="auto"/>
                <w:kern w:val="0"/>
                <w:szCs w:val="21"/>
                <w:highlight w:val="none"/>
              </w:rPr>
            </w:pPr>
          </w:p>
          <w:p w14:paraId="25BCAE37">
            <w:pPr>
              <w:snapToGrid w:val="0"/>
              <w:spacing w:line="400" w:lineRule="exact"/>
              <w:jc w:val="center"/>
              <w:rPr>
                <w:rFonts w:ascii="宋体" w:hAnsi="宋体"/>
                <w:color w:val="auto"/>
                <w:kern w:val="0"/>
                <w:szCs w:val="21"/>
                <w:highlight w:val="none"/>
              </w:rPr>
            </w:pPr>
          </w:p>
          <w:p w14:paraId="781F6624">
            <w:pPr>
              <w:snapToGrid w:val="0"/>
              <w:spacing w:line="400" w:lineRule="exact"/>
              <w:jc w:val="center"/>
              <w:rPr>
                <w:rFonts w:ascii="宋体" w:hAnsi="宋体"/>
                <w:color w:val="auto"/>
                <w:kern w:val="0"/>
                <w:szCs w:val="21"/>
                <w:highlight w:val="none"/>
              </w:rPr>
            </w:pPr>
          </w:p>
          <w:p w14:paraId="78E69AEA">
            <w:pPr>
              <w:snapToGrid w:val="0"/>
              <w:spacing w:line="400" w:lineRule="exact"/>
              <w:jc w:val="center"/>
              <w:rPr>
                <w:rFonts w:ascii="宋体" w:hAnsi="宋体"/>
                <w:color w:val="auto"/>
                <w:kern w:val="0"/>
                <w:szCs w:val="21"/>
                <w:highlight w:val="none"/>
              </w:rPr>
            </w:pPr>
          </w:p>
          <w:p w14:paraId="2F905A63">
            <w:pPr>
              <w:snapToGrid w:val="0"/>
              <w:spacing w:line="400" w:lineRule="exact"/>
              <w:jc w:val="center"/>
              <w:rPr>
                <w:rFonts w:ascii="宋体" w:hAnsi="宋体"/>
                <w:color w:val="auto"/>
                <w:kern w:val="0"/>
                <w:szCs w:val="21"/>
                <w:highlight w:val="none"/>
              </w:rPr>
            </w:pPr>
          </w:p>
          <w:p w14:paraId="00BDB6B8">
            <w:pPr>
              <w:snapToGrid w:val="0"/>
              <w:spacing w:line="400" w:lineRule="exact"/>
              <w:jc w:val="center"/>
              <w:rPr>
                <w:rFonts w:ascii="宋体" w:hAnsi="宋体"/>
                <w:color w:val="auto"/>
                <w:kern w:val="0"/>
                <w:szCs w:val="21"/>
                <w:highlight w:val="none"/>
              </w:rPr>
            </w:pPr>
          </w:p>
          <w:p w14:paraId="2B1B967A">
            <w:pPr>
              <w:snapToGrid w:val="0"/>
              <w:spacing w:line="400" w:lineRule="exact"/>
              <w:jc w:val="center"/>
              <w:rPr>
                <w:rFonts w:ascii="宋体" w:hAnsi="宋体"/>
                <w:color w:val="auto"/>
                <w:kern w:val="0"/>
                <w:szCs w:val="21"/>
                <w:highlight w:val="none"/>
              </w:rPr>
            </w:pPr>
          </w:p>
          <w:p w14:paraId="2ED381E4">
            <w:pPr>
              <w:snapToGrid w:val="0"/>
              <w:spacing w:line="400" w:lineRule="exact"/>
              <w:jc w:val="center"/>
              <w:rPr>
                <w:rFonts w:ascii="宋体" w:hAnsi="宋体"/>
                <w:color w:val="auto"/>
                <w:kern w:val="0"/>
                <w:szCs w:val="21"/>
                <w:highlight w:val="none"/>
              </w:rPr>
            </w:pPr>
          </w:p>
          <w:p w14:paraId="42FA279D">
            <w:pPr>
              <w:snapToGrid w:val="0"/>
              <w:spacing w:line="400" w:lineRule="exact"/>
              <w:jc w:val="center"/>
              <w:rPr>
                <w:rFonts w:ascii="宋体" w:hAnsi="宋体"/>
                <w:color w:val="auto"/>
                <w:kern w:val="0"/>
                <w:szCs w:val="21"/>
                <w:highlight w:val="none"/>
              </w:rPr>
            </w:pPr>
          </w:p>
          <w:p w14:paraId="1CE49901">
            <w:pPr>
              <w:snapToGrid w:val="0"/>
              <w:spacing w:line="400" w:lineRule="exact"/>
              <w:jc w:val="center"/>
              <w:rPr>
                <w:rFonts w:ascii="宋体" w:hAnsi="宋体"/>
                <w:color w:val="auto"/>
                <w:kern w:val="0"/>
                <w:szCs w:val="21"/>
                <w:highlight w:val="none"/>
              </w:rPr>
            </w:pPr>
          </w:p>
          <w:p w14:paraId="225B09C7">
            <w:pPr>
              <w:snapToGrid w:val="0"/>
              <w:spacing w:line="400" w:lineRule="exact"/>
              <w:jc w:val="center"/>
              <w:rPr>
                <w:rFonts w:ascii="宋体" w:hAnsi="宋体"/>
                <w:color w:val="auto"/>
                <w:kern w:val="0"/>
                <w:szCs w:val="21"/>
                <w:highlight w:val="none"/>
              </w:rPr>
            </w:pPr>
          </w:p>
          <w:p w14:paraId="4A8B387C">
            <w:pPr>
              <w:snapToGrid w:val="0"/>
              <w:spacing w:line="400" w:lineRule="exact"/>
              <w:jc w:val="center"/>
              <w:rPr>
                <w:rFonts w:ascii="宋体" w:hAnsi="宋体"/>
                <w:color w:val="auto"/>
                <w:kern w:val="0"/>
                <w:szCs w:val="21"/>
                <w:highlight w:val="none"/>
              </w:rPr>
            </w:pPr>
          </w:p>
          <w:p w14:paraId="1ABA778A">
            <w:pPr>
              <w:snapToGrid w:val="0"/>
              <w:spacing w:line="400" w:lineRule="exact"/>
              <w:jc w:val="center"/>
              <w:rPr>
                <w:rFonts w:ascii="宋体" w:hAnsi="宋体"/>
                <w:color w:val="auto"/>
                <w:kern w:val="0"/>
                <w:szCs w:val="21"/>
                <w:highlight w:val="none"/>
              </w:rPr>
            </w:pPr>
          </w:p>
          <w:p w14:paraId="62724AF1">
            <w:pPr>
              <w:snapToGrid w:val="0"/>
              <w:spacing w:line="400" w:lineRule="exact"/>
              <w:jc w:val="center"/>
              <w:rPr>
                <w:rFonts w:ascii="宋体" w:hAnsi="宋体"/>
                <w:color w:val="auto"/>
                <w:kern w:val="0"/>
                <w:szCs w:val="21"/>
                <w:highlight w:val="none"/>
              </w:rPr>
            </w:pPr>
          </w:p>
          <w:p w14:paraId="434DDFC3">
            <w:pPr>
              <w:snapToGrid w:val="0"/>
              <w:spacing w:line="400" w:lineRule="exact"/>
              <w:jc w:val="center"/>
              <w:rPr>
                <w:rFonts w:ascii="宋体" w:hAnsi="宋体"/>
                <w:color w:val="auto"/>
                <w:kern w:val="0"/>
                <w:szCs w:val="21"/>
                <w:highlight w:val="none"/>
              </w:rPr>
            </w:pPr>
          </w:p>
          <w:p w14:paraId="32CB54AD">
            <w:pPr>
              <w:snapToGrid w:val="0"/>
              <w:spacing w:line="400" w:lineRule="exact"/>
              <w:jc w:val="center"/>
              <w:rPr>
                <w:rFonts w:ascii="宋体" w:hAnsi="宋体"/>
                <w:color w:val="auto"/>
                <w:kern w:val="0"/>
                <w:szCs w:val="21"/>
                <w:highlight w:val="none"/>
              </w:rPr>
            </w:pPr>
          </w:p>
          <w:p w14:paraId="158F07FD">
            <w:pPr>
              <w:snapToGrid w:val="0"/>
              <w:spacing w:line="400" w:lineRule="exact"/>
              <w:jc w:val="center"/>
              <w:rPr>
                <w:rFonts w:ascii="宋体" w:hAnsi="宋体"/>
                <w:color w:val="auto"/>
                <w:kern w:val="0"/>
                <w:szCs w:val="21"/>
                <w:highlight w:val="none"/>
              </w:rPr>
            </w:pPr>
          </w:p>
          <w:p w14:paraId="68ACD1BB">
            <w:pPr>
              <w:snapToGrid w:val="0"/>
              <w:spacing w:line="400" w:lineRule="exact"/>
              <w:jc w:val="center"/>
              <w:rPr>
                <w:rFonts w:ascii="宋体" w:hAnsi="宋体"/>
                <w:color w:val="auto"/>
                <w:kern w:val="0"/>
                <w:szCs w:val="21"/>
                <w:highlight w:val="none"/>
              </w:rPr>
            </w:pPr>
          </w:p>
          <w:p w14:paraId="1D01E8D7">
            <w:pPr>
              <w:snapToGrid w:val="0"/>
              <w:spacing w:line="400" w:lineRule="exact"/>
              <w:jc w:val="center"/>
              <w:rPr>
                <w:rFonts w:ascii="宋体" w:hAnsi="宋体"/>
                <w:color w:val="auto"/>
                <w:kern w:val="0"/>
                <w:szCs w:val="21"/>
                <w:highlight w:val="none"/>
              </w:rPr>
            </w:pPr>
          </w:p>
          <w:p w14:paraId="3757BE4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0D818507">
            <w:pPr>
              <w:snapToGrid w:val="0"/>
              <w:spacing w:line="400" w:lineRule="exact"/>
              <w:jc w:val="center"/>
              <w:rPr>
                <w:rFonts w:ascii="宋体" w:hAnsi="宋体"/>
                <w:color w:val="auto"/>
                <w:kern w:val="0"/>
                <w:szCs w:val="21"/>
                <w:highlight w:val="none"/>
              </w:rPr>
            </w:pPr>
          </w:p>
          <w:p w14:paraId="1D3CC476">
            <w:pPr>
              <w:snapToGrid w:val="0"/>
              <w:spacing w:line="400" w:lineRule="exact"/>
              <w:jc w:val="center"/>
              <w:rPr>
                <w:rFonts w:ascii="宋体" w:hAnsi="宋体"/>
                <w:color w:val="auto"/>
                <w:kern w:val="0"/>
                <w:szCs w:val="21"/>
                <w:highlight w:val="none"/>
              </w:rPr>
            </w:pPr>
          </w:p>
          <w:p w14:paraId="2D07ED14">
            <w:pPr>
              <w:snapToGrid w:val="0"/>
              <w:spacing w:line="400" w:lineRule="exact"/>
              <w:jc w:val="center"/>
              <w:rPr>
                <w:rFonts w:ascii="宋体" w:hAnsi="宋体"/>
                <w:color w:val="auto"/>
                <w:kern w:val="0"/>
                <w:szCs w:val="21"/>
                <w:highlight w:val="none"/>
              </w:rPr>
            </w:pPr>
          </w:p>
          <w:p w14:paraId="71A4BA8D">
            <w:pPr>
              <w:snapToGrid w:val="0"/>
              <w:spacing w:line="400" w:lineRule="exact"/>
              <w:jc w:val="center"/>
              <w:rPr>
                <w:rFonts w:ascii="宋体" w:hAnsi="宋体"/>
                <w:color w:val="auto"/>
                <w:kern w:val="0"/>
                <w:szCs w:val="21"/>
                <w:highlight w:val="none"/>
              </w:rPr>
            </w:pPr>
          </w:p>
          <w:p w14:paraId="5FFAB344">
            <w:pPr>
              <w:snapToGrid w:val="0"/>
              <w:spacing w:line="400" w:lineRule="exact"/>
              <w:jc w:val="center"/>
              <w:rPr>
                <w:rFonts w:ascii="宋体" w:hAnsi="宋体"/>
                <w:color w:val="auto"/>
                <w:kern w:val="0"/>
                <w:szCs w:val="21"/>
                <w:highlight w:val="none"/>
              </w:rPr>
            </w:pPr>
          </w:p>
          <w:p w14:paraId="3CA0961D">
            <w:pPr>
              <w:snapToGrid w:val="0"/>
              <w:spacing w:line="400" w:lineRule="exact"/>
              <w:jc w:val="center"/>
              <w:rPr>
                <w:rFonts w:ascii="宋体" w:hAnsi="宋体"/>
                <w:color w:val="auto"/>
                <w:kern w:val="0"/>
                <w:szCs w:val="21"/>
                <w:highlight w:val="none"/>
              </w:rPr>
            </w:pPr>
          </w:p>
          <w:p w14:paraId="010BC292">
            <w:pPr>
              <w:snapToGrid w:val="0"/>
              <w:spacing w:line="400" w:lineRule="exact"/>
              <w:jc w:val="center"/>
              <w:rPr>
                <w:rFonts w:ascii="宋体" w:hAnsi="宋体"/>
                <w:color w:val="auto"/>
                <w:kern w:val="0"/>
                <w:szCs w:val="21"/>
                <w:highlight w:val="none"/>
              </w:rPr>
            </w:pPr>
          </w:p>
          <w:p w14:paraId="1846D08B">
            <w:pPr>
              <w:snapToGrid w:val="0"/>
              <w:spacing w:line="400" w:lineRule="exact"/>
              <w:jc w:val="center"/>
              <w:rPr>
                <w:rFonts w:ascii="宋体" w:hAnsi="宋体"/>
                <w:color w:val="auto"/>
                <w:kern w:val="0"/>
                <w:szCs w:val="21"/>
                <w:highlight w:val="none"/>
              </w:rPr>
            </w:pPr>
          </w:p>
          <w:p w14:paraId="587B74AE">
            <w:pPr>
              <w:snapToGrid w:val="0"/>
              <w:spacing w:line="400" w:lineRule="exact"/>
              <w:jc w:val="center"/>
              <w:rPr>
                <w:rFonts w:ascii="宋体" w:hAnsi="宋体"/>
                <w:color w:val="auto"/>
                <w:kern w:val="0"/>
                <w:szCs w:val="21"/>
                <w:highlight w:val="none"/>
              </w:rPr>
            </w:pPr>
          </w:p>
          <w:p w14:paraId="04773FF4">
            <w:pPr>
              <w:snapToGrid w:val="0"/>
              <w:spacing w:line="400" w:lineRule="exact"/>
              <w:jc w:val="center"/>
              <w:rPr>
                <w:rFonts w:ascii="宋体" w:hAnsi="宋体"/>
                <w:color w:val="auto"/>
                <w:kern w:val="0"/>
                <w:szCs w:val="21"/>
                <w:highlight w:val="none"/>
              </w:rPr>
            </w:pPr>
          </w:p>
          <w:p w14:paraId="33E8393F">
            <w:pPr>
              <w:snapToGrid w:val="0"/>
              <w:spacing w:line="400" w:lineRule="exact"/>
              <w:jc w:val="both"/>
              <w:rPr>
                <w:rFonts w:ascii="宋体" w:hAnsi="宋体"/>
                <w:color w:val="auto"/>
                <w:kern w:val="0"/>
                <w:szCs w:val="21"/>
                <w:highlight w:val="none"/>
              </w:rPr>
            </w:pPr>
          </w:p>
        </w:tc>
        <w:tc>
          <w:tcPr>
            <w:tcW w:w="6490" w:type="dxa"/>
            <w:vAlign w:val="center"/>
          </w:tcPr>
          <w:p w14:paraId="05C65CCB">
            <w:pPr>
              <w:autoSpaceDE w:val="0"/>
              <w:autoSpaceDN w:val="0"/>
              <w:adjustRightInd w:val="0"/>
              <w:snapToGrid w:val="0"/>
              <w:spacing w:line="400" w:lineRule="exact"/>
              <w:ind w:firstLine="420" w:firstLineChars="200"/>
              <w:rPr>
                <w:rFonts w:ascii="宋体" w:hAnsi="宋体"/>
                <w:color w:val="auto"/>
                <w:szCs w:val="21"/>
                <w:highlight w:val="none"/>
              </w:rPr>
            </w:pPr>
            <w:bookmarkStart w:id="100" w:name="OLE_LINK1"/>
            <w:r>
              <w:rPr>
                <w:rFonts w:ascii="宋体" w:hAnsi="宋体"/>
                <w:color w:val="auto"/>
                <w:szCs w:val="21"/>
                <w:highlight w:val="none"/>
              </w:rPr>
              <w:t>本工程施工</w:t>
            </w:r>
            <w:r>
              <w:rPr>
                <w:rFonts w:hint="eastAsia" w:ascii="宋体" w:hAnsi="宋体"/>
                <w:color w:val="auto"/>
                <w:szCs w:val="21"/>
                <w:highlight w:val="none"/>
                <w:lang w:eastAsia="zh-CN"/>
              </w:rPr>
              <w:t>比选</w:t>
            </w:r>
            <w:r>
              <w:rPr>
                <w:rFonts w:ascii="宋体" w:hAnsi="宋体"/>
                <w:color w:val="auto"/>
                <w:szCs w:val="21"/>
                <w:highlight w:val="none"/>
              </w:rPr>
              <w:t>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01" w:name="一是"/>
            <w:bookmarkEnd w:id="101"/>
            <w:r>
              <w:rPr>
                <w:rFonts w:ascii="宋体" w:hAnsi="宋体"/>
                <w:color w:val="auto"/>
                <w:szCs w:val="21"/>
                <w:highlight w:val="none"/>
              </w:rPr>
              <w:t>具备以下资格条件：</w:t>
            </w:r>
          </w:p>
          <w:bookmarkEnd w:id="100"/>
          <w:p w14:paraId="50CB7212">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14:paraId="405A47FE">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须具备建设行政主管部门颁发的有效的</w:t>
            </w:r>
            <w:r>
              <w:rPr>
                <w:rFonts w:hint="eastAsia" w:ascii="宋体" w:hAnsi="宋体" w:eastAsia="宋体" w:cs="宋体"/>
                <w:color w:val="auto"/>
                <w:sz w:val="21"/>
                <w:szCs w:val="21"/>
                <w:highlight w:val="none"/>
                <w:lang w:val="en-US" w:eastAsia="zh-CN"/>
              </w:rPr>
              <w:t>建筑</w:t>
            </w:r>
            <w:r>
              <w:rPr>
                <w:rFonts w:hint="eastAsia" w:ascii="宋体" w:hAnsi="宋体" w:eastAsia="宋体" w:cs="宋体"/>
                <w:color w:val="auto"/>
                <w:sz w:val="21"/>
                <w:szCs w:val="21"/>
                <w:highlight w:val="none"/>
              </w:rPr>
              <w:t>工程施工总承包</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级</w:t>
            </w:r>
            <w:r>
              <w:rPr>
                <w:rFonts w:hint="eastAsia" w:ascii="宋体" w:hAnsi="宋体" w:eastAsia="宋体" w:cs="宋体"/>
                <w:color w:val="auto"/>
                <w:sz w:val="21"/>
                <w:szCs w:val="21"/>
                <w:highlight w:val="none"/>
                <w:lang w:val="en-US" w:eastAsia="zh-CN"/>
              </w:rPr>
              <w:t>或市政公用工程施工总承包三级及以上资质</w:t>
            </w:r>
            <w:r>
              <w:rPr>
                <w:rFonts w:hint="eastAsia" w:ascii="宋体" w:hAnsi="宋体" w:eastAsia="宋体" w:cs="宋体"/>
                <w:color w:val="auto"/>
                <w:sz w:val="21"/>
                <w:szCs w:val="21"/>
                <w:highlight w:val="none"/>
                <w:lang w:eastAsia="zh-CN"/>
              </w:rPr>
              <w:t>（须提供有效的资质证书副本复印件或扫描件并加盖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lang w:eastAsia="zh-CN"/>
              </w:rPr>
              <w:t>单位公章）；</w:t>
            </w:r>
          </w:p>
          <w:p w14:paraId="42CEC2C3">
            <w:pPr>
              <w:widowControl w:val="0"/>
              <w:numPr>
                <w:ilvl w:val="0"/>
                <w:numId w:val="1"/>
              </w:numPr>
              <w:tabs>
                <w:tab w:val="left" w:pos="3840"/>
                <w:tab w:val="left" w:pos="5300"/>
              </w:tabs>
              <w:wordWrap/>
              <w:autoSpaceDE w:val="0"/>
              <w:autoSpaceDN w:val="0"/>
              <w:adjustRightInd w:val="0"/>
              <w:snapToGrid w:val="0"/>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须具备建设行政主管部门颁发的安全生产许可证（须提供有效的安全生产许可证复印件或扫描件并加盖</w:t>
            </w:r>
            <w:r>
              <w:rPr>
                <w:rFonts w:hint="eastAsia" w:ascii="宋体" w:hAnsi="宋体" w:cs="宋体"/>
                <w:color w:val="auto"/>
                <w:sz w:val="21"/>
                <w:szCs w:val="21"/>
                <w:highlight w:val="none"/>
                <w:lang w:eastAsia="zh-CN"/>
              </w:rPr>
              <w:t>竞选人</w:t>
            </w:r>
            <w:r>
              <w:rPr>
                <w:rFonts w:hint="eastAsia" w:ascii="宋体" w:hAnsi="宋体" w:eastAsia="宋体" w:cs="宋体"/>
                <w:color w:val="auto"/>
                <w:sz w:val="21"/>
                <w:szCs w:val="21"/>
                <w:highlight w:val="none"/>
              </w:rPr>
              <w:t>单位公章）。</w:t>
            </w:r>
          </w:p>
          <w:p w14:paraId="570EC516">
            <w:pPr>
              <w:autoSpaceDE w:val="0"/>
              <w:autoSpaceDN w:val="0"/>
              <w:adjustRightInd w:val="0"/>
              <w:snapToGri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eastAsia="zh-CN"/>
              </w:rPr>
              <w:t>竞选人</w:t>
            </w:r>
            <w:r>
              <w:rPr>
                <w:rFonts w:hint="eastAsia" w:ascii="宋体" w:hAnsi="宋体"/>
                <w:color w:val="auto"/>
                <w:sz w:val="21"/>
                <w:szCs w:val="21"/>
                <w:highlight w:val="none"/>
              </w:rPr>
              <w:t>须在</w:t>
            </w:r>
            <w:r>
              <w:rPr>
                <w:rFonts w:hint="eastAsia" w:ascii="宋体" w:hAnsi="宋体"/>
                <w:color w:val="auto"/>
                <w:sz w:val="21"/>
                <w:szCs w:val="21"/>
                <w:highlight w:val="none"/>
                <w:lang w:eastAsia="zh-CN"/>
              </w:rPr>
              <w:t>竞选文件</w:t>
            </w:r>
            <w:r>
              <w:rPr>
                <w:rFonts w:hint="eastAsia" w:ascii="宋体" w:hAnsi="宋体"/>
                <w:color w:val="auto"/>
                <w:sz w:val="21"/>
                <w:szCs w:val="21"/>
                <w:highlight w:val="none"/>
              </w:rPr>
              <w:t>资格审查部分提供有效的安全生产许可证</w:t>
            </w:r>
            <w:r>
              <w:rPr>
                <w:rFonts w:ascii="宋体" w:hAnsi="宋体"/>
                <w:color w:val="auto"/>
                <w:sz w:val="21"/>
                <w:szCs w:val="21"/>
                <w:highlight w:val="none"/>
              </w:rPr>
              <w:t>及安全生产考核合格证书复印件。</w:t>
            </w:r>
          </w:p>
          <w:p w14:paraId="4CEF664B">
            <w:pPr>
              <w:autoSpaceDE w:val="0"/>
              <w:autoSpaceDN w:val="0"/>
              <w:adjustRightInd w:val="0"/>
              <w:snapToGrid w:val="0"/>
              <w:spacing w:line="400" w:lineRule="exact"/>
              <w:ind w:firstLine="422" w:firstLineChars="200"/>
              <w:rPr>
                <w:rFonts w:hint="default" w:ascii="宋体" w:hAnsi="宋体" w:eastAsia="宋体"/>
                <w:b/>
                <w:color w:val="auto"/>
                <w:szCs w:val="21"/>
                <w:highlight w:val="none"/>
                <w:u w:val="single"/>
                <w:lang w:val="en-US" w:eastAsia="zh-CN"/>
              </w:rPr>
            </w:pPr>
            <w:r>
              <w:rPr>
                <w:rFonts w:ascii="宋体" w:hAnsi="宋体"/>
                <w:b/>
                <w:color w:val="auto"/>
                <w:szCs w:val="21"/>
                <w:highlight w:val="none"/>
              </w:rPr>
              <w:t>2.财务要求</w:t>
            </w:r>
            <w:r>
              <w:rPr>
                <w:rFonts w:hint="eastAsia" w:ascii="宋体" w:hAnsi="宋体"/>
                <w:b/>
                <w:color w:val="auto"/>
                <w:szCs w:val="21"/>
                <w:highlight w:val="none"/>
                <w:lang w:val="en-US" w:eastAsia="zh-CN"/>
              </w:rPr>
              <w:t xml:space="preserve"> </w:t>
            </w:r>
            <w:r>
              <w:rPr>
                <w:rFonts w:hint="eastAsia" w:ascii="宋体" w:hAnsi="宋体"/>
                <w:b/>
                <w:color w:val="auto"/>
                <w:szCs w:val="21"/>
                <w:highlight w:val="none"/>
                <w:u w:val="single"/>
                <w:lang w:val="en-US" w:eastAsia="zh-CN"/>
              </w:rPr>
              <w:t xml:space="preserve"> / </w:t>
            </w:r>
          </w:p>
          <w:p w14:paraId="51D2E99B">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3.业绩要求</w:t>
            </w:r>
            <w:r>
              <w:rPr>
                <w:rFonts w:hint="eastAsia" w:ascii="宋体" w:hAnsi="宋体"/>
                <w:b/>
                <w:color w:val="auto"/>
                <w:szCs w:val="21"/>
                <w:highlight w:val="none"/>
                <w:u w:val="single"/>
                <w:lang w:val="en-US" w:eastAsia="zh-CN"/>
              </w:rPr>
              <w:t xml:space="preserve"> / </w:t>
            </w:r>
          </w:p>
          <w:p w14:paraId="5BC3C567">
            <w:pPr>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4.投标截止日投标资格情况</w:t>
            </w:r>
          </w:p>
          <w:p w14:paraId="3E7479F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自行承诺（格式见第八章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格式）不得存在下列情形之一：</w:t>
            </w:r>
          </w:p>
          <w:p w14:paraId="5138831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BFB570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投标信用管理暂行办法》规定的重点关注名单且记分达到12分且在记分有效期内；</w:t>
            </w:r>
          </w:p>
          <w:p w14:paraId="2458C15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投标失信惩戒对象名单（以下称黑名单）且在记分有效期内；</w:t>
            </w:r>
          </w:p>
          <w:p w14:paraId="110A0EC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554497E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eastAsia="宋体" w:cs="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185646F2">
            <w:pPr>
              <w:spacing w:line="400" w:lineRule="exact"/>
              <w:ind w:firstLine="420" w:firstLineChars="200"/>
              <w:rPr>
                <w:color w:val="auto"/>
                <w:highlight w:val="none"/>
              </w:rPr>
            </w:pPr>
            <w:r>
              <w:rPr>
                <w:rFonts w:hint="eastAsia"/>
                <w:color w:val="auto"/>
                <w:highlight w:val="none"/>
                <w:lang w:eastAsia="zh-CN"/>
              </w:rPr>
              <w:t>竞选人</w:t>
            </w:r>
            <w:r>
              <w:rPr>
                <w:rFonts w:hint="eastAsia"/>
                <w:color w:val="auto"/>
                <w:highlight w:val="none"/>
              </w:rPr>
              <w:t>须在</w:t>
            </w:r>
            <w:r>
              <w:rPr>
                <w:rFonts w:hint="eastAsia"/>
                <w:color w:val="auto"/>
                <w:highlight w:val="none"/>
                <w:lang w:eastAsia="zh-CN"/>
              </w:rPr>
              <w:t>竞选文件</w:t>
            </w:r>
            <w:r>
              <w:rPr>
                <w:rFonts w:hint="eastAsia"/>
                <w:color w:val="auto"/>
                <w:highlight w:val="none"/>
              </w:rPr>
              <w:t>资格审查部分提供承诺。</w:t>
            </w:r>
          </w:p>
          <w:p w14:paraId="13912B60">
            <w:pPr>
              <w:spacing w:line="400" w:lineRule="exact"/>
              <w:ind w:firstLine="420" w:firstLineChars="200"/>
              <w:rPr>
                <w:color w:val="auto"/>
                <w:highlight w:val="none"/>
              </w:rPr>
            </w:pPr>
            <w:r>
              <w:rPr>
                <w:rFonts w:hint="eastAsia"/>
                <w:color w:val="auto"/>
                <w:highlight w:val="none"/>
              </w:rPr>
              <w:t>上述第（2）、（3）款信用情况在开标现场进行查询，查询结果交由评标委员会评审，若</w:t>
            </w:r>
            <w:r>
              <w:rPr>
                <w:rFonts w:hint="eastAsia"/>
                <w:color w:val="auto"/>
                <w:highlight w:val="none"/>
                <w:lang w:eastAsia="zh-CN"/>
              </w:rPr>
              <w:t>竞选人</w:t>
            </w:r>
            <w:r>
              <w:rPr>
                <w:rFonts w:hint="eastAsia"/>
                <w:color w:val="auto"/>
                <w:highlight w:val="none"/>
              </w:rPr>
              <w:t>针对上述第（2）、（3）款的承诺内容与查询结果不符，由评标委员会作否决投标处理。</w:t>
            </w:r>
          </w:p>
          <w:p w14:paraId="3A0DC942">
            <w:pPr>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5.项目经理资格要求</w:t>
            </w:r>
          </w:p>
          <w:p w14:paraId="034BC56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5.1</w:t>
            </w:r>
            <w:r>
              <w:rPr>
                <w:rFonts w:hint="eastAsia"/>
                <w:color w:val="auto"/>
                <w:szCs w:val="21"/>
                <w:highlight w:val="none"/>
                <w:lang w:eastAsia="zh-CN"/>
              </w:rPr>
              <w:t>竞选人</w:t>
            </w:r>
            <w:r>
              <w:rPr>
                <w:rFonts w:hint="eastAsia"/>
                <w:color w:val="auto"/>
                <w:szCs w:val="21"/>
                <w:highlight w:val="none"/>
              </w:rPr>
              <w:t>拟派的</w:t>
            </w:r>
            <w:r>
              <w:rPr>
                <w:color w:val="auto"/>
                <w:szCs w:val="21"/>
                <w:highlight w:val="none"/>
              </w:rPr>
              <w:t>项目经理必须已在</w:t>
            </w:r>
            <w:r>
              <w:rPr>
                <w:rFonts w:hint="eastAsia"/>
                <w:color w:val="auto"/>
                <w:szCs w:val="21"/>
                <w:highlight w:val="none"/>
                <w:lang w:eastAsia="zh-CN"/>
              </w:rPr>
              <w:t>竞选人</w:t>
            </w:r>
            <w:r>
              <w:rPr>
                <w:rFonts w:hint="eastAsia"/>
                <w:color w:val="auto"/>
                <w:szCs w:val="21"/>
                <w:highlight w:val="none"/>
              </w:rPr>
              <w:t>本</w:t>
            </w:r>
            <w:r>
              <w:rPr>
                <w:color w:val="auto"/>
                <w:szCs w:val="21"/>
                <w:highlight w:val="none"/>
              </w:rPr>
              <w:t>单位注册并应具有</w:t>
            </w:r>
            <w:r>
              <w:rPr>
                <w:rFonts w:hint="eastAsia" w:ascii="宋体" w:hAnsi="宋体"/>
                <w:color w:val="auto"/>
                <w:szCs w:val="21"/>
                <w:highlight w:val="none"/>
                <w:u w:val="single"/>
                <w:lang w:val="en-US" w:eastAsia="zh-CN"/>
              </w:rPr>
              <w:t>市政公用工程</w:t>
            </w:r>
            <w:r>
              <w:rPr>
                <w:rFonts w:hint="eastAsia" w:ascii="宋体" w:hAnsi="宋体"/>
                <w:color w:val="auto"/>
                <w:szCs w:val="21"/>
                <w:highlight w:val="none"/>
                <w:u w:val="none"/>
                <w:lang w:val="en-US" w:eastAsia="zh-CN"/>
              </w:rPr>
              <w:t>专业</w:t>
            </w:r>
            <w:r>
              <w:rPr>
                <w:rFonts w:hint="eastAsia"/>
                <w:color w:val="auto"/>
                <w:szCs w:val="21"/>
                <w:highlight w:val="none"/>
                <w:u w:val="single"/>
              </w:rPr>
              <w:t>二级</w:t>
            </w:r>
            <w:r>
              <w:rPr>
                <w:rFonts w:hint="eastAsia"/>
                <w:color w:val="auto"/>
                <w:highlight w:val="none"/>
                <w:u w:val="single"/>
              </w:rPr>
              <w:t>及</w:t>
            </w:r>
            <w:r>
              <w:rPr>
                <w:color w:val="auto"/>
                <w:szCs w:val="21"/>
                <w:highlight w:val="none"/>
                <w:u w:val="single"/>
              </w:rPr>
              <w:t>以上</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rPr>
              <w:t>。</w:t>
            </w:r>
          </w:p>
          <w:p w14:paraId="607D1E2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5.2项目经理承诺要求：</w:t>
            </w:r>
            <w:r>
              <w:rPr>
                <w:rFonts w:hint="eastAsia" w:ascii="宋体" w:hAnsi="宋体"/>
                <w:color w:val="auto"/>
                <w:szCs w:val="21"/>
                <w:highlight w:val="none"/>
                <w:lang w:eastAsia="zh-CN"/>
              </w:rPr>
              <w:t>竞选人</w:t>
            </w:r>
            <w:r>
              <w:rPr>
                <w:rFonts w:hint="eastAsia" w:ascii="宋体" w:hAnsi="宋体"/>
                <w:color w:val="auto"/>
                <w:szCs w:val="21"/>
                <w:highlight w:val="none"/>
              </w:rPr>
              <w:t>须承诺拟派项目经理按注册建造师的相关规定到岗履职和未被禁止参与投标。</w:t>
            </w:r>
          </w:p>
          <w:p w14:paraId="4FECA881">
            <w:pPr>
              <w:snapToGrid w:val="0"/>
              <w:spacing w:line="400" w:lineRule="exact"/>
              <w:ind w:firstLine="420" w:firstLineChars="200"/>
              <w:rPr>
                <w:rFonts w:ascii="宋体" w:hAnsi="宋体"/>
                <w:color w:val="auto"/>
                <w:highlight w:val="none"/>
              </w:rPr>
            </w:pPr>
            <w:r>
              <w:rPr>
                <w:rFonts w:ascii="宋体" w:hAnsi="宋体"/>
                <w:color w:val="auto"/>
                <w:highlight w:val="none"/>
              </w:rPr>
              <w:t>5.2.1到岗履职承诺要求：承诺拟派项目经理中标后在本项目任职，签订合同时拟派的项目经理必须与</w:t>
            </w:r>
            <w:r>
              <w:rPr>
                <w:rFonts w:hint="eastAsia" w:ascii="宋体" w:hAnsi="宋体"/>
                <w:color w:val="auto"/>
                <w:highlight w:val="none"/>
                <w:lang w:eastAsia="zh-CN"/>
              </w:rPr>
              <w:t>竞选文件</w:t>
            </w:r>
            <w:r>
              <w:rPr>
                <w:rFonts w:ascii="宋体" w:hAnsi="宋体"/>
                <w:color w:val="auto"/>
                <w:highlight w:val="none"/>
              </w:rPr>
              <w:t>中的项目经理一致，并满足办理施工许可手续的相关要求。不能按承诺到岗履约的，按合同相关条款处罚并上报行政主管部门，给</w:t>
            </w:r>
            <w:r>
              <w:rPr>
                <w:rFonts w:hint="eastAsia" w:ascii="宋体" w:hAnsi="宋体"/>
                <w:color w:val="auto"/>
                <w:highlight w:val="none"/>
                <w:lang w:eastAsia="zh-CN"/>
              </w:rPr>
              <w:t>比选</w:t>
            </w:r>
            <w:r>
              <w:rPr>
                <w:rFonts w:ascii="宋体" w:hAnsi="宋体"/>
                <w:color w:val="auto"/>
                <w:highlight w:val="none"/>
              </w:rPr>
              <w:t>人造成损失的，</w:t>
            </w:r>
            <w:r>
              <w:rPr>
                <w:rFonts w:hint="eastAsia" w:ascii="宋体" w:hAnsi="宋体"/>
                <w:color w:val="auto"/>
                <w:highlight w:val="none"/>
                <w:lang w:eastAsia="zh-CN"/>
              </w:rPr>
              <w:t>竞选人</w:t>
            </w:r>
            <w:r>
              <w:rPr>
                <w:rFonts w:ascii="宋体" w:hAnsi="宋体"/>
                <w:color w:val="auto"/>
                <w:highlight w:val="none"/>
              </w:rPr>
              <w:t>依法承担违约赔偿责任。拟派项目经理中标后不得随意更换。</w:t>
            </w:r>
          </w:p>
          <w:p w14:paraId="0981B1E3">
            <w:pPr>
              <w:snapToGrid w:val="0"/>
              <w:spacing w:line="400" w:lineRule="exact"/>
              <w:ind w:firstLine="420" w:firstLineChars="200"/>
              <w:rPr>
                <w:rFonts w:ascii="宋体" w:hAnsi="宋体"/>
                <w:color w:val="auto"/>
                <w:highlight w:val="none"/>
              </w:rPr>
            </w:pPr>
            <w:r>
              <w:rPr>
                <w:rFonts w:ascii="宋体" w:hAnsi="宋体"/>
                <w:color w:val="auto"/>
                <w:highlight w:val="none"/>
              </w:rPr>
              <w:t>5.2.2未被禁止参与投标承诺要求：承诺拟派项目经理未被重庆市</w:t>
            </w:r>
            <w:r>
              <w:rPr>
                <w:rFonts w:hint="eastAsia" w:ascii="宋体" w:hAnsi="宋体"/>
                <w:color w:val="auto"/>
                <w:highlight w:val="none"/>
                <w:lang w:val="en-US" w:eastAsia="zh-CN"/>
              </w:rPr>
              <w:t>市级有关行业</w:t>
            </w:r>
            <w:r>
              <w:rPr>
                <w:rFonts w:ascii="宋体" w:hAnsi="宋体"/>
                <w:color w:val="auto"/>
                <w:highlight w:val="none"/>
              </w:rPr>
              <w:t>主管部门暂停在渝承揽新业务。若被暂停在渝承揽新业务但仍参加投标，将被否决投标；已取得中标候选人资格或中标资格的，</w:t>
            </w:r>
            <w:r>
              <w:rPr>
                <w:rFonts w:hint="eastAsia" w:ascii="宋体" w:hAnsi="宋体"/>
                <w:color w:val="auto"/>
                <w:highlight w:val="none"/>
                <w:lang w:eastAsia="zh-CN"/>
              </w:rPr>
              <w:t>比选</w:t>
            </w:r>
            <w:r>
              <w:rPr>
                <w:rFonts w:ascii="宋体" w:hAnsi="宋体"/>
                <w:color w:val="auto"/>
                <w:highlight w:val="none"/>
              </w:rPr>
              <w:t>人有权取消其中标候选人资格或中标资格；给</w:t>
            </w:r>
            <w:r>
              <w:rPr>
                <w:rFonts w:hint="eastAsia" w:ascii="宋体" w:hAnsi="宋体"/>
                <w:color w:val="auto"/>
                <w:highlight w:val="none"/>
                <w:lang w:eastAsia="zh-CN"/>
              </w:rPr>
              <w:t>比选</w:t>
            </w:r>
            <w:r>
              <w:rPr>
                <w:rFonts w:ascii="宋体" w:hAnsi="宋体"/>
                <w:color w:val="auto"/>
                <w:highlight w:val="none"/>
              </w:rPr>
              <w:t>人造成损失的，</w:t>
            </w:r>
            <w:r>
              <w:rPr>
                <w:rFonts w:hint="eastAsia" w:ascii="宋体" w:hAnsi="宋体"/>
                <w:color w:val="auto"/>
                <w:highlight w:val="none"/>
                <w:lang w:eastAsia="zh-CN"/>
              </w:rPr>
              <w:t>竞选人</w:t>
            </w:r>
            <w:r>
              <w:rPr>
                <w:rFonts w:ascii="宋体" w:hAnsi="宋体"/>
                <w:color w:val="auto"/>
                <w:highlight w:val="none"/>
              </w:rPr>
              <w:t>依法承担违约赔偿责任。</w:t>
            </w:r>
          </w:p>
          <w:p w14:paraId="339A1AAD">
            <w:pPr>
              <w:snapToGrid w:val="0"/>
              <w:spacing w:line="400" w:lineRule="exact"/>
              <w:ind w:firstLine="420" w:firstLineChars="200"/>
              <w:rPr>
                <w:rFonts w:ascii="宋体" w:hAnsi="宋体"/>
                <w:color w:val="auto"/>
                <w:szCs w:val="21"/>
                <w:highlight w:val="none"/>
              </w:rPr>
            </w:pPr>
            <w:r>
              <w:rPr>
                <w:rFonts w:ascii="宋体" w:hAnsi="宋体"/>
                <w:color w:val="auto"/>
                <w:highlight w:val="none"/>
              </w:rPr>
              <w:t>5.2.3</w:t>
            </w:r>
            <w:r>
              <w:rPr>
                <w:rFonts w:hint="eastAsia" w:ascii="宋体" w:hAnsi="宋体"/>
                <w:color w:val="auto"/>
                <w:highlight w:val="none"/>
              </w:rPr>
              <w:t>未提供上述承诺或承诺内容不符合要求的，由评标委员会作否决投标处理</w:t>
            </w:r>
            <w:r>
              <w:rPr>
                <w:rFonts w:ascii="宋体" w:hAnsi="宋体"/>
                <w:color w:val="auto"/>
                <w:highlight w:val="none"/>
              </w:rPr>
              <w:t>。</w:t>
            </w:r>
          </w:p>
          <w:p w14:paraId="320A4142">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资格审查部分提供有效的拟派项目经理建造师注册证、身份证、</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为其缴纳的养老保险证明材料复印件，拟派项目经理到岗履职和未被禁止参与投标的承诺原件（承诺格式见第八章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w:t>
            </w:r>
          </w:p>
          <w:p w14:paraId="74B3644A">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注：</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54683D01">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14:paraId="6A8BEABB">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建造师电子注册证书本人手写签名与签名图像笔迹是否一致不作为否决投标的情形。</w:t>
            </w:r>
          </w:p>
          <w:p w14:paraId="58AD0DBA">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6.其他要求</w:t>
            </w:r>
          </w:p>
          <w:p w14:paraId="475ACF86">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70CBFA2B">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hint="eastAsia" w:ascii="宋体" w:hAnsi="宋体"/>
                <w:color w:val="auto"/>
                <w:szCs w:val="21"/>
                <w:highlight w:val="none"/>
                <w:u w:val="single"/>
              </w:rPr>
              <w:t>工程类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级及以上</w:t>
            </w:r>
            <w:r>
              <w:rPr>
                <w:rFonts w:ascii="宋体" w:hAnsi="宋体"/>
                <w:color w:val="auto"/>
                <w:szCs w:val="21"/>
                <w:highlight w:val="none"/>
              </w:rPr>
              <w:t>职称；</w:t>
            </w:r>
          </w:p>
          <w:p w14:paraId="11D1BC41">
            <w:pPr>
              <w:autoSpaceDE w:val="0"/>
              <w:autoSpaceDN w:val="0"/>
              <w:adjustRightInd w:val="0"/>
              <w:snapToGrid w:val="0"/>
              <w:spacing w:line="400" w:lineRule="exact"/>
              <w:ind w:firstLine="420" w:firstLineChars="200"/>
              <w:rPr>
                <w:rFonts w:ascii="宋体" w:hAnsi="宋体"/>
                <w:color w:val="auto"/>
                <w:spacing w:val="-24"/>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资格审查部分提供拟派技术负责人身份证、职称证及</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本单位为其缴纳的养老保险证明材料复印件。</w:t>
            </w:r>
          </w:p>
          <w:p w14:paraId="51BE0E2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14:paraId="0B88F386">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为其缴纳的养老保险证明材料。中标后不能满足该要求的，</w:t>
            </w:r>
            <w:r>
              <w:rPr>
                <w:rFonts w:hint="eastAsia" w:ascii="宋体" w:hAnsi="宋体"/>
                <w:color w:val="auto"/>
                <w:szCs w:val="21"/>
                <w:highlight w:val="none"/>
                <w:lang w:eastAsia="zh-CN"/>
              </w:rPr>
              <w:t>比选</w:t>
            </w:r>
            <w:r>
              <w:rPr>
                <w:rFonts w:hint="eastAsia" w:ascii="宋体" w:hAnsi="宋体"/>
                <w:color w:val="auto"/>
                <w:szCs w:val="21"/>
                <w:highlight w:val="none"/>
              </w:rPr>
              <w:t>人可取消其中标资格，给</w:t>
            </w:r>
            <w:r>
              <w:rPr>
                <w:rFonts w:hint="eastAsia" w:ascii="宋体" w:hAnsi="宋体"/>
                <w:color w:val="auto"/>
                <w:szCs w:val="21"/>
                <w:highlight w:val="none"/>
                <w:lang w:eastAsia="zh-CN"/>
              </w:rPr>
              <w:t>比选</w:t>
            </w:r>
            <w:r>
              <w:rPr>
                <w:rFonts w:hint="eastAsia" w:ascii="宋体" w:hAnsi="宋体"/>
                <w:color w:val="auto"/>
                <w:szCs w:val="21"/>
                <w:highlight w:val="none"/>
              </w:rPr>
              <w:t>人造成损失的，</w:t>
            </w:r>
            <w:r>
              <w:rPr>
                <w:rFonts w:hint="eastAsia" w:ascii="宋体" w:hAnsi="宋体"/>
                <w:color w:val="auto"/>
                <w:szCs w:val="21"/>
                <w:highlight w:val="none"/>
                <w:lang w:eastAsia="zh-CN"/>
              </w:rPr>
              <w:t>竞选人</w:t>
            </w:r>
            <w:r>
              <w:rPr>
                <w:rFonts w:hint="eastAsia" w:ascii="宋体" w:hAnsi="宋体"/>
                <w:color w:val="auto"/>
                <w:szCs w:val="21"/>
                <w:highlight w:val="none"/>
              </w:rPr>
              <w:t>依法承担违约赔偿责任。</w:t>
            </w:r>
          </w:p>
          <w:p w14:paraId="57DBD9D3">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须在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资格审查部分提供承诺（承诺格式见第八章</w:t>
            </w:r>
            <w:r>
              <w:rPr>
                <w:rFonts w:hint="eastAsia" w:ascii="宋体" w:hAnsi="宋体"/>
                <w:color w:val="auto"/>
                <w:szCs w:val="21"/>
                <w:highlight w:val="none"/>
                <w:lang w:eastAsia="zh-CN"/>
              </w:rPr>
              <w:t>竞选文件</w:t>
            </w:r>
            <w:r>
              <w:rPr>
                <w:rFonts w:hint="eastAsia" w:ascii="宋体" w:hAnsi="宋体"/>
                <w:color w:val="auto"/>
                <w:szCs w:val="21"/>
                <w:highlight w:val="none"/>
              </w:rPr>
              <w:t>格式）。</w:t>
            </w:r>
          </w:p>
          <w:p w14:paraId="2293AB5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3809045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5632063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须</w:t>
            </w:r>
            <w:r>
              <w:rPr>
                <w:rFonts w:hint="eastAsia" w:ascii="宋体" w:hAnsi="宋体"/>
                <w:color w:val="auto"/>
                <w:kern w:val="0"/>
                <w:szCs w:val="21"/>
                <w:highlight w:val="none"/>
              </w:rPr>
              <w:t>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缴纳的养老保险证明复印件。否则，将由评标委员会作否决投标处理。</w:t>
            </w:r>
          </w:p>
          <w:p w14:paraId="0CB561C9">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09840993">
            <w:pPr>
              <w:widowControl w:val="0"/>
              <w:wordWrap/>
              <w:autoSpaceDE w:val="0"/>
              <w:autoSpaceDN w:val="0"/>
              <w:adjustRightInd w:val="0"/>
              <w:snapToGrid w:val="0"/>
              <w:spacing w:line="480" w:lineRule="exact"/>
              <w:ind w:firstLine="415" w:firstLineChars="198"/>
              <w:textAlignment w:val="auto"/>
              <w:rPr>
                <w:rFonts w:hint="eastAsia" w:ascii="宋体" w:hAnsi="宋体" w:cs="宋体"/>
                <w:color w:val="auto"/>
                <w:szCs w:val="21"/>
                <w:highlight w:val="none"/>
              </w:rPr>
            </w:pPr>
            <w:r>
              <w:rPr>
                <w:rFonts w:hint="eastAsia" w:ascii="宋体" w:hAnsi="宋体" w:cs="宋体"/>
                <w:color w:val="auto"/>
                <w:szCs w:val="21"/>
                <w:highlight w:val="none"/>
              </w:rPr>
              <w:t>（1）上述要求须提交的相关证明材料复印件均应加盖投标单位法人章并装入</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资格审查部分中。上述要求</w:t>
            </w:r>
            <w:r>
              <w:rPr>
                <w:rFonts w:hint="eastAsia" w:ascii="宋体" w:hAnsi="宋体" w:cs="宋体"/>
                <w:color w:val="auto"/>
                <w:kern w:val="0"/>
                <w:szCs w:val="21"/>
                <w:highlight w:val="none"/>
              </w:rPr>
              <w:t>，</w:t>
            </w:r>
            <w:r>
              <w:rPr>
                <w:rFonts w:hint="eastAsia" w:ascii="宋体" w:hAnsi="宋体" w:cs="宋体"/>
                <w:color w:val="auto"/>
                <w:szCs w:val="21"/>
                <w:highlight w:val="none"/>
              </w:rPr>
              <w:t>有一条不满足则</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由评标委员会作否决投标处理。</w:t>
            </w:r>
          </w:p>
          <w:p w14:paraId="0A00559B">
            <w:pPr>
              <w:widowControl w:val="0"/>
              <w:wordWrap/>
              <w:autoSpaceDE w:val="0"/>
              <w:autoSpaceDN w:val="0"/>
              <w:adjustRightInd w:val="0"/>
              <w:snapToGrid w:val="0"/>
              <w:spacing w:line="480" w:lineRule="exact"/>
              <w:ind w:firstLine="415" w:firstLineChars="198"/>
              <w:textAlignment w:val="auto"/>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须自行承诺其提供的上述相关证明材料真实有效，不存在弄虚作假情形（格式见第八章</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w:t>
            </w:r>
            <w:r>
              <w:rPr>
                <w:rFonts w:hint="eastAsia" w:ascii="宋体" w:hAnsi="宋体" w:cs="宋体"/>
                <w:color w:val="auto"/>
                <w:szCs w:val="21"/>
                <w:highlight w:val="none"/>
                <w:u w:val="single"/>
                <w:lang w:eastAsia="zh-CN"/>
              </w:rPr>
              <w:t>比选</w:t>
            </w:r>
            <w:r>
              <w:rPr>
                <w:rFonts w:hint="eastAsia" w:ascii="宋体" w:hAnsi="宋体" w:cs="宋体"/>
                <w:color w:val="auto"/>
                <w:szCs w:val="21"/>
                <w:highlight w:val="none"/>
                <w:u w:val="single"/>
              </w:rPr>
              <w:t>人在合同签订前均有权对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w:t>
            </w:r>
            <w:r>
              <w:rPr>
                <w:rFonts w:hint="eastAsia" w:ascii="宋体" w:hAnsi="宋体" w:cs="宋体"/>
                <w:color w:val="auto"/>
                <w:szCs w:val="21"/>
                <w:highlight w:val="none"/>
                <w:u w:val="single"/>
                <w:lang w:eastAsia="zh-CN"/>
              </w:rPr>
              <w:t>比选</w:t>
            </w:r>
            <w:r>
              <w:rPr>
                <w:rFonts w:hint="eastAsia" w:ascii="宋体" w:hAnsi="宋体" w:cs="宋体"/>
                <w:color w:val="auto"/>
                <w:szCs w:val="21"/>
                <w:highlight w:val="none"/>
                <w:u w:val="single"/>
              </w:rPr>
              <w:t>投标监督部门，其投标保证金不予退还，</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承担因此造成的相关责任并赔偿相应损失</w:t>
            </w:r>
            <w:r>
              <w:rPr>
                <w:rFonts w:hint="eastAsia" w:ascii="宋体" w:hAnsi="宋体" w:cs="宋体"/>
                <w:color w:val="auto"/>
                <w:szCs w:val="21"/>
                <w:highlight w:val="none"/>
              </w:rPr>
              <w:t>。</w:t>
            </w:r>
          </w:p>
          <w:p w14:paraId="482236B0">
            <w:pPr>
              <w:widowControl w:val="0"/>
              <w:wordWrap/>
              <w:spacing w:line="480" w:lineRule="exact"/>
              <w:ind w:firstLine="420" w:firstLineChars="200"/>
              <w:textAlignment w:val="auto"/>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lang w:eastAsia="zh-CN"/>
              </w:rPr>
              <w:t>竞争性比选文件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5324CFE4">
            <w:pPr>
              <w:widowControl w:val="0"/>
              <w:wordWrap/>
              <w:spacing w:line="480" w:lineRule="exact"/>
              <w:ind w:firstLine="420" w:firstLineChars="200"/>
              <w:textAlignment w:val="auto"/>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28516ED3">
            <w:pPr>
              <w:widowControl w:val="0"/>
              <w:wordWrap/>
              <w:spacing w:line="480" w:lineRule="exact"/>
              <w:ind w:firstLine="420" w:firstLineChars="200"/>
              <w:textAlignment w:val="auto"/>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项目技术负责人和委托代理人的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2025</w:t>
            </w:r>
            <w:r>
              <w:rPr>
                <w:rFonts w:hint="eastAsia" w:ascii="宋体" w:hAnsi="宋体"/>
                <w:bCs/>
                <w:snapToGrid w:val="0"/>
                <w:color w:val="auto"/>
                <w:kern w:val="0"/>
                <w:szCs w:val="21"/>
                <w:highlight w:val="none"/>
                <w:u w:val="single"/>
              </w:rPr>
              <w:t xml:space="preserve"> </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6</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lang w:val="en-US" w:eastAsia="zh-CN"/>
              </w:rPr>
              <w:t>2025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rPr>
              <w:t xml:space="preserve"> </w:t>
            </w:r>
            <w:r>
              <w:rPr>
                <w:rFonts w:hint="eastAsia" w:ascii="宋体" w:hAnsi="宋体"/>
                <w:bCs/>
                <w:snapToGrid w:val="0"/>
                <w:color w:val="auto"/>
                <w:kern w:val="0"/>
                <w:szCs w:val="21"/>
                <w:highlight w:val="none"/>
                <w:u w:val="single"/>
                <w:lang w:val="en-US" w:eastAsia="zh-CN"/>
              </w:rPr>
              <w:t xml:space="preserve">11 </w:t>
            </w:r>
            <w:r>
              <w:rPr>
                <w:rFonts w:ascii="宋体" w:hAnsi="宋体"/>
                <w:bCs/>
                <w:snapToGrid w:val="0"/>
                <w:color w:val="auto"/>
                <w:kern w:val="0"/>
                <w:szCs w:val="21"/>
                <w:highlight w:val="none"/>
              </w:rPr>
              <w:t>月</w:t>
            </w:r>
            <w:r>
              <w:rPr>
                <w:rFonts w:hint="eastAsia" w:ascii="宋体" w:hAnsi="宋体"/>
                <w:bCs/>
                <w:color w:val="auto"/>
                <w:szCs w:val="21"/>
                <w:highlight w:val="none"/>
              </w:rPr>
              <w:t>。养老保险证明原件必须加盖社保部门公章，提供的养老保险参保证明须体现上述人员的姓名、身份证号（或社保号）、单位名称、本单位参保时间（或起始参保时间），并带有社保部门公章或社保部门的有效电子印章</w:t>
            </w:r>
            <w:r>
              <w:rPr>
                <w:rFonts w:hint="eastAsia" w:ascii="宋体" w:hAnsi="宋体"/>
                <w:bCs/>
                <w:color w:val="auto"/>
                <w:szCs w:val="21"/>
                <w:highlight w:val="none"/>
                <w:lang w:eastAsia="zh-CN"/>
              </w:rPr>
              <w:t>。</w:t>
            </w:r>
          </w:p>
        </w:tc>
      </w:tr>
      <w:tr w14:paraId="33B73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F6492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7BD397A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412C628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不接受</w:t>
            </w:r>
          </w:p>
        </w:tc>
      </w:tr>
      <w:tr w14:paraId="40D0B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35" w:type="dxa"/>
            <w:vAlign w:val="center"/>
          </w:tcPr>
          <w:p w14:paraId="5ED1CC2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6879ED2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5EB59A50">
            <w:pPr>
              <w:widowControl w:val="0"/>
              <w:wordWrap/>
              <w:spacing w:line="48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eastAsia="zh-CN"/>
              </w:rPr>
              <w:t>本项目不强制要求踏勘，但本项目施工地点在监狱监管区内，未现场</w:t>
            </w:r>
            <w:r>
              <w:rPr>
                <w:rFonts w:hint="eastAsia" w:ascii="宋体" w:hAnsi="宋体"/>
                <w:bCs/>
                <w:color w:val="auto"/>
                <w:szCs w:val="21"/>
                <w:highlight w:val="none"/>
              </w:rPr>
              <w:t>踏勘</w:t>
            </w:r>
            <w:r>
              <w:rPr>
                <w:rFonts w:hint="eastAsia" w:ascii="宋体" w:hAnsi="宋体"/>
                <w:bCs/>
                <w:color w:val="auto"/>
                <w:szCs w:val="21"/>
                <w:highlight w:val="none"/>
                <w:lang w:eastAsia="zh-CN"/>
              </w:rPr>
              <w:t>的，参与项目竞标的竞选人视作</w:t>
            </w:r>
            <w:r>
              <w:rPr>
                <w:rFonts w:hint="eastAsia" w:ascii="宋体" w:hAnsi="宋体"/>
                <w:bCs/>
                <w:color w:val="auto"/>
                <w:szCs w:val="21"/>
                <w:highlight w:val="none"/>
              </w:rPr>
              <w:t>已充分了解现场和周边环境以及完成本项目可能面临的不确定因素导致的风险，不得以任何借口而提出额外补偿等要求，踏勘现场所发生的所有费用和责任由</w:t>
            </w:r>
            <w:r>
              <w:rPr>
                <w:rFonts w:hint="eastAsia" w:ascii="宋体" w:hAnsi="宋体"/>
                <w:bCs/>
                <w:color w:val="auto"/>
                <w:szCs w:val="21"/>
                <w:highlight w:val="none"/>
                <w:lang w:eastAsia="zh-CN"/>
              </w:rPr>
              <w:t>竞选人</w:t>
            </w:r>
            <w:r>
              <w:rPr>
                <w:rFonts w:hint="eastAsia" w:ascii="宋体" w:hAnsi="宋体"/>
                <w:bCs/>
                <w:color w:val="auto"/>
                <w:szCs w:val="21"/>
                <w:highlight w:val="none"/>
              </w:rPr>
              <w:t>自行承担且已包含在投标报价中。</w:t>
            </w:r>
          </w:p>
          <w:p w14:paraId="47C0D5F6">
            <w:pPr>
              <w:widowControl w:val="0"/>
              <w:wordWrap/>
              <w:spacing w:line="480" w:lineRule="exact"/>
              <w:ind w:firstLine="422" w:firstLineChars="200"/>
              <w:textAlignment w:val="auto"/>
              <w:rPr>
                <w:rFonts w:hint="eastAsia"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踏勘前需提前预约，不接受未经预约的踏勘申请。</w:t>
            </w:r>
          </w:p>
          <w:p w14:paraId="7657AE53">
            <w:pPr>
              <w:widowControl w:val="0"/>
              <w:wordWrap/>
              <w:spacing w:line="480" w:lineRule="exact"/>
              <w:ind w:firstLine="420" w:firstLineChars="200"/>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踏勘时间：工作日9：00时-15:00时（北京时间）</w:t>
            </w:r>
          </w:p>
          <w:p w14:paraId="33BD4FAA">
            <w:pPr>
              <w:widowControl w:val="0"/>
              <w:wordWrap/>
              <w:spacing w:line="480" w:lineRule="exact"/>
              <w:ind w:firstLine="420" w:firstLineChars="200"/>
              <w:textAlignment w:val="auto"/>
              <w:rPr>
                <w:rFonts w:ascii="宋体" w:hAnsi="宋体"/>
                <w:color w:val="auto"/>
                <w:kern w:val="0"/>
                <w:szCs w:val="21"/>
                <w:highlight w:val="none"/>
              </w:rPr>
            </w:pPr>
            <w:r>
              <w:rPr>
                <w:rFonts w:hint="eastAsia" w:ascii="宋体" w:hAnsi="宋体"/>
                <w:bCs/>
                <w:color w:val="auto"/>
                <w:szCs w:val="21"/>
                <w:highlight w:val="none"/>
              </w:rPr>
              <w:t>踏勘联系人：</w:t>
            </w:r>
            <w:r>
              <w:rPr>
                <w:rFonts w:hint="eastAsia" w:ascii="宋体" w:hAnsi="宋体"/>
                <w:bCs/>
                <w:color w:val="auto"/>
                <w:szCs w:val="21"/>
                <w:highlight w:val="none"/>
                <w:lang w:val="en-US" w:eastAsia="zh-CN"/>
              </w:rPr>
              <w:t xml:space="preserve">周老师； </w:t>
            </w:r>
            <w:r>
              <w:rPr>
                <w:rFonts w:hint="eastAsia" w:ascii="宋体" w:hAnsi="宋体"/>
                <w:bCs/>
                <w:color w:val="auto"/>
                <w:szCs w:val="21"/>
                <w:highlight w:val="none"/>
              </w:rPr>
              <w:t>联系</w:t>
            </w:r>
            <w:r>
              <w:rPr>
                <w:rFonts w:hint="eastAsia" w:ascii="宋体" w:hAnsi="宋体"/>
                <w:bCs/>
                <w:color w:val="auto"/>
                <w:szCs w:val="21"/>
                <w:highlight w:val="none"/>
                <w:lang w:val="en-US" w:eastAsia="zh-CN"/>
              </w:rPr>
              <w:t>电话</w:t>
            </w:r>
            <w:r>
              <w:rPr>
                <w:rFonts w:hint="eastAsia" w:ascii="宋体" w:hAnsi="宋体"/>
                <w:bCs/>
                <w:color w:val="auto"/>
                <w:szCs w:val="21"/>
                <w:highlight w:val="none"/>
              </w:rPr>
              <w:t>：</w:t>
            </w:r>
            <w:r>
              <w:rPr>
                <w:rFonts w:hint="eastAsia" w:ascii="宋体" w:hAnsi="宋体"/>
                <w:bCs/>
                <w:color w:val="auto"/>
                <w:szCs w:val="21"/>
                <w:highlight w:val="none"/>
                <w:lang w:val="en-US" w:eastAsia="zh-CN"/>
              </w:rPr>
              <w:t>71620168。</w:t>
            </w:r>
          </w:p>
        </w:tc>
      </w:tr>
      <w:tr w14:paraId="5D39E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35" w:type="dxa"/>
            <w:vAlign w:val="center"/>
          </w:tcPr>
          <w:p w14:paraId="0ED61CC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101189F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054B0E4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不召开</w:t>
            </w:r>
          </w:p>
        </w:tc>
      </w:tr>
      <w:tr w14:paraId="5CFC2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35" w:type="dxa"/>
            <w:vAlign w:val="center"/>
          </w:tcPr>
          <w:p w14:paraId="3CB058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2645B54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7BFAD95B">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76C4A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86C76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15FCA263">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竞争性比选文件</w:t>
            </w:r>
            <w:r>
              <w:rPr>
                <w:rFonts w:ascii="宋体" w:hAnsi="宋体"/>
                <w:color w:val="auto"/>
                <w:kern w:val="0"/>
                <w:szCs w:val="21"/>
                <w:highlight w:val="none"/>
              </w:rPr>
              <w:t>的其他材料</w:t>
            </w:r>
          </w:p>
        </w:tc>
        <w:tc>
          <w:tcPr>
            <w:tcW w:w="6490" w:type="dxa"/>
            <w:vAlign w:val="center"/>
          </w:tcPr>
          <w:p w14:paraId="578B82C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w:t>
            </w:r>
            <w:r>
              <w:rPr>
                <w:rFonts w:ascii="宋体" w:hAnsi="宋体"/>
                <w:color w:val="auto"/>
                <w:szCs w:val="21"/>
                <w:highlight w:val="none"/>
              </w:rPr>
              <w:t>人发出的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2C560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CBFC1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3B0E49A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对</w:t>
            </w:r>
            <w:r>
              <w:rPr>
                <w:rFonts w:hint="eastAsia" w:ascii="宋体" w:hAnsi="宋体"/>
                <w:color w:val="auto"/>
                <w:kern w:val="0"/>
                <w:szCs w:val="21"/>
                <w:highlight w:val="none"/>
                <w:lang w:eastAsia="zh-CN"/>
              </w:rPr>
              <w:t>竞争性比选文件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3A8B5273">
            <w:pPr>
              <w:snapToGrid w:val="0"/>
              <w:spacing w:line="400" w:lineRule="exact"/>
              <w:ind w:firstLine="420" w:firstLineChars="200"/>
              <w:rPr>
                <w:rFonts w:hint="eastAsia" w:eastAsia="新宋体"/>
                <w:color w:val="auto"/>
                <w:highlight w:val="none"/>
                <w:lang w:val="en-US" w:eastAsia="zh-CN"/>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新宋体" w:hAnsi="新宋体" w:eastAsia="新宋体"/>
                <w:color w:val="auto"/>
                <w:highlight w:val="none"/>
              </w:rPr>
              <w:t>202</w:t>
            </w:r>
            <w:r>
              <w:rPr>
                <w:rFonts w:hint="eastAsia" w:ascii="新宋体" w:hAnsi="新宋体" w:eastAsia="新宋体"/>
                <w:color w:val="auto"/>
                <w:highlight w:val="none"/>
                <w:lang w:val="en-US" w:eastAsia="zh-CN"/>
              </w:rPr>
              <w:t>5</w:t>
            </w:r>
            <w:r>
              <w:rPr>
                <w:rFonts w:hint="eastAsia" w:ascii="新宋体" w:hAnsi="新宋体" w:eastAsia="新宋体"/>
                <w:color w:val="auto"/>
                <w:highlight w:val="none"/>
              </w:rPr>
              <w:t>年</w:t>
            </w:r>
            <w:r>
              <w:rPr>
                <w:rFonts w:hint="eastAsia" w:ascii="新宋体" w:hAnsi="新宋体" w:eastAsia="新宋体"/>
                <w:color w:val="auto"/>
                <w:highlight w:val="none"/>
                <w:u w:val="single"/>
                <w:lang w:val="en-US" w:eastAsia="zh-CN"/>
              </w:rPr>
              <w:t>12</w:t>
            </w:r>
            <w:r>
              <w:rPr>
                <w:rFonts w:hint="eastAsia" w:ascii="新宋体" w:hAnsi="新宋体" w:eastAsia="新宋体"/>
                <w:color w:val="auto"/>
                <w:highlight w:val="none"/>
              </w:rPr>
              <w:t>月</w:t>
            </w:r>
            <w:r>
              <w:rPr>
                <w:rFonts w:hint="eastAsia" w:ascii="新宋体" w:hAnsi="新宋体" w:eastAsia="新宋体"/>
                <w:color w:val="auto"/>
                <w:highlight w:val="none"/>
                <w:u w:val="single"/>
                <w:lang w:val="en-US" w:eastAsia="zh-CN"/>
              </w:rPr>
              <w:t>11</w:t>
            </w:r>
            <w:r>
              <w:rPr>
                <w:rFonts w:hint="eastAsia" w:ascii="新宋体" w:hAnsi="新宋体" w:eastAsia="新宋体"/>
                <w:color w:val="auto"/>
                <w:highlight w:val="none"/>
              </w:rPr>
              <w:t>日</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u w:val="single"/>
                <w:lang w:val="en-US" w:eastAsia="zh-CN"/>
              </w:rPr>
              <w:t>17</w:t>
            </w:r>
            <w:r>
              <w:rPr>
                <w:rFonts w:hint="eastAsia" w:ascii="新宋体" w:hAnsi="新宋体" w:eastAsia="新宋体"/>
                <w:color w:val="auto"/>
                <w:highlight w:val="none"/>
                <w:u w:val="single"/>
              </w:rPr>
              <w:t xml:space="preserve"> </w:t>
            </w:r>
            <w:r>
              <w:rPr>
                <w:rFonts w:hint="eastAsia" w:ascii="新宋体" w:hAnsi="新宋体" w:eastAsia="新宋体"/>
                <w:color w:val="auto"/>
                <w:highlight w:val="none"/>
              </w:rPr>
              <w:t>时</w:t>
            </w:r>
            <w:r>
              <w:rPr>
                <w:rFonts w:hint="eastAsia" w:ascii="新宋体" w:hAnsi="新宋体" w:eastAsia="新宋体"/>
                <w:color w:val="auto"/>
                <w:highlight w:val="none"/>
                <w:u w:val="single"/>
              </w:rPr>
              <w:t xml:space="preserve"> 00 </w:t>
            </w:r>
            <w:r>
              <w:rPr>
                <w:rFonts w:hint="eastAsia" w:ascii="新宋体" w:hAnsi="新宋体" w:eastAsia="新宋体"/>
                <w:color w:val="auto"/>
                <w:highlight w:val="none"/>
              </w:rPr>
              <w:t>分</w:t>
            </w:r>
            <w:r>
              <w:rPr>
                <w:rFonts w:hint="eastAsia" w:ascii="宋体" w:hAnsi="宋体" w:cs="宋体"/>
                <w:szCs w:val="21"/>
              </w:rPr>
              <w:t>（北京时间，下同）</w:t>
            </w:r>
            <w:r>
              <w:rPr>
                <w:rFonts w:hint="eastAsia" w:ascii="新宋体" w:hAnsi="新宋体" w:eastAsia="新宋体"/>
                <w:color w:val="auto"/>
                <w:highlight w:val="none"/>
              </w:rPr>
              <w:t>前将书面提问方式提出并送达</w:t>
            </w:r>
            <w:r>
              <w:rPr>
                <w:rFonts w:hint="eastAsia" w:ascii="新宋体" w:hAnsi="新宋体" w:eastAsia="新宋体" w:cs="Times New Roman"/>
                <w:color w:val="auto"/>
                <w:highlight w:val="none"/>
              </w:rPr>
              <w:t>：重庆市重庆市渝北区金龙路财信城市国际3栋7-7</w:t>
            </w:r>
            <w:r>
              <w:rPr>
                <w:rFonts w:hint="eastAsia" w:ascii="新宋体" w:hAnsi="新宋体" w:eastAsia="新宋体" w:cs="Times New Roman"/>
                <w:color w:val="auto"/>
                <w:highlight w:val="none"/>
                <w:lang w:eastAsia="zh-CN"/>
              </w:rPr>
              <w:t>。</w:t>
            </w:r>
          </w:p>
        </w:tc>
      </w:tr>
      <w:tr w14:paraId="57E8B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20B228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03F9BD5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人对</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490" w:type="dxa"/>
            <w:vAlign w:val="center"/>
          </w:tcPr>
          <w:p w14:paraId="5A680C10">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kern w:val="0"/>
                <w:szCs w:val="21"/>
                <w:highlight w:val="none"/>
                <w:lang w:eastAsia="zh-CN"/>
              </w:rPr>
              <w:t>比选人</w:t>
            </w:r>
            <w:r>
              <w:rPr>
                <w:rFonts w:hint="eastAsia" w:ascii="宋体" w:hAnsi="宋体"/>
                <w:color w:val="auto"/>
                <w:kern w:val="0"/>
                <w:szCs w:val="21"/>
                <w:highlight w:val="none"/>
                <w:u w:val="single"/>
                <w:lang w:eastAsia="zh-CN"/>
              </w:rPr>
              <w:t>202</w:t>
            </w:r>
            <w:r>
              <w:rPr>
                <w:rFonts w:hint="eastAsia" w:ascii="宋体" w:hAnsi="宋体"/>
                <w:color w:val="auto"/>
                <w:kern w:val="0"/>
                <w:szCs w:val="21"/>
                <w:highlight w:val="none"/>
                <w:u w:val="single"/>
                <w:lang w:val="en-US" w:eastAsia="zh-CN"/>
              </w:rPr>
              <w:t>5</w:t>
            </w:r>
            <w:r>
              <w:rPr>
                <w:rFonts w:hint="eastAsia" w:ascii="宋体" w:hAnsi="宋体"/>
                <w:color w:val="auto"/>
                <w:kern w:val="0"/>
                <w:szCs w:val="21"/>
                <w:highlight w:val="none"/>
                <w:lang w:eastAsia="zh-CN"/>
              </w:rPr>
              <w:t>年</w:t>
            </w:r>
            <w:r>
              <w:rPr>
                <w:rFonts w:hint="eastAsia" w:ascii="宋体" w:hAnsi="宋体"/>
                <w:color w:val="auto"/>
                <w:kern w:val="0"/>
                <w:szCs w:val="21"/>
                <w:highlight w:val="none"/>
                <w:u w:val="single"/>
                <w:lang w:val="en-US" w:eastAsia="zh-CN"/>
              </w:rPr>
              <w:t>12</w:t>
            </w:r>
            <w:r>
              <w:rPr>
                <w:rFonts w:hint="eastAsia" w:ascii="宋体" w:hAnsi="宋体"/>
                <w:color w:val="auto"/>
                <w:kern w:val="0"/>
                <w:szCs w:val="21"/>
                <w:highlight w:val="none"/>
                <w:lang w:eastAsia="zh-CN"/>
              </w:rPr>
              <w:t>月</w:t>
            </w:r>
            <w:r>
              <w:rPr>
                <w:rFonts w:hint="eastAsia" w:ascii="宋体" w:hAnsi="宋体"/>
                <w:color w:val="auto"/>
                <w:kern w:val="0"/>
                <w:szCs w:val="21"/>
                <w:highlight w:val="none"/>
                <w:u w:val="single"/>
                <w:lang w:val="en-US" w:eastAsia="zh-CN"/>
              </w:rPr>
              <w:t>12</w:t>
            </w:r>
            <w:r>
              <w:rPr>
                <w:rFonts w:hint="eastAsia" w:ascii="宋体" w:hAnsi="宋体"/>
                <w:color w:val="auto"/>
                <w:kern w:val="0"/>
                <w:szCs w:val="21"/>
                <w:highlight w:val="none"/>
                <w:lang w:eastAsia="zh-CN"/>
              </w:rPr>
              <w:t>日</w:t>
            </w:r>
            <w:r>
              <w:rPr>
                <w:rFonts w:hint="eastAsia" w:ascii="宋体" w:hAnsi="宋体"/>
                <w:color w:val="auto"/>
                <w:kern w:val="0"/>
                <w:szCs w:val="21"/>
                <w:highlight w:val="none"/>
                <w:u w:val="single"/>
                <w:lang w:val="en-US" w:eastAsia="zh-CN"/>
              </w:rPr>
              <w:t>17</w:t>
            </w:r>
            <w:r>
              <w:rPr>
                <w:rFonts w:hint="eastAsia" w:ascii="宋体" w:hAnsi="宋体"/>
                <w:color w:val="auto"/>
                <w:kern w:val="0"/>
                <w:szCs w:val="21"/>
                <w:highlight w:val="none"/>
                <w:lang w:eastAsia="zh-CN"/>
              </w:rPr>
              <w:t>时</w:t>
            </w:r>
            <w:r>
              <w:rPr>
                <w:rFonts w:hint="eastAsia" w:ascii="宋体" w:hAnsi="宋体"/>
                <w:color w:val="auto"/>
                <w:kern w:val="0"/>
                <w:szCs w:val="21"/>
                <w:highlight w:val="none"/>
                <w:u w:val="single"/>
                <w:lang w:eastAsia="zh-CN"/>
              </w:rPr>
              <w:t>00</w:t>
            </w:r>
            <w:r>
              <w:rPr>
                <w:rFonts w:hint="eastAsia" w:ascii="宋体" w:hAnsi="宋体"/>
                <w:color w:val="auto"/>
                <w:kern w:val="0"/>
                <w:szCs w:val="21"/>
                <w:highlight w:val="none"/>
                <w:lang w:eastAsia="zh-CN"/>
              </w:rPr>
              <w:t>分前，将书面澄清、修改送达竞选人。</w:t>
            </w:r>
          </w:p>
        </w:tc>
      </w:tr>
      <w:tr w14:paraId="6E698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77DB2E17">
            <w:pPr>
              <w:snapToGrid w:val="0"/>
              <w:spacing w:line="400" w:lineRule="exact"/>
              <w:jc w:val="center"/>
              <w:rPr>
                <w:rFonts w:ascii="宋体" w:hAnsi="宋体"/>
                <w:color w:val="auto"/>
                <w:kern w:val="0"/>
                <w:szCs w:val="21"/>
                <w:highlight w:val="none"/>
              </w:rPr>
            </w:pPr>
          </w:p>
        </w:tc>
        <w:tc>
          <w:tcPr>
            <w:tcW w:w="1644" w:type="dxa"/>
            <w:vAlign w:val="center"/>
          </w:tcPr>
          <w:p w14:paraId="16524B3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14:paraId="40249154">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eastAsia="zh-CN"/>
              </w:rPr>
              <w:t>比选</w:t>
            </w:r>
            <w:r>
              <w:rPr>
                <w:rFonts w:hint="eastAsia" w:ascii="宋体" w:hAnsi="宋体"/>
                <w:color w:val="auto"/>
                <w:szCs w:val="21"/>
                <w:highlight w:val="none"/>
              </w:rPr>
              <w:t>公告规定的投标截止时间。</w:t>
            </w:r>
          </w:p>
        </w:tc>
      </w:tr>
      <w:tr w14:paraId="421AE2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170BE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01FD3789">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的其他材料</w:t>
            </w:r>
          </w:p>
        </w:tc>
        <w:tc>
          <w:tcPr>
            <w:tcW w:w="6490" w:type="dxa"/>
            <w:vAlign w:val="center"/>
          </w:tcPr>
          <w:p w14:paraId="2FA7E63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14:paraId="0FDB3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A7E1C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430E7E8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14:paraId="2582F74D">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使用国有资金投资的建设工程发承包，必须采用工程量清单计价。工程量清单应采用综合单价计价。</w:t>
            </w:r>
          </w:p>
          <w:p w14:paraId="5A89B101">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应按《建设工程工程量清单计价规范》（GB50500-2013）及重庆市相关工程量清单计价规则的要求填写相应清单表格。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按本须知、《重庆市建设工程费用定额》（CQFYDE-2018）、《重庆市住房和城乡建设委员会关于适用增值税新税率调整建设工程计价依据的通知》（渝建〔2019〕143号）和第五章“工程量清单”的要求填写相应清单表格。</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的投标报价应是本章</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须知前附表第1.3.1项中所述的本工程合同段</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范围内的全部工程的投标报价，并以</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在工程量清单中提出的单价为依据。</w:t>
            </w:r>
          </w:p>
          <w:p w14:paraId="49C0518C">
            <w:pPr>
              <w:tabs>
                <w:tab w:val="left" w:pos="546"/>
                <w:tab w:val="left" w:pos="711"/>
              </w:tabs>
              <w:snapToGrid w:val="0"/>
              <w:spacing w:line="400" w:lineRule="exact"/>
              <w:ind w:left="6" w:leftChars="3" w:firstLine="420" w:firstLineChars="200"/>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应认真填写工程量清单中所列的本合同各工程子目的单价或总价。</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没有填入单价或总价的工程子目，</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人将认为该子目的价款已包括在工程量清单其他子目的单价和总价中。</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必须按</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工程量清单填报价格。项目编码、项目名称、项目特征、计量单位、工程量必须与</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工程量清单一致。</w:t>
            </w:r>
          </w:p>
          <w:p w14:paraId="127338D2">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投标函中的总报价必须与已标价工程量清单总报价一致。否则由评标委员会作否决投标处理。</w:t>
            </w:r>
          </w:p>
          <w:p w14:paraId="68F66C7D">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u w:val="single"/>
              </w:rPr>
              <w:t>（1）在合同实施期间，单价和总价按专用合同条款第11条的规定可调整</w:t>
            </w:r>
            <w:r>
              <w:rPr>
                <w:rFonts w:hint="eastAsia" w:ascii="宋体" w:hAnsi="宋体" w:cs="宋体"/>
                <w:color w:val="auto"/>
                <w:szCs w:val="21"/>
                <w:highlight w:val="none"/>
              </w:rPr>
              <w:t>。</w:t>
            </w:r>
          </w:p>
          <w:p w14:paraId="06D8DD41">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人依据国家税法规定选择：一般计税法</w:t>
            </w:r>
          </w:p>
          <w:p w14:paraId="1620795F">
            <w:pPr>
              <w:pStyle w:val="2"/>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如发现工程量清单中的数量与图纸中数量不一致，应于本须知第2.2.1项中规定的时间前书面通知</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人核查，除非</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人以修改的形式予以更正，否则，应以工程量清单中列出的数量为准。</w:t>
            </w:r>
          </w:p>
          <w:p w14:paraId="5F7EDC3F">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人在工程量清单中所列出的暂列金额、暂估价等</w:t>
            </w:r>
            <w:r>
              <w:rPr>
                <w:rFonts w:hint="eastAsia" w:ascii="宋体" w:hAnsi="宋体" w:cs="宋体"/>
                <w:color w:val="auto"/>
                <w:szCs w:val="21"/>
                <w:highlight w:val="none"/>
                <w:lang w:eastAsia="zh-CN"/>
              </w:rPr>
              <w:t>暂定金额</w:t>
            </w:r>
            <w:r>
              <w:rPr>
                <w:rFonts w:hint="eastAsia" w:ascii="宋体" w:hAnsi="宋体" w:cs="宋体"/>
                <w:color w:val="auto"/>
                <w:szCs w:val="21"/>
                <w:highlight w:val="none"/>
              </w:rPr>
              <w:t>，</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不得修改</w:t>
            </w:r>
            <w:r>
              <w:rPr>
                <w:rFonts w:hint="eastAsia" w:ascii="宋体" w:hAnsi="宋体"/>
                <w:color w:val="auto"/>
                <w:szCs w:val="21"/>
                <w:highlight w:val="none"/>
              </w:rPr>
              <w:t>。</w:t>
            </w:r>
          </w:p>
          <w:p w14:paraId="3EA68D35">
            <w:pPr>
              <w:tabs>
                <w:tab w:val="left" w:pos="546"/>
                <w:tab w:val="left" w:pos="711"/>
              </w:tabs>
              <w:snapToGrid w:val="0"/>
              <w:spacing w:line="400" w:lineRule="exact"/>
              <w:ind w:firstLine="420" w:firstLineChars="200"/>
              <w:rPr>
                <w:rFonts w:hint="eastAsia" w:ascii="宋体" w:hAnsi="宋体" w:eastAsia="宋体"/>
                <w:color w:val="auto"/>
                <w:szCs w:val="21"/>
                <w:highlight w:val="none"/>
                <w:lang w:eastAsia="zh-CN"/>
              </w:rPr>
            </w:pPr>
            <w:r>
              <w:rPr>
                <w:rFonts w:ascii="宋体" w:hAnsi="宋体" w:cs="宋体"/>
                <w:color w:val="auto"/>
                <w:szCs w:val="21"/>
                <w:highlight w:val="none"/>
              </w:rPr>
              <w:t>8.</w:t>
            </w: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将设置投标总报价最高限价，投标总报价最高限价</w:t>
            </w:r>
            <w:r>
              <w:rPr>
                <w:rFonts w:hint="eastAsia" w:ascii="宋体" w:hAnsi="宋体" w:cs="宋体"/>
                <w:color w:val="auto"/>
                <w:szCs w:val="21"/>
                <w:highlight w:val="none"/>
                <w:lang w:val="en-US" w:eastAsia="zh-CN"/>
              </w:rPr>
              <w:t>为</w:t>
            </w:r>
            <w:r>
              <w:rPr>
                <w:rFonts w:hint="eastAsia" w:ascii="宋体" w:hAnsi="宋体" w:eastAsia="宋体" w:cs="宋体"/>
                <w:color w:val="auto"/>
                <w:kern w:val="2"/>
                <w:sz w:val="21"/>
                <w:szCs w:val="21"/>
                <w:highlight w:val="none"/>
                <w:u w:val="single"/>
                <w:lang w:val="en-US" w:eastAsia="zh-CN" w:bidi="ar-SA"/>
              </w:rPr>
              <w:t>1067769.49元（大写：</w:t>
            </w:r>
            <w:r>
              <w:rPr>
                <w:rFonts w:hint="eastAsia" w:ascii="宋体" w:hAnsi="宋体" w:cs="宋体"/>
                <w:color w:val="auto"/>
                <w:kern w:val="2"/>
                <w:sz w:val="21"/>
                <w:szCs w:val="21"/>
                <w:highlight w:val="none"/>
                <w:u w:val="single"/>
                <w:lang w:val="en-US" w:eastAsia="zh-CN" w:bidi="ar-SA"/>
              </w:rPr>
              <w:t>壹佰零陆万柒仟柒佰陆拾玖元肆角玖分</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szCs w:val="21"/>
                <w:highlight w:val="none"/>
              </w:rPr>
              <w:t>，其中已含安全文明施工费暂定金额为:</w:t>
            </w:r>
            <w:r>
              <w:rPr>
                <w:rFonts w:hint="eastAsia" w:ascii="宋体" w:hAnsi="宋体" w:cs="宋体"/>
                <w:color w:val="auto"/>
                <w:szCs w:val="21"/>
                <w:highlight w:val="none"/>
                <w:u w:val="single"/>
                <w:lang w:val="en-US" w:eastAsia="zh-CN"/>
              </w:rPr>
              <w:t>26172.86</w:t>
            </w:r>
            <w:r>
              <w:rPr>
                <w:rFonts w:hint="eastAsia" w:ascii="宋体" w:hAnsi="宋体" w:cs="宋体"/>
                <w:color w:val="auto"/>
                <w:szCs w:val="21"/>
                <w:highlight w:val="none"/>
                <w:u w:val="none"/>
                <w:lang w:val="en-US" w:eastAsia="zh-CN"/>
              </w:rPr>
              <w:t>元，</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的投标总报价不得超过投标总报价最高限价，否则由评标委员会作</w:t>
            </w:r>
            <w:r>
              <w:rPr>
                <w:rFonts w:hint="eastAsia" w:ascii="宋体" w:hAnsi="宋体"/>
                <w:color w:val="auto"/>
                <w:szCs w:val="21"/>
                <w:highlight w:val="none"/>
              </w:rPr>
              <w:t>否决投标处理。</w:t>
            </w:r>
          </w:p>
          <w:p w14:paraId="1C93DC2D">
            <w:pPr>
              <w:tabs>
                <w:tab w:val="left" w:pos="546"/>
                <w:tab w:val="left" w:pos="711"/>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将设置全部工程量清单综合单价最高限价，全部清单综合单价最高限价</w:t>
            </w:r>
            <w:r>
              <w:rPr>
                <w:rFonts w:hint="eastAsia" w:ascii="宋体" w:hAnsi="宋体" w:cs="宋体"/>
                <w:color w:val="auto"/>
                <w:sz w:val="21"/>
                <w:szCs w:val="21"/>
                <w:highlight w:val="none"/>
                <w:lang w:eastAsia="zh-CN"/>
              </w:rPr>
              <w:t>随比选文件</w:t>
            </w:r>
            <w:r>
              <w:rPr>
                <w:rFonts w:hint="eastAsia" w:ascii="宋体" w:hAnsi="宋体" w:cs="宋体"/>
                <w:color w:val="auto"/>
                <w:sz w:val="21"/>
                <w:szCs w:val="21"/>
                <w:highlight w:val="none"/>
                <w:lang w:val="en-US" w:eastAsia="zh-CN"/>
              </w:rPr>
              <w:t>一起</w:t>
            </w:r>
            <w:r>
              <w:rPr>
                <w:rFonts w:hint="eastAsia" w:ascii="宋体" w:hAnsi="宋体" w:cs="宋体"/>
                <w:color w:val="auto"/>
                <w:szCs w:val="21"/>
                <w:highlight w:val="none"/>
              </w:rPr>
              <w:t>发布，</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的每项清单综合单价报价不得超过每项清单综合单价最高限价。</w:t>
            </w:r>
          </w:p>
          <w:p w14:paraId="56D40470">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人在合同签订前将对</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已标价工程量清单进行清标。若发现</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的工程量清单综合单价报价超过</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时给出的工程量清单综合单价最高限价的，在工程结算时</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人将以发出的工程量清单综合单价最高限价为基础，按照</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的中标总报价与本工程的总价最高限价的下浮比例进行同比例下调，</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必须无条件接受，否则按</w:t>
            </w:r>
            <w:r>
              <w:rPr>
                <w:rFonts w:hint="eastAsia" w:ascii="宋体" w:hAnsi="宋体" w:cs="宋体"/>
                <w:color w:val="auto"/>
                <w:szCs w:val="21"/>
                <w:highlight w:val="none"/>
                <w:lang w:eastAsia="zh-CN"/>
              </w:rPr>
              <w:t>中选人</w:t>
            </w:r>
            <w:r>
              <w:rPr>
                <w:rFonts w:hint="eastAsia" w:ascii="宋体" w:hAnsi="宋体" w:cs="宋体"/>
                <w:color w:val="auto"/>
                <w:szCs w:val="21"/>
                <w:highlight w:val="none"/>
              </w:rPr>
              <w:t>违约处理。</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须在</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资格审查部分提供承诺函，承诺函包括以下内容：</w:t>
            </w:r>
          </w:p>
          <w:p w14:paraId="57729260">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14:paraId="773B059D">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竞争性比选文件</w:t>
            </w:r>
            <w:r>
              <w:rPr>
                <w:rFonts w:hint="eastAsia" w:ascii="宋体" w:hAnsi="宋体" w:cs="宋体"/>
                <w:color w:val="auto"/>
                <w:szCs w:val="21"/>
                <w:highlight w:val="none"/>
              </w:rPr>
              <w:t>中规定工程量清单不允许修改的内容不得修改。</w:t>
            </w:r>
          </w:p>
          <w:p w14:paraId="74C95F80">
            <w:pPr>
              <w:tabs>
                <w:tab w:val="left" w:pos="546"/>
                <w:tab w:val="left" w:pos="711"/>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（3）每项工程量清单综合单价报价不得高于对应工程量清单综合单价最高限价。</w:t>
            </w:r>
          </w:p>
          <w:p w14:paraId="6ED07E44">
            <w:pPr>
              <w:tabs>
                <w:tab w:val="left" w:pos="546"/>
                <w:tab w:val="left" w:pos="711"/>
              </w:tabs>
              <w:snapToGrid w:val="0"/>
              <w:spacing w:line="400" w:lineRule="exact"/>
              <w:ind w:firstLine="422" w:firstLineChars="200"/>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注：工程量清单室外排水工程项目编号031001006001项目名称PPR管-DN160消防水管已经安装，需要挖沟槽盖板。</w:t>
            </w:r>
          </w:p>
          <w:p w14:paraId="51F914EE">
            <w:pPr>
              <w:pStyle w:val="2"/>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9.安全文明施工费：</w:t>
            </w:r>
          </w:p>
          <w:p w14:paraId="63AF5B79">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14:paraId="1593FAFF">
            <w:pPr>
              <w:pStyle w:val="98"/>
              <w:spacing w:line="400" w:lineRule="exact"/>
              <w:ind w:firstLineChars="200"/>
              <w:rPr>
                <w:color w:val="auto"/>
                <w:sz w:val="21"/>
                <w:szCs w:val="21"/>
                <w:highlight w:val="none"/>
              </w:rPr>
            </w:pPr>
            <w:r>
              <w:rPr>
                <w:color w:val="auto"/>
                <w:sz w:val="21"/>
                <w:szCs w:val="21"/>
                <w:highlight w:val="none"/>
              </w:rPr>
              <w:t>9.2本工程安全文明施工费由</w:t>
            </w:r>
            <w:r>
              <w:rPr>
                <w:rFonts w:hint="eastAsia"/>
                <w:color w:val="auto"/>
                <w:sz w:val="21"/>
                <w:szCs w:val="21"/>
                <w:highlight w:val="none"/>
                <w:lang w:eastAsia="zh-CN"/>
              </w:rPr>
              <w:t>比选</w:t>
            </w:r>
            <w:r>
              <w:rPr>
                <w:color w:val="auto"/>
                <w:sz w:val="21"/>
                <w:szCs w:val="21"/>
                <w:highlight w:val="none"/>
              </w:rPr>
              <w:t>人根据《建设工程工程量清单计价规范》（GB50500-2013）、《重庆市建设工程工程量清单计价规则》（CQJJGZ-2013）、《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的相关规定和费用标准单列计算，安全文明施工费为暂定金额，与最高限价一起公布。《投标函》中的安全文明施工费</w:t>
            </w:r>
            <w:r>
              <w:rPr>
                <w:rFonts w:hint="eastAsia"/>
                <w:color w:val="auto"/>
                <w:sz w:val="21"/>
                <w:szCs w:val="21"/>
                <w:highlight w:val="none"/>
                <w:lang w:val="en-US" w:eastAsia="zh-CN"/>
              </w:rPr>
              <w:t>金额或工程量清单中安全文明施工费的汇总金额未</w:t>
            </w:r>
            <w:r>
              <w:rPr>
                <w:color w:val="auto"/>
                <w:sz w:val="21"/>
                <w:szCs w:val="21"/>
                <w:highlight w:val="none"/>
              </w:rPr>
              <w:t>按照</w:t>
            </w:r>
            <w:r>
              <w:rPr>
                <w:rFonts w:hint="eastAsia"/>
                <w:color w:val="auto"/>
                <w:sz w:val="21"/>
                <w:szCs w:val="21"/>
                <w:highlight w:val="none"/>
                <w:lang w:eastAsia="zh-CN"/>
              </w:rPr>
              <w:t>比选</w:t>
            </w:r>
            <w:r>
              <w:rPr>
                <w:color w:val="auto"/>
                <w:sz w:val="21"/>
                <w:szCs w:val="21"/>
                <w:highlight w:val="none"/>
              </w:rPr>
              <w:t>人给出的暂定金额填报</w:t>
            </w:r>
            <w:r>
              <w:rPr>
                <w:rFonts w:hint="eastAsia"/>
                <w:color w:val="auto"/>
                <w:sz w:val="21"/>
                <w:szCs w:val="21"/>
                <w:highlight w:val="none"/>
                <w:lang w:val="en-US" w:eastAsia="zh-CN"/>
              </w:rPr>
              <w:t>的</w:t>
            </w:r>
            <w:r>
              <w:rPr>
                <w:color w:val="auto"/>
                <w:sz w:val="21"/>
                <w:szCs w:val="21"/>
                <w:highlight w:val="none"/>
              </w:rPr>
              <w:t>，视为对</w:t>
            </w:r>
            <w:r>
              <w:rPr>
                <w:rFonts w:hint="eastAsia"/>
                <w:color w:val="auto"/>
                <w:sz w:val="21"/>
                <w:szCs w:val="21"/>
                <w:highlight w:val="none"/>
                <w:lang w:eastAsia="zh-CN"/>
              </w:rPr>
              <w:t>竞争性比选文件</w:t>
            </w:r>
            <w:r>
              <w:rPr>
                <w:color w:val="auto"/>
                <w:sz w:val="21"/>
                <w:szCs w:val="21"/>
                <w:highlight w:val="none"/>
              </w:rPr>
              <w:t>不作实质性响应，其</w:t>
            </w:r>
            <w:r>
              <w:rPr>
                <w:rFonts w:hint="eastAsia"/>
                <w:color w:val="auto"/>
                <w:sz w:val="21"/>
                <w:szCs w:val="21"/>
                <w:highlight w:val="none"/>
                <w:lang w:eastAsia="zh-CN"/>
              </w:rPr>
              <w:t>竞选文件</w:t>
            </w:r>
            <w:r>
              <w:rPr>
                <w:rFonts w:hint="eastAsia"/>
                <w:color w:val="auto"/>
                <w:sz w:val="21"/>
                <w:szCs w:val="21"/>
                <w:highlight w:val="none"/>
              </w:rPr>
              <w:t>由评标委员会</w:t>
            </w:r>
            <w:r>
              <w:rPr>
                <w:color w:val="auto"/>
                <w:sz w:val="21"/>
                <w:szCs w:val="21"/>
                <w:highlight w:val="none"/>
              </w:rPr>
              <w:t>作否决投标处理。</w:t>
            </w:r>
            <w:r>
              <w:rPr>
                <w:rFonts w:hint="eastAsia"/>
                <w:color w:val="auto"/>
                <w:sz w:val="21"/>
                <w:szCs w:val="21"/>
                <w:highlight w:val="none"/>
              </w:rPr>
              <w:t>注：采用全费用清单计价的项目，安全文明施工费仅针对《投标函》中的安全文明施工费进行评审。</w:t>
            </w:r>
          </w:p>
          <w:p w14:paraId="52BC5FB8">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本工程所需材料（含设备）价格由</w:t>
            </w:r>
            <w:r>
              <w:rPr>
                <w:rFonts w:hint="eastAsia" w:ascii="宋体" w:hAnsi="宋体"/>
                <w:color w:val="auto"/>
                <w:szCs w:val="21"/>
                <w:highlight w:val="none"/>
                <w:lang w:eastAsia="zh-CN"/>
              </w:rPr>
              <w:t>竞选人</w:t>
            </w:r>
            <w:r>
              <w:rPr>
                <w:rFonts w:hint="eastAsia" w:ascii="宋体" w:hAnsi="宋体"/>
                <w:color w:val="auto"/>
                <w:szCs w:val="21"/>
                <w:highlight w:val="none"/>
              </w:rPr>
              <w:t>参照重庆市建设工</w:t>
            </w:r>
            <w:r>
              <w:rPr>
                <w:rFonts w:hint="eastAsia" w:ascii="宋体" w:hAnsi="宋体" w:cs="宋体"/>
                <w:color w:val="auto"/>
                <w:szCs w:val="21"/>
                <w:highlight w:val="none"/>
              </w:rPr>
              <w:t>程造价管理总站发布的《重庆工程造价信息》或工程造价管理机构发布的工程造价信息（造价信息引用时限为</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公告发布日期前一期），并结合市场行情及自身实力进行自主报价。</w:t>
            </w:r>
          </w:p>
          <w:p w14:paraId="4AFBFD78">
            <w:pPr>
              <w:pStyle w:val="2"/>
              <w:tabs>
                <w:tab w:val="left" w:pos="546"/>
                <w:tab w:val="left" w:pos="711"/>
              </w:tabs>
              <w:snapToGrid w:val="0"/>
              <w:spacing w:after="0" w:line="400" w:lineRule="exact"/>
              <w:ind w:firstLine="420" w:firstLineChars="200"/>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11.本项目建筑安装材料价格风险按照《重庆市城乡建设委员会关于进一步加强建筑安装材料价格风险管控的指导意见》（渝建〔2018〕61号）执行。本项目主要材料及设备价格风险内容、范围及调整方法为：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 w:val="21"/>
                <w:szCs w:val="21"/>
                <w:highlight w:val="none"/>
                <w:u w:val="single"/>
                <w:lang w:eastAsia="zh-CN"/>
              </w:rPr>
              <w:t>详见</w:t>
            </w:r>
            <w:r>
              <w:rPr>
                <w:rFonts w:hint="eastAsia" w:ascii="宋体" w:hAnsi="宋体" w:cs="宋体"/>
                <w:color w:val="auto"/>
                <w:sz w:val="21"/>
                <w:szCs w:val="21"/>
                <w:highlight w:val="none"/>
                <w:u w:val="single"/>
              </w:rPr>
              <w:t>专用合同条款</w:t>
            </w:r>
            <w:r>
              <w:rPr>
                <w:rFonts w:hint="eastAsia" w:ascii="宋体" w:hAnsi="宋体" w:cs="宋体"/>
                <w:color w:val="auto"/>
                <w:sz w:val="21"/>
                <w:szCs w:val="21"/>
                <w:highlight w:val="none"/>
                <w:u w:val="single"/>
                <w:lang w:eastAsia="zh-CN"/>
              </w:rPr>
              <w:t>。</w:t>
            </w:r>
          </w:p>
          <w:p w14:paraId="7D3C7E58">
            <w:pPr>
              <w:pStyle w:val="2"/>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14:paraId="05FE3369">
            <w:pPr>
              <w:pStyle w:val="2"/>
              <w:tabs>
                <w:tab w:val="left" w:pos="546"/>
                <w:tab w:val="left" w:pos="711"/>
              </w:tabs>
              <w:snapToGrid w:val="0"/>
              <w:spacing w:after="0" w:line="400" w:lineRule="exact"/>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tc>
      </w:tr>
      <w:tr w14:paraId="7305D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6AC48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301CB37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324EECE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14:paraId="137B0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87426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33059A8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378B478F">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一、竞选保证金的交纳</w:t>
            </w:r>
          </w:p>
          <w:p w14:paraId="114A64DA">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1、竞选保证金交款形式及要求：竞选人注册所在地基本存款账户通过转账支票直接划付或以电汇方式直接划付到至以下指定账户。</w:t>
            </w:r>
          </w:p>
          <w:p w14:paraId="17FBC95D">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2、交纳截止时间：在2025年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分前竞选保证金账户收到的竞选保证金为有效竞选保证金。竞选人自行考虑汇入时间风险，如同城汇入、异地汇入、跨行汇入的时间要求。</w:t>
            </w:r>
          </w:p>
          <w:p w14:paraId="2F91FEA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3、竞选保证金的金额：</w:t>
            </w:r>
            <w:r>
              <w:rPr>
                <w:rFonts w:hint="eastAsia" w:ascii="宋体" w:hAnsi="宋体" w:eastAsia="宋体" w:cs="宋体"/>
                <w:color w:val="auto"/>
                <w:szCs w:val="21"/>
                <w:highlight w:val="none"/>
                <w:lang w:val="en-US" w:eastAsia="zh-CN"/>
              </w:rPr>
              <w:t>贰万元整</w:t>
            </w:r>
            <w:r>
              <w:rPr>
                <w:rFonts w:hint="eastAsia" w:ascii="宋体" w:hAnsi="宋体" w:eastAsia="宋体" w:cs="宋体"/>
                <w:color w:val="auto"/>
                <w:szCs w:val="21"/>
                <w:highlight w:val="none"/>
              </w:rPr>
              <w:t>（人民币）</w:t>
            </w:r>
          </w:p>
          <w:p w14:paraId="79527A6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4、竞选保证金专用账户如下：</w:t>
            </w:r>
          </w:p>
          <w:p w14:paraId="720C39E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名：中大宇辰项目管理有限公司重庆分公司</w:t>
            </w:r>
          </w:p>
          <w:p w14:paraId="25EC22C7">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开户行：中国建设银行股份有限公司重庆渝北财信支行 </w:t>
            </w:r>
          </w:p>
          <w:p w14:paraId="337E513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竞选保证金账号：50050106420000000056</w:t>
            </w:r>
          </w:p>
          <w:p w14:paraId="371BF6B6">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竞选人必须在付款凭证备注栏中注明</w:t>
            </w:r>
            <w:r>
              <w:rPr>
                <w:rFonts w:hint="eastAsia" w:ascii="宋体" w:hAnsi="宋体" w:cs="宋体"/>
                <w:color w:val="auto"/>
                <w:szCs w:val="21"/>
                <w:highlight w:val="none"/>
                <w:lang w:val="en-US" w:eastAsia="zh-CN"/>
              </w:rPr>
              <w:t>项目名称“</w:t>
            </w:r>
            <w:r>
              <w:rPr>
                <w:rFonts w:hint="eastAsia" w:ascii="宋体" w:hAnsi="宋体" w:eastAsia="宋体" w:cs="宋体"/>
                <w:color w:val="auto"/>
                <w:szCs w:val="21"/>
                <w:highlight w:val="none"/>
                <w:u w:val="single"/>
                <w:lang w:eastAsia="zh-CN"/>
              </w:rPr>
              <w:t>重庆市金迈实业有限公司生产区环境整治项目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可简写)未备注者，以未交纳投标保证金处理。</w:t>
            </w:r>
          </w:p>
          <w:p w14:paraId="55D68E35">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二、竞选保证金的退还</w:t>
            </w:r>
          </w:p>
          <w:p w14:paraId="2A62DEE0">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按照相关规定执行。</w:t>
            </w:r>
          </w:p>
          <w:p w14:paraId="72089E9F">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三、不予退还保证金的情形</w:t>
            </w:r>
          </w:p>
          <w:p w14:paraId="5ACD2295">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1、中选通知书发出后，中选人无故放弃中选项目或无正当理由在中选通知书发出7个工作日内不与比选人签订合同的，不予退还竞选保证金；并视为放弃中选，由比选人另行决定处理。</w:t>
            </w:r>
          </w:p>
          <w:p w14:paraId="54D82CA1">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2、竞选人在规定的竞选有效期内撤销或修改其竞选文件的，不予退还竞选保证金；</w:t>
            </w:r>
          </w:p>
          <w:p w14:paraId="73E95B36">
            <w:pPr>
              <w:tabs>
                <w:tab w:val="left" w:pos="546"/>
                <w:tab w:val="left" w:pos="711"/>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3、中选人在收到中选通知书后，无正当理由拒签合同协议书或未按比选文件规定提交履约担保；</w:t>
            </w:r>
          </w:p>
          <w:p w14:paraId="6AE0BEA1">
            <w:pPr>
              <w:tabs>
                <w:tab w:val="left" w:pos="546"/>
                <w:tab w:val="left" w:pos="711"/>
              </w:tabs>
              <w:snapToGrid w:val="0"/>
              <w:spacing w:line="400" w:lineRule="exact"/>
              <w:ind w:firstLine="420" w:firstLineChars="200"/>
              <w:rPr>
                <w:rFonts w:ascii="宋体" w:hAnsi="宋体"/>
                <w:color w:val="auto"/>
                <w:kern w:val="0"/>
                <w:szCs w:val="21"/>
                <w:highlight w:val="none"/>
              </w:rPr>
            </w:pPr>
            <w:r>
              <w:rPr>
                <w:rFonts w:hint="eastAsia" w:ascii="宋体" w:hAnsi="宋体" w:eastAsia="宋体" w:cs="宋体"/>
                <w:color w:val="auto"/>
                <w:szCs w:val="21"/>
                <w:highlight w:val="none"/>
              </w:rPr>
              <w:t>4、凡在签发中选通知书前，竞选人被比选人及监督部门查实具有弄虚作假及围标、串标行为的。</w:t>
            </w:r>
          </w:p>
        </w:tc>
      </w:tr>
      <w:tr w14:paraId="1A69F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CDA3F7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5E3711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41004C46">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4702FAE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11FCA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10C018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6F14CB1C">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490" w:type="dxa"/>
            <w:vAlign w:val="center"/>
          </w:tcPr>
          <w:p w14:paraId="64C51F3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时不得对第八章“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格式”的相应要素作实质性修改，否则由评标委员会作否决投标处理。</w:t>
            </w:r>
          </w:p>
        </w:tc>
      </w:tr>
      <w:tr w14:paraId="51FA9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4761C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00399C1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7B5C67C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的法定代表人或其委托代理人在</w:t>
            </w:r>
            <w:r>
              <w:rPr>
                <w:rFonts w:hint="eastAsia" w:ascii="宋体" w:hAnsi="宋体"/>
                <w:color w:val="auto"/>
                <w:szCs w:val="21"/>
                <w:highlight w:val="none"/>
                <w:lang w:eastAsia="zh-CN"/>
              </w:rPr>
              <w:t>竞争性比选文件</w:t>
            </w:r>
            <w:r>
              <w:rPr>
                <w:rFonts w:hint="eastAsia" w:ascii="宋体" w:hAnsi="宋体"/>
                <w:color w:val="auto"/>
                <w:szCs w:val="21"/>
                <w:highlight w:val="none"/>
              </w:rPr>
              <w:t>规定的位置按</w:t>
            </w:r>
            <w:r>
              <w:rPr>
                <w:rFonts w:hint="eastAsia" w:ascii="宋体" w:hAnsi="宋体"/>
                <w:color w:val="auto"/>
                <w:szCs w:val="21"/>
                <w:highlight w:val="none"/>
                <w:lang w:eastAsia="zh-CN"/>
              </w:rPr>
              <w:t>竞争性比选文件</w:t>
            </w:r>
            <w:r>
              <w:rPr>
                <w:rFonts w:hint="eastAsia" w:ascii="宋体" w:hAnsi="宋体"/>
                <w:color w:val="auto"/>
                <w:szCs w:val="21"/>
                <w:highlight w:val="none"/>
              </w:rPr>
              <w:t>要求签名或盖章、盖单位法人章。委托代理人签名的，</w:t>
            </w:r>
            <w:r>
              <w:rPr>
                <w:rFonts w:hint="eastAsia" w:ascii="宋体" w:hAnsi="宋体"/>
                <w:color w:val="auto"/>
                <w:szCs w:val="21"/>
                <w:highlight w:val="none"/>
                <w:lang w:eastAsia="zh-CN"/>
              </w:rPr>
              <w:t>竞选文件</w:t>
            </w:r>
            <w:r>
              <w:rPr>
                <w:rFonts w:hint="eastAsia" w:ascii="宋体" w:hAnsi="宋体"/>
                <w:color w:val="auto"/>
                <w:szCs w:val="21"/>
                <w:highlight w:val="none"/>
              </w:rPr>
              <w:t>应附法定代表人签署的授权委托书。</w:t>
            </w:r>
            <w:r>
              <w:rPr>
                <w:rFonts w:hint="eastAsia" w:ascii="宋体" w:hAnsi="宋体"/>
                <w:color w:val="auto"/>
                <w:szCs w:val="21"/>
                <w:highlight w:val="none"/>
                <w:lang w:eastAsia="zh-CN"/>
              </w:rPr>
              <w:t>竞选文件</w:t>
            </w:r>
            <w:r>
              <w:rPr>
                <w:rFonts w:hint="eastAsia" w:ascii="宋体" w:hAnsi="宋体"/>
                <w:color w:val="auto"/>
                <w:szCs w:val="21"/>
                <w:highlight w:val="none"/>
              </w:rPr>
              <w:t>应尽量避免涂改、行间插字或删除。如果出现上述情况，改动之处应加盖单位法人章或由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的法定代表人或其授权的代理人签名确认。</w:t>
            </w:r>
          </w:p>
          <w:p w14:paraId="04C1EC7E">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60874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168F4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6FC549F7">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490" w:type="dxa"/>
            <w:vAlign w:val="center"/>
          </w:tcPr>
          <w:p w14:paraId="1D92527A">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olor w:val="auto"/>
                <w:kern w:val="0"/>
                <w:szCs w:val="21"/>
                <w:highlight w:val="none"/>
                <w:lang w:eastAsia="zh-CN"/>
              </w:rPr>
              <w:t>竞选文件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w:t>
            </w:r>
            <w:r>
              <w:rPr>
                <w:rFonts w:hint="eastAsia" w:ascii="宋体" w:hAnsi="宋体"/>
                <w:color w:val="auto"/>
                <w:kern w:val="0"/>
                <w:szCs w:val="21"/>
                <w:highlight w:val="none"/>
                <w:lang w:val="en-US" w:eastAsia="zh-CN"/>
              </w:rPr>
              <w:t>u</w:t>
            </w:r>
            <w:r>
              <w:rPr>
                <w:rFonts w:hint="eastAsia" w:ascii="宋体" w:hAnsi="宋体"/>
                <w:color w:val="auto"/>
                <w:kern w:val="0"/>
                <w:szCs w:val="21"/>
                <w:highlight w:val="none"/>
              </w:rPr>
              <w:t>盘）1份，</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w:t>
            </w:r>
            <w:r>
              <w:rPr>
                <w:rFonts w:hint="eastAsia" w:ascii="宋体" w:hAnsi="宋体"/>
                <w:color w:val="auto"/>
                <w:kern w:val="0"/>
                <w:szCs w:val="21"/>
                <w:highlight w:val="none"/>
              </w:rPr>
              <w:t>。当副本和正本不一致时，以正本为准。否则由评标委员会作否决投标处理。</w:t>
            </w:r>
          </w:p>
          <w:p w14:paraId="585982CB">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s="宋体"/>
                <w:color w:val="auto"/>
                <w:kern w:val="0"/>
                <w:szCs w:val="21"/>
              </w:rPr>
              <w:t>竞选人须在平台报名并上传盖章后的竞选文件电子文档一份。</w:t>
            </w:r>
          </w:p>
        </w:tc>
      </w:tr>
      <w:tr w14:paraId="6FCBD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1BB5F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071EB2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5D200F8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1、本工程技术部分采用暗标评审，应将投标函部分、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r>
              <w:rPr>
                <w:rFonts w:hint="eastAsia" w:ascii="宋体" w:hAnsi="宋体"/>
                <w:color w:val="auto"/>
                <w:szCs w:val="21"/>
                <w:highlight w:val="none"/>
              </w:rPr>
              <w:t>，投标保函部分无需装订</w:t>
            </w:r>
            <w:r>
              <w:rPr>
                <w:rFonts w:ascii="宋体" w:hAnsi="宋体"/>
                <w:color w:val="auto"/>
                <w:szCs w:val="21"/>
                <w:highlight w:val="none"/>
              </w:rPr>
              <w:t>。</w:t>
            </w:r>
          </w:p>
          <w:p w14:paraId="630E3D19">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2、装订</w:t>
            </w:r>
          </w:p>
          <w:p w14:paraId="43AA4681">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w:t>
            </w:r>
            <w:r>
              <w:rPr>
                <w:rFonts w:hint="eastAsia" w:ascii="宋体" w:hAnsi="宋体"/>
                <w:color w:val="auto"/>
                <w:szCs w:val="21"/>
                <w:highlight w:val="none"/>
              </w:rPr>
              <w:t>保函部分的装订要求</w:t>
            </w:r>
          </w:p>
          <w:p w14:paraId="36D028B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应按照第八章规定的格式提供，无需装订，不编页码。</w:t>
            </w:r>
          </w:p>
          <w:p w14:paraId="4E4D4478">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）投标函部分的装订要求</w:t>
            </w:r>
          </w:p>
          <w:p w14:paraId="3F3F50CF">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ascii="宋体" w:hAnsi="宋体"/>
                <w:color w:val="auto"/>
                <w:szCs w:val="21"/>
                <w:highlight w:val="none"/>
              </w:rPr>
              <w:t>，标注页码。</w:t>
            </w:r>
          </w:p>
          <w:p w14:paraId="7450F1A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经济</w:t>
            </w:r>
            <w:r>
              <w:rPr>
                <w:rFonts w:ascii="宋体" w:hAnsi="宋体"/>
                <w:color w:val="auto"/>
                <w:szCs w:val="21"/>
                <w:highlight w:val="none"/>
              </w:rPr>
              <w:t>部分的装订要求</w:t>
            </w:r>
          </w:p>
          <w:p w14:paraId="39A3434C">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color w:val="auto"/>
                <w:szCs w:val="21"/>
                <w:highlight w:val="none"/>
              </w:rPr>
              <w:t>应编制目录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但不得将目录编制作为评审因素</w:t>
            </w:r>
            <w:r>
              <w:rPr>
                <w:rFonts w:hint="eastAsia" w:ascii="宋体" w:hAnsi="宋体"/>
                <w:color w:val="auto"/>
                <w:szCs w:val="21"/>
                <w:highlight w:val="none"/>
                <w:lang w:eastAsia="zh-CN"/>
              </w:rPr>
              <w:t>）</w:t>
            </w:r>
            <w:r>
              <w:rPr>
                <w:rFonts w:hint="eastAsia" w:ascii="宋体" w:hAnsi="宋体"/>
                <w:color w:val="auto"/>
                <w:szCs w:val="21"/>
                <w:highlight w:val="none"/>
              </w:rPr>
              <w:t>，标注页码。</w:t>
            </w:r>
          </w:p>
          <w:p w14:paraId="12BCCDEC">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）技术部分的装订要求</w:t>
            </w:r>
          </w:p>
          <w:p w14:paraId="79939A54">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《技术方案》按照第八章规定格式装订成册，原则上应编制目录（但不得将目录编制作为评审因素），逐页标注页码。</w:t>
            </w:r>
          </w:p>
          <w:p w14:paraId="2CFDE382">
            <w:pPr>
              <w:autoSpaceDE w:val="0"/>
              <w:autoSpaceDN w:val="0"/>
              <w:adjustRightInd w:val="0"/>
              <w:snapToGrid w:val="0"/>
              <w:spacing w:line="40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（技术方案原则上不超过</w:t>
            </w:r>
            <w:r>
              <w:rPr>
                <w:rFonts w:hint="eastAsia" w:ascii="宋体" w:hAnsi="宋体" w:cs="宋体"/>
                <w:color w:val="auto"/>
                <w:kern w:val="0"/>
                <w:szCs w:val="21"/>
                <w:u w:val="single"/>
                <w:lang w:val="en-US" w:eastAsia="zh-CN"/>
              </w:rPr>
              <w:t>2</w:t>
            </w:r>
            <w:r>
              <w:rPr>
                <w:rFonts w:hint="eastAsia" w:ascii="宋体" w:hAnsi="宋体" w:cs="宋体"/>
                <w:color w:val="auto"/>
                <w:kern w:val="0"/>
                <w:szCs w:val="21"/>
                <w:u w:val="single"/>
              </w:rPr>
              <w:t>00</w:t>
            </w:r>
            <w:r>
              <w:rPr>
                <w:rFonts w:hint="eastAsia" w:ascii="宋体" w:hAnsi="宋体" w:cs="宋体"/>
                <w:color w:val="auto"/>
                <w:kern w:val="0"/>
                <w:szCs w:val="21"/>
              </w:rPr>
              <w:t>页。）</w:t>
            </w:r>
          </w:p>
          <w:p w14:paraId="08716312">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rPr>
              <w:t>5</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14:paraId="479A914D">
            <w:pPr>
              <w:adjustRightInd w:val="0"/>
              <w:snapToGrid w:val="0"/>
              <w:spacing w:line="400" w:lineRule="exact"/>
              <w:ind w:firstLine="420" w:firstLineChars="200"/>
              <w:rPr>
                <w:rFonts w:ascii="宋体" w:hAnsi="宋体"/>
                <w:color w:val="auto"/>
                <w:szCs w:val="21"/>
                <w:highlight w:val="none"/>
              </w:rPr>
            </w:pPr>
            <w:r>
              <w:rPr>
                <w:rFonts w:ascii="宋体" w:hAnsi="宋体"/>
                <w:szCs w:val="21"/>
              </w:rPr>
              <w:t>应按照第八章规定格式装订成册，</w:t>
            </w:r>
            <w:r>
              <w:rPr>
                <w:rFonts w:hint="eastAsia" w:ascii="宋体" w:hAnsi="宋体"/>
                <w:szCs w:val="21"/>
                <w:lang w:val="en-US" w:eastAsia="zh-CN"/>
              </w:rPr>
              <w:t>原则上</w:t>
            </w:r>
            <w:r>
              <w:rPr>
                <w:rFonts w:ascii="宋体" w:hAnsi="宋体"/>
                <w:szCs w:val="21"/>
              </w:rPr>
              <w:t>应编制目录</w:t>
            </w:r>
            <w:r>
              <w:rPr>
                <w:rFonts w:hint="eastAsia" w:ascii="宋体" w:hAnsi="宋体"/>
                <w:szCs w:val="21"/>
                <w:lang w:eastAsia="zh-CN"/>
              </w:rPr>
              <w:t>（</w:t>
            </w:r>
            <w:r>
              <w:rPr>
                <w:rFonts w:hint="eastAsia" w:ascii="宋体" w:hAnsi="宋体"/>
                <w:szCs w:val="21"/>
                <w:lang w:val="en-US" w:eastAsia="zh-CN"/>
              </w:rPr>
              <w:t>但不得将目录编制作为评审因素</w:t>
            </w:r>
            <w:r>
              <w:rPr>
                <w:rFonts w:hint="eastAsia" w:ascii="宋体" w:hAnsi="宋体"/>
                <w:szCs w:val="21"/>
                <w:lang w:eastAsia="zh-CN"/>
              </w:rPr>
              <w:t>）</w:t>
            </w:r>
            <w:r>
              <w:rPr>
                <w:rFonts w:ascii="宋体" w:hAnsi="宋体"/>
                <w:szCs w:val="21"/>
              </w:rPr>
              <w:t>，标注页</w:t>
            </w:r>
            <w:r>
              <w:rPr>
                <w:rFonts w:ascii="宋体" w:hAnsi="宋体"/>
                <w:kern w:val="0"/>
                <w:szCs w:val="21"/>
              </w:rPr>
              <w:t>码。</w:t>
            </w:r>
          </w:p>
        </w:tc>
      </w:tr>
      <w:tr w14:paraId="63082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B3840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47870BCD">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的密封</w:t>
            </w:r>
          </w:p>
        </w:tc>
        <w:tc>
          <w:tcPr>
            <w:tcW w:w="6490" w:type="dxa"/>
            <w:vAlign w:val="center"/>
          </w:tcPr>
          <w:p w14:paraId="7CD06293">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竞选文件</w:t>
            </w:r>
            <w:r>
              <w:rPr>
                <w:rFonts w:ascii="宋体" w:hAnsi="宋体"/>
                <w:color w:val="auto"/>
                <w:szCs w:val="21"/>
                <w:highlight w:val="none"/>
              </w:rPr>
              <w:t>袋使用“投标保函部分”袋</w:t>
            </w:r>
            <w:r>
              <w:rPr>
                <w:rFonts w:hint="eastAsia" w:ascii="宋体" w:hAnsi="宋体"/>
                <w:color w:val="auto"/>
                <w:szCs w:val="21"/>
                <w:highlight w:val="none"/>
              </w:rPr>
              <w:t>（如有）</w:t>
            </w:r>
            <w:r>
              <w:rPr>
                <w:rFonts w:ascii="宋体" w:hAnsi="宋体"/>
                <w:color w:val="auto"/>
                <w:szCs w:val="21"/>
                <w:highlight w:val="none"/>
              </w:rPr>
              <w:t>、“投标函部分”袋、“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lang w:eastAsia="zh-CN"/>
              </w:rPr>
              <w:t>竞选文件</w:t>
            </w:r>
            <w:r>
              <w:rPr>
                <w:rFonts w:ascii="宋体" w:hAnsi="宋体"/>
                <w:color w:val="auto"/>
                <w:szCs w:val="21"/>
                <w:highlight w:val="none"/>
              </w:rPr>
              <w:t>”大袋。</w:t>
            </w:r>
          </w:p>
          <w:p w14:paraId="6907B63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2. </w:t>
            </w:r>
            <w:r>
              <w:rPr>
                <w:rFonts w:ascii="宋体" w:hAnsi="宋体"/>
                <w:color w:val="auto"/>
                <w:szCs w:val="21"/>
                <w:highlight w:val="none"/>
              </w:rPr>
              <w:t>投标保函正本</w:t>
            </w:r>
            <w:r>
              <w:rPr>
                <w:rFonts w:ascii="宋体" w:hAnsi="宋体"/>
                <w:color w:val="auto"/>
                <w:kern w:val="0"/>
                <w:szCs w:val="21"/>
                <w:highlight w:val="none"/>
              </w:rPr>
              <w:t>复印件装入</w:t>
            </w:r>
            <w:r>
              <w:rPr>
                <w:rFonts w:ascii="宋体" w:hAnsi="宋体"/>
                <w:color w:val="auto"/>
                <w:szCs w:val="21"/>
                <w:highlight w:val="none"/>
              </w:rPr>
              <w:t>“投标保函部分”袋</w:t>
            </w:r>
            <w:r>
              <w:rPr>
                <w:rFonts w:hint="eastAsia" w:ascii="宋体" w:hAnsi="宋体"/>
                <w:color w:val="auto"/>
                <w:szCs w:val="21"/>
                <w:highlight w:val="none"/>
              </w:rPr>
              <w:t>，单独封装</w:t>
            </w:r>
            <w:r>
              <w:rPr>
                <w:rFonts w:ascii="宋体" w:hAnsi="宋体"/>
                <w:color w:val="auto"/>
                <w:szCs w:val="21"/>
                <w:highlight w:val="none"/>
              </w:rPr>
              <w:t>并在袋上加盖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章，同时应按本表第4.1.2项的规定写明相应内容。</w:t>
            </w:r>
          </w:p>
          <w:p w14:paraId="1A5F543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和电子版形式（</w:t>
            </w:r>
            <w:r>
              <w:rPr>
                <w:rFonts w:hint="eastAsia" w:ascii="宋体" w:hAnsi="宋体"/>
                <w:color w:val="auto"/>
                <w:szCs w:val="21"/>
                <w:highlight w:val="none"/>
                <w:lang w:val="en-US" w:eastAsia="zh-CN"/>
              </w:rPr>
              <w:t>u</w:t>
            </w:r>
            <w:r>
              <w:rPr>
                <w:rFonts w:hint="eastAsia" w:ascii="宋体" w:hAnsi="宋体"/>
                <w:color w:val="auto"/>
                <w:szCs w:val="21"/>
                <w:highlight w:val="none"/>
              </w:rPr>
              <w:t>盘）</w:t>
            </w:r>
            <w:r>
              <w:rPr>
                <w:rFonts w:ascii="宋体" w:hAnsi="宋体"/>
                <w:color w:val="auto"/>
                <w:szCs w:val="21"/>
                <w:highlight w:val="none"/>
              </w:rPr>
              <w:t>装入“投标函部分”袋中，密封并在袋上加盖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14:paraId="00D97E7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olor w:val="auto"/>
                <w:spacing w:val="4"/>
                <w:szCs w:val="21"/>
                <w:highlight w:val="none"/>
              </w:rPr>
              <w:t>经济</w:t>
            </w:r>
            <w:r>
              <w:rPr>
                <w:rFonts w:ascii="宋体" w:hAnsi="宋体"/>
                <w:color w:val="auto"/>
                <w:spacing w:val="4"/>
                <w:szCs w:val="21"/>
                <w:highlight w:val="none"/>
              </w:rPr>
              <w:t>部分装入“</w:t>
            </w:r>
            <w:r>
              <w:rPr>
                <w:rFonts w:hint="eastAsia" w:ascii="宋体" w:hAnsi="宋体"/>
                <w:color w:val="auto"/>
                <w:spacing w:val="4"/>
                <w:szCs w:val="21"/>
                <w:highlight w:val="none"/>
              </w:rPr>
              <w:t>经济</w:t>
            </w:r>
            <w:r>
              <w:rPr>
                <w:rFonts w:ascii="宋体" w:hAnsi="宋体"/>
                <w:color w:val="auto"/>
                <w:spacing w:val="4"/>
                <w:szCs w:val="21"/>
                <w:highlight w:val="none"/>
              </w:rPr>
              <w:t>部分”袋中，密封并在袋上加盖</w:t>
            </w:r>
            <w:r>
              <w:rPr>
                <w:rFonts w:hint="eastAsia" w:ascii="宋体" w:hAnsi="宋体"/>
                <w:color w:val="auto"/>
                <w:spacing w:val="4"/>
                <w:szCs w:val="21"/>
                <w:highlight w:val="none"/>
                <w:lang w:eastAsia="zh-CN"/>
              </w:rPr>
              <w:t>竞选人</w:t>
            </w:r>
            <w:r>
              <w:rPr>
                <w:rFonts w:ascii="宋体" w:hAnsi="宋体"/>
                <w:color w:val="auto"/>
                <w:spacing w:val="4"/>
                <w:szCs w:val="21"/>
                <w:highlight w:val="none"/>
              </w:rPr>
              <w:t>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14:paraId="0F0039CE">
            <w:pPr>
              <w:spacing w:line="400" w:lineRule="exact"/>
              <w:ind w:firstLine="420" w:firstLineChars="200"/>
              <w:rPr>
                <w:rFonts w:ascii="宋体" w:hAnsi="宋体"/>
                <w:szCs w:val="21"/>
              </w:rPr>
            </w:pPr>
            <w:r>
              <w:rPr>
                <w:rFonts w:hint="eastAsia" w:ascii="宋体" w:hAnsi="宋体"/>
                <w:color w:val="auto"/>
                <w:szCs w:val="21"/>
                <w:highlight w:val="none"/>
              </w:rPr>
              <w:t>5</w:t>
            </w:r>
            <w:r>
              <w:rPr>
                <w:rFonts w:ascii="宋体" w:hAnsi="宋体"/>
                <w:color w:val="auto"/>
                <w:szCs w:val="21"/>
                <w:highlight w:val="none"/>
              </w:rPr>
              <w:t>.</w:t>
            </w:r>
            <w:r>
              <w:rPr>
                <w:rFonts w:ascii="宋体" w:hAnsi="宋体"/>
                <w:szCs w:val="21"/>
              </w:rPr>
              <w:t>本次招标技术部分采用明标评审，技术部分装入</w:t>
            </w:r>
            <w:r>
              <w:rPr>
                <w:rFonts w:hint="eastAsia" w:ascii="宋体" w:hAnsi="宋体"/>
                <w:szCs w:val="21"/>
              </w:rPr>
              <w:t>“技术部分”袋中，密封</w:t>
            </w:r>
            <w:r>
              <w:rPr>
                <w:rFonts w:ascii="宋体" w:hAnsi="宋体"/>
                <w:szCs w:val="21"/>
              </w:rPr>
              <w:t>并加盖</w:t>
            </w:r>
            <w:r>
              <w:rPr>
                <w:rFonts w:hint="eastAsia" w:ascii="宋体" w:hAnsi="宋体"/>
                <w:szCs w:val="21"/>
                <w:lang w:eastAsia="zh-CN"/>
              </w:rPr>
              <w:t>竞选人</w:t>
            </w:r>
            <w:r>
              <w:rPr>
                <w:rFonts w:ascii="宋体" w:hAnsi="宋体"/>
                <w:szCs w:val="21"/>
              </w:rPr>
              <w:t>单位</w:t>
            </w:r>
            <w:r>
              <w:rPr>
                <w:rFonts w:hint="eastAsia" w:ascii="宋体" w:hAnsi="宋体"/>
                <w:szCs w:val="21"/>
              </w:rPr>
              <w:t>法人</w:t>
            </w:r>
            <w:r>
              <w:rPr>
                <w:rFonts w:ascii="宋体" w:hAnsi="宋体"/>
                <w:szCs w:val="21"/>
              </w:rPr>
              <w:t>章。</w:t>
            </w:r>
          </w:p>
          <w:p w14:paraId="5396A8C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资格审查部分装入“资格审查部分”袋中，密封并在袋上加盖</w:t>
            </w:r>
            <w:r>
              <w:rPr>
                <w:rFonts w:hint="eastAsia" w:ascii="宋体" w:hAnsi="宋体"/>
                <w:color w:val="auto"/>
                <w:szCs w:val="21"/>
                <w:highlight w:val="none"/>
                <w:lang w:eastAsia="zh-CN"/>
              </w:rPr>
              <w:t>竞选人</w:t>
            </w:r>
            <w:r>
              <w:rPr>
                <w:rFonts w:hint="eastAsia" w:ascii="宋体" w:hAnsi="宋体"/>
                <w:color w:val="auto"/>
                <w:szCs w:val="21"/>
                <w:highlight w:val="none"/>
              </w:rPr>
              <w:t>单位法人章。</w:t>
            </w:r>
          </w:p>
          <w:p w14:paraId="3BCD3AA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lang w:eastAsia="zh-CN"/>
              </w:rPr>
              <w:t>竞选文件</w:t>
            </w:r>
            <w:r>
              <w:rPr>
                <w:rFonts w:ascii="宋体" w:hAnsi="宋体"/>
                <w:color w:val="auto"/>
                <w:szCs w:val="21"/>
                <w:highlight w:val="none"/>
              </w:rPr>
              <w:t>”大袋中，密封并在大袋上加盖</w:t>
            </w:r>
            <w:r>
              <w:rPr>
                <w:rFonts w:hint="eastAsia" w:ascii="宋体" w:hAnsi="宋体"/>
                <w:color w:val="auto"/>
                <w:szCs w:val="21"/>
                <w:highlight w:val="none"/>
                <w:lang w:eastAsia="zh-CN"/>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lang w:eastAsia="zh-CN"/>
              </w:rPr>
              <w:t>竞选文件</w:t>
            </w:r>
            <w:r>
              <w:rPr>
                <w:rFonts w:ascii="宋体" w:hAnsi="宋体"/>
                <w:color w:val="auto"/>
                <w:szCs w:val="21"/>
                <w:highlight w:val="none"/>
              </w:rPr>
              <w:t>”大袋应按本表第4.1.2项的规定写明相应内容。</w:t>
            </w:r>
            <w:r>
              <w:rPr>
                <w:rFonts w:hint="eastAsia" w:ascii="宋体" w:hAnsi="宋体"/>
                <w:color w:val="auto"/>
                <w:szCs w:val="21"/>
                <w:highlight w:val="none"/>
              </w:rPr>
              <w:t>一个大袋装不下的，可使用多个大袋分册封装。大袋未按要求密封的，</w:t>
            </w:r>
            <w:r>
              <w:rPr>
                <w:rFonts w:hint="eastAsia" w:ascii="宋体" w:hAnsi="宋体"/>
                <w:color w:val="auto"/>
                <w:szCs w:val="21"/>
                <w:highlight w:val="none"/>
                <w:lang w:eastAsia="zh-CN"/>
              </w:rPr>
              <w:t>比选</w:t>
            </w:r>
            <w:r>
              <w:rPr>
                <w:rFonts w:hint="eastAsia" w:ascii="宋体" w:hAnsi="宋体"/>
                <w:color w:val="auto"/>
                <w:szCs w:val="21"/>
                <w:highlight w:val="none"/>
              </w:rPr>
              <w:t>人或代理机构应该拒收。</w:t>
            </w:r>
          </w:p>
          <w:p w14:paraId="2AFEC6D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注：“投标函部分”袋、“技术部分”袋、“经济部分”袋、“资格审查部分”袋只为方便</w:t>
            </w:r>
            <w:r>
              <w:rPr>
                <w:rFonts w:hint="eastAsia" w:ascii="宋体" w:hAnsi="宋体"/>
                <w:color w:val="auto"/>
                <w:szCs w:val="21"/>
                <w:highlight w:val="none"/>
                <w:lang w:eastAsia="zh-CN"/>
              </w:rPr>
              <w:t>竞选文件</w:t>
            </w:r>
            <w:r>
              <w:rPr>
                <w:rFonts w:hint="eastAsia" w:ascii="宋体" w:hAnsi="宋体"/>
                <w:color w:val="auto"/>
                <w:szCs w:val="21"/>
                <w:highlight w:val="none"/>
              </w:rPr>
              <w:t>分装，不作为判定密封合格与否的条件。但为了方便开标，请各</w:t>
            </w:r>
            <w:r>
              <w:rPr>
                <w:rFonts w:hint="eastAsia" w:ascii="宋体" w:hAnsi="宋体"/>
                <w:color w:val="auto"/>
                <w:szCs w:val="21"/>
                <w:highlight w:val="none"/>
                <w:lang w:eastAsia="zh-CN"/>
              </w:rPr>
              <w:t>竞选人</w:t>
            </w:r>
            <w:r>
              <w:rPr>
                <w:rFonts w:hint="eastAsia" w:ascii="宋体" w:hAnsi="宋体"/>
                <w:color w:val="auto"/>
                <w:szCs w:val="21"/>
                <w:highlight w:val="none"/>
              </w:rPr>
              <w:t>主动配合，按要求分装。</w:t>
            </w:r>
          </w:p>
        </w:tc>
      </w:tr>
      <w:tr w14:paraId="0E158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7C01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56D51D3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34F0C9EB">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竞选文件</w:t>
            </w:r>
            <w:r>
              <w:rPr>
                <w:rFonts w:ascii="宋体" w:hAnsi="宋体"/>
                <w:color w:val="auto"/>
                <w:kern w:val="0"/>
                <w:szCs w:val="21"/>
                <w:highlight w:val="none"/>
              </w:rPr>
              <w:t>”大袋封套上写明如下内容：</w:t>
            </w:r>
          </w:p>
          <w:p w14:paraId="035DB1F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比选</w:t>
            </w:r>
            <w:r>
              <w:rPr>
                <w:rFonts w:ascii="宋体" w:hAnsi="宋体"/>
                <w:color w:val="auto"/>
                <w:kern w:val="0"/>
                <w:szCs w:val="21"/>
                <w:highlight w:val="none"/>
              </w:rPr>
              <w:t>人名称：</w:t>
            </w:r>
            <w:r>
              <w:rPr>
                <w:rFonts w:hint="eastAsia" w:ascii="宋体" w:hAnsi="宋体"/>
                <w:color w:val="auto"/>
                <w:kern w:val="0"/>
                <w:szCs w:val="21"/>
                <w:highlight w:val="none"/>
                <w:u w:val="single"/>
              </w:rPr>
              <w:t xml:space="preserve">            </w:t>
            </w:r>
          </w:p>
          <w:p w14:paraId="6FE5F79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317E9909">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14:paraId="087DD1DA">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16AD2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5A8E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19657EF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490" w:type="dxa"/>
            <w:vAlign w:val="center"/>
          </w:tcPr>
          <w:p w14:paraId="76F48F3C">
            <w:pPr>
              <w:widowControl w:val="0"/>
              <w:tabs>
                <w:tab w:val="left" w:pos="2000"/>
                <w:tab w:val="left" w:pos="5580"/>
                <w:tab w:val="left" w:pos="6220"/>
                <w:tab w:val="left" w:pos="6840"/>
                <w:tab w:val="left" w:pos="7460"/>
                <w:tab w:val="left" w:pos="8100"/>
              </w:tabs>
              <w:wordWrap/>
              <w:autoSpaceDE w:val="0"/>
              <w:autoSpaceDN w:val="0"/>
              <w:adjustRightInd w:val="0"/>
              <w:snapToGrid w:val="0"/>
              <w:spacing w:line="450" w:lineRule="exact"/>
              <w:ind w:firstLine="420" w:firstLineChars="200"/>
              <w:textAlignment w:val="auto"/>
              <w:rPr>
                <w:rFonts w:ascii="宋体" w:hAnsi="宋体"/>
                <w:bCs/>
                <w:i/>
                <w:color w:val="auto"/>
                <w:szCs w:val="21"/>
                <w:highlight w:val="none"/>
              </w:rPr>
            </w:pPr>
            <w:r>
              <w:rPr>
                <w:rFonts w:hint="eastAsia" w:ascii="宋体"/>
                <w:color w:val="auto"/>
                <w:szCs w:val="21"/>
                <w:highlight w:val="none"/>
              </w:rPr>
              <w:t>地址：</w:t>
            </w:r>
            <w:r>
              <w:rPr>
                <w:rFonts w:hint="eastAsia" w:ascii="宋体" w:hAnsi="宋体"/>
                <w:snapToGrid w:val="0"/>
                <w:color w:val="auto"/>
                <w:kern w:val="0"/>
                <w:szCs w:val="21"/>
                <w:highlight w:val="none"/>
                <w:u w:val="single"/>
              </w:rPr>
              <w:t>重庆市公共资源交易中心（地址：重庆市渝北区青枫北路6号渝兴广场B9栋</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楼）</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具体接标处详见开标当天一楼大厅电子显示屏上交易日程安排。</w:t>
            </w:r>
          </w:p>
        </w:tc>
      </w:tr>
      <w:tr w14:paraId="63C33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3B749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5688A3C6">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竞选文件</w:t>
            </w:r>
          </w:p>
        </w:tc>
        <w:tc>
          <w:tcPr>
            <w:tcW w:w="6490" w:type="dxa"/>
            <w:vAlign w:val="center"/>
          </w:tcPr>
          <w:p w14:paraId="400F296F">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0B448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3016B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1CE5254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2BBB675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04AC9E1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14:paraId="09959220">
            <w:pPr>
              <w:widowControl w:val="0"/>
              <w:tabs>
                <w:tab w:val="left" w:pos="2000"/>
                <w:tab w:val="left" w:pos="5580"/>
                <w:tab w:val="left" w:pos="6220"/>
                <w:tab w:val="left" w:pos="6840"/>
                <w:tab w:val="left" w:pos="7460"/>
                <w:tab w:val="left" w:pos="8100"/>
              </w:tabs>
              <w:wordWrap/>
              <w:autoSpaceDE w:val="0"/>
              <w:autoSpaceDN w:val="0"/>
              <w:adjustRightInd w:val="0"/>
              <w:snapToGrid w:val="0"/>
              <w:spacing w:line="450" w:lineRule="exact"/>
              <w:ind w:firstLine="420" w:firstLineChars="200"/>
              <w:textAlignment w:val="auto"/>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snapToGrid w:val="0"/>
                <w:color w:val="auto"/>
                <w:kern w:val="0"/>
                <w:szCs w:val="21"/>
                <w:highlight w:val="none"/>
                <w:u w:val="single"/>
              </w:rPr>
              <w:t>重庆市公共资源交易中心（地址：重庆市渝北区青枫北路6号渝兴广场B9栋</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楼）</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具体接标处详见开标当天一楼大厅电子显示屏上交易日程安排。</w:t>
            </w:r>
          </w:p>
        </w:tc>
      </w:tr>
      <w:tr w14:paraId="36496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025099">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F782E20">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14:paraId="0603A308">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1A98935A">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2281571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6D4B6D4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672145E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14:paraId="66F0F741">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14:paraId="3EBCBCF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14:paraId="7806F07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0FE7E7B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。开启</w:t>
            </w:r>
            <w:r>
              <w:rPr>
                <w:rFonts w:hint="eastAsia" w:ascii="宋体" w:hAnsi="宋体"/>
                <w:color w:val="auto"/>
                <w:szCs w:val="21"/>
                <w:highlight w:val="none"/>
                <w:lang w:eastAsia="zh-CN"/>
              </w:rPr>
              <w:t>竞选文件</w:t>
            </w:r>
            <w:r>
              <w:rPr>
                <w:rFonts w:ascii="宋体" w:hAnsi="宋体"/>
                <w:color w:val="auto"/>
                <w:szCs w:val="21"/>
                <w:highlight w:val="none"/>
              </w:rPr>
              <w:t>大袋及投标函部分袋、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（如有）、资格审查部分袋</w:t>
            </w:r>
            <w:r>
              <w:rPr>
                <w:rFonts w:ascii="宋体" w:hAnsi="宋体"/>
                <w:color w:val="auto"/>
                <w:szCs w:val="21"/>
                <w:highlight w:val="none"/>
              </w:rPr>
              <w:t>；公布</w:t>
            </w:r>
            <w:r>
              <w:rPr>
                <w:rFonts w:hint="eastAsia" w:ascii="宋体" w:hAnsi="宋体"/>
                <w:color w:val="auto"/>
                <w:szCs w:val="21"/>
                <w:highlight w:val="none"/>
                <w:lang w:eastAsia="zh-CN"/>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7FA0F497">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 xml:space="preserve">. </w:t>
            </w: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w:t>
            </w:r>
            <w:r>
              <w:rPr>
                <w:rFonts w:hint="eastAsia" w:ascii="宋体" w:hAnsi="宋体"/>
                <w:color w:val="auto"/>
                <w:szCs w:val="21"/>
                <w:highlight w:val="none"/>
              </w:rPr>
              <w:t>人或代理机构当场答复，并记录到开标记录表中。异议处理完毕后，汇总开标情况，打印开标记录表。</w:t>
            </w:r>
          </w:p>
          <w:p w14:paraId="2ACACC3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ascii="宋体" w:hAnsi="宋体"/>
                <w:color w:val="auto"/>
                <w:szCs w:val="21"/>
                <w:highlight w:val="none"/>
              </w:rPr>
              <w:t xml:space="preserve">. </w:t>
            </w:r>
            <w:r>
              <w:rPr>
                <w:rFonts w:hint="eastAsia" w:ascii="宋体" w:hAnsi="宋体"/>
                <w:color w:val="auto"/>
                <w:szCs w:val="21"/>
                <w:highlight w:val="none"/>
                <w:lang w:eastAsia="zh-CN"/>
              </w:rPr>
              <w:t>竞选人</w:t>
            </w:r>
            <w:r>
              <w:rPr>
                <w:rFonts w:ascii="宋体" w:hAnsi="宋体"/>
                <w:color w:val="auto"/>
                <w:szCs w:val="21"/>
                <w:highlight w:val="none"/>
              </w:rPr>
              <w:t>代表、</w:t>
            </w:r>
            <w:r>
              <w:rPr>
                <w:rFonts w:hint="eastAsia" w:ascii="宋体" w:hAnsi="宋体"/>
                <w:color w:val="auto"/>
                <w:szCs w:val="21"/>
                <w:highlight w:val="none"/>
                <w:lang w:eastAsia="zh-CN"/>
              </w:rPr>
              <w:t>比选</w:t>
            </w:r>
            <w:r>
              <w:rPr>
                <w:rFonts w:ascii="宋体" w:hAnsi="宋体"/>
                <w:color w:val="auto"/>
                <w:szCs w:val="21"/>
                <w:highlight w:val="none"/>
              </w:rPr>
              <w:t>人代表、监标人、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110E65DF">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33C2D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C611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3E32330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6FA278AB">
            <w:pPr>
              <w:autoSpaceDE w:val="0"/>
              <w:autoSpaceDN w:val="0"/>
              <w:adjustRightInd w:val="0"/>
              <w:snapToGrid w:val="0"/>
              <w:spacing w:line="420" w:lineRule="exact"/>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21"/>
                <w:szCs w:val="21"/>
                <w:highlight w:val="none"/>
              </w:rPr>
              <w:t>评标委员会</w:t>
            </w:r>
            <w:r>
              <w:rPr>
                <w:rFonts w:hint="eastAsia" w:ascii="宋体" w:hAnsi="宋体"/>
                <w:color w:val="auto"/>
                <w:kern w:val="0"/>
                <w:szCs w:val="21"/>
                <w:highlight w:val="none"/>
              </w:rPr>
              <w:t>的构成：</w:t>
            </w:r>
            <w:r>
              <w:rPr>
                <w:rFonts w:hint="eastAsia" w:ascii="宋体" w:hAnsi="宋体"/>
                <w:color w:val="auto"/>
                <w:spacing w:val="-8"/>
                <w:kern w:val="0"/>
                <w:szCs w:val="21"/>
                <w:highlight w:val="none"/>
              </w:rPr>
              <w:t>评标专家</w:t>
            </w:r>
            <w:r>
              <w:rPr>
                <w:rFonts w:hint="eastAsia" w:ascii="宋体" w:hAnsi="宋体"/>
                <w:color w:val="auto"/>
                <w:kern w:val="0"/>
                <w:szCs w:val="21"/>
                <w:highlight w:val="none"/>
                <w:u w:val="single"/>
              </w:rPr>
              <w:t>3</w:t>
            </w:r>
            <w:r>
              <w:rPr>
                <w:rFonts w:hint="eastAsia" w:ascii="宋体" w:hAnsi="宋体"/>
                <w:color w:val="auto"/>
                <w:kern w:val="0"/>
                <w:szCs w:val="21"/>
                <w:highlight w:val="none"/>
              </w:rPr>
              <w:t>人。</w:t>
            </w:r>
          </w:p>
          <w:p w14:paraId="45B1D33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s="宋体"/>
                <w:color w:val="auto"/>
                <w:kern w:val="0"/>
                <w:szCs w:val="21"/>
                <w:highlight w:val="none"/>
              </w:rPr>
              <w:t>评标专家确定方式：</w:t>
            </w:r>
            <w:r>
              <w:rPr>
                <w:rFonts w:hint="eastAsia" w:ascii="宋体" w:hAnsi="宋体"/>
                <w:spacing w:val="4"/>
                <w:kern w:val="0"/>
                <w:szCs w:val="21"/>
              </w:rPr>
              <w:t>由比选人按法律法规及相关规定依法组建评审委员会</w:t>
            </w:r>
            <w:r>
              <w:rPr>
                <w:rFonts w:hint="eastAsia" w:ascii="宋体" w:hAnsi="宋体"/>
                <w:kern w:val="0"/>
                <w:szCs w:val="21"/>
              </w:rPr>
              <w:t>。</w:t>
            </w:r>
          </w:p>
        </w:tc>
      </w:tr>
      <w:tr w14:paraId="22317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645D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5C82EEF6">
            <w:pPr>
              <w:snapToGrid w:val="0"/>
              <w:spacing w:after="62" w:afterLines="20"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是否授权评标委员会确定</w:t>
            </w:r>
            <w:r>
              <w:rPr>
                <w:rFonts w:hint="eastAsia" w:ascii="宋体" w:hAnsi="宋体"/>
                <w:color w:val="auto"/>
                <w:kern w:val="0"/>
                <w:szCs w:val="21"/>
                <w:highlight w:val="none"/>
                <w:lang w:eastAsia="zh-CN"/>
              </w:rPr>
              <w:t>中选人</w:t>
            </w:r>
          </w:p>
        </w:tc>
        <w:tc>
          <w:tcPr>
            <w:tcW w:w="6490" w:type="dxa"/>
            <w:vAlign w:val="center"/>
          </w:tcPr>
          <w:p w14:paraId="402D72EC">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69EFC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2E25A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6D12DDC1">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03D6A072">
            <w:pPr>
              <w:snapToGrid w:val="0"/>
              <w:spacing w:line="400" w:lineRule="exact"/>
              <w:ind w:firstLine="420" w:firstLineChars="200"/>
              <w:rPr>
                <w:rFonts w:ascii="宋体" w:hAnsi="宋体" w:cs="宋体"/>
                <w:color w:val="auto"/>
                <w:szCs w:val="21"/>
                <w:highlight w:val="none"/>
              </w:rPr>
            </w:pPr>
            <w:r>
              <w:rPr>
                <w:rFonts w:hint="eastAsia" w:ascii="宋体" w:hAnsi="宋体" w:cs="宋体"/>
                <w:szCs w:val="21"/>
              </w:rPr>
              <w:t>比选人在收到评审报告后3日内将评审结果在</w:t>
            </w:r>
            <w:r>
              <w:rPr>
                <w:rFonts w:hint="eastAsia" w:ascii="宋体" w:hAnsi="宋体"/>
                <w:snapToGrid w:val="0"/>
                <w:kern w:val="0"/>
                <w:szCs w:val="21"/>
                <w:u w:val="single"/>
              </w:rPr>
              <w:t>《行采家（</w:t>
            </w:r>
            <w:r>
              <w:rPr>
                <w:rFonts w:ascii="宋体" w:hAnsi="宋体"/>
                <w:snapToGrid w:val="0"/>
                <w:kern w:val="0"/>
                <w:szCs w:val="21"/>
                <w:u w:val="single"/>
              </w:rPr>
              <w:t>https://www.gec123.com/</w:t>
            </w:r>
            <w:r>
              <w:rPr>
                <w:rFonts w:hint="eastAsia" w:ascii="宋体" w:hAnsi="宋体"/>
                <w:snapToGrid w:val="0"/>
                <w:kern w:val="0"/>
                <w:szCs w:val="21"/>
                <w:u w:val="single"/>
              </w:rPr>
              <w:t>）》</w:t>
            </w:r>
            <w:r>
              <w:rPr>
                <w:rFonts w:hint="eastAsia" w:ascii="宋体" w:hAnsi="宋体" w:cs="宋体"/>
                <w:szCs w:val="21"/>
              </w:rPr>
              <w:t>上进行公示，公示期为3日。</w:t>
            </w:r>
          </w:p>
        </w:tc>
      </w:tr>
      <w:tr w14:paraId="64FAB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F7C8C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243ABD1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5FEDE86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1E99F7E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59895082">
            <w:pPr>
              <w:snapToGrid w:val="0"/>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rPr>
              <w:t>（1）履约担保的形式：现金或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其示范文本详见第四章合同条款及格式附件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szCs w:val="21"/>
                <w:highlight w:val="none"/>
                <w:lang w:val="en-US" w:eastAsia="zh-CN"/>
              </w:rPr>
              <w:t>。</w:t>
            </w:r>
          </w:p>
          <w:p w14:paraId="3D00C1E5">
            <w:pPr>
              <w:snapToGrid w:val="0"/>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（2）具体要求：履约保函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应合法合规，符合招投标行政监督部门、行业主管部门和金融监管部门的相关规定，满足比选文件约定要求。</w:t>
            </w:r>
            <w:r>
              <w:rPr>
                <w:rFonts w:hint="eastAsia" w:ascii="宋体" w:hAnsi="宋体"/>
                <w:color w:val="auto"/>
                <w:kern w:val="0"/>
                <w:szCs w:val="21"/>
                <w:highlight w:val="none"/>
                <w:lang w:val="en-US" w:eastAsia="zh-CN"/>
              </w:rPr>
              <w:t>中标人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中标人对所提交的履约保函的真实性、合法性、有效性负责。</w:t>
            </w:r>
          </w:p>
          <w:p w14:paraId="1EC47286">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）履约担保的金额：</w:t>
            </w:r>
            <w:r>
              <w:rPr>
                <w:rFonts w:hint="eastAsia" w:ascii="宋体" w:hAnsi="宋体"/>
                <w:color w:val="auto"/>
                <w:kern w:val="0"/>
                <w:szCs w:val="21"/>
                <w:highlight w:val="none"/>
                <w:u w:val="single"/>
                <w:lang w:eastAsia="zh-CN"/>
              </w:rPr>
              <w:t>中</w:t>
            </w:r>
            <w:r>
              <w:rPr>
                <w:rFonts w:hint="eastAsia" w:ascii="宋体" w:hAnsi="宋体" w:eastAsia="宋体" w:cs="Times New Roman"/>
                <w:color w:val="auto"/>
                <w:kern w:val="0"/>
                <w:szCs w:val="21"/>
                <w:highlight w:val="none"/>
                <w:u w:val="single"/>
                <w:lang w:eastAsia="zh-CN"/>
              </w:rPr>
              <w:t>标合同金额的10%</w:t>
            </w:r>
            <w:r>
              <w:rPr>
                <w:rFonts w:hint="eastAsia" w:ascii="宋体" w:hAnsi="宋体"/>
                <w:color w:val="auto"/>
                <w:kern w:val="0"/>
                <w:szCs w:val="21"/>
                <w:highlight w:val="none"/>
              </w:rPr>
              <w:t>。</w:t>
            </w:r>
          </w:p>
          <w:p w14:paraId="4867705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）履约担保的提交时间：见专用合同条款。</w:t>
            </w:r>
          </w:p>
          <w:p w14:paraId="538176C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）履约担保的期限：见专用合同条款。</w:t>
            </w:r>
          </w:p>
          <w:p w14:paraId="00D2D9CB">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）履约担保的退还时间：见专用合同条款。</w:t>
            </w:r>
          </w:p>
          <w:p w14:paraId="53EEFC7D">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承包人不能按合同约定及时履行义务时，发包人可按合同约定要求承包人承担违约责任，如承包人不履行的，发包人有权直接扣划保证金。履约保证金在整体工程竣工验收后扣除违约金（如有）一次性无息退还。</w:t>
            </w:r>
          </w:p>
        </w:tc>
      </w:tr>
      <w:tr w14:paraId="76439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27367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379203B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的情形</w:t>
            </w:r>
          </w:p>
        </w:tc>
        <w:tc>
          <w:tcPr>
            <w:tcW w:w="6490" w:type="dxa"/>
            <w:vAlign w:val="center"/>
          </w:tcPr>
          <w:p w14:paraId="189E82D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14:paraId="2D95CB7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14:paraId="63615773">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14:paraId="73392C81">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7D586E44">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w:t>
            </w:r>
          </w:p>
        </w:tc>
      </w:tr>
      <w:tr w14:paraId="7C8C3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68B7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722CF474">
            <w:pPr>
              <w:snapToGrid w:val="0"/>
              <w:spacing w:line="400" w:lineRule="exact"/>
              <w:jc w:val="center"/>
              <w:rPr>
                <w:rFonts w:hint="eastAsia" w:eastAsia="宋体"/>
                <w:color w:val="auto"/>
                <w:highlight w:val="none"/>
                <w:lang w:eastAsia="zh-CN"/>
              </w:rPr>
            </w:pPr>
            <w:bookmarkStart w:id="102" w:name="_Toc13210670"/>
            <w:bookmarkStart w:id="103" w:name="_Toc430530434"/>
            <w:bookmarkStart w:id="104" w:name="_Toc509218709"/>
            <w:bookmarkStart w:id="105" w:name="_Toc536628250"/>
            <w:bookmarkStart w:id="106" w:name="_Toc16930431"/>
            <w:r>
              <w:rPr>
                <w:rFonts w:hint="eastAsia" w:ascii="宋体" w:hAnsi="宋体"/>
                <w:color w:val="auto"/>
                <w:kern w:val="0"/>
                <w:szCs w:val="21"/>
                <w:highlight w:val="none"/>
              </w:rPr>
              <w:t>重新</w:t>
            </w:r>
            <w:r>
              <w:rPr>
                <w:rFonts w:hint="eastAsia" w:ascii="宋体" w:hAnsi="宋体"/>
                <w:color w:val="auto"/>
                <w:kern w:val="0"/>
                <w:szCs w:val="21"/>
                <w:highlight w:val="none"/>
                <w:lang w:eastAsia="zh-CN"/>
              </w:rPr>
              <w:t>比选</w:t>
            </w:r>
            <w:r>
              <w:rPr>
                <w:rFonts w:ascii="宋体" w:hAnsi="宋体"/>
                <w:color w:val="auto"/>
                <w:kern w:val="0"/>
                <w:szCs w:val="21"/>
                <w:highlight w:val="none"/>
              </w:rPr>
              <w:t>和不再</w:t>
            </w:r>
            <w:bookmarkEnd w:id="102"/>
            <w:bookmarkEnd w:id="103"/>
            <w:bookmarkEnd w:id="104"/>
            <w:bookmarkEnd w:id="105"/>
            <w:bookmarkEnd w:id="106"/>
            <w:r>
              <w:rPr>
                <w:rFonts w:hint="eastAsia" w:ascii="宋体" w:hAnsi="宋体"/>
                <w:color w:val="auto"/>
                <w:kern w:val="0"/>
                <w:szCs w:val="21"/>
                <w:highlight w:val="none"/>
                <w:lang w:eastAsia="zh-CN"/>
              </w:rPr>
              <w:t>比选</w:t>
            </w:r>
          </w:p>
        </w:tc>
        <w:tc>
          <w:tcPr>
            <w:tcW w:w="6490" w:type="dxa"/>
            <w:vAlign w:val="center"/>
          </w:tcPr>
          <w:p w14:paraId="0FA28C8D">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kern w:val="0"/>
                <w:szCs w:val="21"/>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snapToGrid w:val="0"/>
                <w:kern w:val="0"/>
                <w:szCs w:val="21"/>
              </w:rPr>
              <w:t>。</w:t>
            </w:r>
          </w:p>
        </w:tc>
      </w:tr>
      <w:tr w14:paraId="006FA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07A6A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3FBD11F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3CBC5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A670AD">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10.1</w:t>
            </w:r>
          </w:p>
        </w:tc>
        <w:tc>
          <w:tcPr>
            <w:tcW w:w="1644" w:type="dxa"/>
            <w:vAlign w:val="center"/>
          </w:tcPr>
          <w:p w14:paraId="23077784">
            <w:pPr>
              <w:snapToGrid w:val="0"/>
              <w:spacing w:line="400" w:lineRule="exact"/>
              <w:jc w:val="center"/>
              <w:rPr>
                <w:rFonts w:ascii="宋体" w:hAnsi="宋体"/>
                <w:color w:val="auto"/>
                <w:kern w:val="0"/>
                <w:szCs w:val="21"/>
                <w:highlight w:val="none"/>
              </w:rPr>
            </w:pPr>
            <w:r>
              <w:rPr>
                <w:rFonts w:hint="eastAsia" w:ascii="宋体" w:hAnsi="宋体" w:cs="宋体"/>
                <w:color w:val="auto"/>
                <w:highlight w:val="none"/>
              </w:rPr>
              <w:t>工程款支付</w:t>
            </w:r>
          </w:p>
        </w:tc>
        <w:tc>
          <w:tcPr>
            <w:tcW w:w="6490" w:type="dxa"/>
            <w:vAlign w:val="center"/>
          </w:tcPr>
          <w:p w14:paraId="06D96D69">
            <w:pPr>
              <w:snapToGrid w:val="0"/>
              <w:spacing w:line="400" w:lineRule="exact"/>
              <w:jc w:val="center"/>
              <w:rPr>
                <w:rFonts w:ascii="宋体" w:hAnsi="宋体"/>
                <w:color w:val="auto"/>
                <w:kern w:val="0"/>
                <w:szCs w:val="21"/>
                <w:highlight w:val="none"/>
              </w:rPr>
            </w:pPr>
            <w:r>
              <w:rPr>
                <w:rFonts w:hint="eastAsia" w:ascii="宋体" w:hAnsi="宋体"/>
                <w:color w:val="auto"/>
                <w:szCs w:val="21"/>
                <w:highlight w:val="none"/>
                <w:u w:val="none"/>
                <w:lang w:val="en-US" w:eastAsia="zh-CN"/>
              </w:rPr>
              <w:t>详见专用合同。</w:t>
            </w:r>
          </w:p>
        </w:tc>
      </w:tr>
      <w:tr w14:paraId="6B183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46260A">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14:paraId="5F6C5C5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及投标争议的解释</w:t>
            </w:r>
          </w:p>
        </w:tc>
        <w:tc>
          <w:tcPr>
            <w:tcW w:w="6490" w:type="dxa"/>
            <w:vAlign w:val="center"/>
          </w:tcPr>
          <w:p w14:paraId="16F5A37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的评标标准和方法，以及资格审查和否决投标条款理解有争议的，应当作出不利于</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人的解释，但违背国家利益、社会公共利益的除外。</w:t>
            </w:r>
          </w:p>
          <w:p w14:paraId="5C948B6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理解有争议的，应当作出不利于提交该</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的解释。</w:t>
            </w:r>
          </w:p>
        </w:tc>
      </w:tr>
      <w:tr w14:paraId="7AD56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6083F3">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644" w:type="dxa"/>
            <w:vAlign w:val="center"/>
          </w:tcPr>
          <w:p w14:paraId="6490FD55">
            <w:pPr>
              <w:snapToGrid w:val="0"/>
              <w:spacing w:line="400" w:lineRule="exact"/>
              <w:jc w:val="center"/>
              <w:rPr>
                <w:rFonts w:ascii="宋体" w:hAnsi="宋体"/>
                <w:color w:val="auto"/>
                <w:kern w:val="0"/>
                <w:szCs w:val="21"/>
                <w:highlight w:val="none"/>
              </w:rPr>
            </w:pPr>
            <w:r>
              <w:rPr>
                <w:rFonts w:hint="eastAsia" w:ascii="宋体"/>
                <w:color w:val="auto"/>
                <w:szCs w:val="21"/>
                <w:highlight w:val="none"/>
              </w:rPr>
              <w:t>交易服务费</w:t>
            </w:r>
          </w:p>
        </w:tc>
        <w:tc>
          <w:tcPr>
            <w:tcW w:w="6490" w:type="dxa"/>
            <w:vAlign w:val="center"/>
          </w:tcPr>
          <w:p w14:paraId="6F095E96">
            <w:pPr>
              <w:spacing w:line="400" w:lineRule="exact"/>
              <w:ind w:firstLine="420" w:firstLineChars="200"/>
              <w:rPr>
                <w:rFonts w:ascii="宋体" w:hAnsi="宋体"/>
                <w:i/>
                <w:color w:val="auto"/>
                <w:kern w:val="0"/>
                <w:szCs w:val="21"/>
                <w:highlight w:val="none"/>
              </w:rPr>
            </w:pPr>
            <w:r>
              <w:rPr>
                <w:rFonts w:hint="eastAsia" w:ascii="宋体" w:hAnsi="宋体" w:eastAsia="宋体" w:cs="Times New Roman"/>
                <w:color w:val="auto"/>
                <w:kern w:val="0"/>
                <w:szCs w:val="21"/>
                <w:highlight w:val="none"/>
                <w:lang w:val="en-US" w:eastAsia="zh-CN"/>
              </w:rPr>
              <w:t>中选人中选</w:t>
            </w:r>
            <w:r>
              <w:rPr>
                <w:rFonts w:hint="eastAsia" w:ascii="宋体" w:hAnsi="宋体" w:eastAsia="宋体" w:cs="Times New Roman"/>
                <w:color w:val="auto"/>
                <w:kern w:val="0"/>
                <w:szCs w:val="21"/>
                <w:highlight w:val="none"/>
                <w:lang w:eastAsia="zh-CN"/>
              </w:rPr>
              <w:t>后向“重庆联合产权交易所集团股份有限公司”缴纳交易服务费，交易场地服务费由</w:t>
            </w:r>
            <w:r>
              <w:rPr>
                <w:rFonts w:hint="eastAsia" w:ascii="宋体" w:hAnsi="宋体" w:eastAsia="宋体" w:cs="Times New Roman"/>
                <w:color w:val="auto"/>
                <w:kern w:val="0"/>
                <w:szCs w:val="21"/>
                <w:highlight w:val="none"/>
                <w:lang w:val="en-US" w:eastAsia="zh-CN"/>
              </w:rPr>
              <w:t>中选人</w:t>
            </w:r>
            <w:r>
              <w:rPr>
                <w:rFonts w:hint="eastAsia" w:ascii="宋体" w:hAnsi="宋体" w:eastAsia="宋体" w:cs="Times New Roman"/>
                <w:color w:val="auto"/>
                <w:kern w:val="0"/>
                <w:szCs w:val="21"/>
                <w:highlight w:val="none"/>
                <w:lang w:eastAsia="zh-CN"/>
              </w:rPr>
              <w:t>支付最低金额为3000.00元，实际金额以交易中心提供的依据为准由于交易中心的流程要求，交易场地服务费需由</w:t>
            </w:r>
            <w:r>
              <w:rPr>
                <w:rFonts w:hint="eastAsia" w:ascii="宋体" w:hAnsi="宋体" w:eastAsia="宋体" w:cs="Times New Roman"/>
                <w:color w:val="auto"/>
                <w:kern w:val="0"/>
                <w:szCs w:val="21"/>
                <w:highlight w:val="none"/>
                <w:lang w:val="en-US" w:eastAsia="zh-CN"/>
              </w:rPr>
              <w:t>招标</w:t>
            </w:r>
            <w:r>
              <w:rPr>
                <w:rFonts w:hint="eastAsia" w:ascii="宋体" w:hAnsi="宋体" w:eastAsia="宋体" w:cs="Times New Roman"/>
                <w:color w:val="auto"/>
                <w:kern w:val="0"/>
                <w:szCs w:val="21"/>
                <w:highlight w:val="none"/>
                <w:lang w:eastAsia="zh-CN"/>
              </w:rPr>
              <w:t>代理机构垫付，待</w:t>
            </w:r>
            <w:r>
              <w:rPr>
                <w:rFonts w:hint="eastAsia" w:ascii="宋体" w:hAnsi="宋体" w:eastAsia="宋体" w:cs="Times New Roman"/>
                <w:color w:val="auto"/>
                <w:kern w:val="0"/>
                <w:szCs w:val="21"/>
                <w:highlight w:val="none"/>
                <w:lang w:val="en-US" w:eastAsia="zh-CN"/>
              </w:rPr>
              <w:t>中选人中选后</w:t>
            </w:r>
            <w:r>
              <w:rPr>
                <w:rFonts w:hint="eastAsia" w:ascii="宋体" w:hAnsi="宋体" w:eastAsia="宋体" w:cs="Times New Roman"/>
                <w:color w:val="auto"/>
                <w:kern w:val="0"/>
                <w:szCs w:val="21"/>
                <w:highlight w:val="none"/>
                <w:lang w:eastAsia="zh-CN"/>
              </w:rPr>
              <w:t>支付给代理机构否则代理机构有权不予发</w:t>
            </w:r>
            <w:r>
              <w:rPr>
                <w:rFonts w:hint="eastAsia" w:ascii="宋体" w:hAnsi="宋体" w:eastAsia="宋体" w:cs="Times New Roman"/>
                <w:color w:val="auto"/>
                <w:kern w:val="0"/>
                <w:szCs w:val="21"/>
                <w:highlight w:val="none"/>
                <w:lang w:val="en-US" w:eastAsia="zh-CN"/>
              </w:rPr>
              <w:t>放中选</w:t>
            </w:r>
            <w:r>
              <w:rPr>
                <w:rFonts w:hint="eastAsia" w:ascii="宋体" w:hAnsi="宋体" w:eastAsia="宋体" w:cs="Times New Roman"/>
                <w:color w:val="auto"/>
                <w:kern w:val="0"/>
                <w:szCs w:val="21"/>
                <w:highlight w:val="none"/>
                <w:lang w:eastAsia="zh-CN"/>
              </w:rPr>
              <w:t>通知书。</w:t>
            </w:r>
          </w:p>
        </w:tc>
      </w:tr>
      <w:tr w14:paraId="04ABAC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91B25B">
            <w:pPr>
              <w:snapToGrid w:val="0"/>
              <w:spacing w:line="400" w:lineRule="exact"/>
              <w:jc w:val="center"/>
              <w:rPr>
                <w:rFonts w:hint="default" w:ascii="宋体" w:hAnsi="宋体" w:eastAsia="宋体"/>
                <w:color w:val="auto"/>
                <w:kern w:val="0"/>
                <w:szCs w:val="21"/>
                <w:highlight w:val="none"/>
                <w:lang w:val="en-US" w:eastAsia="zh-CN"/>
              </w:rPr>
            </w:pPr>
            <w:bookmarkStart w:id="107" w:name="_Toc287607746"/>
            <w:bookmarkStart w:id="108" w:name="_Toc224103317"/>
            <w:bookmarkStart w:id="109" w:name="_Toc430530435"/>
            <w:bookmarkStart w:id="110" w:name="_Toc200513126"/>
            <w:bookmarkStart w:id="111" w:name="_Toc287620685"/>
            <w:bookmarkStart w:id="112" w:name="_Toc277082552"/>
            <w:r>
              <w:rPr>
                <w:rFonts w:hint="eastAsia" w:ascii="宋体" w:hAnsi="宋体"/>
                <w:color w:val="auto"/>
                <w:kern w:val="0"/>
                <w:szCs w:val="21"/>
                <w:highlight w:val="none"/>
                <w:lang w:val="en-US" w:eastAsia="zh-CN"/>
              </w:rPr>
              <w:t>10.6</w:t>
            </w:r>
          </w:p>
        </w:tc>
        <w:tc>
          <w:tcPr>
            <w:tcW w:w="1644" w:type="dxa"/>
            <w:vAlign w:val="center"/>
          </w:tcPr>
          <w:p w14:paraId="0D2109CD">
            <w:pPr>
              <w:snapToGrid w:val="0"/>
              <w:spacing w:line="400" w:lineRule="exact"/>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招标</w:t>
            </w:r>
            <w:r>
              <w:rPr>
                <w:rFonts w:hint="eastAsia" w:ascii="宋体" w:hAnsi="宋体"/>
                <w:color w:val="auto"/>
                <w:kern w:val="0"/>
                <w:szCs w:val="21"/>
                <w:highlight w:val="none"/>
              </w:rPr>
              <w:t>代理服务费</w:t>
            </w:r>
            <w:r>
              <w:rPr>
                <w:rFonts w:hint="eastAsia" w:ascii="宋体" w:hAnsi="宋体"/>
                <w:color w:val="auto"/>
                <w:kern w:val="0"/>
                <w:szCs w:val="21"/>
                <w:highlight w:val="none"/>
                <w:lang w:val="en-US" w:eastAsia="zh-CN"/>
              </w:rPr>
              <w:t>及比选文件费</w:t>
            </w:r>
          </w:p>
        </w:tc>
        <w:tc>
          <w:tcPr>
            <w:tcW w:w="6490" w:type="dxa"/>
            <w:vAlign w:val="center"/>
          </w:tcPr>
          <w:p w14:paraId="4DF8B0DD">
            <w:pPr>
              <w:autoSpaceDE w:val="0"/>
              <w:autoSpaceDN w:val="0"/>
              <w:adjustRightInd w:val="0"/>
              <w:snapToGrid w:val="0"/>
              <w:spacing w:line="400" w:lineRule="exact"/>
              <w:ind w:firstLine="420" w:firstLineChars="200"/>
              <w:rPr>
                <w:rFonts w:hint="default"/>
                <w:color w:val="auto"/>
                <w:highlight w:val="none"/>
                <w:lang w:val="en-US" w:eastAsia="zh-CN"/>
              </w:rPr>
            </w:pPr>
            <w:r>
              <w:rPr>
                <w:rFonts w:hint="eastAsia" w:ascii="宋体" w:hAnsi="宋体" w:cs="宋体"/>
                <w:szCs w:val="21"/>
              </w:rPr>
              <w:t>本次比选代理服务费</w:t>
            </w:r>
            <w:r>
              <w:rPr>
                <w:rFonts w:hint="eastAsia" w:ascii="宋体" w:hAnsi="宋体" w:cs="宋体"/>
                <w:szCs w:val="21"/>
                <w:lang w:val="en-US" w:eastAsia="zh-CN"/>
              </w:rPr>
              <w:t>为8</w:t>
            </w:r>
            <w:r>
              <w:rPr>
                <w:rFonts w:hint="eastAsia" w:ascii="宋体" w:hAnsi="宋体" w:cs="宋体"/>
                <w:szCs w:val="21"/>
              </w:rPr>
              <w:t>000元。由中选人在领取中选通知书前，向比选代理机构一次性缴纳代理服务费。</w:t>
            </w:r>
          </w:p>
        </w:tc>
      </w:tr>
    </w:tbl>
    <w:p w14:paraId="2A1D9012">
      <w:pPr>
        <w:pStyle w:val="4"/>
        <w:spacing w:before="0" w:after="0" w:line="20" w:lineRule="exact"/>
        <w:rPr>
          <w:rFonts w:ascii="宋体" w:hAnsi="宋体"/>
          <w:b w:val="0"/>
          <w:snapToGrid w:val="0"/>
          <w:color w:val="auto"/>
          <w:highlight w:val="none"/>
        </w:rPr>
      </w:pPr>
    </w:p>
    <w:p w14:paraId="16D2014F">
      <w:pPr>
        <w:pStyle w:val="4"/>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14:paraId="27D397C8">
      <w:pPr>
        <w:pStyle w:val="4"/>
        <w:spacing w:before="0" w:after="0" w:line="360" w:lineRule="auto"/>
        <w:rPr>
          <w:rFonts w:ascii="宋体" w:hAnsi="宋体"/>
          <w:b w:val="0"/>
          <w:snapToGrid w:val="0"/>
          <w:color w:val="auto"/>
          <w:highlight w:val="none"/>
        </w:rPr>
      </w:pPr>
      <w:bookmarkStart w:id="113" w:name="_Toc509218710"/>
      <w:bookmarkStart w:id="114" w:name="_Toc840"/>
      <w:bookmarkStart w:id="115" w:name="_Toc57905830"/>
      <w:r>
        <w:rPr>
          <w:rFonts w:ascii="宋体" w:hAnsi="宋体"/>
          <w:b w:val="0"/>
          <w:snapToGrid w:val="0"/>
          <w:color w:val="auto"/>
          <w:highlight w:val="none"/>
        </w:rPr>
        <w:t>1.  总则</w:t>
      </w:r>
      <w:bookmarkEnd w:id="107"/>
      <w:bookmarkEnd w:id="108"/>
      <w:bookmarkEnd w:id="109"/>
      <w:bookmarkEnd w:id="110"/>
      <w:bookmarkEnd w:id="111"/>
      <w:bookmarkEnd w:id="112"/>
      <w:bookmarkEnd w:id="113"/>
      <w:bookmarkEnd w:id="114"/>
      <w:bookmarkEnd w:id="115"/>
    </w:p>
    <w:p w14:paraId="3F19C721">
      <w:pPr>
        <w:pStyle w:val="5"/>
        <w:snapToGrid w:val="0"/>
        <w:spacing w:before="0" w:after="0" w:line="360" w:lineRule="auto"/>
        <w:rPr>
          <w:rFonts w:ascii="宋体" w:hAnsi="宋体"/>
          <w:b w:val="0"/>
          <w:snapToGrid w:val="0"/>
          <w:color w:val="auto"/>
          <w:sz w:val="24"/>
          <w:szCs w:val="24"/>
          <w:highlight w:val="none"/>
        </w:rPr>
      </w:pPr>
      <w:bookmarkStart w:id="116" w:name="_Toc509218711"/>
      <w:bookmarkStart w:id="117" w:name="_Toc57905831"/>
      <w:bookmarkStart w:id="118" w:name="_Toc430530436"/>
      <w:bookmarkStart w:id="119" w:name="_Toc277082553"/>
      <w:bookmarkStart w:id="120" w:name="_Toc200513127"/>
      <w:bookmarkStart w:id="121" w:name="_Toc287607747"/>
      <w:bookmarkStart w:id="122" w:name="_Toc287620686"/>
      <w:bookmarkStart w:id="123" w:name="_Toc224103318"/>
      <w:bookmarkStart w:id="124" w:name="_Toc32232"/>
      <w:r>
        <w:rPr>
          <w:rFonts w:ascii="宋体" w:hAnsi="宋体"/>
          <w:b w:val="0"/>
          <w:snapToGrid w:val="0"/>
          <w:color w:val="auto"/>
          <w:sz w:val="24"/>
          <w:szCs w:val="24"/>
          <w:highlight w:val="none"/>
        </w:rPr>
        <w:t>1.1  项目概况</w:t>
      </w:r>
      <w:bookmarkEnd w:id="116"/>
      <w:bookmarkEnd w:id="117"/>
      <w:bookmarkEnd w:id="118"/>
      <w:bookmarkEnd w:id="119"/>
      <w:bookmarkEnd w:id="120"/>
      <w:bookmarkEnd w:id="121"/>
      <w:bookmarkEnd w:id="122"/>
      <w:bookmarkEnd w:id="123"/>
      <w:bookmarkEnd w:id="124"/>
    </w:p>
    <w:p w14:paraId="1CDF9951">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投标法》等有关法律、法规和规章的规定，本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694537E9">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5C4F95A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2E33A0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项目名称：见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1EDB792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95A1BA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项目建设规模：见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F5A8906">
      <w:pPr>
        <w:pStyle w:val="5"/>
        <w:snapToGrid w:val="0"/>
        <w:spacing w:before="0" w:after="0" w:line="360" w:lineRule="auto"/>
        <w:rPr>
          <w:rFonts w:ascii="宋体" w:hAnsi="宋体"/>
          <w:b w:val="0"/>
          <w:snapToGrid w:val="0"/>
          <w:color w:val="auto"/>
          <w:sz w:val="24"/>
          <w:szCs w:val="24"/>
          <w:highlight w:val="none"/>
        </w:rPr>
      </w:pPr>
      <w:bookmarkStart w:id="125" w:name="_Toc430530437"/>
      <w:bookmarkStart w:id="126" w:name="_Toc200513128"/>
      <w:bookmarkStart w:id="127" w:name="_Toc287607748"/>
      <w:bookmarkStart w:id="128" w:name="_Toc224103319"/>
      <w:bookmarkStart w:id="129" w:name="_Toc21567"/>
      <w:bookmarkStart w:id="130" w:name="_Toc287620687"/>
      <w:bookmarkStart w:id="131" w:name="_Toc277082554"/>
      <w:bookmarkStart w:id="132" w:name="_Toc57905832"/>
      <w:bookmarkStart w:id="133" w:name="_Toc509218712"/>
      <w:r>
        <w:rPr>
          <w:rFonts w:ascii="宋体" w:hAnsi="宋体"/>
          <w:b w:val="0"/>
          <w:snapToGrid w:val="0"/>
          <w:color w:val="auto"/>
          <w:sz w:val="24"/>
          <w:szCs w:val="24"/>
          <w:highlight w:val="none"/>
        </w:rPr>
        <w:t>1.2  资金来源和落实情况</w:t>
      </w:r>
      <w:bookmarkEnd w:id="125"/>
      <w:bookmarkEnd w:id="126"/>
      <w:bookmarkEnd w:id="127"/>
      <w:bookmarkEnd w:id="128"/>
      <w:bookmarkEnd w:id="129"/>
      <w:bookmarkEnd w:id="130"/>
      <w:bookmarkEnd w:id="131"/>
      <w:bookmarkEnd w:id="132"/>
      <w:bookmarkEnd w:id="133"/>
    </w:p>
    <w:p w14:paraId="0411007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项目的资金来源：见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B0A84D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项目的出资比例：见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35A545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项目的资金落实情况：见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D09DF78">
      <w:pPr>
        <w:pStyle w:val="5"/>
        <w:snapToGrid w:val="0"/>
        <w:spacing w:before="0" w:after="0" w:line="360" w:lineRule="auto"/>
        <w:rPr>
          <w:rFonts w:ascii="宋体" w:hAnsi="宋体"/>
          <w:b w:val="0"/>
          <w:snapToGrid w:val="0"/>
          <w:color w:val="auto"/>
          <w:sz w:val="24"/>
          <w:szCs w:val="24"/>
          <w:highlight w:val="none"/>
        </w:rPr>
      </w:pPr>
      <w:bookmarkStart w:id="134" w:name="_Toc57905833"/>
      <w:bookmarkStart w:id="135" w:name="_Toc287620688"/>
      <w:bookmarkStart w:id="136" w:name="_Toc277082555"/>
      <w:bookmarkStart w:id="137" w:name="_Toc509218713"/>
      <w:bookmarkStart w:id="138" w:name="_Toc4104"/>
      <w:bookmarkStart w:id="139" w:name="_Toc200513129"/>
      <w:bookmarkStart w:id="140" w:name="_Toc287607749"/>
      <w:bookmarkStart w:id="141" w:name="_Toc224103320"/>
      <w:bookmarkStart w:id="142" w:name="_Toc430530438"/>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范围、计划工期和质量要求</w:t>
      </w:r>
      <w:bookmarkEnd w:id="134"/>
      <w:bookmarkEnd w:id="135"/>
      <w:bookmarkEnd w:id="136"/>
      <w:bookmarkEnd w:id="137"/>
      <w:bookmarkEnd w:id="138"/>
      <w:bookmarkEnd w:id="139"/>
      <w:bookmarkEnd w:id="140"/>
      <w:bookmarkEnd w:id="141"/>
      <w:bookmarkEnd w:id="142"/>
    </w:p>
    <w:p w14:paraId="0399577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9226BE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5DDEB4B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93B310F">
      <w:pPr>
        <w:pStyle w:val="5"/>
        <w:snapToGrid w:val="0"/>
        <w:spacing w:before="0" w:after="0" w:line="360" w:lineRule="auto"/>
        <w:rPr>
          <w:rFonts w:ascii="宋体" w:hAnsi="宋体"/>
          <w:b w:val="0"/>
          <w:snapToGrid w:val="0"/>
          <w:color w:val="auto"/>
          <w:sz w:val="24"/>
          <w:szCs w:val="24"/>
          <w:highlight w:val="none"/>
        </w:rPr>
      </w:pPr>
      <w:bookmarkStart w:id="143" w:name="_Toc277082557"/>
      <w:bookmarkStart w:id="144" w:name="_Toc57905835"/>
      <w:bookmarkStart w:id="145" w:name="_Toc430530440"/>
      <w:bookmarkStart w:id="146" w:name="_Toc287607751"/>
      <w:bookmarkStart w:id="147" w:name="_Toc287620690"/>
      <w:bookmarkStart w:id="148" w:name="_Toc200513131"/>
      <w:bookmarkStart w:id="149" w:name="_Toc509218715"/>
      <w:bookmarkStart w:id="150" w:name="_Toc224103322"/>
      <w:bookmarkStart w:id="151" w:name="_Toc1894"/>
      <w:r>
        <w:rPr>
          <w:rFonts w:ascii="宋体" w:hAnsi="宋体"/>
          <w:b w:val="0"/>
          <w:snapToGrid w:val="0"/>
          <w:color w:val="auto"/>
          <w:sz w:val="24"/>
          <w:szCs w:val="24"/>
          <w:highlight w:val="none"/>
        </w:rPr>
        <w:t xml:space="preserve">1.4 </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资格要求</w:t>
      </w:r>
      <w:bookmarkEnd w:id="143"/>
      <w:bookmarkEnd w:id="144"/>
      <w:bookmarkEnd w:id="145"/>
      <w:bookmarkEnd w:id="146"/>
      <w:bookmarkEnd w:id="147"/>
      <w:bookmarkEnd w:id="148"/>
      <w:bookmarkEnd w:id="149"/>
      <w:bookmarkEnd w:id="150"/>
      <w:bookmarkEnd w:id="151"/>
    </w:p>
    <w:p w14:paraId="3476140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应具备承担本标段施工的资质条件、能力和信誉。</w:t>
      </w:r>
    </w:p>
    <w:p w14:paraId="67FE30C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41DD48F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（2）财务要求：见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9AE10C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（3）业绩要求：见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83B4F7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A1B56B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23ED3D2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（6）其他要求：见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3683D83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须知前附表规定接受联合体投标的，除应符合本章第1.4.1项和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须知前附表的要求外，还应遵守以下规定：</w:t>
      </w:r>
    </w:p>
    <w:p w14:paraId="09BDEF2C">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提供的格式签订联合体协议书，明确联合体牵头人和各方权利义务；</w:t>
      </w:r>
    </w:p>
    <w:p w14:paraId="590F428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2B4D4B8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14:paraId="49A4578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不得存在下列情形之一：</w:t>
      </w:r>
    </w:p>
    <w:p w14:paraId="289D902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人存在利害关系可能影响</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公正性的法人、其他组织或者个人；</w:t>
      </w:r>
    </w:p>
    <w:p w14:paraId="36E66BD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004475D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3CE2667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7D569EC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代理服务的；</w:t>
      </w:r>
    </w:p>
    <w:p w14:paraId="01441A2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代理机构同为一个法定代表人的；</w:t>
      </w:r>
    </w:p>
    <w:p w14:paraId="2FA5DAB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lang w:val="en-US" w:eastAsia="zh-CN"/>
        </w:rPr>
        <w:t>存在</w:t>
      </w:r>
      <w:r>
        <w:rPr>
          <w:rFonts w:ascii="宋体" w:hAnsi="宋体"/>
          <w:snapToGrid w:val="0"/>
          <w:color w:val="auto"/>
          <w:kern w:val="0"/>
          <w:szCs w:val="21"/>
          <w:highlight w:val="none"/>
        </w:rPr>
        <w:t>控股或参股的；</w:t>
      </w:r>
    </w:p>
    <w:p w14:paraId="5308382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default" w:ascii="宋体" w:hAnsi="宋体"/>
          <w:snapToGrid w:val="0"/>
          <w:color w:val="auto"/>
          <w:kern w:val="0"/>
          <w:szCs w:val="21"/>
          <w:highlight w:val="none"/>
          <w:lang w:val="en-US"/>
        </w:rPr>
        <w:t>相互</w:t>
      </w:r>
      <w:r>
        <w:rPr>
          <w:rFonts w:ascii="宋体" w:hAnsi="宋体"/>
          <w:snapToGrid w:val="0"/>
          <w:color w:val="auto"/>
          <w:kern w:val="0"/>
          <w:szCs w:val="21"/>
          <w:highlight w:val="none"/>
        </w:rPr>
        <w:t>任职或工作的；</w:t>
      </w:r>
    </w:p>
    <w:p w14:paraId="4BF8C9D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宋体" w:hAnsi="宋体" w:eastAsia="宋体"/>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7CB58B6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14:paraId="41B85E6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宋体" w:hAnsi="宋体" w:eastAsia="宋体"/>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2A8CD8C8">
      <w:pPr>
        <w:autoSpaceDE w:val="0"/>
        <w:autoSpaceDN w:val="0"/>
        <w:adjustRightInd w:val="0"/>
        <w:snapToGrid w:val="0"/>
        <w:spacing w:line="360" w:lineRule="auto"/>
        <w:ind w:left="459" w:leftChars="190" w:hanging="60" w:hangingChars="29"/>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ascii="宋体" w:hAnsi="宋体"/>
          <w:color w:val="auto"/>
          <w:sz w:val="22"/>
          <w:szCs w:val="22"/>
          <w:highlight w:val="none"/>
        </w:rPr>
        <w:t>单位负责人为同一人或者存在控股、管理关系的不同单位，不得在同一标段中同时投</w:t>
      </w:r>
      <w:r>
        <w:rPr>
          <w:rFonts w:hint="eastAsia" w:ascii="宋体" w:hAnsi="宋体"/>
          <w:color w:val="auto"/>
          <w:sz w:val="22"/>
          <w:szCs w:val="22"/>
          <w:highlight w:val="none"/>
        </w:rPr>
        <w:t>标。</w:t>
      </w:r>
    </w:p>
    <w:p w14:paraId="664D5107">
      <w:pPr>
        <w:pStyle w:val="5"/>
        <w:snapToGrid w:val="0"/>
        <w:spacing w:before="0" w:after="0" w:line="360" w:lineRule="auto"/>
        <w:rPr>
          <w:rFonts w:ascii="宋体" w:hAnsi="宋体"/>
          <w:b w:val="0"/>
          <w:snapToGrid w:val="0"/>
          <w:color w:val="auto"/>
          <w:sz w:val="24"/>
          <w:szCs w:val="24"/>
          <w:highlight w:val="none"/>
        </w:rPr>
      </w:pPr>
      <w:bookmarkStart w:id="152" w:name="_Toc200513132"/>
      <w:bookmarkStart w:id="153" w:name="_Toc287607752"/>
      <w:bookmarkStart w:id="154" w:name="_Toc277082558"/>
      <w:bookmarkStart w:id="155" w:name="_Toc430530441"/>
      <w:bookmarkStart w:id="156" w:name="_Toc57905836"/>
      <w:bookmarkStart w:id="157" w:name="_Toc509218716"/>
      <w:bookmarkStart w:id="158" w:name="_Toc287620691"/>
      <w:bookmarkStart w:id="159" w:name="_Toc224103323"/>
      <w:bookmarkStart w:id="160" w:name="_Toc20662"/>
      <w:r>
        <w:rPr>
          <w:rFonts w:ascii="宋体" w:hAnsi="宋体"/>
          <w:b w:val="0"/>
          <w:snapToGrid w:val="0"/>
          <w:color w:val="auto"/>
          <w:sz w:val="24"/>
          <w:szCs w:val="24"/>
          <w:highlight w:val="none"/>
        </w:rPr>
        <w:t>1.5  费用承担</w:t>
      </w:r>
      <w:bookmarkEnd w:id="152"/>
      <w:bookmarkEnd w:id="153"/>
      <w:bookmarkEnd w:id="154"/>
      <w:bookmarkEnd w:id="155"/>
      <w:bookmarkEnd w:id="156"/>
      <w:bookmarkEnd w:id="157"/>
      <w:bookmarkEnd w:id="158"/>
      <w:bookmarkEnd w:id="159"/>
      <w:bookmarkEnd w:id="160"/>
    </w:p>
    <w:p w14:paraId="7675397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准备和参加投标活动发生的费用自理。</w:t>
      </w:r>
    </w:p>
    <w:p w14:paraId="2563EBFF">
      <w:pPr>
        <w:pStyle w:val="5"/>
        <w:snapToGrid w:val="0"/>
        <w:spacing w:before="0" w:after="0" w:line="360" w:lineRule="auto"/>
        <w:rPr>
          <w:rFonts w:ascii="宋体" w:hAnsi="宋体"/>
          <w:b w:val="0"/>
          <w:snapToGrid w:val="0"/>
          <w:color w:val="auto"/>
          <w:sz w:val="24"/>
          <w:szCs w:val="24"/>
          <w:highlight w:val="none"/>
        </w:rPr>
      </w:pPr>
      <w:bookmarkStart w:id="161" w:name="_Toc224103324"/>
      <w:bookmarkStart w:id="162" w:name="_Toc277082559"/>
      <w:bookmarkStart w:id="163" w:name="_Toc287620692"/>
      <w:bookmarkStart w:id="164" w:name="_Toc200513133"/>
      <w:bookmarkStart w:id="165" w:name="_Toc26130"/>
      <w:bookmarkStart w:id="166" w:name="_Toc509218717"/>
      <w:bookmarkStart w:id="167" w:name="_Toc57905837"/>
      <w:bookmarkStart w:id="168" w:name="_Toc430530442"/>
      <w:bookmarkStart w:id="169" w:name="_Toc287607753"/>
      <w:r>
        <w:rPr>
          <w:rFonts w:ascii="宋体" w:hAnsi="宋体"/>
          <w:b w:val="0"/>
          <w:snapToGrid w:val="0"/>
          <w:color w:val="auto"/>
          <w:sz w:val="24"/>
          <w:szCs w:val="24"/>
          <w:highlight w:val="none"/>
        </w:rPr>
        <w:t>1.6  保密</w:t>
      </w:r>
      <w:bookmarkEnd w:id="161"/>
      <w:bookmarkEnd w:id="162"/>
      <w:bookmarkEnd w:id="163"/>
      <w:bookmarkEnd w:id="164"/>
      <w:bookmarkEnd w:id="165"/>
      <w:bookmarkEnd w:id="166"/>
      <w:bookmarkEnd w:id="167"/>
      <w:bookmarkEnd w:id="168"/>
      <w:bookmarkEnd w:id="169"/>
    </w:p>
    <w:p w14:paraId="3581864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投标活动的各方应对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中的商业和技术等秘密保密，违者应对由此造成的后果承担法律责任。</w:t>
      </w:r>
    </w:p>
    <w:p w14:paraId="745E3E8D">
      <w:pPr>
        <w:pStyle w:val="5"/>
        <w:snapToGrid w:val="0"/>
        <w:spacing w:before="0" w:after="0" w:line="360" w:lineRule="auto"/>
        <w:rPr>
          <w:rFonts w:ascii="宋体" w:hAnsi="宋体"/>
          <w:b w:val="0"/>
          <w:snapToGrid w:val="0"/>
          <w:color w:val="auto"/>
          <w:sz w:val="24"/>
          <w:szCs w:val="24"/>
          <w:highlight w:val="none"/>
        </w:rPr>
      </w:pPr>
      <w:bookmarkStart w:id="170" w:name="_Toc277082560"/>
      <w:bookmarkStart w:id="171" w:name="_Toc287620693"/>
      <w:bookmarkStart w:id="172" w:name="_Toc509218718"/>
      <w:bookmarkStart w:id="173" w:name="_Toc1222"/>
      <w:bookmarkStart w:id="174" w:name="_Toc287607754"/>
      <w:bookmarkStart w:id="175" w:name="_Toc200513134"/>
      <w:bookmarkStart w:id="176" w:name="_Toc224103325"/>
      <w:bookmarkStart w:id="177" w:name="_Toc430530443"/>
      <w:bookmarkStart w:id="178" w:name="_Toc57905838"/>
      <w:r>
        <w:rPr>
          <w:rFonts w:ascii="宋体" w:hAnsi="宋体"/>
          <w:b w:val="0"/>
          <w:snapToGrid w:val="0"/>
          <w:color w:val="auto"/>
          <w:sz w:val="24"/>
          <w:szCs w:val="24"/>
          <w:highlight w:val="none"/>
        </w:rPr>
        <w:t>1.7  语言文字</w:t>
      </w:r>
      <w:bookmarkEnd w:id="170"/>
      <w:bookmarkEnd w:id="171"/>
      <w:bookmarkEnd w:id="172"/>
      <w:bookmarkEnd w:id="173"/>
      <w:bookmarkEnd w:id="174"/>
      <w:bookmarkEnd w:id="175"/>
      <w:bookmarkEnd w:id="176"/>
      <w:bookmarkEnd w:id="177"/>
      <w:bookmarkEnd w:id="178"/>
    </w:p>
    <w:p w14:paraId="201E20E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投标有关的语言均使用中文。必要时专用术语应附有中文注释。</w:t>
      </w:r>
    </w:p>
    <w:p w14:paraId="67AD997F">
      <w:pPr>
        <w:pStyle w:val="5"/>
        <w:snapToGrid w:val="0"/>
        <w:spacing w:before="0" w:after="0" w:line="360" w:lineRule="auto"/>
        <w:rPr>
          <w:rFonts w:ascii="宋体" w:hAnsi="宋体"/>
          <w:b w:val="0"/>
          <w:snapToGrid w:val="0"/>
          <w:color w:val="auto"/>
          <w:sz w:val="24"/>
          <w:szCs w:val="24"/>
          <w:highlight w:val="none"/>
        </w:rPr>
      </w:pPr>
      <w:bookmarkStart w:id="179" w:name="_Toc224103326"/>
      <w:bookmarkStart w:id="180" w:name="_Toc287620694"/>
      <w:bookmarkStart w:id="181" w:name="_Toc200513135"/>
      <w:bookmarkStart w:id="182" w:name="_Toc13374"/>
      <w:bookmarkStart w:id="183" w:name="_Toc57905839"/>
      <w:bookmarkStart w:id="184" w:name="_Toc430530444"/>
      <w:bookmarkStart w:id="185" w:name="_Toc509218719"/>
      <w:bookmarkStart w:id="186" w:name="_Toc277082561"/>
      <w:bookmarkStart w:id="187" w:name="_Toc287607755"/>
      <w:r>
        <w:rPr>
          <w:rFonts w:ascii="宋体" w:hAnsi="宋体"/>
          <w:b w:val="0"/>
          <w:snapToGrid w:val="0"/>
          <w:color w:val="auto"/>
          <w:sz w:val="24"/>
          <w:szCs w:val="24"/>
          <w:highlight w:val="none"/>
        </w:rPr>
        <w:t>1.8  计量单位</w:t>
      </w:r>
      <w:bookmarkEnd w:id="179"/>
      <w:bookmarkEnd w:id="180"/>
      <w:bookmarkEnd w:id="181"/>
      <w:bookmarkEnd w:id="182"/>
      <w:bookmarkEnd w:id="183"/>
      <w:bookmarkEnd w:id="184"/>
      <w:bookmarkEnd w:id="185"/>
      <w:bookmarkEnd w:id="186"/>
      <w:bookmarkEnd w:id="187"/>
    </w:p>
    <w:p w14:paraId="0123A3CF">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281FD031">
      <w:pPr>
        <w:pStyle w:val="5"/>
        <w:snapToGrid w:val="0"/>
        <w:spacing w:before="0" w:after="0" w:line="360" w:lineRule="auto"/>
        <w:rPr>
          <w:rFonts w:ascii="宋体" w:hAnsi="宋体"/>
          <w:b w:val="0"/>
          <w:snapToGrid w:val="0"/>
          <w:color w:val="auto"/>
          <w:sz w:val="24"/>
          <w:szCs w:val="24"/>
          <w:highlight w:val="none"/>
        </w:rPr>
      </w:pPr>
      <w:bookmarkStart w:id="188" w:name="_Toc57905840"/>
      <w:bookmarkStart w:id="189" w:name="_Toc19275"/>
      <w:bookmarkStart w:id="190" w:name="_Toc200513136"/>
      <w:bookmarkStart w:id="191" w:name="_Toc277082562"/>
      <w:bookmarkStart w:id="192" w:name="_Toc287620695"/>
      <w:bookmarkStart w:id="193" w:name="_Toc287607756"/>
      <w:bookmarkStart w:id="194" w:name="_Toc509218720"/>
      <w:bookmarkStart w:id="195" w:name="_Toc224103327"/>
      <w:bookmarkStart w:id="196" w:name="_Toc430530445"/>
      <w:r>
        <w:rPr>
          <w:rFonts w:ascii="宋体" w:hAnsi="宋体"/>
          <w:b w:val="0"/>
          <w:snapToGrid w:val="0"/>
          <w:color w:val="auto"/>
          <w:sz w:val="24"/>
          <w:szCs w:val="24"/>
          <w:highlight w:val="none"/>
        </w:rPr>
        <w:t>1.9  踏勘现场</w:t>
      </w:r>
      <w:bookmarkEnd w:id="188"/>
      <w:bookmarkEnd w:id="189"/>
      <w:bookmarkEnd w:id="190"/>
      <w:bookmarkEnd w:id="191"/>
      <w:bookmarkEnd w:id="192"/>
      <w:bookmarkEnd w:id="193"/>
      <w:bookmarkEnd w:id="194"/>
      <w:bookmarkEnd w:id="195"/>
      <w:bookmarkEnd w:id="196"/>
    </w:p>
    <w:p w14:paraId="7D3A1BC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踏勘项目现场。</w:t>
      </w:r>
    </w:p>
    <w:p w14:paraId="65D49E0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踏勘现场发生的费用自理。</w:t>
      </w:r>
    </w:p>
    <w:p w14:paraId="7BEDC00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人的原因外，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自行负责在踏勘现场中所发生的人员伤亡和财产损失。</w:t>
      </w:r>
    </w:p>
    <w:p w14:paraId="2E9FD44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人在踏勘现场中介绍的工程场地和相关的周边环境情况，供</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据此做出的判断和决策负责。</w:t>
      </w:r>
    </w:p>
    <w:p w14:paraId="4A7368F1">
      <w:pPr>
        <w:pStyle w:val="5"/>
        <w:snapToGrid w:val="0"/>
        <w:spacing w:before="0" w:after="0" w:line="360" w:lineRule="auto"/>
        <w:rPr>
          <w:rFonts w:ascii="宋体" w:hAnsi="宋体"/>
          <w:b w:val="0"/>
          <w:snapToGrid w:val="0"/>
          <w:color w:val="auto"/>
          <w:sz w:val="24"/>
          <w:szCs w:val="24"/>
          <w:highlight w:val="none"/>
        </w:rPr>
      </w:pPr>
      <w:bookmarkStart w:id="197" w:name="_Toc509218721"/>
      <w:bookmarkStart w:id="198" w:name="_Toc200513137"/>
      <w:bookmarkStart w:id="199" w:name="_Toc287607757"/>
      <w:bookmarkStart w:id="200" w:name="_Toc287620696"/>
      <w:bookmarkStart w:id="201" w:name="_Toc224103328"/>
      <w:bookmarkStart w:id="202" w:name="_Toc277082563"/>
      <w:bookmarkStart w:id="203" w:name="_Toc32057"/>
      <w:bookmarkStart w:id="204" w:name="_Toc57905841"/>
      <w:bookmarkStart w:id="205" w:name="_Toc430530446"/>
      <w:r>
        <w:rPr>
          <w:rFonts w:ascii="宋体" w:hAnsi="宋体"/>
          <w:b w:val="0"/>
          <w:snapToGrid w:val="0"/>
          <w:color w:val="auto"/>
          <w:sz w:val="24"/>
          <w:szCs w:val="24"/>
          <w:highlight w:val="none"/>
        </w:rPr>
        <w:t>1.10  投标预备会</w:t>
      </w:r>
      <w:bookmarkEnd w:id="197"/>
      <w:bookmarkEnd w:id="198"/>
      <w:bookmarkEnd w:id="199"/>
      <w:bookmarkEnd w:id="200"/>
      <w:bookmarkEnd w:id="201"/>
      <w:bookmarkEnd w:id="202"/>
      <w:bookmarkEnd w:id="203"/>
      <w:bookmarkEnd w:id="204"/>
      <w:bookmarkEnd w:id="205"/>
    </w:p>
    <w:p w14:paraId="0C6FC84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须知前附表规定召开投标预备会的，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须知前附表规定的时间和地点召开投标预备会，澄清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提出的问题。</w:t>
      </w:r>
    </w:p>
    <w:p w14:paraId="30C9A26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人，以便</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人澄清。</w:t>
      </w:r>
    </w:p>
    <w:p w14:paraId="1B628544">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须知前附表规定的时间内，将对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lang w:eastAsia="zh-CN"/>
        </w:rPr>
        <w:t>竞争性比选文件</w:t>
      </w:r>
      <w:r>
        <w:rPr>
          <w:rFonts w:ascii="宋体" w:hAnsi="宋体"/>
          <w:snapToGrid w:val="0"/>
          <w:color w:val="auto"/>
          <w:kern w:val="0"/>
          <w:position w:val="-2"/>
          <w:szCs w:val="21"/>
          <w:highlight w:val="none"/>
        </w:rPr>
        <w:t>的组成部分。</w:t>
      </w:r>
    </w:p>
    <w:p w14:paraId="6A1A539E">
      <w:pPr>
        <w:pStyle w:val="5"/>
        <w:snapToGrid w:val="0"/>
        <w:spacing w:before="0" w:after="0" w:line="360" w:lineRule="auto"/>
        <w:rPr>
          <w:rFonts w:ascii="宋体" w:hAnsi="宋体"/>
          <w:b w:val="0"/>
          <w:snapToGrid w:val="0"/>
          <w:color w:val="auto"/>
          <w:sz w:val="24"/>
          <w:szCs w:val="24"/>
          <w:highlight w:val="none"/>
        </w:rPr>
      </w:pPr>
      <w:bookmarkStart w:id="206" w:name="_Toc287607758"/>
      <w:bookmarkStart w:id="207" w:name="_Toc430530447"/>
      <w:bookmarkStart w:id="208" w:name="_Toc200513138"/>
      <w:bookmarkStart w:id="209" w:name="_Toc509218722"/>
      <w:bookmarkStart w:id="210" w:name="_Toc287620697"/>
      <w:bookmarkStart w:id="211" w:name="_Toc277082564"/>
      <w:bookmarkStart w:id="212" w:name="_Toc57905842"/>
      <w:bookmarkStart w:id="213" w:name="_Toc3036"/>
      <w:bookmarkStart w:id="214" w:name="_Toc224103329"/>
      <w:r>
        <w:rPr>
          <w:rFonts w:ascii="宋体" w:hAnsi="宋体"/>
          <w:b w:val="0"/>
          <w:snapToGrid w:val="0"/>
          <w:color w:val="auto"/>
          <w:sz w:val="24"/>
          <w:szCs w:val="24"/>
          <w:highlight w:val="none"/>
        </w:rPr>
        <w:t>1.11  分包</w:t>
      </w:r>
      <w:bookmarkEnd w:id="206"/>
      <w:bookmarkEnd w:id="207"/>
      <w:bookmarkEnd w:id="208"/>
      <w:bookmarkEnd w:id="209"/>
      <w:bookmarkEnd w:id="210"/>
      <w:bookmarkEnd w:id="211"/>
      <w:bookmarkEnd w:id="212"/>
      <w:bookmarkEnd w:id="213"/>
      <w:bookmarkEnd w:id="214"/>
    </w:p>
    <w:p w14:paraId="4B2A5546">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拟在中标后将中标项目的部分非主体、非关键性工作进行分包的，应符合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须知前附表规定的分包内容、分包金额和接受分包的第三人资质要求等限制性条件。</w:t>
      </w:r>
    </w:p>
    <w:p w14:paraId="4900E952">
      <w:pPr>
        <w:pStyle w:val="5"/>
        <w:snapToGrid w:val="0"/>
        <w:spacing w:before="0" w:after="0" w:line="360" w:lineRule="auto"/>
        <w:rPr>
          <w:rFonts w:ascii="宋体" w:hAnsi="宋体"/>
          <w:b w:val="0"/>
          <w:snapToGrid w:val="0"/>
          <w:color w:val="auto"/>
          <w:sz w:val="24"/>
          <w:szCs w:val="24"/>
          <w:highlight w:val="none"/>
        </w:rPr>
      </w:pPr>
      <w:bookmarkStart w:id="215" w:name="_Toc5536"/>
      <w:bookmarkStart w:id="216" w:name="_Toc57905843"/>
      <w:bookmarkStart w:id="217" w:name="_Toc224103330"/>
      <w:bookmarkStart w:id="218" w:name="_Toc277082565"/>
      <w:bookmarkStart w:id="219" w:name="_Toc287620698"/>
      <w:bookmarkStart w:id="220" w:name="_Toc200513139"/>
      <w:bookmarkStart w:id="221" w:name="_Toc509218723"/>
      <w:bookmarkStart w:id="222" w:name="_Toc287607759"/>
      <w:bookmarkStart w:id="223" w:name="_Toc430530448"/>
      <w:r>
        <w:rPr>
          <w:rFonts w:ascii="宋体" w:hAnsi="宋体"/>
          <w:b w:val="0"/>
          <w:snapToGrid w:val="0"/>
          <w:color w:val="auto"/>
          <w:sz w:val="24"/>
          <w:szCs w:val="24"/>
          <w:highlight w:val="none"/>
        </w:rPr>
        <w:t>1.12  偏离</w:t>
      </w:r>
      <w:bookmarkEnd w:id="215"/>
      <w:bookmarkEnd w:id="216"/>
      <w:bookmarkEnd w:id="217"/>
      <w:bookmarkEnd w:id="218"/>
      <w:bookmarkEnd w:id="219"/>
      <w:bookmarkEnd w:id="220"/>
      <w:bookmarkEnd w:id="221"/>
      <w:bookmarkEnd w:id="222"/>
      <w:bookmarkEnd w:id="223"/>
    </w:p>
    <w:p w14:paraId="3A322EE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规定 的偏离范围和幅度。</w:t>
      </w:r>
    </w:p>
    <w:p w14:paraId="47E85600">
      <w:pPr>
        <w:pStyle w:val="4"/>
        <w:spacing w:before="0" w:after="0" w:line="360" w:lineRule="auto"/>
        <w:rPr>
          <w:rFonts w:hint="eastAsia" w:ascii="宋体" w:hAnsi="宋体" w:eastAsia="宋体"/>
          <w:b w:val="0"/>
          <w:snapToGrid w:val="0"/>
          <w:color w:val="auto"/>
          <w:highlight w:val="none"/>
          <w:lang w:eastAsia="zh-CN"/>
        </w:rPr>
      </w:pPr>
      <w:bookmarkStart w:id="224" w:name="_Toc57905844"/>
      <w:bookmarkStart w:id="225" w:name="_Toc430530449"/>
      <w:bookmarkStart w:id="226" w:name="_Toc224103331"/>
      <w:bookmarkStart w:id="227" w:name="_Toc200513140"/>
      <w:bookmarkStart w:id="228" w:name="_Toc287620699"/>
      <w:bookmarkStart w:id="229" w:name="_Toc277082566"/>
      <w:bookmarkStart w:id="230" w:name="_Toc509218724"/>
      <w:bookmarkStart w:id="231" w:name="_Toc11902"/>
      <w:bookmarkStart w:id="232" w:name="_Toc287607760"/>
      <w:r>
        <w:rPr>
          <w:rFonts w:ascii="宋体" w:hAnsi="宋体"/>
          <w:b w:val="0"/>
          <w:snapToGrid w:val="0"/>
          <w:color w:val="auto"/>
          <w:highlight w:val="none"/>
        </w:rPr>
        <w:t xml:space="preserve">2.  </w:t>
      </w:r>
      <w:bookmarkEnd w:id="224"/>
      <w:bookmarkEnd w:id="225"/>
      <w:bookmarkEnd w:id="226"/>
      <w:bookmarkEnd w:id="227"/>
      <w:bookmarkEnd w:id="228"/>
      <w:bookmarkEnd w:id="229"/>
      <w:bookmarkEnd w:id="230"/>
      <w:bookmarkEnd w:id="231"/>
      <w:bookmarkEnd w:id="232"/>
      <w:r>
        <w:rPr>
          <w:rFonts w:hint="eastAsia" w:ascii="宋体" w:hAnsi="宋体"/>
          <w:b w:val="0"/>
          <w:snapToGrid w:val="0"/>
          <w:color w:val="auto"/>
          <w:highlight w:val="none"/>
          <w:lang w:eastAsia="zh-CN"/>
        </w:rPr>
        <w:t>竞争性比选文件</w:t>
      </w:r>
    </w:p>
    <w:p w14:paraId="40D1FFCC">
      <w:pPr>
        <w:pStyle w:val="5"/>
        <w:snapToGrid w:val="0"/>
        <w:spacing w:before="0" w:after="0" w:line="360" w:lineRule="auto"/>
        <w:rPr>
          <w:rFonts w:ascii="宋体" w:hAnsi="宋体"/>
          <w:b w:val="0"/>
          <w:snapToGrid w:val="0"/>
          <w:color w:val="auto"/>
          <w:sz w:val="24"/>
          <w:szCs w:val="24"/>
          <w:highlight w:val="none"/>
        </w:rPr>
      </w:pPr>
      <w:bookmarkStart w:id="233" w:name="_Toc200513141"/>
      <w:bookmarkStart w:id="234" w:name="_Toc224103332"/>
      <w:bookmarkStart w:id="235" w:name="_Toc430530450"/>
      <w:bookmarkStart w:id="236" w:name="_Toc287620700"/>
      <w:bookmarkStart w:id="237" w:name="_Toc57905845"/>
      <w:bookmarkStart w:id="238" w:name="_Toc509218725"/>
      <w:bookmarkStart w:id="239" w:name="_Toc31696"/>
      <w:bookmarkStart w:id="240" w:name="_Toc277082567"/>
      <w:bookmarkStart w:id="241" w:name="_Toc287607761"/>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竞争性比选文件</w:t>
      </w:r>
      <w:r>
        <w:rPr>
          <w:rFonts w:ascii="宋体" w:hAnsi="宋体"/>
          <w:b w:val="0"/>
          <w:snapToGrid w:val="0"/>
          <w:color w:val="auto"/>
          <w:sz w:val="24"/>
          <w:szCs w:val="24"/>
          <w:highlight w:val="none"/>
        </w:rPr>
        <w:t>的组成</w:t>
      </w:r>
      <w:bookmarkEnd w:id="233"/>
      <w:bookmarkEnd w:id="234"/>
      <w:bookmarkEnd w:id="235"/>
      <w:bookmarkEnd w:id="236"/>
      <w:bookmarkEnd w:id="237"/>
      <w:bookmarkEnd w:id="238"/>
      <w:bookmarkEnd w:id="239"/>
      <w:bookmarkEnd w:id="240"/>
      <w:bookmarkEnd w:id="241"/>
    </w:p>
    <w:p w14:paraId="0FE0BB3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包括：</w:t>
      </w:r>
    </w:p>
    <w:p w14:paraId="67D4407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公告（或投标邀请书）；</w:t>
      </w:r>
    </w:p>
    <w:p w14:paraId="072DA73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w:t>
      </w:r>
    </w:p>
    <w:p w14:paraId="12A7866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62B61A4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4CB5904B">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0319CCC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14:paraId="55EEA2B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14:paraId="44CB7AC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w:t>
      </w:r>
    </w:p>
    <w:p w14:paraId="1D79086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须知前附表规定的其他材料。</w:t>
      </w:r>
    </w:p>
    <w:p w14:paraId="6F64EA4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的组成部分。</w:t>
      </w:r>
    </w:p>
    <w:p w14:paraId="5D1EC82F">
      <w:pPr>
        <w:pStyle w:val="5"/>
        <w:snapToGrid w:val="0"/>
        <w:spacing w:before="0" w:after="0" w:line="360" w:lineRule="auto"/>
        <w:rPr>
          <w:rFonts w:ascii="宋体" w:hAnsi="宋体"/>
          <w:b w:val="0"/>
          <w:snapToGrid w:val="0"/>
          <w:color w:val="auto"/>
          <w:sz w:val="24"/>
          <w:szCs w:val="24"/>
          <w:highlight w:val="none"/>
        </w:rPr>
      </w:pPr>
      <w:bookmarkStart w:id="242" w:name="_Toc23750"/>
      <w:bookmarkStart w:id="243" w:name="_Toc430530451"/>
      <w:bookmarkStart w:id="244" w:name="_Toc57905846"/>
      <w:bookmarkStart w:id="245" w:name="_Toc509218726"/>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竞争性比选文件</w:t>
      </w:r>
      <w:r>
        <w:rPr>
          <w:rFonts w:ascii="宋体" w:hAnsi="宋体"/>
          <w:b w:val="0"/>
          <w:snapToGrid w:val="0"/>
          <w:color w:val="auto"/>
          <w:sz w:val="24"/>
          <w:szCs w:val="24"/>
          <w:highlight w:val="none"/>
        </w:rPr>
        <w:t>的澄清</w:t>
      </w:r>
      <w:bookmarkEnd w:id="242"/>
      <w:bookmarkEnd w:id="243"/>
      <w:bookmarkEnd w:id="244"/>
      <w:bookmarkEnd w:id="245"/>
    </w:p>
    <w:p w14:paraId="033CE960">
      <w:pPr>
        <w:spacing w:line="360" w:lineRule="auto"/>
        <w:ind w:firstLine="420" w:firstLineChars="200"/>
        <w:jc w:val="left"/>
        <w:rPr>
          <w:rFonts w:hint="eastAsia" w:ascii="宋体" w:hAnsi="宋体"/>
          <w:color w:val="auto"/>
          <w:highlight w:val="none"/>
        </w:rPr>
      </w:pPr>
      <w:bookmarkStart w:id="246" w:name="_Toc287620702"/>
      <w:bookmarkStart w:id="247" w:name="_Toc27922"/>
      <w:bookmarkStart w:id="248" w:name="_Toc57905847"/>
      <w:bookmarkStart w:id="249" w:name="_Toc430530452"/>
      <w:bookmarkStart w:id="250" w:name="_Toc224103334"/>
      <w:bookmarkStart w:id="251" w:name="_Toc200513143"/>
      <w:bookmarkStart w:id="252" w:name="_Toc509218727"/>
      <w:bookmarkStart w:id="253" w:name="_Toc287607763"/>
      <w:bookmarkStart w:id="254" w:name="_Toc277082569"/>
      <w:r>
        <w:rPr>
          <w:rFonts w:hint="eastAsia" w:ascii="宋体" w:hAnsi="宋体"/>
          <w:color w:val="auto"/>
          <w:highlight w:val="none"/>
        </w:rPr>
        <w:t>见竞选人须知前附表。</w:t>
      </w:r>
    </w:p>
    <w:p w14:paraId="3DFC0065">
      <w:pPr>
        <w:spacing w:line="360" w:lineRule="auto"/>
        <w:jc w:val="left"/>
        <w:rPr>
          <w:rFonts w:hint="eastAsia" w:ascii="宋体" w:hAnsi="宋体" w:eastAsia="宋体" w:cs="Times New Roman"/>
          <w:b w:val="0"/>
          <w:bCs/>
          <w:snapToGrid w:val="0"/>
          <w:color w:val="auto"/>
          <w:kern w:val="2"/>
          <w:sz w:val="24"/>
          <w:szCs w:val="24"/>
          <w:highlight w:val="none"/>
          <w:lang w:val="en-US" w:eastAsia="zh-CN" w:bidi="ar-SA"/>
        </w:rPr>
      </w:pPr>
      <w:r>
        <w:rPr>
          <w:rFonts w:hint="eastAsia" w:ascii="宋体" w:hAnsi="宋体" w:eastAsia="宋体" w:cs="Times New Roman"/>
          <w:b w:val="0"/>
          <w:bCs/>
          <w:snapToGrid w:val="0"/>
          <w:color w:val="auto"/>
          <w:kern w:val="2"/>
          <w:sz w:val="24"/>
          <w:szCs w:val="24"/>
          <w:highlight w:val="none"/>
          <w:lang w:val="en-US" w:eastAsia="zh-CN" w:bidi="ar-SA"/>
        </w:rPr>
        <w:t>2.3  竞争性比选文件的修改</w:t>
      </w:r>
      <w:bookmarkEnd w:id="246"/>
      <w:bookmarkEnd w:id="247"/>
      <w:bookmarkEnd w:id="248"/>
      <w:bookmarkEnd w:id="249"/>
      <w:bookmarkEnd w:id="250"/>
      <w:bookmarkEnd w:id="251"/>
      <w:bookmarkEnd w:id="252"/>
      <w:bookmarkEnd w:id="253"/>
      <w:bookmarkEnd w:id="254"/>
    </w:p>
    <w:p w14:paraId="17F6BCDC">
      <w:pPr>
        <w:spacing w:line="360" w:lineRule="auto"/>
        <w:ind w:firstLine="420" w:firstLineChars="200"/>
        <w:rPr>
          <w:rFonts w:hint="eastAsia" w:ascii="宋体" w:hAnsi="宋体"/>
          <w:color w:val="auto"/>
          <w:highlight w:val="none"/>
        </w:rPr>
      </w:pPr>
      <w:bookmarkStart w:id="255" w:name="_Toc224103335"/>
      <w:bookmarkStart w:id="256" w:name="_Toc287607764"/>
      <w:bookmarkStart w:id="257" w:name="_Toc430530453"/>
      <w:bookmarkStart w:id="258" w:name="_Toc14543"/>
      <w:bookmarkStart w:id="259" w:name="_Toc200513144"/>
      <w:bookmarkStart w:id="260" w:name="_Toc277082570"/>
      <w:bookmarkStart w:id="261" w:name="_Toc57905848"/>
      <w:bookmarkStart w:id="262" w:name="_Toc287620703"/>
      <w:bookmarkStart w:id="263" w:name="_Toc509218728"/>
      <w:r>
        <w:rPr>
          <w:rFonts w:hint="eastAsia" w:ascii="宋体" w:hAnsi="宋体"/>
          <w:color w:val="auto"/>
          <w:highlight w:val="none"/>
        </w:rPr>
        <w:t>按照本章第2.2款</w:t>
      </w:r>
      <w:r>
        <w:rPr>
          <w:rFonts w:hint="eastAsia" w:ascii="宋体" w:hAnsi="宋体"/>
          <w:color w:val="auto"/>
          <w:highlight w:val="none"/>
          <w:lang w:eastAsia="zh-CN"/>
        </w:rPr>
        <w:t>竞争性比选文件</w:t>
      </w:r>
      <w:r>
        <w:rPr>
          <w:rFonts w:hint="eastAsia" w:ascii="宋体" w:hAnsi="宋体"/>
          <w:color w:val="auto"/>
          <w:highlight w:val="none"/>
        </w:rPr>
        <w:t>的澄清相关内容及方式执行。</w:t>
      </w:r>
    </w:p>
    <w:p w14:paraId="66660025">
      <w:pPr>
        <w:pStyle w:val="4"/>
        <w:spacing w:before="0" w:after="0" w:line="360" w:lineRule="auto"/>
        <w:rPr>
          <w:rFonts w:hint="eastAsia" w:ascii="宋体" w:hAnsi="宋体" w:eastAsia="宋体"/>
          <w:b w:val="0"/>
          <w:snapToGrid w:val="0"/>
          <w:color w:val="auto"/>
          <w:highlight w:val="none"/>
          <w:lang w:eastAsia="zh-CN"/>
        </w:rPr>
      </w:pPr>
      <w:r>
        <w:rPr>
          <w:rFonts w:ascii="宋体" w:hAnsi="宋体"/>
          <w:b w:val="0"/>
          <w:snapToGrid w:val="0"/>
          <w:color w:val="auto"/>
          <w:highlight w:val="none"/>
        </w:rPr>
        <w:t xml:space="preserve">3.  </w:t>
      </w:r>
      <w:bookmarkEnd w:id="255"/>
      <w:bookmarkEnd w:id="256"/>
      <w:bookmarkEnd w:id="257"/>
      <w:bookmarkEnd w:id="258"/>
      <w:bookmarkEnd w:id="259"/>
      <w:bookmarkEnd w:id="260"/>
      <w:bookmarkEnd w:id="261"/>
      <w:bookmarkEnd w:id="262"/>
      <w:bookmarkEnd w:id="263"/>
      <w:r>
        <w:rPr>
          <w:rFonts w:hint="eastAsia" w:ascii="宋体" w:hAnsi="宋体"/>
          <w:b w:val="0"/>
          <w:snapToGrid w:val="0"/>
          <w:color w:val="auto"/>
          <w:highlight w:val="none"/>
          <w:lang w:eastAsia="zh-CN"/>
        </w:rPr>
        <w:t>竞选文件</w:t>
      </w:r>
    </w:p>
    <w:p w14:paraId="436DFC24">
      <w:pPr>
        <w:pStyle w:val="5"/>
        <w:snapToGrid w:val="0"/>
        <w:spacing w:before="0" w:after="0" w:line="360" w:lineRule="auto"/>
        <w:rPr>
          <w:rFonts w:ascii="宋体" w:hAnsi="宋体"/>
          <w:b w:val="0"/>
          <w:snapToGrid w:val="0"/>
          <w:color w:val="auto"/>
          <w:sz w:val="24"/>
          <w:szCs w:val="24"/>
          <w:highlight w:val="none"/>
        </w:rPr>
      </w:pPr>
      <w:bookmarkStart w:id="264" w:name="_Toc8482"/>
      <w:bookmarkStart w:id="265" w:name="_Toc200513145"/>
      <w:bookmarkStart w:id="266" w:name="_Toc224103336"/>
      <w:bookmarkStart w:id="267" w:name="_Toc57905849"/>
      <w:bookmarkStart w:id="268" w:name="_Toc430530454"/>
      <w:bookmarkStart w:id="269" w:name="_Toc509218729"/>
      <w:bookmarkStart w:id="270" w:name="_Toc287620704"/>
      <w:bookmarkStart w:id="271" w:name="_Toc287607765"/>
      <w:bookmarkStart w:id="272" w:name="_Toc277082571"/>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的组成</w:t>
      </w:r>
      <w:bookmarkEnd w:id="264"/>
      <w:bookmarkEnd w:id="265"/>
      <w:bookmarkEnd w:id="266"/>
      <w:bookmarkEnd w:id="267"/>
      <w:bookmarkEnd w:id="268"/>
      <w:bookmarkEnd w:id="269"/>
      <w:bookmarkEnd w:id="270"/>
      <w:bookmarkEnd w:id="271"/>
      <w:bookmarkEnd w:id="272"/>
    </w:p>
    <w:p w14:paraId="197B673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应包括下列内容：</w:t>
      </w:r>
    </w:p>
    <w:p w14:paraId="69541F0B">
      <w:pPr>
        <w:spacing w:line="360" w:lineRule="auto"/>
        <w:ind w:firstLine="420" w:firstLineChars="200"/>
        <w:rPr>
          <w:rFonts w:ascii="宋体" w:hAnsi="宋体"/>
          <w:color w:val="auto"/>
          <w:highlight w:val="none"/>
        </w:rPr>
      </w:pPr>
      <w:r>
        <w:rPr>
          <w:rFonts w:hint="eastAsia" w:ascii="宋体" w:hAnsi="宋体"/>
          <w:color w:val="auto"/>
          <w:highlight w:val="none"/>
        </w:rPr>
        <w:t>3.1.1.1投标保函部分（适用于投标保证金采用纸质投标保函形式的）</w:t>
      </w:r>
    </w:p>
    <w:p w14:paraId="309797DE">
      <w:pPr>
        <w:spacing w:line="360" w:lineRule="auto"/>
        <w:ind w:firstLine="420" w:firstLineChars="200"/>
        <w:rPr>
          <w:rFonts w:ascii="宋体" w:hAnsi="宋体"/>
          <w:color w:val="auto"/>
          <w:highlight w:val="none"/>
        </w:rPr>
      </w:pPr>
      <w:r>
        <w:rPr>
          <w:rFonts w:hint="eastAsia" w:ascii="宋体" w:hAnsi="宋体"/>
          <w:color w:val="auto"/>
          <w:highlight w:val="none"/>
        </w:rPr>
        <w:t>3.1.1.2投标函部分</w:t>
      </w:r>
    </w:p>
    <w:p w14:paraId="07B024A3">
      <w:pPr>
        <w:spacing w:line="360" w:lineRule="auto"/>
        <w:ind w:firstLine="420" w:firstLineChars="200"/>
        <w:rPr>
          <w:rFonts w:ascii="宋体" w:hAnsi="宋体"/>
          <w:color w:val="auto"/>
          <w:highlight w:val="none"/>
        </w:rPr>
      </w:pPr>
      <w:r>
        <w:rPr>
          <w:rFonts w:hint="eastAsia" w:ascii="宋体" w:hAnsi="宋体"/>
          <w:color w:val="auto"/>
          <w:highlight w:val="none"/>
        </w:rPr>
        <w:t>（1）投标函</w:t>
      </w:r>
    </w:p>
    <w:p w14:paraId="42AA7FCC">
      <w:pPr>
        <w:spacing w:line="360" w:lineRule="auto"/>
        <w:ind w:firstLine="420" w:firstLineChars="200"/>
        <w:rPr>
          <w:rFonts w:ascii="宋体" w:hAnsi="宋体"/>
          <w:color w:val="auto"/>
          <w:highlight w:val="none"/>
        </w:rPr>
      </w:pPr>
      <w:r>
        <w:rPr>
          <w:rFonts w:hint="eastAsia" w:ascii="宋体" w:hAnsi="宋体"/>
          <w:color w:val="auto"/>
          <w:highlight w:val="none"/>
        </w:rPr>
        <w:t>（2）投标函附录</w:t>
      </w:r>
    </w:p>
    <w:p w14:paraId="4A7A9720">
      <w:pPr>
        <w:spacing w:line="360" w:lineRule="auto"/>
        <w:ind w:firstLine="420" w:firstLineChars="200"/>
        <w:rPr>
          <w:rFonts w:ascii="宋体" w:hAnsi="宋体"/>
          <w:color w:val="auto"/>
          <w:highlight w:val="none"/>
        </w:rPr>
      </w:pPr>
      <w:r>
        <w:rPr>
          <w:rFonts w:hint="eastAsia" w:ascii="宋体" w:hAnsi="宋体"/>
          <w:color w:val="auto"/>
          <w:highlight w:val="none"/>
        </w:rPr>
        <w:t>（3）法定代表人身份证明或附有法定代表人身份证明的授权委托书</w:t>
      </w:r>
    </w:p>
    <w:p w14:paraId="7993E60C">
      <w:pPr>
        <w:spacing w:line="360" w:lineRule="auto"/>
        <w:ind w:firstLine="420" w:firstLineChars="200"/>
        <w:rPr>
          <w:rFonts w:ascii="宋体" w:hAnsi="宋体"/>
          <w:color w:val="auto"/>
          <w:highlight w:val="none"/>
        </w:rPr>
      </w:pPr>
      <w:r>
        <w:rPr>
          <w:rFonts w:hint="eastAsia" w:ascii="宋体" w:hAnsi="宋体"/>
          <w:color w:val="auto"/>
          <w:highlight w:val="none"/>
        </w:rPr>
        <w:t>3.1.1.3经济部分</w:t>
      </w:r>
    </w:p>
    <w:p w14:paraId="7F8EC2F1">
      <w:pPr>
        <w:spacing w:line="360" w:lineRule="auto"/>
        <w:ind w:firstLine="420" w:firstLineChars="200"/>
        <w:rPr>
          <w:rFonts w:ascii="宋体" w:hAnsi="宋体"/>
          <w:color w:val="auto"/>
          <w:highlight w:val="none"/>
        </w:rPr>
      </w:pPr>
      <w:r>
        <w:rPr>
          <w:rFonts w:hint="eastAsia" w:ascii="宋体" w:hAnsi="宋体"/>
          <w:color w:val="auto"/>
          <w:highlight w:val="none"/>
        </w:rPr>
        <w:t>（1）已标价工程量清单</w:t>
      </w:r>
    </w:p>
    <w:p w14:paraId="10736448">
      <w:pPr>
        <w:spacing w:line="360" w:lineRule="auto"/>
        <w:ind w:firstLine="420" w:firstLineChars="200"/>
        <w:rPr>
          <w:rFonts w:ascii="宋体" w:hAnsi="宋体"/>
          <w:color w:val="auto"/>
          <w:highlight w:val="none"/>
        </w:rPr>
      </w:pPr>
      <w:r>
        <w:rPr>
          <w:rFonts w:hint="eastAsia" w:ascii="宋体" w:hAnsi="宋体"/>
          <w:color w:val="auto"/>
          <w:highlight w:val="none"/>
        </w:rPr>
        <w:t>3.1.1.4技术部分</w:t>
      </w:r>
    </w:p>
    <w:p w14:paraId="05A7CE9A">
      <w:pPr>
        <w:spacing w:line="360" w:lineRule="auto"/>
        <w:ind w:firstLine="420" w:firstLineChars="200"/>
        <w:rPr>
          <w:rFonts w:ascii="宋体" w:hAnsi="宋体"/>
          <w:color w:val="auto"/>
          <w:highlight w:val="none"/>
        </w:rPr>
      </w:pPr>
      <w:r>
        <w:rPr>
          <w:rFonts w:hint="eastAsia" w:ascii="宋体" w:hAnsi="宋体"/>
          <w:color w:val="auto"/>
          <w:highlight w:val="none"/>
        </w:rPr>
        <w:t>3.1.1.5资格审查部分</w:t>
      </w:r>
    </w:p>
    <w:p w14:paraId="6BE1D8A6">
      <w:pPr>
        <w:spacing w:line="360" w:lineRule="auto"/>
        <w:ind w:firstLine="420" w:firstLineChars="200"/>
        <w:rPr>
          <w:rFonts w:ascii="宋体" w:hAnsi="宋体"/>
          <w:color w:val="auto"/>
          <w:highlight w:val="none"/>
        </w:rPr>
      </w:pPr>
      <w:r>
        <w:rPr>
          <w:rFonts w:hint="eastAsia" w:ascii="宋体" w:hAnsi="宋体"/>
          <w:color w:val="auto"/>
          <w:highlight w:val="none"/>
        </w:rPr>
        <w:t>（1）法定代表人身份证明或附有法定代表人身份证明的授权委托书</w:t>
      </w:r>
    </w:p>
    <w:p w14:paraId="7B6B2B9D">
      <w:pPr>
        <w:spacing w:line="360" w:lineRule="auto"/>
        <w:ind w:firstLine="420" w:firstLineChars="200"/>
        <w:rPr>
          <w:rFonts w:ascii="宋体" w:hAnsi="宋体"/>
          <w:color w:val="auto"/>
          <w:highlight w:val="none"/>
        </w:rPr>
      </w:pPr>
      <w:r>
        <w:rPr>
          <w:rFonts w:hint="eastAsia" w:ascii="宋体" w:hAnsi="宋体"/>
          <w:color w:val="auto"/>
          <w:highlight w:val="none"/>
        </w:rPr>
        <w:t>（2）联合体协议书（如有）</w:t>
      </w:r>
    </w:p>
    <w:p w14:paraId="7A754FD1">
      <w:pPr>
        <w:spacing w:line="360" w:lineRule="auto"/>
        <w:ind w:firstLine="420" w:firstLineChars="20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竞选人</w:t>
      </w:r>
      <w:r>
        <w:rPr>
          <w:rFonts w:hint="eastAsia" w:ascii="宋体" w:hAnsi="宋体"/>
          <w:color w:val="auto"/>
          <w:highlight w:val="none"/>
        </w:rPr>
        <w:t>基本情况表</w:t>
      </w:r>
    </w:p>
    <w:p w14:paraId="75443ED1">
      <w:pPr>
        <w:spacing w:line="360" w:lineRule="auto"/>
        <w:ind w:firstLine="420" w:firstLineChars="200"/>
        <w:rPr>
          <w:rFonts w:ascii="宋体" w:hAnsi="宋体"/>
          <w:color w:val="auto"/>
          <w:highlight w:val="none"/>
        </w:rPr>
      </w:pPr>
      <w:r>
        <w:rPr>
          <w:rFonts w:hint="eastAsia" w:ascii="宋体" w:hAnsi="宋体"/>
          <w:color w:val="auto"/>
          <w:highlight w:val="none"/>
        </w:rPr>
        <w:t>（4）项目管理机构</w:t>
      </w:r>
    </w:p>
    <w:p w14:paraId="07B41054">
      <w:pPr>
        <w:spacing w:line="360" w:lineRule="auto"/>
        <w:ind w:firstLine="420" w:firstLineChars="200"/>
        <w:rPr>
          <w:rFonts w:ascii="宋体" w:hAnsi="宋体"/>
          <w:color w:val="auto"/>
          <w:highlight w:val="none"/>
        </w:rPr>
      </w:pPr>
      <w:r>
        <w:rPr>
          <w:rFonts w:hint="eastAsia" w:ascii="宋体" w:hAnsi="宋体"/>
          <w:color w:val="auto"/>
          <w:highlight w:val="none"/>
        </w:rPr>
        <w:t>（5）近年财务状况表（如有）</w:t>
      </w:r>
    </w:p>
    <w:p w14:paraId="1E67E2EA">
      <w:pPr>
        <w:spacing w:line="360" w:lineRule="auto"/>
        <w:ind w:firstLine="420" w:firstLineChars="200"/>
        <w:rPr>
          <w:rFonts w:ascii="宋体" w:hAnsi="宋体"/>
          <w:color w:val="auto"/>
          <w:highlight w:val="none"/>
        </w:rPr>
      </w:pPr>
      <w:r>
        <w:rPr>
          <w:rFonts w:hint="eastAsia" w:ascii="宋体" w:hAnsi="宋体"/>
          <w:color w:val="auto"/>
          <w:highlight w:val="none"/>
        </w:rPr>
        <w:t>（6）类似项目情况表（如有）</w:t>
      </w:r>
    </w:p>
    <w:p w14:paraId="02D96E00">
      <w:pPr>
        <w:spacing w:line="360" w:lineRule="auto"/>
        <w:ind w:firstLine="420" w:firstLineChars="200"/>
        <w:rPr>
          <w:rFonts w:ascii="宋体" w:hAnsi="宋体"/>
          <w:color w:val="auto"/>
          <w:highlight w:val="none"/>
        </w:rPr>
      </w:pPr>
      <w:r>
        <w:rPr>
          <w:rFonts w:hint="eastAsia" w:ascii="宋体" w:hAnsi="宋体"/>
          <w:color w:val="auto"/>
          <w:highlight w:val="none"/>
        </w:rPr>
        <w:t>（7）承诺</w:t>
      </w:r>
    </w:p>
    <w:p w14:paraId="0C0E8F85">
      <w:pPr>
        <w:spacing w:line="360" w:lineRule="auto"/>
        <w:ind w:firstLine="420" w:firstLineChars="200"/>
        <w:rPr>
          <w:rFonts w:ascii="宋体" w:hAnsi="宋体"/>
          <w:color w:val="auto"/>
          <w:highlight w:val="none"/>
        </w:rPr>
      </w:pPr>
      <w:r>
        <w:rPr>
          <w:rFonts w:hint="eastAsia" w:ascii="宋体" w:hAnsi="宋体"/>
          <w:color w:val="auto"/>
          <w:highlight w:val="none"/>
        </w:rPr>
        <w:t>（8）其他资料</w:t>
      </w:r>
    </w:p>
    <w:p w14:paraId="41F42A6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须知前附表规定不接受联合体投标的，或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不包括联合体协议书。</w:t>
      </w:r>
    </w:p>
    <w:p w14:paraId="78CD76EC">
      <w:pPr>
        <w:pStyle w:val="5"/>
        <w:snapToGrid w:val="0"/>
        <w:spacing w:before="0" w:after="0" w:line="360" w:lineRule="auto"/>
        <w:rPr>
          <w:rFonts w:ascii="宋体" w:hAnsi="宋体"/>
          <w:b w:val="0"/>
          <w:snapToGrid w:val="0"/>
          <w:color w:val="auto"/>
          <w:sz w:val="24"/>
          <w:szCs w:val="24"/>
          <w:highlight w:val="none"/>
        </w:rPr>
      </w:pPr>
      <w:bookmarkStart w:id="273" w:name="_Toc11028"/>
      <w:bookmarkStart w:id="274" w:name="_Toc287620705"/>
      <w:bookmarkStart w:id="275" w:name="_Toc224103337"/>
      <w:bookmarkStart w:id="276" w:name="_Toc509218730"/>
      <w:bookmarkStart w:id="277" w:name="_Toc277082572"/>
      <w:bookmarkStart w:id="278" w:name="_Toc287607766"/>
      <w:bookmarkStart w:id="279" w:name="_Toc57905850"/>
      <w:bookmarkStart w:id="280" w:name="_Toc430530455"/>
      <w:bookmarkStart w:id="281" w:name="_Toc200513146"/>
      <w:r>
        <w:rPr>
          <w:rFonts w:ascii="宋体" w:hAnsi="宋体"/>
          <w:b w:val="0"/>
          <w:snapToGrid w:val="0"/>
          <w:color w:val="auto"/>
          <w:sz w:val="24"/>
          <w:szCs w:val="24"/>
          <w:highlight w:val="none"/>
        </w:rPr>
        <w:t>3.2  投标报价</w:t>
      </w:r>
      <w:bookmarkEnd w:id="273"/>
      <w:bookmarkEnd w:id="274"/>
      <w:bookmarkEnd w:id="275"/>
      <w:bookmarkEnd w:id="276"/>
      <w:bookmarkEnd w:id="277"/>
      <w:bookmarkEnd w:id="278"/>
      <w:bookmarkEnd w:id="279"/>
      <w:bookmarkEnd w:id="280"/>
      <w:bookmarkEnd w:id="281"/>
    </w:p>
    <w:p w14:paraId="01B3380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应按第五章“工程量清单”的要求填写相应表格。</w:t>
      </w:r>
    </w:p>
    <w:p w14:paraId="3705078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在投标截止时间前修改投标函中的投标总报价，应同时修改第五章“工程量清单”中的相应报价。此修改须符合本章第 4.3 款的有关要求。</w:t>
      </w:r>
    </w:p>
    <w:p w14:paraId="475FD297">
      <w:pPr>
        <w:pStyle w:val="5"/>
        <w:snapToGrid w:val="0"/>
        <w:spacing w:before="0" w:after="0" w:line="360" w:lineRule="auto"/>
        <w:rPr>
          <w:rFonts w:ascii="宋体" w:hAnsi="宋体"/>
          <w:b w:val="0"/>
          <w:snapToGrid w:val="0"/>
          <w:color w:val="auto"/>
          <w:sz w:val="24"/>
          <w:szCs w:val="24"/>
          <w:highlight w:val="none"/>
        </w:rPr>
      </w:pPr>
      <w:bookmarkStart w:id="282" w:name="_Toc509218731"/>
      <w:bookmarkStart w:id="283" w:name="_Toc287607767"/>
      <w:bookmarkStart w:id="284" w:name="_Toc287620706"/>
      <w:bookmarkStart w:id="285" w:name="_Toc200513147"/>
      <w:bookmarkStart w:id="286" w:name="_Toc57905851"/>
      <w:bookmarkStart w:id="287" w:name="_Toc430530456"/>
      <w:bookmarkStart w:id="288" w:name="_Toc277082573"/>
      <w:bookmarkStart w:id="289" w:name="_Toc4304"/>
      <w:bookmarkStart w:id="290" w:name="_Toc224103338"/>
      <w:r>
        <w:rPr>
          <w:rFonts w:ascii="宋体" w:hAnsi="宋体"/>
          <w:b w:val="0"/>
          <w:snapToGrid w:val="0"/>
          <w:color w:val="auto"/>
          <w:sz w:val="24"/>
          <w:szCs w:val="24"/>
          <w:highlight w:val="none"/>
        </w:rPr>
        <w:t>3.3  投标有效期</w:t>
      </w:r>
      <w:bookmarkEnd w:id="282"/>
      <w:bookmarkEnd w:id="283"/>
      <w:bookmarkEnd w:id="284"/>
      <w:bookmarkEnd w:id="285"/>
      <w:bookmarkEnd w:id="286"/>
      <w:bookmarkEnd w:id="287"/>
      <w:bookmarkEnd w:id="288"/>
      <w:bookmarkEnd w:id="289"/>
      <w:bookmarkEnd w:id="290"/>
    </w:p>
    <w:p w14:paraId="128B672B">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须知前附表规定的投标有效期内，</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45980E1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3.3.2  出现特殊情况需要延长投标有效期的，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人以书面形式通知所有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延长投标有效期。</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同意延长的，应相应延长其投标保函的有效期，但不得要求或被允许修改或撤销其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拒绝延长的，其投标失效，但</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有权收回其投标保函。</w:t>
      </w:r>
      <w:r>
        <w:rPr>
          <w:rFonts w:hint="eastAsia" w:ascii="宋体" w:hAnsi="宋体"/>
          <w:snapToGrid w:val="0"/>
          <w:color w:val="auto"/>
          <w:kern w:val="0"/>
          <w:szCs w:val="21"/>
          <w:highlight w:val="none"/>
        </w:rPr>
        <w:t>（适用于投标保证金采用投标保函形式的）</w:t>
      </w:r>
    </w:p>
    <w:p w14:paraId="495329C2">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hint="eastAsia" w:ascii="宋体" w:hAnsi="宋体" w:cs="MingLiU"/>
          <w:snapToGrid w:val="0"/>
          <w:color w:val="auto"/>
          <w:kern w:val="0"/>
          <w:szCs w:val="21"/>
          <w:highlight w:val="none"/>
        </w:rPr>
        <w:t>出现特殊情况需要延长投标有效期的，</w:t>
      </w:r>
      <w:r>
        <w:rPr>
          <w:rFonts w:hint="eastAsia" w:ascii="宋体" w:hAnsi="宋体" w:cs="MingLiU"/>
          <w:snapToGrid w:val="0"/>
          <w:color w:val="auto"/>
          <w:kern w:val="0"/>
          <w:szCs w:val="21"/>
          <w:highlight w:val="none"/>
          <w:lang w:eastAsia="zh-CN"/>
        </w:rPr>
        <w:t>比选</w:t>
      </w:r>
      <w:r>
        <w:rPr>
          <w:rFonts w:hint="eastAsia" w:ascii="宋体" w:hAnsi="宋体" w:cs="MingLiU"/>
          <w:snapToGrid w:val="0"/>
          <w:color w:val="auto"/>
          <w:kern w:val="0"/>
          <w:szCs w:val="21"/>
          <w:highlight w:val="none"/>
        </w:rPr>
        <w:t>人以书面形式通知所有</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延长投标有效期。</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同意延长的，应相应延长其投标保证金的有效期，但不得要求或被允许修改或撤销其</w:t>
      </w:r>
      <w:r>
        <w:rPr>
          <w:rFonts w:hint="eastAsia" w:ascii="宋体" w:hAnsi="宋体" w:cs="MingLiU"/>
          <w:snapToGrid w:val="0"/>
          <w:color w:val="auto"/>
          <w:kern w:val="0"/>
          <w:szCs w:val="21"/>
          <w:highlight w:val="none"/>
          <w:lang w:eastAsia="zh-CN"/>
        </w:rPr>
        <w:t>竞选文件</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拒绝延长的，其投标失效，但</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有权收回其投标保证金。（适用于投标保证金采用银行转账形式的）</w:t>
      </w:r>
    </w:p>
    <w:p w14:paraId="1810EDEE">
      <w:pPr>
        <w:pStyle w:val="5"/>
        <w:snapToGrid w:val="0"/>
        <w:spacing w:before="0" w:after="0" w:line="360" w:lineRule="auto"/>
        <w:rPr>
          <w:rFonts w:ascii="宋体" w:hAnsi="宋体"/>
          <w:b w:val="0"/>
          <w:snapToGrid w:val="0"/>
          <w:color w:val="auto"/>
          <w:sz w:val="24"/>
          <w:szCs w:val="24"/>
          <w:highlight w:val="none"/>
        </w:rPr>
      </w:pPr>
      <w:bookmarkStart w:id="291" w:name="_Toc430530457"/>
      <w:bookmarkStart w:id="292" w:name="_Toc224103339"/>
      <w:bookmarkStart w:id="293" w:name="_Toc200513148"/>
      <w:bookmarkStart w:id="294" w:name="_Toc287607768"/>
      <w:bookmarkStart w:id="295" w:name="_Toc509218732"/>
      <w:bookmarkStart w:id="296" w:name="_Toc287620707"/>
      <w:bookmarkStart w:id="297" w:name="_Toc277082574"/>
      <w:bookmarkStart w:id="298" w:name="_Toc1366"/>
      <w:bookmarkStart w:id="299" w:name="_Toc57905852"/>
      <w:r>
        <w:rPr>
          <w:rFonts w:ascii="宋体" w:hAnsi="宋体"/>
          <w:b w:val="0"/>
          <w:snapToGrid w:val="0"/>
          <w:color w:val="auto"/>
          <w:sz w:val="24"/>
          <w:szCs w:val="24"/>
          <w:highlight w:val="none"/>
        </w:rPr>
        <w:t xml:space="preserve">3.4  </w:t>
      </w:r>
      <w:bookmarkEnd w:id="291"/>
      <w:bookmarkEnd w:id="292"/>
      <w:bookmarkEnd w:id="293"/>
      <w:bookmarkEnd w:id="294"/>
      <w:bookmarkEnd w:id="295"/>
      <w:bookmarkEnd w:id="296"/>
      <w:bookmarkEnd w:id="297"/>
      <w:r>
        <w:rPr>
          <w:rFonts w:ascii="宋体" w:hAnsi="宋体"/>
          <w:b w:val="0"/>
          <w:snapToGrid w:val="0"/>
          <w:color w:val="auto"/>
          <w:sz w:val="24"/>
          <w:szCs w:val="24"/>
          <w:highlight w:val="none"/>
        </w:rPr>
        <w:t>投标</w:t>
      </w:r>
      <w:bookmarkEnd w:id="298"/>
      <w:r>
        <w:rPr>
          <w:rFonts w:hint="eastAsia" w:ascii="宋体" w:hAnsi="宋体"/>
          <w:b w:val="0"/>
          <w:snapToGrid w:val="0"/>
          <w:color w:val="auto"/>
          <w:sz w:val="24"/>
          <w:szCs w:val="24"/>
          <w:highlight w:val="none"/>
        </w:rPr>
        <w:t>保证金</w:t>
      </w:r>
      <w:bookmarkEnd w:id="299"/>
    </w:p>
    <w:p w14:paraId="33C7FB3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须知前附表的规定递交投标保证金，并作为其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的组成部分。联合体投标的，其投标保证金由牵头人递交，并应符合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须知前附表的规定。</w:t>
      </w:r>
    </w:p>
    <w:p w14:paraId="0A86FB0A">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不按本章第 3.4.1 项要求提交投标保证金的，其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作否决投标处理。</w:t>
      </w:r>
    </w:p>
    <w:p w14:paraId="5880AAAA">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ascii="宋体" w:hAnsi="宋体"/>
          <w:snapToGrid w:val="0"/>
          <w:color w:val="auto"/>
          <w:kern w:val="0"/>
          <w:position w:val="-2"/>
          <w:szCs w:val="21"/>
          <w:highlight w:val="none"/>
        </w:rPr>
        <w:t>。</w:t>
      </w:r>
    </w:p>
    <w:p w14:paraId="640D5B9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14:paraId="72443EF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在规定的投标有效期内撤销或修改其</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073D489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lang w:eastAsia="zh-CN"/>
        </w:rPr>
        <w:t>中选人</w:t>
      </w:r>
      <w:r>
        <w:rPr>
          <w:rFonts w:hint="eastAsia" w:ascii="宋体" w:hAnsi="宋体"/>
          <w:color w:val="auto"/>
          <w:kern w:val="0"/>
          <w:szCs w:val="21"/>
          <w:highlight w:val="none"/>
        </w:rPr>
        <w:t>在收到中标通知书后，无正当理由不与</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人订立合同，在签订合同时向</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人提出附加条件，或者不按照</w:t>
      </w:r>
      <w:r>
        <w:rPr>
          <w:rFonts w:hint="eastAsia" w:ascii="宋体" w:hAnsi="宋体"/>
          <w:color w:val="auto"/>
          <w:kern w:val="0"/>
          <w:szCs w:val="21"/>
          <w:highlight w:val="none"/>
          <w:lang w:eastAsia="zh-CN"/>
        </w:rPr>
        <w:t>竞争性比选文件</w:t>
      </w:r>
      <w:r>
        <w:rPr>
          <w:rFonts w:hint="eastAsia" w:ascii="宋体" w:hAnsi="宋体"/>
          <w:color w:val="auto"/>
          <w:kern w:val="0"/>
          <w:szCs w:val="21"/>
          <w:highlight w:val="none"/>
        </w:rPr>
        <w:t>要求提交履约保证金</w:t>
      </w:r>
      <w:r>
        <w:rPr>
          <w:rFonts w:ascii="宋体" w:hAnsi="宋体"/>
          <w:snapToGrid w:val="0"/>
          <w:color w:val="auto"/>
          <w:kern w:val="0"/>
          <w:szCs w:val="21"/>
          <w:highlight w:val="none"/>
        </w:rPr>
        <w:t>；</w:t>
      </w:r>
    </w:p>
    <w:p w14:paraId="7876FAFB">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lang w:eastAsia="zh-CN"/>
        </w:rPr>
        <w:t>）</w:t>
      </w:r>
      <w:r>
        <w:rPr>
          <w:rFonts w:hint="eastAsia" w:ascii="宋体" w:hAnsi="宋体"/>
          <w:color w:val="auto"/>
          <w:kern w:val="0"/>
          <w:szCs w:val="21"/>
          <w:highlight w:val="none"/>
          <w:lang w:eastAsia="zh-CN"/>
        </w:rPr>
        <w:t>中选人（或拟中选人）</w:t>
      </w:r>
      <w:r>
        <w:rPr>
          <w:rFonts w:hint="eastAsia" w:ascii="宋体" w:hAnsi="宋体"/>
          <w:color w:val="auto"/>
          <w:kern w:val="0"/>
          <w:szCs w:val="21"/>
          <w:highlight w:val="none"/>
        </w:rPr>
        <w:t>拒不提供或者不按时提供低价风险担保（适用于经评审的最低投标价法）</w:t>
      </w:r>
      <w:r>
        <w:rPr>
          <w:rFonts w:hint="eastAsia" w:ascii="宋体" w:hAnsi="宋体"/>
          <w:color w:val="auto"/>
          <w:kern w:val="0"/>
          <w:szCs w:val="21"/>
          <w:highlight w:val="none"/>
          <w:lang w:eastAsia="zh-CN"/>
        </w:rPr>
        <w:t>；</w:t>
      </w:r>
    </w:p>
    <w:p w14:paraId="7D54362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的纪律要求的；</w:t>
      </w:r>
    </w:p>
    <w:p w14:paraId="7E16E5B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）法律法规规定的其他情形。</w:t>
      </w:r>
    </w:p>
    <w:p w14:paraId="09EC4C7F">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14:paraId="621512C0">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lang w:eastAsia="zh-CN"/>
        </w:rPr>
        <w:t>比选</w:t>
      </w:r>
      <w:r>
        <w:rPr>
          <w:rFonts w:ascii="宋体" w:hAnsi="宋体"/>
          <w:color w:val="auto"/>
          <w:kern w:val="0"/>
          <w:highlight w:val="none"/>
        </w:rPr>
        <w:t>人</w:t>
      </w:r>
      <w:r>
        <w:rPr>
          <w:rFonts w:hint="eastAsia" w:ascii="宋体" w:hAnsi="宋体"/>
          <w:color w:val="auto"/>
          <w:kern w:val="0"/>
          <w:highlight w:val="none"/>
        </w:rPr>
        <w:t>。</w:t>
      </w:r>
    </w:p>
    <w:p w14:paraId="0D57A268">
      <w:pPr>
        <w:pStyle w:val="5"/>
        <w:snapToGrid w:val="0"/>
        <w:spacing w:before="0" w:after="0" w:line="360" w:lineRule="auto"/>
        <w:rPr>
          <w:rFonts w:ascii="宋体" w:hAnsi="宋体"/>
          <w:b w:val="0"/>
          <w:snapToGrid w:val="0"/>
          <w:color w:val="auto"/>
          <w:sz w:val="24"/>
          <w:szCs w:val="24"/>
          <w:highlight w:val="none"/>
        </w:rPr>
      </w:pPr>
      <w:bookmarkStart w:id="300" w:name="_Toc16639"/>
      <w:bookmarkStart w:id="301" w:name="_Toc287607770"/>
      <w:bookmarkStart w:id="302" w:name="_Toc430530459"/>
      <w:bookmarkStart w:id="303" w:name="_Toc509218734"/>
      <w:bookmarkStart w:id="304" w:name="_Toc57905854"/>
      <w:bookmarkStart w:id="305" w:name="_Toc287620709"/>
      <w:bookmarkStart w:id="306" w:name="_Toc277082576"/>
      <w:bookmarkStart w:id="307" w:name="_Toc224103341"/>
      <w:bookmarkStart w:id="308" w:name="_Toc200513150"/>
      <w:r>
        <w:rPr>
          <w:rFonts w:ascii="宋体" w:hAnsi="宋体"/>
          <w:b w:val="0"/>
          <w:snapToGrid w:val="0"/>
          <w:color w:val="auto"/>
          <w:sz w:val="24"/>
          <w:szCs w:val="24"/>
          <w:highlight w:val="none"/>
        </w:rPr>
        <w:t>3.5  资格审查资料</w:t>
      </w:r>
      <w:bookmarkEnd w:id="300"/>
      <w:bookmarkEnd w:id="301"/>
      <w:bookmarkEnd w:id="302"/>
      <w:bookmarkEnd w:id="303"/>
      <w:bookmarkEnd w:id="304"/>
      <w:bookmarkEnd w:id="305"/>
      <w:bookmarkEnd w:id="306"/>
      <w:bookmarkEnd w:id="307"/>
      <w:bookmarkEnd w:id="308"/>
    </w:p>
    <w:p w14:paraId="04F069A6">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应附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1DFF6166">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须知前附表规定接受联合体投标的，详见</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须知前附表联合体投标相关内容。</w:t>
      </w:r>
    </w:p>
    <w:p w14:paraId="0D49DA24">
      <w:pPr>
        <w:pStyle w:val="5"/>
        <w:snapToGrid w:val="0"/>
        <w:spacing w:before="0" w:after="0" w:line="360" w:lineRule="auto"/>
        <w:rPr>
          <w:rFonts w:ascii="宋体" w:hAnsi="宋体"/>
          <w:b w:val="0"/>
          <w:snapToGrid w:val="0"/>
          <w:color w:val="auto"/>
          <w:sz w:val="24"/>
          <w:szCs w:val="24"/>
          <w:highlight w:val="none"/>
        </w:rPr>
      </w:pPr>
      <w:bookmarkStart w:id="309" w:name="_Toc287607771"/>
      <w:bookmarkStart w:id="310" w:name="_Toc277082577"/>
      <w:bookmarkStart w:id="311" w:name="_Toc287620710"/>
      <w:bookmarkStart w:id="312" w:name="_Toc200513151"/>
      <w:bookmarkStart w:id="313" w:name="_Toc24446"/>
      <w:bookmarkStart w:id="314" w:name="_Toc224103342"/>
      <w:bookmarkStart w:id="315" w:name="_Toc57905855"/>
      <w:bookmarkStart w:id="316" w:name="_Toc509218735"/>
      <w:bookmarkStart w:id="317" w:name="_Toc430530460"/>
      <w:r>
        <w:rPr>
          <w:rFonts w:ascii="宋体" w:hAnsi="宋体"/>
          <w:b w:val="0"/>
          <w:snapToGrid w:val="0"/>
          <w:color w:val="auto"/>
          <w:sz w:val="24"/>
          <w:szCs w:val="24"/>
          <w:highlight w:val="none"/>
        </w:rPr>
        <w:t>3.6  备选投标方案</w:t>
      </w:r>
      <w:bookmarkEnd w:id="309"/>
      <w:bookmarkEnd w:id="310"/>
      <w:bookmarkEnd w:id="311"/>
      <w:bookmarkEnd w:id="312"/>
      <w:bookmarkEnd w:id="313"/>
      <w:bookmarkEnd w:id="314"/>
      <w:bookmarkEnd w:id="315"/>
      <w:bookmarkEnd w:id="316"/>
      <w:bookmarkEnd w:id="317"/>
    </w:p>
    <w:p w14:paraId="27C827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不得递交备选投标方案。允许</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递交备选投标方案的，只有</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所递交的备选投标方案方可予以考虑。评标委员会认为</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的备 选投标方案优于其按照</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人可以接受该备选投标方案。</w:t>
      </w:r>
    </w:p>
    <w:p w14:paraId="06D2B3F3">
      <w:pPr>
        <w:pStyle w:val="5"/>
        <w:snapToGrid w:val="0"/>
        <w:spacing w:before="0" w:after="0" w:line="360" w:lineRule="auto"/>
        <w:rPr>
          <w:rFonts w:ascii="宋体" w:hAnsi="宋体"/>
          <w:b w:val="0"/>
          <w:snapToGrid w:val="0"/>
          <w:color w:val="auto"/>
          <w:sz w:val="24"/>
          <w:szCs w:val="24"/>
          <w:highlight w:val="none"/>
        </w:rPr>
      </w:pPr>
      <w:bookmarkStart w:id="318" w:name="_Toc224103343"/>
      <w:bookmarkStart w:id="319" w:name="_Toc200513152"/>
      <w:bookmarkStart w:id="320" w:name="_Toc57905856"/>
      <w:bookmarkStart w:id="321" w:name="_Toc287620711"/>
      <w:bookmarkStart w:id="322" w:name="_Toc509218736"/>
      <w:bookmarkStart w:id="323" w:name="_Toc277082578"/>
      <w:bookmarkStart w:id="324" w:name="_Toc16951"/>
      <w:bookmarkStart w:id="325" w:name="_Toc430530461"/>
      <w:bookmarkStart w:id="326" w:name="_Toc287607772"/>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的编制</w:t>
      </w:r>
      <w:bookmarkEnd w:id="318"/>
      <w:bookmarkEnd w:id="319"/>
      <w:bookmarkEnd w:id="320"/>
      <w:bookmarkEnd w:id="321"/>
      <w:bookmarkEnd w:id="322"/>
      <w:bookmarkEnd w:id="323"/>
      <w:bookmarkEnd w:id="324"/>
      <w:bookmarkEnd w:id="325"/>
      <w:bookmarkEnd w:id="326"/>
    </w:p>
    <w:p w14:paraId="69F0822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应按第八章“</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的组成部分。其中，投标函附录在满足</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人的承诺。</w:t>
      </w:r>
    </w:p>
    <w:p w14:paraId="73579C0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范围等实质性内容做出响应。</w:t>
      </w:r>
    </w:p>
    <w:p w14:paraId="64015E0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竞选文件</w:t>
      </w:r>
      <w:r>
        <w:rPr>
          <w:rFonts w:hint="eastAsia" w:ascii="宋体" w:hAnsi="宋体"/>
          <w:snapToGrid w:val="0"/>
          <w:color w:val="auto"/>
          <w:kern w:val="0"/>
          <w:position w:val="-2"/>
          <w:szCs w:val="21"/>
          <w:highlight w:val="none"/>
        </w:rPr>
        <w:t>的签名盖章要求：按本章</w:t>
      </w:r>
      <w:r>
        <w:rPr>
          <w:rFonts w:hint="eastAsia" w:ascii="宋体" w:hAnsi="宋体"/>
          <w:snapToGrid w:val="0"/>
          <w:color w:val="auto"/>
          <w:kern w:val="0"/>
          <w:position w:val="-2"/>
          <w:szCs w:val="21"/>
          <w:highlight w:val="none"/>
          <w:lang w:eastAsia="zh-CN"/>
        </w:rPr>
        <w:t>竞选人</w:t>
      </w:r>
      <w:r>
        <w:rPr>
          <w:rFonts w:hint="eastAsia" w:ascii="宋体" w:hAnsi="宋体"/>
          <w:snapToGrid w:val="0"/>
          <w:color w:val="auto"/>
          <w:kern w:val="0"/>
          <w:position w:val="-2"/>
          <w:szCs w:val="21"/>
          <w:highlight w:val="none"/>
        </w:rPr>
        <w:t>须知前附表第3.7.3项执行。</w:t>
      </w:r>
    </w:p>
    <w:p w14:paraId="1E90D18A">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14:paraId="37B58CA9">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w:t>
      </w:r>
    </w:p>
    <w:p w14:paraId="60CEA5E3">
      <w:pPr>
        <w:pStyle w:val="4"/>
        <w:spacing w:before="0" w:after="0" w:line="360" w:lineRule="auto"/>
        <w:rPr>
          <w:rFonts w:ascii="宋体" w:hAnsi="宋体"/>
          <w:b w:val="0"/>
          <w:snapToGrid w:val="0"/>
          <w:color w:val="auto"/>
          <w:highlight w:val="none"/>
        </w:rPr>
      </w:pPr>
      <w:bookmarkStart w:id="327" w:name="_Toc287620712"/>
      <w:bookmarkStart w:id="328" w:name="_Toc509218737"/>
      <w:bookmarkStart w:id="329" w:name="_Toc9499"/>
      <w:bookmarkStart w:id="330" w:name="_Toc277082579"/>
      <w:bookmarkStart w:id="331" w:name="_Toc224103344"/>
      <w:bookmarkStart w:id="332" w:name="_Toc430530462"/>
      <w:bookmarkStart w:id="333" w:name="_Toc200513153"/>
      <w:bookmarkStart w:id="334" w:name="_Toc287607773"/>
      <w:bookmarkStart w:id="335" w:name="_Toc57905857"/>
      <w:r>
        <w:rPr>
          <w:rFonts w:ascii="宋体" w:hAnsi="宋体"/>
          <w:b w:val="0"/>
          <w:snapToGrid w:val="0"/>
          <w:color w:val="auto"/>
          <w:highlight w:val="none"/>
        </w:rPr>
        <w:t>4.  投标</w:t>
      </w:r>
      <w:bookmarkEnd w:id="327"/>
      <w:bookmarkEnd w:id="328"/>
      <w:bookmarkEnd w:id="329"/>
      <w:bookmarkEnd w:id="330"/>
      <w:bookmarkEnd w:id="331"/>
      <w:bookmarkEnd w:id="332"/>
      <w:bookmarkEnd w:id="333"/>
      <w:bookmarkEnd w:id="334"/>
      <w:bookmarkEnd w:id="335"/>
    </w:p>
    <w:p w14:paraId="577EF444">
      <w:pPr>
        <w:pStyle w:val="5"/>
        <w:snapToGrid w:val="0"/>
        <w:spacing w:before="0" w:after="0" w:line="360" w:lineRule="auto"/>
        <w:rPr>
          <w:rFonts w:ascii="宋体" w:hAnsi="宋体"/>
          <w:b w:val="0"/>
          <w:snapToGrid w:val="0"/>
          <w:color w:val="auto"/>
          <w:sz w:val="24"/>
          <w:szCs w:val="24"/>
          <w:highlight w:val="none"/>
        </w:rPr>
      </w:pPr>
      <w:bookmarkStart w:id="336" w:name="_Toc287620713"/>
      <w:bookmarkStart w:id="337" w:name="_Toc509218738"/>
      <w:bookmarkStart w:id="338" w:name="_Toc200513154"/>
      <w:bookmarkStart w:id="339" w:name="_Toc224103345"/>
      <w:bookmarkStart w:id="340" w:name="_Toc18995"/>
      <w:bookmarkStart w:id="341" w:name="_Toc287607774"/>
      <w:bookmarkStart w:id="342" w:name="_Toc277082580"/>
      <w:bookmarkStart w:id="343" w:name="_Toc430530463"/>
      <w:bookmarkStart w:id="344" w:name="_Toc57905858"/>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的密封和标记</w:t>
      </w:r>
      <w:bookmarkEnd w:id="336"/>
      <w:bookmarkEnd w:id="337"/>
      <w:bookmarkEnd w:id="338"/>
      <w:bookmarkEnd w:id="339"/>
      <w:bookmarkEnd w:id="340"/>
      <w:bookmarkEnd w:id="341"/>
      <w:bookmarkEnd w:id="342"/>
      <w:bookmarkEnd w:id="343"/>
      <w:bookmarkEnd w:id="344"/>
    </w:p>
    <w:p w14:paraId="0FD3A2F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45"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D353F2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6E79CEE0">
      <w:pPr>
        <w:pStyle w:val="5"/>
        <w:snapToGrid w:val="0"/>
        <w:spacing w:before="0" w:after="0" w:line="360" w:lineRule="auto"/>
        <w:rPr>
          <w:rFonts w:ascii="宋体" w:hAnsi="宋体"/>
          <w:b w:val="0"/>
          <w:snapToGrid w:val="0"/>
          <w:color w:val="auto"/>
          <w:sz w:val="24"/>
          <w:szCs w:val="24"/>
          <w:highlight w:val="none"/>
        </w:rPr>
      </w:pPr>
      <w:bookmarkStart w:id="346" w:name="_Toc287607775"/>
      <w:bookmarkStart w:id="347" w:name="_Toc224103346"/>
      <w:bookmarkStart w:id="348" w:name="_Toc25809"/>
      <w:bookmarkStart w:id="349" w:name="_Toc287620714"/>
      <w:bookmarkStart w:id="350" w:name="_Toc277082581"/>
      <w:bookmarkStart w:id="351" w:name="_Toc430530464"/>
      <w:bookmarkStart w:id="352" w:name="_Toc509218739"/>
      <w:bookmarkStart w:id="353" w:name="_Toc57905859"/>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的递交</w:t>
      </w:r>
      <w:bookmarkEnd w:id="345"/>
      <w:bookmarkEnd w:id="346"/>
      <w:bookmarkEnd w:id="347"/>
      <w:bookmarkEnd w:id="348"/>
      <w:bookmarkEnd w:id="349"/>
      <w:bookmarkEnd w:id="350"/>
      <w:bookmarkEnd w:id="351"/>
      <w:bookmarkEnd w:id="352"/>
      <w:bookmarkEnd w:id="353"/>
    </w:p>
    <w:p w14:paraId="439D8FF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项规定的投标截止时间前递交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1BDAE11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767889C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不予退还。</w:t>
      </w:r>
    </w:p>
    <w:p w14:paraId="1917813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人收到</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2DCCC9B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人不予受理。</w:t>
      </w:r>
    </w:p>
    <w:p w14:paraId="0F5547A0">
      <w:pPr>
        <w:pStyle w:val="5"/>
        <w:snapToGrid w:val="0"/>
        <w:spacing w:before="0" w:after="0" w:line="360" w:lineRule="auto"/>
        <w:rPr>
          <w:rFonts w:ascii="宋体" w:hAnsi="宋体"/>
          <w:b w:val="0"/>
          <w:snapToGrid w:val="0"/>
          <w:color w:val="auto"/>
          <w:sz w:val="24"/>
          <w:szCs w:val="24"/>
          <w:highlight w:val="none"/>
        </w:rPr>
      </w:pPr>
      <w:bookmarkStart w:id="354" w:name="_Toc430530465"/>
      <w:bookmarkStart w:id="355" w:name="_Toc57905860"/>
      <w:bookmarkStart w:id="356" w:name="_Toc23986"/>
      <w:bookmarkStart w:id="357" w:name="_Toc200513156"/>
      <w:bookmarkStart w:id="358" w:name="_Toc277082582"/>
      <w:bookmarkStart w:id="359" w:name="_Toc287607776"/>
      <w:bookmarkStart w:id="360" w:name="_Toc287620715"/>
      <w:bookmarkStart w:id="361" w:name="_Toc509218740"/>
      <w:bookmarkStart w:id="362" w:name="_Toc224103347"/>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竞选文件</w:t>
      </w:r>
      <w:r>
        <w:rPr>
          <w:rFonts w:ascii="宋体" w:hAnsi="宋体"/>
          <w:b w:val="0"/>
          <w:snapToGrid w:val="0"/>
          <w:color w:val="auto"/>
          <w:sz w:val="24"/>
          <w:szCs w:val="24"/>
          <w:highlight w:val="none"/>
        </w:rPr>
        <w:t>的修改与撤回</w:t>
      </w:r>
      <w:bookmarkEnd w:id="354"/>
      <w:bookmarkEnd w:id="355"/>
      <w:bookmarkEnd w:id="356"/>
      <w:bookmarkEnd w:id="357"/>
      <w:bookmarkEnd w:id="358"/>
      <w:bookmarkEnd w:id="359"/>
      <w:bookmarkEnd w:id="360"/>
      <w:bookmarkEnd w:id="361"/>
      <w:bookmarkEnd w:id="362"/>
    </w:p>
    <w:p w14:paraId="2E409BE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须知前附表第2.2.2项规定的投标截止时间前，</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p>
    <w:p w14:paraId="03E1CB4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人收到书面通知后，向</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出具签收凭证。</w:t>
      </w:r>
    </w:p>
    <w:p w14:paraId="721623A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应按照本章第3条、第4条规定进行编制、密封、标记和递交，并标明“修改”字样。</w:t>
      </w:r>
    </w:p>
    <w:p w14:paraId="390D081D">
      <w:pPr>
        <w:pStyle w:val="4"/>
        <w:spacing w:before="0" w:after="0" w:line="360" w:lineRule="auto"/>
        <w:rPr>
          <w:rFonts w:ascii="宋体" w:hAnsi="宋体"/>
          <w:b w:val="0"/>
          <w:snapToGrid w:val="0"/>
          <w:color w:val="auto"/>
          <w:highlight w:val="none"/>
        </w:rPr>
      </w:pPr>
      <w:bookmarkStart w:id="363" w:name="_Toc277082583"/>
      <w:bookmarkStart w:id="364" w:name="_Toc287620716"/>
      <w:bookmarkStart w:id="365" w:name="_Toc57905861"/>
      <w:bookmarkStart w:id="366" w:name="_Toc430530466"/>
      <w:bookmarkStart w:id="367" w:name="_Toc287607777"/>
      <w:bookmarkStart w:id="368" w:name="_Toc200513157"/>
      <w:bookmarkStart w:id="369" w:name="_Toc9614"/>
      <w:bookmarkStart w:id="370" w:name="_Toc224103348"/>
      <w:bookmarkStart w:id="371" w:name="_Toc509218741"/>
      <w:r>
        <w:rPr>
          <w:rFonts w:ascii="宋体" w:hAnsi="宋体"/>
          <w:b w:val="0"/>
          <w:snapToGrid w:val="0"/>
          <w:color w:val="auto"/>
          <w:highlight w:val="none"/>
        </w:rPr>
        <w:t>5.  开标</w:t>
      </w:r>
      <w:bookmarkEnd w:id="363"/>
      <w:bookmarkEnd w:id="364"/>
      <w:bookmarkEnd w:id="365"/>
      <w:bookmarkEnd w:id="366"/>
      <w:bookmarkEnd w:id="367"/>
      <w:bookmarkEnd w:id="368"/>
      <w:bookmarkEnd w:id="369"/>
      <w:bookmarkEnd w:id="370"/>
      <w:bookmarkEnd w:id="371"/>
    </w:p>
    <w:p w14:paraId="62C365CC">
      <w:pPr>
        <w:pStyle w:val="5"/>
        <w:snapToGrid w:val="0"/>
        <w:spacing w:before="0" w:after="0" w:line="360" w:lineRule="auto"/>
        <w:rPr>
          <w:rFonts w:ascii="宋体" w:hAnsi="宋体"/>
          <w:b w:val="0"/>
          <w:snapToGrid w:val="0"/>
          <w:color w:val="auto"/>
          <w:sz w:val="24"/>
          <w:szCs w:val="24"/>
          <w:highlight w:val="none"/>
        </w:rPr>
      </w:pPr>
      <w:bookmarkStart w:id="372" w:name="_Toc57905862"/>
      <w:bookmarkStart w:id="373" w:name="_Toc277082584"/>
      <w:bookmarkStart w:id="374" w:name="_Toc287620717"/>
      <w:bookmarkStart w:id="375" w:name="_Toc287607778"/>
      <w:bookmarkStart w:id="376" w:name="_Toc200513158"/>
      <w:bookmarkStart w:id="377" w:name="_Toc509218742"/>
      <w:bookmarkStart w:id="378" w:name="_Toc224103349"/>
      <w:bookmarkStart w:id="379" w:name="_Toc430530467"/>
      <w:bookmarkStart w:id="380" w:name="_Toc20593"/>
      <w:r>
        <w:rPr>
          <w:rFonts w:ascii="宋体" w:hAnsi="宋体"/>
          <w:b w:val="0"/>
          <w:snapToGrid w:val="0"/>
          <w:color w:val="auto"/>
          <w:sz w:val="24"/>
          <w:szCs w:val="24"/>
          <w:highlight w:val="none"/>
        </w:rPr>
        <w:t>5.1  开标时间和地点</w:t>
      </w:r>
      <w:bookmarkEnd w:id="372"/>
      <w:bookmarkEnd w:id="373"/>
      <w:bookmarkEnd w:id="374"/>
      <w:bookmarkEnd w:id="375"/>
      <w:bookmarkEnd w:id="376"/>
      <w:bookmarkEnd w:id="377"/>
      <w:bookmarkEnd w:id="378"/>
      <w:bookmarkEnd w:id="379"/>
      <w:bookmarkEnd w:id="380"/>
    </w:p>
    <w:p w14:paraId="797A32B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须知前附表第 2.2.2 项规定的投标截止时间（开标时间）和</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的法定代表人或其委托代理人准时参加。</w:t>
      </w:r>
    </w:p>
    <w:p w14:paraId="7077D63B">
      <w:pPr>
        <w:pStyle w:val="5"/>
        <w:snapToGrid w:val="0"/>
        <w:spacing w:before="0" w:after="0" w:line="360" w:lineRule="auto"/>
        <w:rPr>
          <w:rFonts w:ascii="宋体" w:hAnsi="宋体"/>
          <w:b w:val="0"/>
          <w:snapToGrid w:val="0"/>
          <w:color w:val="auto"/>
          <w:sz w:val="24"/>
          <w:szCs w:val="24"/>
          <w:highlight w:val="none"/>
        </w:rPr>
      </w:pPr>
      <w:bookmarkStart w:id="381" w:name="_Toc57905863"/>
      <w:bookmarkStart w:id="382" w:name="_Toc14994"/>
      <w:bookmarkStart w:id="383" w:name="_Toc287620718"/>
      <w:bookmarkStart w:id="384" w:name="_Toc430530468"/>
      <w:bookmarkStart w:id="385" w:name="_Toc224103350"/>
      <w:bookmarkStart w:id="386" w:name="_Toc509218743"/>
      <w:bookmarkStart w:id="387" w:name="_Toc200513159"/>
      <w:bookmarkStart w:id="388" w:name="_Toc287607779"/>
      <w:bookmarkStart w:id="389" w:name="_Toc277082585"/>
      <w:r>
        <w:rPr>
          <w:rFonts w:ascii="宋体" w:hAnsi="宋体"/>
          <w:b w:val="0"/>
          <w:snapToGrid w:val="0"/>
          <w:color w:val="auto"/>
          <w:sz w:val="24"/>
          <w:szCs w:val="24"/>
          <w:highlight w:val="none"/>
        </w:rPr>
        <w:t>5.2  开标程序</w:t>
      </w:r>
      <w:bookmarkEnd w:id="381"/>
      <w:bookmarkEnd w:id="382"/>
      <w:bookmarkEnd w:id="383"/>
      <w:bookmarkEnd w:id="384"/>
      <w:bookmarkEnd w:id="385"/>
      <w:bookmarkEnd w:id="386"/>
      <w:bookmarkEnd w:id="387"/>
      <w:bookmarkEnd w:id="388"/>
      <w:bookmarkEnd w:id="389"/>
    </w:p>
    <w:p w14:paraId="69B0F99E">
      <w:pPr>
        <w:autoSpaceDE w:val="0"/>
        <w:autoSpaceDN w:val="0"/>
        <w:adjustRightInd w:val="0"/>
        <w:snapToGrid w:val="0"/>
        <w:spacing w:line="360" w:lineRule="auto"/>
        <w:ind w:firstLine="420" w:firstLineChars="200"/>
        <w:rPr>
          <w:rFonts w:ascii="宋体" w:hAnsi="宋体"/>
          <w:color w:val="auto"/>
          <w:szCs w:val="21"/>
          <w:highlight w:val="none"/>
        </w:rPr>
      </w:pPr>
      <w:bookmarkStart w:id="390" w:name="_Toc287607780"/>
      <w:bookmarkStart w:id="391" w:name="_Toc277082586"/>
      <w:bookmarkStart w:id="392" w:name="_Toc287620719"/>
      <w:bookmarkStart w:id="393" w:name="_Toc224103351"/>
      <w:bookmarkStart w:id="394" w:name="_Toc200513160"/>
      <w:r>
        <w:rPr>
          <w:rFonts w:ascii="宋体" w:hAnsi="宋体"/>
          <w:color w:val="auto"/>
          <w:szCs w:val="21"/>
          <w:highlight w:val="none"/>
        </w:rPr>
        <w:t>详见</w:t>
      </w:r>
      <w:r>
        <w:rPr>
          <w:rFonts w:hint="eastAsia" w:ascii="宋体" w:hAnsi="宋体"/>
          <w:color w:val="auto"/>
          <w:szCs w:val="21"/>
          <w:highlight w:val="none"/>
          <w:lang w:eastAsia="zh-CN"/>
        </w:rPr>
        <w:t>竞选人</w:t>
      </w:r>
      <w:r>
        <w:rPr>
          <w:rFonts w:ascii="宋体" w:hAnsi="宋体"/>
          <w:color w:val="auto"/>
          <w:szCs w:val="21"/>
          <w:highlight w:val="none"/>
        </w:rPr>
        <w:t>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4E1D0551">
      <w:pPr>
        <w:pStyle w:val="5"/>
        <w:snapToGrid w:val="0"/>
        <w:spacing w:before="0" w:after="0" w:line="360" w:lineRule="auto"/>
        <w:rPr>
          <w:rFonts w:ascii="宋体" w:hAnsi="宋体"/>
          <w:b w:val="0"/>
          <w:snapToGrid w:val="0"/>
          <w:color w:val="auto"/>
          <w:sz w:val="24"/>
          <w:szCs w:val="24"/>
          <w:highlight w:val="none"/>
        </w:rPr>
      </w:pPr>
      <w:bookmarkStart w:id="395" w:name="_Toc57820594"/>
      <w:bookmarkStart w:id="396" w:name="_Toc5790586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95"/>
      <w:bookmarkEnd w:id="396"/>
    </w:p>
    <w:p w14:paraId="3F6F6C9B">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对开标有异议的，应在开标现场提出，同时应出示法定代表人身份证明或附有法定代表人身份证明的授权委托书。</w:t>
      </w:r>
      <w:r>
        <w:rPr>
          <w:rFonts w:hint="eastAsia" w:ascii="宋体" w:hAnsi="宋体"/>
          <w:color w:val="auto"/>
          <w:szCs w:val="21"/>
          <w:highlight w:val="none"/>
          <w:lang w:eastAsia="zh-CN"/>
        </w:rPr>
        <w:t>比选</w:t>
      </w:r>
      <w:r>
        <w:rPr>
          <w:rFonts w:hint="eastAsia" w:ascii="宋体" w:hAnsi="宋体"/>
          <w:color w:val="auto"/>
          <w:szCs w:val="21"/>
          <w:highlight w:val="none"/>
        </w:rPr>
        <w:t>人当场作出答复，并制作记录，有异议的</w:t>
      </w:r>
      <w:r>
        <w:rPr>
          <w:rFonts w:hint="eastAsia" w:ascii="宋体" w:hAnsi="宋体"/>
          <w:color w:val="auto"/>
          <w:szCs w:val="21"/>
          <w:highlight w:val="none"/>
          <w:lang w:eastAsia="zh-CN"/>
        </w:rPr>
        <w:t>竞选人</w:t>
      </w:r>
      <w:r>
        <w:rPr>
          <w:rFonts w:hint="eastAsia" w:ascii="宋体" w:hAnsi="宋体"/>
          <w:color w:val="auto"/>
          <w:szCs w:val="21"/>
          <w:highlight w:val="none"/>
        </w:rPr>
        <w:t>代表、</w:t>
      </w:r>
      <w:r>
        <w:rPr>
          <w:rFonts w:hint="eastAsia" w:ascii="宋体" w:hAnsi="宋体"/>
          <w:color w:val="auto"/>
          <w:szCs w:val="21"/>
          <w:highlight w:val="none"/>
          <w:lang w:eastAsia="zh-CN"/>
        </w:rPr>
        <w:t>比选</w:t>
      </w:r>
      <w:r>
        <w:rPr>
          <w:rFonts w:hint="eastAsia" w:ascii="宋体" w:hAnsi="宋体"/>
          <w:color w:val="auto"/>
          <w:szCs w:val="21"/>
          <w:highlight w:val="none"/>
        </w:rPr>
        <w:t>人代表、主持人、记录人等有关人员在记录上签名确认</w:t>
      </w:r>
      <w:r>
        <w:rPr>
          <w:rFonts w:ascii="宋体" w:hAnsi="宋体"/>
          <w:color w:val="auto"/>
          <w:szCs w:val="21"/>
          <w:highlight w:val="none"/>
        </w:rPr>
        <w:t>。</w:t>
      </w:r>
    </w:p>
    <w:p w14:paraId="60B87F38">
      <w:pPr>
        <w:pStyle w:val="4"/>
        <w:spacing w:before="0" w:after="0" w:line="360" w:lineRule="auto"/>
        <w:rPr>
          <w:rFonts w:ascii="宋体" w:hAnsi="宋体"/>
          <w:b w:val="0"/>
          <w:snapToGrid w:val="0"/>
          <w:color w:val="auto"/>
          <w:highlight w:val="none"/>
        </w:rPr>
      </w:pPr>
      <w:bookmarkStart w:id="397" w:name="_Toc430530469"/>
      <w:bookmarkStart w:id="398" w:name="_Toc9533"/>
      <w:bookmarkStart w:id="399" w:name="_Toc509218744"/>
      <w:bookmarkStart w:id="400" w:name="_Toc57905865"/>
      <w:r>
        <w:rPr>
          <w:rFonts w:ascii="宋体" w:hAnsi="宋体"/>
          <w:b w:val="0"/>
          <w:snapToGrid w:val="0"/>
          <w:color w:val="auto"/>
          <w:highlight w:val="none"/>
        </w:rPr>
        <w:t>6.  评标</w:t>
      </w:r>
      <w:bookmarkEnd w:id="390"/>
      <w:bookmarkEnd w:id="391"/>
      <w:bookmarkEnd w:id="392"/>
      <w:bookmarkEnd w:id="393"/>
      <w:bookmarkEnd w:id="394"/>
      <w:bookmarkEnd w:id="397"/>
      <w:bookmarkEnd w:id="398"/>
      <w:bookmarkEnd w:id="399"/>
      <w:bookmarkEnd w:id="400"/>
    </w:p>
    <w:p w14:paraId="7D16FA76">
      <w:pPr>
        <w:pStyle w:val="5"/>
        <w:snapToGrid w:val="0"/>
        <w:spacing w:before="0" w:after="0" w:line="360" w:lineRule="auto"/>
        <w:rPr>
          <w:rFonts w:ascii="宋体" w:hAnsi="宋体"/>
          <w:b w:val="0"/>
          <w:snapToGrid w:val="0"/>
          <w:color w:val="auto"/>
          <w:sz w:val="24"/>
          <w:szCs w:val="24"/>
          <w:highlight w:val="none"/>
        </w:rPr>
      </w:pPr>
      <w:bookmarkStart w:id="401" w:name="_Toc224103352"/>
      <w:bookmarkStart w:id="402" w:name="_Toc200513161"/>
      <w:bookmarkStart w:id="403" w:name="_Toc287620720"/>
      <w:bookmarkStart w:id="404" w:name="_Toc509218745"/>
      <w:bookmarkStart w:id="405" w:name="_Toc430530470"/>
      <w:bookmarkStart w:id="406" w:name="_Toc28100"/>
      <w:bookmarkStart w:id="407" w:name="_Toc287607781"/>
      <w:bookmarkStart w:id="408" w:name="_Toc57905866"/>
      <w:bookmarkStart w:id="409" w:name="_Toc277082587"/>
      <w:r>
        <w:rPr>
          <w:rFonts w:ascii="宋体" w:hAnsi="宋体"/>
          <w:b w:val="0"/>
          <w:snapToGrid w:val="0"/>
          <w:color w:val="auto"/>
          <w:sz w:val="24"/>
          <w:szCs w:val="24"/>
          <w:highlight w:val="none"/>
        </w:rPr>
        <w:t>6.1  评标委员会</w:t>
      </w:r>
      <w:bookmarkEnd w:id="401"/>
      <w:bookmarkEnd w:id="402"/>
      <w:bookmarkEnd w:id="403"/>
      <w:bookmarkEnd w:id="404"/>
      <w:bookmarkEnd w:id="405"/>
      <w:bookmarkEnd w:id="406"/>
      <w:bookmarkEnd w:id="407"/>
      <w:bookmarkEnd w:id="408"/>
      <w:bookmarkEnd w:id="409"/>
    </w:p>
    <w:p w14:paraId="4B90AD75">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人依据法律法规和相关规范性文件组建的评标委员会负责。</w:t>
      </w:r>
    </w:p>
    <w:p w14:paraId="1EB76D3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4AD3BDB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的主要负责人的近亲属；</w:t>
      </w:r>
    </w:p>
    <w:p w14:paraId="4BA3842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28696D0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有利害关系，可能影响对投标公正评审的；</w:t>
      </w:r>
    </w:p>
    <w:p w14:paraId="4C198B3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、评标以及其他与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投标有关活动中从事违法行为而受过行政处罚或刑事处罚的</w:t>
      </w:r>
      <w:r>
        <w:rPr>
          <w:rFonts w:hint="eastAsia" w:ascii="宋体" w:hAnsi="宋体"/>
          <w:snapToGrid w:val="0"/>
          <w:color w:val="auto"/>
          <w:kern w:val="0"/>
          <w:szCs w:val="21"/>
          <w:highlight w:val="none"/>
        </w:rPr>
        <w:t>；</w:t>
      </w:r>
    </w:p>
    <w:p w14:paraId="328D977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4CB3D1C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72DF7B13">
      <w:pPr>
        <w:pStyle w:val="5"/>
        <w:snapToGrid w:val="0"/>
        <w:spacing w:before="0" w:after="0" w:line="360" w:lineRule="auto"/>
        <w:rPr>
          <w:rFonts w:ascii="宋体" w:hAnsi="宋体"/>
          <w:b w:val="0"/>
          <w:snapToGrid w:val="0"/>
          <w:color w:val="auto"/>
          <w:sz w:val="24"/>
          <w:szCs w:val="24"/>
          <w:highlight w:val="none"/>
        </w:rPr>
      </w:pPr>
      <w:bookmarkStart w:id="410" w:name="_Toc200513162"/>
      <w:bookmarkStart w:id="411" w:name="_Toc57905867"/>
      <w:bookmarkStart w:id="412" w:name="_Toc12166"/>
      <w:bookmarkStart w:id="413" w:name="_Toc430530471"/>
      <w:bookmarkStart w:id="414" w:name="_Toc277082588"/>
      <w:bookmarkStart w:id="415" w:name="_Toc287620721"/>
      <w:bookmarkStart w:id="416" w:name="_Toc509218746"/>
      <w:bookmarkStart w:id="417" w:name="_Toc287607782"/>
      <w:bookmarkStart w:id="418" w:name="_Toc224103353"/>
      <w:r>
        <w:rPr>
          <w:rFonts w:ascii="宋体" w:hAnsi="宋体"/>
          <w:b w:val="0"/>
          <w:snapToGrid w:val="0"/>
          <w:color w:val="auto"/>
          <w:sz w:val="24"/>
          <w:szCs w:val="24"/>
          <w:highlight w:val="none"/>
        </w:rPr>
        <w:t>6.2  评标原则</w:t>
      </w:r>
      <w:bookmarkEnd w:id="410"/>
      <w:bookmarkEnd w:id="411"/>
      <w:bookmarkEnd w:id="412"/>
      <w:bookmarkEnd w:id="413"/>
      <w:bookmarkEnd w:id="414"/>
      <w:bookmarkEnd w:id="415"/>
      <w:bookmarkEnd w:id="416"/>
      <w:bookmarkEnd w:id="417"/>
      <w:bookmarkEnd w:id="418"/>
    </w:p>
    <w:p w14:paraId="64D80B2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55AAC72E">
      <w:pPr>
        <w:pStyle w:val="5"/>
        <w:snapToGrid w:val="0"/>
        <w:spacing w:before="0" w:after="0" w:line="360" w:lineRule="auto"/>
        <w:rPr>
          <w:rFonts w:ascii="宋体" w:hAnsi="宋体"/>
          <w:b w:val="0"/>
          <w:snapToGrid w:val="0"/>
          <w:color w:val="auto"/>
          <w:sz w:val="24"/>
          <w:szCs w:val="24"/>
          <w:highlight w:val="none"/>
        </w:rPr>
      </w:pPr>
      <w:bookmarkStart w:id="419" w:name="_Toc509218747"/>
      <w:bookmarkStart w:id="420" w:name="_Toc287607783"/>
      <w:bookmarkStart w:id="421" w:name="_Toc224103354"/>
      <w:bookmarkStart w:id="422" w:name="_Toc430530472"/>
      <w:bookmarkStart w:id="423" w:name="_Toc287620722"/>
      <w:bookmarkStart w:id="424" w:name="_Toc14701"/>
      <w:bookmarkStart w:id="425" w:name="_Toc200513163"/>
      <w:bookmarkStart w:id="426" w:name="_Toc57905868"/>
      <w:bookmarkStart w:id="427" w:name="_Toc277082589"/>
      <w:r>
        <w:rPr>
          <w:rFonts w:ascii="宋体" w:hAnsi="宋体"/>
          <w:b w:val="0"/>
          <w:snapToGrid w:val="0"/>
          <w:color w:val="auto"/>
          <w:sz w:val="24"/>
          <w:szCs w:val="24"/>
          <w:highlight w:val="none"/>
        </w:rPr>
        <w:t>6.3  评标</w:t>
      </w:r>
      <w:bookmarkEnd w:id="419"/>
      <w:bookmarkEnd w:id="420"/>
      <w:bookmarkEnd w:id="421"/>
      <w:bookmarkEnd w:id="422"/>
      <w:bookmarkEnd w:id="423"/>
      <w:bookmarkEnd w:id="424"/>
      <w:bookmarkEnd w:id="425"/>
      <w:bookmarkEnd w:id="426"/>
      <w:bookmarkEnd w:id="427"/>
    </w:p>
    <w:p w14:paraId="71D91B6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进行评审。第三章“评标办法”没有规定的方法、评审因素和标准，不得作为评标依据。</w:t>
      </w:r>
    </w:p>
    <w:p w14:paraId="5F66C4E7">
      <w:pPr>
        <w:pStyle w:val="4"/>
        <w:spacing w:before="0" w:after="0" w:line="360" w:lineRule="auto"/>
        <w:rPr>
          <w:rFonts w:ascii="宋体" w:hAnsi="宋体"/>
          <w:b w:val="0"/>
          <w:snapToGrid w:val="0"/>
          <w:color w:val="auto"/>
          <w:highlight w:val="none"/>
        </w:rPr>
      </w:pPr>
      <w:bookmarkStart w:id="428" w:name="_Toc509218748"/>
      <w:bookmarkStart w:id="429" w:name="_Toc430530473"/>
      <w:bookmarkStart w:id="430" w:name="_Toc287607784"/>
      <w:bookmarkStart w:id="431" w:name="_Toc2723"/>
      <w:bookmarkStart w:id="432" w:name="_Toc57905869"/>
      <w:bookmarkStart w:id="433" w:name="_Toc287620723"/>
      <w:bookmarkStart w:id="434" w:name="_Toc200513164"/>
      <w:bookmarkStart w:id="435" w:name="_Toc224103355"/>
      <w:bookmarkStart w:id="436" w:name="_Toc277082590"/>
      <w:r>
        <w:rPr>
          <w:rFonts w:ascii="宋体" w:hAnsi="宋体"/>
          <w:b w:val="0"/>
          <w:snapToGrid w:val="0"/>
          <w:color w:val="auto"/>
          <w:highlight w:val="none"/>
        </w:rPr>
        <w:t>7.  合同授予</w:t>
      </w:r>
      <w:bookmarkEnd w:id="428"/>
      <w:bookmarkEnd w:id="429"/>
      <w:bookmarkEnd w:id="430"/>
      <w:bookmarkEnd w:id="431"/>
      <w:bookmarkEnd w:id="432"/>
      <w:bookmarkEnd w:id="433"/>
      <w:bookmarkEnd w:id="434"/>
      <w:bookmarkEnd w:id="435"/>
      <w:bookmarkEnd w:id="436"/>
    </w:p>
    <w:p w14:paraId="257DD6E3">
      <w:pPr>
        <w:pStyle w:val="5"/>
        <w:snapToGrid w:val="0"/>
        <w:spacing w:before="0" w:after="0" w:line="360" w:lineRule="auto"/>
        <w:rPr>
          <w:rFonts w:ascii="宋体" w:hAnsi="宋体"/>
          <w:b w:val="0"/>
          <w:snapToGrid w:val="0"/>
          <w:color w:val="auto"/>
          <w:sz w:val="24"/>
          <w:szCs w:val="24"/>
          <w:highlight w:val="none"/>
        </w:rPr>
      </w:pPr>
      <w:bookmarkStart w:id="437" w:name="_Toc287607785"/>
      <w:bookmarkStart w:id="438" w:name="_Toc509218749"/>
      <w:bookmarkStart w:id="439" w:name="_Toc277082591"/>
      <w:bookmarkStart w:id="440" w:name="_Toc200513165"/>
      <w:bookmarkStart w:id="441" w:name="_Toc287620724"/>
      <w:bookmarkStart w:id="442" w:name="_Toc224103356"/>
      <w:bookmarkStart w:id="443" w:name="_Toc57905870"/>
      <w:bookmarkStart w:id="444" w:name="_Toc29937"/>
      <w:bookmarkStart w:id="445" w:name="_Toc430530474"/>
      <w:r>
        <w:rPr>
          <w:rFonts w:ascii="宋体" w:hAnsi="宋体"/>
          <w:b w:val="0"/>
          <w:snapToGrid w:val="0"/>
          <w:color w:val="auto"/>
          <w:sz w:val="24"/>
          <w:szCs w:val="24"/>
          <w:highlight w:val="none"/>
        </w:rPr>
        <w:t>7.1  定标方式</w:t>
      </w:r>
      <w:bookmarkEnd w:id="437"/>
      <w:bookmarkEnd w:id="438"/>
      <w:bookmarkEnd w:id="439"/>
      <w:bookmarkEnd w:id="440"/>
      <w:bookmarkEnd w:id="441"/>
      <w:bookmarkEnd w:id="442"/>
      <w:bookmarkEnd w:id="443"/>
      <w:bookmarkEnd w:id="444"/>
      <w:bookmarkEnd w:id="445"/>
    </w:p>
    <w:p w14:paraId="7DA5BBB0">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w:t>
      </w:r>
      <w:r>
        <w:rPr>
          <w:rFonts w:hint="eastAsia" w:ascii="宋体" w:hAnsi="宋体"/>
          <w:color w:val="auto"/>
          <w:szCs w:val="21"/>
          <w:highlight w:val="none"/>
          <w:lang w:eastAsia="zh-CN"/>
        </w:rPr>
        <w:t>比选</w:t>
      </w:r>
      <w:r>
        <w:rPr>
          <w:rFonts w:ascii="宋体" w:hAnsi="宋体"/>
          <w:color w:val="auto"/>
          <w:szCs w:val="21"/>
          <w:highlight w:val="none"/>
        </w:rPr>
        <w:t>的项目，</w:t>
      </w:r>
      <w:r>
        <w:rPr>
          <w:rFonts w:hint="eastAsia" w:ascii="宋体" w:hAnsi="宋体"/>
          <w:color w:val="auto"/>
          <w:szCs w:val="21"/>
          <w:highlight w:val="none"/>
          <w:lang w:eastAsia="zh-CN"/>
        </w:rPr>
        <w:t>比选</w:t>
      </w:r>
      <w:r>
        <w:rPr>
          <w:rFonts w:ascii="宋体" w:hAnsi="宋体"/>
          <w:color w:val="auto"/>
          <w:szCs w:val="21"/>
          <w:highlight w:val="none"/>
        </w:rPr>
        <w:t>人应当确定排名第一的中标候选人为</w:t>
      </w:r>
      <w:r>
        <w:rPr>
          <w:rFonts w:hint="eastAsia" w:ascii="宋体" w:hAnsi="宋体"/>
          <w:color w:val="auto"/>
          <w:szCs w:val="21"/>
          <w:highlight w:val="none"/>
          <w:lang w:eastAsia="zh-CN"/>
        </w:rPr>
        <w:t>中选人</w:t>
      </w:r>
      <w:r>
        <w:rPr>
          <w:rFonts w:ascii="宋体" w:hAnsi="宋体"/>
          <w:color w:val="auto"/>
          <w:szCs w:val="21"/>
          <w:highlight w:val="none"/>
        </w:rPr>
        <w:t>。排名第一的中标候选人放弃中标、因不可抗力不能履行合同、不按照</w:t>
      </w:r>
      <w:r>
        <w:rPr>
          <w:rFonts w:hint="eastAsia" w:ascii="宋体" w:hAnsi="宋体"/>
          <w:color w:val="auto"/>
          <w:szCs w:val="21"/>
          <w:highlight w:val="none"/>
          <w:lang w:eastAsia="zh-CN"/>
        </w:rPr>
        <w:t>竞争性比选文件</w:t>
      </w:r>
      <w:r>
        <w:rPr>
          <w:rFonts w:ascii="宋体" w:hAnsi="宋体"/>
          <w:color w:val="auto"/>
          <w:szCs w:val="21"/>
          <w:highlight w:val="none"/>
        </w:rPr>
        <w:t>要求提交履约保证金，或者被查实存在影响中标结果的违法行为等情形，不符合中标条件的，</w:t>
      </w:r>
      <w:r>
        <w:rPr>
          <w:rFonts w:hint="eastAsia" w:ascii="宋体" w:hAnsi="宋体"/>
          <w:color w:val="auto"/>
          <w:szCs w:val="21"/>
          <w:highlight w:val="none"/>
          <w:lang w:eastAsia="zh-CN"/>
        </w:rPr>
        <w:t>比选</w:t>
      </w:r>
      <w:r>
        <w:rPr>
          <w:rFonts w:ascii="宋体" w:hAnsi="宋体"/>
          <w:color w:val="auto"/>
          <w:szCs w:val="21"/>
          <w:highlight w:val="none"/>
        </w:rPr>
        <w:t>人可以按照评标委员会提出的中标候选人名单排序依次确定其他中标候选人为</w:t>
      </w:r>
      <w:r>
        <w:rPr>
          <w:rFonts w:hint="eastAsia" w:ascii="宋体" w:hAnsi="宋体"/>
          <w:color w:val="auto"/>
          <w:szCs w:val="21"/>
          <w:highlight w:val="none"/>
          <w:lang w:eastAsia="zh-CN"/>
        </w:rPr>
        <w:t>中选人</w:t>
      </w:r>
      <w:r>
        <w:rPr>
          <w:rFonts w:ascii="宋体" w:hAnsi="宋体"/>
          <w:color w:val="auto"/>
          <w:szCs w:val="21"/>
          <w:highlight w:val="none"/>
        </w:rPr>
        <w:t>，也可以重新</w:t>
      </w:r>
      <w:r>
        <w:rPr>
          <w:rFonts w:hint="eastAsia" w:ascii="宋体" w:hAnsi="宋体"/>
          <w:color w:val="auto"/>
          <w:szCs w:val="21"/>
          <w:highlight w:val="none"/>
          <w:lang w:eastAsia="zh-CN"/>
        </w:rPr>
        <w:t>比选</w:t>
      </w:r>
      <w:r>
        <w:rPr>
          <w:rFonts w:ascii="宋体" w:hAnsi="宋体"/>
          <w:color w:val="auto"/>
          <w:szCs w:val="21"/>
          <w:highlight w:val="none"/>
        </w:rPr>
        <w:t>。</w:t>
      </w:r>
    </w:p>
    <w:p w14:paraId="0882BE65">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577582D4">
      <w:pPr>
        <w:pStyle w:val="5"/>
        <w:snapToGrid w:val="0"/>
        <w:spacing w:before="0" w:after="0" w:line="360" w:lineRule="auto"/>
        <w:rPr>
          <w:rFonts w:ascii="宋体" w:hAnsi="宋体"/>
          <w:b w:val="0"/>
          <w:snapToGrid w:val="0"/>
          <w:color w:val="auto"/>
          <w:sz w:val="24"/>
          <w:szCs w:val="24"/>
          <w:highlight w:val="none"/>
        </w:rPr>
      </w:pPr>
      <w:bookmarkStart w:id="446" w:name="_Toc509218750"/>
      <w:bookmarkStart w:id="447" w:name="_Toc23594"/>
      <w:bookmarkStart w:id="448" w:name="_Toc57905871"/>
      <w:bookmarkStart w:id="449" w:name="_Toc430530475"/>
      <w:r>
        <w:rPr>
          <w:rFonts w:ascii="宋体" w:hAnsi="宋体"/>
          <w:b w:val="0"/>
          <w:snapToGrid w:val="0"/>
          <w:color w:val="auto"/>
          <w:sz w:val="24"/>
          <w:szCs w:val="24"/>
          <w:highlight w:val="none"/>
        </w:rPr>
        <w:t>7.2  中标公示及中标通知</w:t>
      </w:r>
      <w:bookmarkEnd w:id="446"/>
      <w:bookmarkEnd w:id="447"/>
      <w:bookmarkEnd w:id="448"/>
      <w:bookmarkEnd w:id="449"/>
    </w:p>
    <w:p w14:paraId="3D88F9D9">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人在收到评标报告之日起3日内公示中标候选人，公示期不得少于3日</w:t>
      </w:r>
      <w:r>
        <w:rPr>
          <w:rFonts w:hint="eastAsia" w:ascii="宋体" w:hAnsi="宋体"/>
          <w:color w:val="auto"/>
          <w:szCs w:val="21"/>
          <w:highlight w:val="none"/>
        </w:rPr>
        <w:t>。</w:t>
      </w:r>
    </w:p>
    <w:p w14:paraId="4B6FEAC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人以书面形式向</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发出中标通知书。</w:t>
      </w:r>
    </w:p>
    <w:p w14:paraId="4FAE4F15">
      <w:pPr>
        <w:pStyle w:val="5"/>
        <w:snapToGrid w:val="0"/>
        <w:spacing w:before="0" w:after="0" w:line="360" w:lineRule="auto"/>
        <w:rPr>
          <w:rFonts w:ascii="宋体" w:hAnsi="宋体"/>
          <w:b w:val="0"/>
          <w:snapToGrid w:val="0"/>
          <w:color w:val="auto"/>
          <w:sz w:val="24"/>
          <w:szCs w:val="24"/>
          <w:highlight w:val="none"/>
        </w:rPr>
      </w:pPr>
      <w:bookmarkStart w:id="450" w:name="_Toc430530476"/>
      <w:bookmarkStart w:id="451" w:name="_Toc57905872"/>
      <w:bookmarkStart w:id="452" w:name="_Toc509218751"/>
      <w:bookmarkStart w:id="453" w:name="_Toc287620726"/>
      <w:bookmarkStart w:id="454" w:name="_Toc200513167"/>
      <w:bookmarkStart w:id="455" w:name="_Toc224103358"/>
      <w:bookmarkStart w:id="456" w:name="_Toc287607787"/>
      <w:bookmarkStart w:id="457" w:name="_Toc277082593"/>
      <w:bookmarkStart w:id="458" w:name="_Toc13383"/>
      <w:r>
        <w:rPr>
          <w:rFonts w:ascii="宋体" w:hAnsi="宋体"/>
          <w:b w:val="0"/>
          <w:snapToGrid w:val="0"/>
          <w:color w:val="auto"/>
          <w:sz w:val="24"/>
          <w:szCs w:val="24"/>
          <w:highlight w:val="none"/>
        </w:rPr>
        <w:t>7.3  履约担保</w:t>
      </w:r>
      <w:bookmarkEnd w:id="450"/>
      <w:bookmarkEnd w:id="451"/>
      <w:bookmarkEnd w:id="452"/>
      <w:bookmarkEnd w:id="453"/>
      <w:bookmarkEnd w:id="454"/>
      <w:bookmarkEnd w:id="455"/>
      <w:bookmarkEnd w:id="456"/>
      <w:bookmarkEnd w:id="457"/>
      <w:bookmarkEnd w:id="458"/>
    </w:p>
    <w:p w14:paraId="7DCDF87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应按</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第四章“合同条款及格式”规定的履约担保格式向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人提交履约担保。联合体中标的，其履约担保由牵头人递交，并应符合</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第四章“合同条款及格式”规定的履约担保格式要求。</w:t>
      </w:r>
    </w:p>
    <w:p w14:paraId="22829D8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7.3.2  </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不能按本章第 7.3.1 项要求提交履约担保的，视为放弃中标，其投标保证金不予退还，给</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人造成的损失超过投标保证金数额的，</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还应当对超过部分予以赔偿。</w:t>
      </w:r>
    </w:p>
    <w:p w14:paraId="3A25E748">
      <w:pPr>
        <w:pStyle w:val="5"/>
        <w:snapToGrid w:val="0"/>
        <w:spacing w:before="0" w:after="0" w:line="360" w:lineRule="auto"/>
        <w:rPr>
          <w:rFonts w:ascii="宋体" w:hAnsi="宋体"/>
          <w:b w:val="0"/>
          <w:snapToGrid w:val="0"/>
          <w:color w:val="auto"/>
          <w:sz w:val="24"/>
          <w:szCs w:val="24"/>
          <w:highlight w:val="none"/>
        </w:rPr>
      </w:pPr>
      <w:bookmarkStart w:id="459" w:name="_Toc287607788"/>
      <w:bookmarkStart w:id="460" w:name="_Toc277082594"/>
      <w:bookmarkStart w:id="461" w:name="_Toc224103359"/>
      <w:bookmarkStart w:id="462" w:name="_Toc430530477"/>
      <w:bookmarkStart w:id="463" w:name="_Toc200513168"/>
      <w:bookmarkStart w:id="464" w:name="_Toc57905873"/>
      <w:bookmarkStart w:id="465" w:name="_Toc287620727"/>
      <w:bookmarkStart w:id="466" w:name="_Toc509218752"/>
      <w:bookmarkStart w:id="467" w:name="_Toc16900"/>
      <w:r>
        <w:rPr>
          <w:rFonts w:ascii="宋体" w:hAnsi="宋体"/>
          <w:b w:val="0"/>
          <w:snapToGrid w:val="0"/>
          <w:color w:val="auto"/>
          <w:sz w:val="24"/>
          <w:szCs w:val="24"/>
          <w:highlight w:val="none"/>
        </w:rPr>
        <w:t>7.4  签订合同</w:t>
      </w:r>
      <w:bookmarkEnd w:id="459"/>
      <w:bookmarkEnd w:id="460"/>
      <w:bookmarkEnd w:id="461"/>
      <w:bookmarkEnd w:id="462"/>
      <w:bookmarkEnd w:id="463"/>
      <w:bookmarkEnd w:id="464"/>
      <w:bookmarkEnd w:id="465"/>
      <w:bookmarkEnd w:id="466"/>
      <w:bookmarkEnd w:id="467"/>
    </w:p>
    <w:p w14:paraId="7DCA5F2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人和</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应当自中标通知书发出之日起 30 天内，根据</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订立书面合同。</w:t>
      </w:r>
      <w:r>
        <w:rPr>
          <w:rFonts w:hint="eastAsia" w:ascii="宋体" w:hAnsi="宋体"/>
          <w:snapToGrid w:val="0"/>
          <w:color w:val="auto"/>
          <w:kern w:val="0"/>
          <w:szCs w:val="21"/>
          <w:highlight w:val="none"/>
          <w:lang w:eastAsia="zh-CN"/>
        </w:rPr>
        <w:t>中选人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人提出附加条件或者更改合同实质性内容的</w:t>
      </w:r>
      <w:r>
        <w:rPr>
          <w:rFonts w:ascii="宋体" w:hAnsi="宋体"/>
          <w:snapToGrid w:val="0"/>
          <w:color w:val="auto"/>
          <w:kern w:val="0"/>
          <w:szCs w:val="21"/>
          <w:highlight w:val="none"/>
        </w:rPr>
        <w:t>，</w:t>
      </w:r>
      <w:r>
        <w:rPr>
          <w:rFonts w:hint="eastAsia" w:ascii="宋体" w:hAnsi="宋体" w:cs="宋体"/>
          <w:color w:val="auto"/>
          <w:szCs w:val="21"/>
          <w:highlight w:val="none"/>
        </w:rPr>
        <w:t>或不按照</w:t>
      </w:r>
      <w:r>
        <w:rPr>
          <w:rFonts w:hint="eastAsia" w:ascii="宋体" w:hAnsi="宋体" w:cs="宋体"/>
          <w:color w:val="auto"/>
          <w:szCs w:val="21"/>
          <w:highlight w:val="none"/>
          <w:lang w:eastAsia="zh-CN"/>
        </w:rPr>
        <w:t>竞争性比选文件</w:t>
      </w:r>
      <w:r>
        <w:rPr>
          <w:rFonts w:hint="eastAsia" w:ascii="宋体" w:hAnsi="宋体" w:cs="宋体"/>
          <w:color w:val="auto"/>
          <w:szCs w:val="21"/>
          <w:highlight w:val="none"/>
        </w:rPr>
        <w:t>要求提交低价风险担保（适用于经评审最低投标价法）或履约保证金的，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人取消其中标资格，其投标保证金不予退还；给</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人造成的损失超过投标保证金数额的，</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还应当对超过部分予以赔偿。</w:t>
      </w:r>
    </w:p>
    <w:p w14:paraId="05386395">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人无正当理由拒签合同的，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人向</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退还投标保证金；给</w:t>
      </w:r>
      <w:r>
        <w:rPr>
          <w:rFonts w:hint="eastAsia" w:ascii="宋体" w:hAnsi="宋体"/>
          <w:snapToGrid w:val="0"/>
          <w:color w:val="auto"/>
          <w:kern w:val="0"/>
          <w:szCs w:val="21"/>
          <w:highlight w:val="none"/>
          <w:lang w:eastAsia="zh-CN"/>
        </w:rPr>
        <w:t>中选人</w:t>
      </w:r>
      <w:r>
        <w:rPr>
          <w:rFonts w:ascii="宋体" w:hAnsi="宋体"/>
          <w:snapToGrid w:val="0"/>
          <w:color w:val="auto"/>
          <w:kern w:val="0"/>
          <w:szCs w:val="21"/>
          <w:highlight w:val="none"/>
        </w:rPr>
        <w:t>造成损失的，还应当赔偿损失。</w:t>
      </w:r>
    </w:p>
    <w:p w14:paraId="3B293F15">
      <w:pPr>
        <w:pStyle w:val="4"/>
        <w:spacing w:before="0" w:after="0" w:line="360" w:lineRule="auto"/>
        <w:rPr>
          <w:rFonts w:hint="eastAsia" w:ascii="宋体" w:hAnsi="宋体" w:eastAsia="宋体"/>
          <w:b w:val="0"/>
          <w:snapToGrid w:val="0"/>
          <w:color w:val="auto"/>
          <w:highlight w:val="none"/>
          <w:lang w:eastAsia="zh-CN"/>
        </w:rPr>
      </w:pPr>
      <w:bookmarkStart w:id="468" w:name="_Toc430530478"/>
      <w:bookmarkStart w:id="469" w:name="_Toc509218753"/>
      <w:bookmarkStart w:id="470" w:name="_Toc22591"/>
      <w:bookmarkStart w:id="471" w:name="_Toc224103360"/>
      <w:bookmarkStart w:id="472" w:name="_Toc277082595"/>
      <w:bookmarkStart w:id="473" w:name="_Toc287607789"/>
      <w:bookmarkStart w:id="474" w:name="_Toc57905874"/>
      <w:bookmarkStart w:id="475" w:name="_Toc200513169"/>
      <w:bookmarkStart w:id="476" w:name="_Toc287620728"/>
      <w:r>
        <w:rPr>
          <w:rFonts w:ascii="宋体" w:hAnsi="宋体"/>
          <w:b w:val="0"/>
          <w:snapToGrid w:val="0"/>
          <w:color w:val="auto"/>
          <w:highlight w:val="none"/>
        </w:rPr>
        <w:t>8.  重新</w:t>
      </w:r>
      <w:r>
        <w:rPr>
          <w:rFonts w:hint="eastAsia" w:ascii="宋体" w:hAnsi="宋体"/>
          <w:b w:val="0"/>
          <w:snapToGrid w:val="0"/>
          <w:color w:val="auto"/>
          <w:highlight w:val="none"/>
          <w:lang w:eastAsia="zh-CN"/>
        </w:rPr>
        <w:t>比选</w:t>
      </w:r>
      <w:r>
        <w:rPr>
          <w:rFonts w:ascii="宋体" w:hAnsi="宋体"/>
          <w:b w:val="0"/>
          <w:snapToGrid w:val="0"/>
          <w:color w:val="auto"/>
          <w:highlight w:val="none"/>
        </w:rPr>
        <w:t>和不再</w:t>
      </w:r>
      <w:bookmarkEnd w:id="468"/>
      <w:bookmarkEnd w:id="469"/>
      <w:bookmarkEnd w:id="470"/>
      <w:bookmarkEnd w:id="471"/>
      <w:bookmarkEnd w:id="472"/>
      <w:bookmarkEnd w:id="473"/>
      <w:bookmarkEnd w:id="474"/>
      <w:bookmarkEnd w:id="475"/>
      <w:bookmarkEnd w:id="476"/>
      <w:r>
        <w:rPr>
          <w:rFonts w:hint="eastAsia" w:ascii="宋体" w:hAnsi="宋体"/>
          <w:b w:val="0"/>
          <w:snapToGrid w:val="0"/>
          <w:color w:val="auto"/>
          <w:highlight w:val="none"/>
          <w:lang w:eastAsia="zh-CN"/>
        </w:rPr>
        <w:t>比选</w:t>
      </w:r>
    </w:p>
    <w:p w14:paraId="0AA0ECE1">
      <w:pPr>
        <w:pStyle w:val="5"/>
        <w:snapToGrid w:val="0"/>
        <w:spacing w:before="0" w:after="0" w:line="360" w:lineRule="auto"/>
        <w:rPr>
          <w:rFonts w:ascii="宋体" w:hAnsi="宋体"/>
          <w:b w:val="0"/>
          <w:snapToGrid w:val="0"/>
          <w:color w:val="auto"/>
          <w:sz w:val="24"/>
          <w:szCs w:val="24"/>
          <w:highlight w:val="none"/>
        </w:rPr>
      </w:pPr>
      <w:bookmarkStart w:id="477" w:name="_Toc200513170"/>
      <w:bookmarkStart w:id="478" w:name="_Toc430530479"/>
      <w:bookmarkStart w:id="479" w:name="_Toc287607790"/>
      <w:bookmarkStart w:id="480" w:name="_Toc509218754"/>
      <w:bookmarkStart w:id="481" w:name="_Toc277082596"/>
      <w:bookmarkStart w:id="482" w:name="_Toc4647"/>
      <w:bookmarkStart w:id="483" w:name="_Toc287620729"/>
      <w:bookmarkStart w:id="484" w:name="_Toc224103361"/>
      <w:bookmarkStart w:id="485" w:name="_Toc57905875"/>
      <w:r>
        <w:rPr>
          <w:rFonts w:ascii="宋体" w:hAnsi="宋体"/>
          <w:b w:val="0"/>
          <w:snapToGrid w:val="0"/>
          <w:color w:val="auto"/>
          <w:sz w:val="24"/>
          <w:szCs w:val="24"/>
          <w:highlight w:val="none"/>
        </w:rPr>
        <w:t>8.1  重新</w:t>
      </w:r>
      <w:bookmarkEnd w:id="477"/>
      <w:bookmarkEnd w:id="478"/>
      <w:bookmarkEnd w:id="479"/>
      <w:bookmarkEnd w:id="480"/>
      <w:bookmarkEnd w:id="481"/>
      <w:bookmarkEnd w:id="482"/>
      <w:bookmarkEnd w:id="483"/>
      <w:bookmarkEnd w:id="484"/>
      <w:bookmarkEnd w:id="485"/>
      <w:r>
        <w:rPr>
          <w:rFonts w:hint="eastAsia" w:ascii="宋体" w:hAnsi="宋体"/>
          <w:b w:val="0"/>
          <w:snapToGrid w:val="0"/>
          <w:color w:val="auto"/>
          <w:sz w:val="24"/>
          <w:szCs w:val="24"/>
          <w:highlight w:val="none"/>
          <w:lang w:eastAsia="zh-CN"/>
        </w:rPr>
        <w:t>比选</w:t>
      </w:r>
      <w:r>
        <w:rPr>
          <w:rFonts w:hint="eastAsia" w:ascii="宋体" w:hAnsi="宋体"/>
          <w:b w:val="0"/>
          <w:snapToGrid w:val="0"/>
          <w:color w:val="auto"/>
          <w:sz w:val="24"/>
          <w:szCs w:val="24"/>
          <w:highlight w:val="none"/>
        </w:rPr>
        <w:t>的情形</w:t>
      </w:r>
    </w:p>
    <w:p w14:paraId="46113DB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人将重新</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w:t>
      </w:r>
    </w:p>
    <w:p w14:paraId="5DE4EE6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（1）投标截止时间止，</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少于 3 个的；</w:t>
      </w:r>
    </w:p>
    <w:p w14:paraId="657128B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70DD005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不足三个的，评标委员会应当否决所有投标。但是有效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的经济、技术等指标仍然具有市场竞争力，能够满足</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要求的，评标委员会可以继续评标并确定中标候选人；</w:t>
      </w:r>
    </w:p>
    <w:p w14:paraId="743454C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460E3133">
      <w:pPr>
        <w:pStyle w:val="5"/>
        <w:snapToGrid w:val="0"/>
        <w:spacing w:before="0" w:after="0" w:line="360" w:lineRule="auto"/>
        <w:rPr>
          <w:rFonts w:hint="eastAsia" w:ascii="宋体" w:hAnsi="宋体" w:eastAsia="宋体"/>
          <w:b w:val="0"/>
          <w:snapToGrid w:val="0"/>
          <w:color w:val="auto"/>
          <w:sz w:val="24"/>
          <w:szCs w:val="24"/>
          <w:highlight w:val="none"/>
          <w:lang w:eastAsia="zh-CN"/>
        </w:rPr>
      </w:pPr>
      <w:bookmarkStart w:id="486" w:name="_Toc287607791"/>
      <w:bookmarkStart w:id="487" w:name="_Toc287620730"/>
      <w:bookmarkStart w:id="488" w:name="_Toc430530480"/>
      <w:bookmarkStart w:id="489" w:name="_Toc224103362"/>
      <w:bookmarkStart w:id="490" w:name="_Toc277082597"/>
      <w:bookmarkStart w:id="491" w:name="_Toc509218755"/>
      <w:bookmarkStart w:id="492" w:name="_Toc57905876"/>
      <w:bookmarkStart w:id="493" w:name="_Toc200513171"/>
      <w:bookmarkStart w:id="494" w:name="_Toc32210"/>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和不再</w:t>
      </w:r>
      <w:bookmarkEnd w:id="486"/>
      <w:bookmarkEnd w:id="487"/>
      <w:bookmarkEnd w:id="488"/>
      <w:bookmarkEnd w:id="489"/>
      <w:bookmarkEnd w:id="490"/>
      <w:bookmarkEnd w:id="491"/>
      <w:bookmarkEnd w:id="492"/>
      <w:bookmarkEnd w:id="493"/>
      <w:bookmarkEnd w:id="494"/>
      <w:r>
        <w:rPr>
          <w:rFonts w:hint="eastAsia" w:ascii="宋体" w:hAnsi="宋体"/>
          <w:b w:val="0"/>
          <w:snapToGrid w:val="0"/>
          <w:color w:val="auto"/>
          <w:sz w:val="24"/>
          <w:szCs w:val="24"/>
          <w:highlight w:val="none"/>
          <w:lang w:eastAsia="zh-CN"/>
        </w:rPr>
        <w:t>比选</w:t>
      </w:r>
    </w:p>
    <w:p w14:paraId="374FB22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投标法律法规规定的程序开标和评标。重新</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，但是按照国家有关规定需要履行审批、核准、备案手续的依法必须进行</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的项目，应当报原项目投资主管部门审批、核准、备案</w:t>
      </w:r>
      <w:r>
        <w:rPr>
          <w:rFonts w:ascii="宋体" w:hAnsi="宋体"/>
          <w:snapToGrid w:val="0"/>
          <w:color w:val="auto"/>
          <w:kern w:val="0"/>
          <w:szCs w:val="21"/>
          <w:highlight w:val="none"/>
        </w:rPr>
        <w:t>。</w:t>
      </w:r>
    </w:p>
    <w:p w14:paraId="1DB9ACB8">
      <w:pPr>
        <w:pStyle w:val="4"/>
        <w:spacing w:before="0" w:after="0" w:line="360" w:lineRule="auto"/>
        <w:rPr>
          <w:rFonts w:ascii="宋体" w:hAnsi="宋体"/>
          <w:b w:val="0"/>
          <w:snapToGrid w:val="0"/>
          <w:color w:val="auto"/>
          <w:highlight w:val="none"/>
        </w:rPr>
      </w:pPr>
      <w:bookmarkStart w:id="495" w:name="_Toc57905877"/>
      <w:bookmarkStart w:id="496" w:name="_Toc285"/>
      <w:bookmarkStart w:id="497" w:name="_Toc287620731"/>
      <w:bookmarkStart w:id="498" w:name="_Toc287607792"/>
      <w:bookmarkStart w:id="499" w:name="_Toc430530481"/>
      <w:bookmarkStart w:id="500" w:name="_Toc200513172"/>
      <w:bookmarkStart w:id="501" w:name="_Toc224103363"/>
      <w:bookmarkStart w:id="502" w:name="_Toc509218756"/>
      <w:bookmarkStart w:id="503" w:name="_Toc277082598"/>
      <w:r>
        <w:rPr>
          <w:rFonts w:ascii="宋体" w:hAnsi="宋体"/>
          <w:b w:val="0"/>
          <w:snapToGrid w:val="0"/>
          <w:color w:val="auto"/>
          <w:highlight w:val="none"/>
        </w:rPr>
        <w:t>9.  纪律和监督</w:t>
      </w:r>
      <w:bookmarkEnd w:id="495"/>
      <w:bookmarkEnd w:id="496"/>
      <w:bookmarkEnd w:id="497"/>
      <w:bookmarkEnd w:id="498"/>
      <w:bookmarkEnd w:id="499"/>
      <w:bookmarkEnd w:id="500"/>
      <w:bookmarkEnd w:id="501"/>
      <w:bookmarkEnd w:id="502"/>
      <w:bookmarkEnd w:id="503"/>
    </w:p>
    <w:p w14:paraId="466F08C7">
      <w:pPr>
        <w:pStyle w:val="5"/>
        <w:snapToGrid w:val="0"/>
        <w:spacing w:before="0" w:after="0" w:line="360" w:lineRule="auto"/>
        <w:rPr>
          <w:rFonts w:ascii="宋体" w:hAnsi="宋体"/>
          <w:b w:val="0"/>
          <w:snapToGrid w:val="0"/>
          <w:color w:val="auto"/>
          <w:sz w:val="24"/>
          <w:szCs w:val="24"/>
          <w:highlight w:val="none"/>
        </w:rPr>
      </w:pPr>
      <w:bookmarkStart w:id="504" w:name="_Toc11532"/>
      <w:bookmarkStart w:id="505" w:name="_Toc57905878"/>
      <w:bookmarkStart w:id="506" w:name="_Toc200513173"/>
      <w:bookmarkStart w:id="507" w:name="_Toc224103364"/>
      <w:bookmarkStart w:id="508" w:name="_Toc277082599"/>
      <w:bookmarkStart w:id="509" w:name="_Toc287620732"/>
      <w:bookmarkStart w:id="510" w:name="_Toc430530482"/>
      <w:bookmarkStart w:id="511" w:name="_Toc509218757"/>
      <w:bookmarkStart w:id="512" w:name="_Toc287607793"/>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w:t>
      </w:r>
      <w:r>
        <w:rPr>
          <w:rFonts w:ascii="宋体" w:hAnsi="宋体"/>
          <w:b w:val="0"/>
          <w:snapToGrid w:val="0"/>
          <w:color w:val="auto"/>
          <w:sz w:val="24"/>
          <w:szCs w:val="24"/>
          <w:highlight w:val="none"/>
        </w:rPr>
        <w:t>人的纪律要求</w:t>
      </w:r>
      <w:bookmarkEnd w:id="504"/>
      <w:bookmarkEnd w:id="505"/>
      <w:bookmarkEnd w:id="506"/>
      <w:bookmarkEnd w:id="507"/>
      <w:bookmarkEnd w:id="508"/>
      <w:bookmarkEnd w:id="509"/>
      <w:bookmarkEnd w:id="510"/>
      <w:bookmarkEnd w:id="511"/>
      <w:bookmarkEnd w:id="512"/>
    </w:p>
    <w:p w14:paraId="205F53FD">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人不得泄漏</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投标活动中应当保密的情况和资料，不得与</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串通损害国家利 益、社会公共利益或者他人合法权益，</w:t>
      </w:r>
      <w:r>
        <w:rPr>
          <w:rFonts w:ascii="宋体" w:hAnsi="宋体"/>
          <w:color w:val="auto"/>
          <w:highlight w:val="none"/>
        </w:rPr>
        <w:t>禁止</w:t>
      </w:r>
      <w:r>
        <w:rPr>
          <w:rFonts w:hint="eastAsia" w:ascii="宋体" w:hAnsi="宋体"/>
          <w:color w:val="auto"/>
          <w:highlight w:val="none"/>
          <w:lang w:eastAsia="zh-CN"/>
        </w:rPr>
        <w:t>比选</w:t>
      </w:r>
      <w:r>
        <w:rPr>
          <w:rFonts w:ascii="宋体" w:hAnsi="宋体"/>
          <w:color w:val="auto"/>
          <w:highlight w:val="none"/>
        </w:rPr>
        <w:t>人与</w:t>
      </w:r>
      <w:r>
        <w:rPr>
          <w:rFonts w:hint="eastAsia" w:ascii="宋体" w:hAnsi="宋体"/>
          <w:color w:val="auto"/>
          <w:highlight w:val="none"/>
          <w:lang w:eastAsia="zh-CN"/>
        </w:rPr>
        <w:t>竞选人</w:t>
      </w:r>
      <w:r>
        <w:rPr>
          <w:rFonts w:ascii="宋体" w:hAnsi="宋体"/>
          <w:color w:val="auto"/>
          <w:highlight w:val="none"/>
        </w:rPr>
        <w:t>串通投标。</w:t>
      </w:r>
    </w:p>
    <w:p w14:paraId="22C1ED65">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w:t>
      </w:r>
      <w:r>
        <w:rPr>
          <w:rFonts w:ascii="宋体" w:hAnsi="宋体"/>
          <w:color w:val="auto"/>
          <w:highlight w:val="none"/>
        </w:rPr>
        <w:t>人与</w:t>
      </w:r>
      <w:r>
        <w:rPr>
          <w:rFonts w:hint="eastAsia" w:ascii="宋体" w:hAnsi="宋体"/>
          <w:color w:val="auto"/>
          <w:highlight w:val="none"/>
          <w:lang w:eastAsia="zh-CN"/>
        </w:rPr>
        <w:t>竞选人</w:t>
      </w:r>
      <w:r>
        <w:rPr>
          <w:rFonts w:ascii="宋体" w:hAnsi="宋体"/>
          <w:color w:val="auto"/>
          <w:highlight w:val="none"/>
        </w:rPr>
        <w:t>串通投标：</w:t>
      </w:r>
    </w:p>
    <w:p w14:paraId="1EA227C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w:t>
      </w:r>
      <w:r>
        <w:rPr>
          <w:rFonts w:ascii="宋体" w:hAnsi="宋体"/>
          <w:color w:val="auto"/>
          <w:highlight w:val="none"/>
        </w:rPr>
        <w:t>人在开标前开启</w:t>
      </w:r>
      <w:r>
        <w:rPr>
          <w:rFonts w:hint="eastAsia" w:ascii="宋体" w:hAnsi="宋体"/>
          <w:color w:val="auto"/>
          <w:highlight w:val="none"/>
          <w:lang w:eastAsia="zh-CN"/>
        </w:rPr>
        <w:t>竞选文件</w:t>
      </w:r>
      <w:r>
        <w:rPr>
          <w:rFonts w:ascii="宋体" w:hAnsi="宋体"/>
          <w:color w:val="auto"/>
          <w:highlight w:val="none"/>
        </w:rPr>
        <w:t>并将有关信息泄露给其他</w:t>
      </w:r>
      <w:r>
        <w:rPr>
          <w:rFonts w:hint="eastAsia" w:ascii="宋体" w:hAnsi="宋体"/>
          <w:color w:val="auto"/>
          <w:highlight w:val="none"/>
          <w:lang w:eastAsia="zh-CN"/>
        </w:rPr>
        <w:t>竞选人</w:t>
      </w:r>
      <w:r>
        <w:rPr>
          <w:rFonts w:hint="eastAsia" w:ascii="宋体" w:hAnsi="宋体"/>
          <w:color w:val="auto"/>
          <w:highlight w:val="none"/>
        </w:rPr>
        <w:t>；</w:t>
      </w:r>
    </w:p>
    <w:p w14:paraId="2F38C22D">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w:t>
      </w:r>
      <w:r>
        <w:rPr>
          <w:rFonts w:ascii="宋体" w:hAnsi="宋体"/>
          <w:color w:val="auto"/>
          <w:highlight w:val="none"/>
        </w:rPr>
        <w:t>人直接或者间接向</w:t>
      </w:r>
      <w:r>
        <w:rPr>
          <w:rFonts w:hint="eastAsia" w:ascii="宋体" w:hAnsi="宋体"/>
          <w:color w:val="auto"/>
          <w:highlight w:val="none"/>
          <w:lang w:eastAsia="zh-CN"/>
        </w:rPr>
        <w:t>竞选人</w:t>
      </w:r>
      <w:r>
        <w:rPr>
          <w:rFonts w:ascii="宋体" w:hAnsi="宋体"/>
          <w:color w:val="auto"/>
          <w:highlight w:val="none"/>
        </w:rPr>
        <w:t>泄露标底、评标委员会成员等信息；</w:t>
      </w:r>
    </w:p>
    <w:p w14:paraId="707D8D58">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w:t>
      </w:r>
      <w:r>
        <w:rPr>
          <w:rFonts w:ascii="宋体" w:hAnsi="宋体"/>
          <w:color w:val="auto"/>
          <w:highlight w:val="none"/>
        </w:rPr>
        <w:t>人明示或者暗示</w:t>
      </w:r>
      <w:r>
        <w:rPr>
          <w:rFonts w:hint="eastAsia" w:ascii="宋体" w:hAnsi="宋体"/>
          <w:color w:val="auto"/>
          <w:highlight w:val="none"/>
          <w:lang w:eastAsia="zh-CN"/>
        </w:rPr>
        <w:t>竞选人</w:t>
      </w:r>
      <w:r>
        <w:rPr>
          <w:rFonts w:ascii="宋体" w:hAnsi="宋体"/>
          <w:color w:val="auto"/>
          <w:highlight w:val="none"/>
        </w:rPr>
        <w:t>压低或者抬高投标报价；</w:t>
      </w:r>
    </w:p>
    <w:p w14:paraId="705B65E7">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w:t>
      </w:r>
      <w:r>
        <w:rPr>
          <w:rFonts w:ascii="宋体" w:hAnsi="宋体"/>
          <w:color w:val="auto"/>
          <w:highlight w:val="none"/>
        </w:rPr>
        <w:t>人授意</w:t>
      </w:r>
      <w:r>
        <w:rPr>
          <w:rFonts w:hint="eastAsia" w:ascii="宋体" w:hAnsi="宋体"/>
          <w:color w:val="auto"/>
          <w:highlight w:val="none"/>
          <w:lang w:eastAsia="zh-CN"/>
        </w:rPr>
        <w:t>竞选人</w:t>
      </w:r>
      <w:r>
        <w:rPr>
          <w:rFonts w:ascii="宋体" w:hAnsi="宋体"/>
          <w:color w:val="auto"/>
          <w:highlight w:val="none"/>
        </w:rPr>
        <w:t>撤换、修改</w:t>
      </w:r>
      <w:r>
        <w:rPr>
          <w:rFonts w:hint="eastAsia" w:ascii="宋体" w:hAnsi="宋体"/>
          <w:color w:val="auto"/>
          <w:highlight w:val="none"/>
          <w:lang w:eastAsia="zh-CN"/>
        </w:rPr>
        <w:t>竞选文件</w:t>
      </w:r>
      <w:r>
        <w:rPr>
          <w:rFonts w:ascii="宋体" w:hAnsi="宋体"/>
          <w:color w:val="auto"/>
          <w:highlight w:val="none"/>
        </w:rPr>
        <w:t>；</w:t>
      </w:r>
    </w:p>
    <w:p w14:paraId="784211FD">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w:t>
      </w:r>
      <w:r>
        <w:rPr>
          <w:rFonts w:ascii="宋体" w:hAnsi="宋体"/>
          <w:color w:val="auto"/>
          <w:highlight w:val="none"/>
        </w:rPr>
        <w:t>人明示或者暗示</w:t>
      </w:r>
      <w:r>
        <w:rPr>
          <w:rFonts w:hint="eastAsia" w:ascii="宋体" w:hAnsi="宋体"/>
          <w:color w:val="auto"/>
          <w:highlight w:val="none"/>
          <w:lang w:eastAsia="zh-CN"/>
        </w:rPr>
        <w:t>竞选人</w:t>
      </w:r>
      <w:r>
        <w:rPr>
          <w:rFonts w:ascii="宋体" w:hAnsi="宋体"/>
          <w:color w:val="auto"/>
          <w:highlight w:val="none"/>
        </w:rPr>
        <w:t>为特定</w:t>
      </w:r>
      <w:r>
        <w:rPr>
          <w:rFonts w:hint="eastAsia" w:ascii="宋体" w:hAnsi="宋体"/>
          <w:color w:val="auto"/>
          <w:highlight w:val="none"/>
          <w:lang w:eastAsia="zh-CN"/>
        </w:rPr>
        <w:t>竞选人</w:t>
      </w:r>
      <w:r>
        <w:rPr>
          <w:rFonts w:ascii="宋体" w:hAnsi="宋体"/>
          <w:color w:val="auto"/>
          <w:highlight w:val="none"/>
        </w:rPr>
        <w:t>中标提供方便；</w:t>
      </w:r>
    </w:p>
    <w:p w14:paraId="3F193AF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w:t>
      </w:r>
      <w:r>
        <w:rPr>
          <w:rFonts w:ascii="宋体" w:hAnsi="宋体"/>
          <w:color w:val="auto"/>
          <w:highlight w:val="none"/>
        </w:rPr>
        <w:t>人与</w:t>
      </w:r>
      <w:r>
        <w:rPr>
          <w:rFonts w:hint="eastAsia" w:ascii="宋体" w:hAnsi="宋体"/>
          <w:color w:val="auto"/>
          <w:highlight w:val="none"/>
          <w:lang w:eastAsia="zh-CN"/>
        </w:rPr>
        <w:t>竞选人</w:t>
      </w:r>
      <w:r>
        <w:rPr>
          <w:rFonts w:ascii="宋体" w:hAnsi="宋体"/>
          <w:color w:val="auto"/>
          <w:highlight w:val="none"/>
        </w:rPr>
        <w:t>为谋求特定</w:t>
      </w:r>
      <w:r>
        <w:rPr>
          <w:rFonts w:hint="eastAsia" w:ascii="宋体" w:hAnsi="宋体"/>
          <w:color w:val="auto"/>
          <w:highlight w:val="none"/>
          <w:lang w:eastAsia="zh-CN"/>
        </w:rPr>
        <w:t>竞选人</w:t>
      </w:r>
      <w:r>
        <w:rPr>
          <w:rFonts w:ascii="宋体" w:hAnsi="宋体"/>
          <w:color w:val="auto"/>
          <w:highlight w:val="none"/>
        </w:rPr>
        <w:t>中标而采取的其他串通行为。</w:t>
      </w:r>
    </w:p>
    <w:p w14:paraId="7AF99B57">
      <w:pPr>
        <w:pStyle w:val="5"/>
        <w:snapToGrid w:val="0"/>
        <w:spacing w:before="0" w:after="0" w:line="360" w:lineRule="auto"/>
        <w:rPr>
          <w:rFonts w:ascii="宋体" w:hAnsi="宋体"/>
          <w:b w:val="0"/>
          <w:snapToGrid w:val="0"/>
          <w:color w:val="auto"/>
          <w:sz w:val="24"/>
          <w:szCs w:val="24"/>
          <w:highlight w:val="none"/>
        </w:rPr>
      </w:pPr>
      <w:bookmarkStart w:id="513" w:name="_Toc224103365"/>
      <w:bookmarkStart w:id="514" w:name="_Toc277082600"/>
      <w:bookmarkStart w:id="515" w:name="_Toc11710"/>
      <w:bookmarkStart w:id="516" w:name="_Toc287620733"/>
      <w:bookmarkStart w:id="517" w:name="_Toc430530483"/>
      <w:bookmarkStart w:id="518" w:name="_Toc287607794"/>
      <w:bookmarkStart w:id="519" w:name="_Toc509218758"/>
      <w:bookmarkStart w:id="520" w:name="_Toc200513174"/>
      <w:bookmarkStart w:id="521" w:name="_Toc57905879"/>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竞选人</w:t>
      </w:r>
      <w:r>
        <w:rPr>
          <w:rFonts w:ascii="宋体" w:hAnsi="宋体"/>
          <w:b w:val="0"/>
          <w:snapToGrid w:val="0"/>
          <w:color w:val="auto"/>
          <w:sz w:val="24"/>
          <w:szCs w:val="24"/>
          <w:highlight w:val="none"/>
        </w:rPr>
        <w:t>的纪律要求</w:t>
      </w:r>
      <w:bookmarkEnd w:id="513"/>
      <w:bookmarkEnd w:id="514"/>
      <w:bookmarkEnd w:id="515"/>
      <w:bookmarkEnd w:id="516"/>
      <w:bookmarkEnd w:id="517"/>
      <w:bookmarkEnd w:id="518"/>
      <w:bookmarkEnd w:id="519"/>
      <w:bookmarkEnd w:id="520"/>
      <w:bookmarkEnd w:id="521"/>
    </w:p>
    <w:p w14:paraId="76BC439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不得相互串通投标或者与</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人串通投标，不得向</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人或者评标委员会成员行贿谋取中标，不得以他人名义投标或者以其他方式弄虚作假骗取中标；</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不得以任何方式干扰、影响评标工作</w:t>
      </w:r>
      <w:r>
        <w:rPr>
          <w:rFonts w:hint="eastAsia" w:ascii="宋体" w:hAnsi="宋体"/>
          <w:snapToGrid w:val="0"/>
          <w:color w:val="auto"/>
          <w:kern w:val="0"/>
          <w:szCs w:val="21"/>
          <w:highlight w:val="none"/>
        </w:rPr>
        <w:t>。</w:t>
      </w:r>
    </w:p>
    <w:p w14:paraId="796053B4">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竞选人</w:t>
      </w:r>
      <w:r>
        <w:rPr>
          <w:rFonts w:ascii="宋体" w:hAnsi="宋体"/>
          <w:color w:val="auto"/>
          <w:highlight w:val="none"/>
        </w:rPr>
        <w:t>相互串通投标：</w:t>
      </w:r>
    </w:p>
    <w:p w14:paraId="194DFD0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竞选人</w:t>
      </w:r>
      <w:r>
        <w:rPr>
          <w:rFonts w:ascii="宋体" w:hAnsi="宋体"/>
          <w:color w:val="auto"/>
          <w:highlight w:val="none"/>
        </w:rPr>
        <w:t>之间协商投标报价等</w:t>
      </w:r>
      <w:r>
        <w:rPr>
          <w:rFonts w:hint="eastAsia" w:ascii="宋体" w:hAnsi="宋体"/>
          <w:color w:val="auto"/>
          <w:highlight w:val="none"/>
          <w:lang w:eastAsia="zh-CN"/>
        </w:rPr>
        <w:t>竞选文件</w:t>
      </w:r>
      <w:r>
        <w:rPr>
          <w:rFonts w:ascii="宋体" w:hAnsi="宋体"/>
          <w:color w:val="auto"/>
          <w:highlight w:val="none"/>
        </w:rPr>
        <w:t>的实质性内容；</w:t>
      </w:r>
    </w:p>
    <w:p w14:paraId="1B29ADD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竞选人</w:t>
      </w:r>
      <w:r>
        <w:rPr>
          <w:rFonts w:ascii="宋体" w:hAnsi="宋体"/>
          <w:color w:val="auto"/>
          <w:highlight w:val="none"/>
        </w:rPr>
        <w:t>之间约定</w:t>
      </w:r>
      <w:r>
        <w:rPr>
          <w:rFonts w:hint="eastAsia" w:ascii="宋体" w:hAnsi="宋体"/>
          <w:color w:val="auto"/>
          <w:highlight w:val="none"/>
          <w:lang w:eastAsia="zh-CN"/>
        </w:rPr>
        <w:t>中选人</w:t>
      </w:r>
      <w:r>
        <w:rPr>
          <w:rFonts w:ascii="宋体" w:hAnsi="宋体"/>
          <w:color w:val="auto"/>
          <w:highlight w:val="none"/>
        </w:rPr>
        <w:t>；</w:t>
      </w:r>
    </w:p>
    <w:p w14:paraId="74AD9F2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竞选人</w:t>
      </w:r>
      <w:r>
        <w:rPr>
          <w:rFonts w:ascii="宋体" w:hAnsi="宋体"/>
          <w:color w:val="auto"/>
          <w:highlight w:val="none"/>
        </w:rPr>
        <w:t>之间约定部分</w:t>
      </w:r>
      <w:r>
        <w:rPr>
          <w:rFonts w:hint="eastAsia" w:ascii="宋体" w:hAnsi="宋体"/>
          <w:color w:val="auto"/>
          <w:highlight w:val="none"/>
          <w:lang w:eastAsia="zh-CN"/>
        </w:rPr>
        <w:t>竞选人</w:t>
      </w:r>
      <w:r>
        <w:rPr>
          <w:rFonts w:ascii="宋体" w:hAnsi="宋体"/>
          <w:color w:val="auto"/>
          <w:highlight w:val="none"/>
        </w:rPr>
        <w:t>放弃投标或者中标；</w:t>
      </w:r>
    </w:p>
    <w:p w14:paraId="358749F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竞选人</w:t>
      </w:r>
      <w:r>
        <w:rPr>
          <w:rFonts w:ascii="宋体" w:hAnsi="宋体"/>
          <w:color w:val="auto"/>
          <w:highlight w:val="none"/>
        </w:rPr>
        <w:t>按照该组织要求协同投标；</w:t>
      </w:r>
    </w:p>
    <w:p w14:paraId="756317D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竞选人</w:t>
      </w:r>
      <w:r>
        <w:rPr>
          <w:rFonts w:ascii="宋体" w:hAnsi="宋体"/>
          <w:color w:val="auto"/>
          <w:highlight w:val="none"/>
        </w:rPr>
        <w:t>之间为谋取中标或者排斥特定</w:t>
      </w:r>
      <w:r>
        <w:rPr>
          <w:rFonts w:hint="eastAsia" w:ascii="宋体" w:hAnsi="宋体"/>
          <w:color w:val="auto"/>
          <w:highlight w:val="none"/>
          <w:lang w:eastAsia="zh-CN"/>
        </w:rPr>
        <w:t>竞选人</w:t>
      </w:r>
      <w:r>
        <w:rPr>
          <w:rFonts w:ascii="宋体" w:hAnsi="宋体"/>
          <w:color w:val="auto"/>
          <w:highlight w:val="none"/>
        </w:rPr>
        <w:t>而采取的其他联合行动。</w:t>
      </w:r>
    </w:p>
    <w:p w14:paraId="01294FED">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竞选人</w:t>
      </w:r>
      <w:r>
        <w:rPr>
          <w:rFonts w:ascii="宋体" w:hAnsi="宋体"/>
          <w:color w:val="auto"/>
          <w:highlight w:val="none"/>
        </w:rPr>
        <w:t>相互串通投标：</w:t>
      </w:r>
    </w:p>
    <w:p w14:paraId="6ADE4E94">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由同一单位或者个人编制；</w:t>
      </w:r>
    </w:p>
    <w:p w14:paraId="6622031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竞选人</w:t>
      </w:r>
      <w:r>
        <w:rPr>
          <w:rFonts w:ascii="宋体" w:hAnsi="宋体"/>
          <w:color w:val="auto"/>
          <w:highlight w:val="none"/>
        </w:rPr>
        <w:t>委托同一单位或者个人办理投标事宜；</w:t>
      </w:r>
    </w:p>
    <w:p w14:paraId="4F8DCC1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载明的项目管理成员为同一人；</w:t>
      </w:r>
    </w:p>
    <w:p w14:paraId="70D473B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异常一致或者投标报价呈规律性差异；</w:t>
      </w:r>
    </w:p>
    <w:p w14:paraId="6B0815A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竞选人</w:t>
      </w:r>
      <w:r>
        <w:rPr>
          <w:rFonts w:ascii="宋体" w:hAnsi="宋体"/>
          <w:color w:val="auto"/>
          <w:highlight w:val="none"/>
        </w:rPr>
        <w:t>的</w:t>
      </w:r>
      <w:r>
        <w:rPr>
          <w:rFonts w:hint="eastAsia" w:ascii="宋体" w:hAnsi="宋体"/>
          <w:color w:val="auto"/>
          <w:highlight w:val="none"/>
          <w:lang w:eastAsia="zh-CN"/>
        </w:rPr>
        <w:t>竞选文件</w:t>
      </w:r>
      <w:r>
        <w:rPr>
          <w:rFonts w:ascii="宋体" w:hAnsi="宋体"/>
          <w:color w:val="auto"/>
          <w:highlight w:val="none"/>
        </w:rPr>
        <w:t>相互混装；</w:t>
      </w:r>
    </w:p>
    <w:p w14:paraId="0157763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竞选人</w:t>
      </w:r>
      <w:r>
        <w:rPr>
          <w:rFonts w:ascii="宋体" w:hAnsi="宋体"/>
          <w:color w:val="auto"/>
          <w:highlight w:val="none"/>
        </w:rPr>
        <w:t>的投标保证金从同一单位或者个人的账户转出。</w:t>
      </w:r>
    </w:p>
    <w:p w14:paraId="22454E0C">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7B24EC6E">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竞选人</w:t>
      </w:r>
      <w:r>
        <w:rPr>
          <w:rFonts w:ascii="宋体" w:hAnsi="宋体"/>
          <w:color w:val="auto"/>
          <w:highlight w:val="none"/>
        </w:rPr>
        <w:t>有下列情形之一的，属于以其他方式弄虚作假的行为：</w:t>
      </w:r>
    </w:p>
    <w:p w14:paraId="61A398D4">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2AD39EA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1D91715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0EF2D94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1D24AA8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514C1391">
      <w:pPr>
        <w:pStyle w:val="5"/>
        <w:snapToGrid w:val="0"/>
        <w:spacing w:before="0" w:after="0" w:line="360" w:lineRule="auto"/>
        <w:rPr>
          <w:rFonts w:ascii="宋体" w:hAnsi="宋体"/>
          <w:b w:val="0"/>
          <w:snapToGrid w:val="0"/>
          <w:color w:val="auto"/>
          <w:sz w:val="24"/>
          <w:szCs w:val="24"/>
          <w:highlight w:val="none"/>
        </w:rPr>
      </w:pPr>
      <w:bookmarkStart w:id="522" w:name="_Toc287607795"/>
      <w:bookmarkStart w:id="523" w:name="_Toc27742"/>
      <w:bookmarkStart w:id="524" w:name="_Toc509218759"/>
      <w:bookmarkStart w:id="525" w:name="_Toc277082601"/>
      <w:bookmarkStart w:id="526" w:name="_Toc57905880"/>
      <w:bookmarkStart w:id="527" w:name="_Toc224103366"/>
      <w:bookmarkStart w:id="528" w:name="_Toc430530484"/>
      <w:bookmarkStart w:id="529" w:name="_Toc200513175"/>
      <w:bookmarkStart w:id="530" w:name="_Toc287620734"/>
      <w:r>
        <w:rPr>
          <w:rFonts w:ascii="宋体" w:hAnsi="宋体"/>
          <w:b w:val="0"/>
          <w:snapToGrid w:val="0"/>
          <w:color w:val="auto"/>
          <w:sz w:val="24"/>
          <w:szCs w:val="24"/>
          <w:highlight w:val="none"/>
        </w:rPr>
        <w:t>9.3  对评标委员会成员的纪律要求</w:t>
      </w:r>
      <w:bookmarkEnd w:id="522"/>
      <w:bookmarkEnd w:id="523"/>
      <w:bookmarkEnd w:id="524"/>
      <w:bookmarkEnd w:id="525"/>
      <w:bookmarkEnd w:id="526"/>
      <w:bookmarkEnd w:id="527"/>
      <w:bookmarkEnd w:id="528"/>
      <w:bookmarkEnd w:id="529"/>
      <w:bookmarkEnd w:id="530"/>
    </w:p>
    <w:p w14:paraId="7C20191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478ED9D7">
      <w:pPr>
        <w:pStyle w:val="5"/>
        <w:snapToGrid w:val="0"/>
        <w:spacing w:before="0" w:after="0" w:line="360" w:lineRule="auto"/>
        <w:rPr>
          <w:rFonts w:ascii="宋体" w:hAnsi="宋体"/>
          <w:b w:val="0"/>
          <w:snapToGrid w:val="0"/>
          <w:color w:val="auto"/>
          <w:sz w:val="24"/>
          <w:szCs w:val="24"/>
          <w:highlight w:val="none"/>
        </w:rPr>
      </w:pPr>
      <w:bookmarkStart w:id="531" w:name="_Toc224103367"/>
      <w:bookmarkStart w:id="532" w:name="_Toc430530485"/>
      <w:bookmarkStart w:id="533" w:name="_Toc277082602"/>
      <w:bookmarkStart w:id="534" w:name="_Toc57905881"/>
      <w:bookmarkStart w:id="535" w:name="_Toc509218760"/>
      <w:bookmarkStart w:id="536" w:name="_Toc287620735"/>
      <w:bookmarkStart w:id="537" w:name="_Toc287607796"/>
      <w:bookmarkStart w:id="538" w:name="_Toc200513176"/>
      <w:bookmarkStart w:id="539" w:name="_Toc17353"/>
      <w:r>
        <w:rPr>
          <w:rFonts w:ascii="宋体" w:hAnsi="宋体"/>
          <w:b w:val="0"/>
          <w:snapToGrid w:val="0"/>
          <w:color w:val="auto"/>
          <w:sz w:val="24"/>
          <w:szCs w:val="24"/>
          <w:highlight w:val="none"/>
        </w:rPr>
        <w:t>9.4  对与评标活动有关的工作人员的纪律要求</w:t>
      </w:r>
      <w:bookmarkEnd w:id="531"/>
      <w:bookmarkEnd w:id="532"/>
      <w:bookmarkEnd w:id="533"/>
      <w:bookmarkEnd w:id="534"/>
      <w:bookmarkEnd w:id="535"/>
      <w:bookmarkEnd w:id="536"/>
      <w:bookmarkEnd w:id="537"/>
      <w:bookmarkEnd w:id="538"/>
      <w:bookmarkEnd w:id="539"/>
    </w:p>
    <w:p w14:paraId="65F8CF7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7F74FF69">
      <w:pPr>
        <w:pStyle w:val="5"/>
        <w:snapToGrid w:val="0"/>
        <w:spacing w:before="0" w:after="0" w:line="360" w:lineRule="auto"/>
        <w:rPr>
          <w:rFonts w:ascii="宋体" w:hAnsi="宋体"/>
          <w:b w:val="0"/>
          <w:snapToGrid w:val="0"/>
          <w:color w:val="auto"/>
          <w:sz w:val="24"/>
          <w:szCs w:val="24"/>
          <w:highlight w:val="none"/>
        </w:rPr>
      </w:pPr>
      <w:bookmarkStart w:id="540" w:name="_Toc509218761"/>
      <w:bookmarkStart w:id="541" w:name="_Toc17234"/>
      <w:bookmarkStart w:id="542" w:name="_Toc57905882"/>
      <w:bookmarkStart w:id="543" w:name="_Toc430530486"/>
      <w:bookmarkStart w:id="544" w:name="_Toc287620736"/>
      <w:bookmarkStart w:id="545" w:name="_Toc277082603"/>
      <w:bookmarkStart w:id="546" w:name="_Toc287607797"/>
      <w:bookmarkStart w:id="547" w:name="_Toc200513177"/>
      <w:bookmarkStart w:id="548" w:name="_Toc224103368"/>
      <w:r>
        <w:rPr>
          <w:rFonts w:ascii="宋体" w:hAnsi="宋体"/>
          <w:b w:val="0"/>
          <w:snapToGrid w:val="0"/>
          <w:color w:val="auto"/>
          <w:sz w:val="24"/>
          <w:szCs w:val="24"/>
          <w:highlight w:val="none"/>
        </w:rPr>
        <w:t>9.5  投诉</w:t>
      </w:r>
      <w:bookmarkEnd w:id="540"/>
      <w:bookmarkEnd w:id="541"/>
      <w:bookmarkEnd w:id="542"/>
      <w:bookmarkEnd w:id="543"/>
      <w:bookmarkEnd w:id="544"/>
      <w:bookmarkEnd w:id="545"/>
      <w:bookmarkEnd w:id="546"/>
      <w:bookmarkEnd w:id="547"/>
      <w:bookmarkEnd w:id="548"/>
    </w:p>
    <w:p w14:paraId="1A72204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和其他利害关系人认为本次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活动违反法律、法规和规章规定的，有权向有关行政监督部门投诉。</w:t>
      </w:r>
    </w:p>
    <w:p w14:paraId="236D83CC">
      <w:pPr>
        <w:pStyle w:val="4"/>
        <w:spacing w:before="0" w:after="0" w:line="360" w:lineRule="auto"/>
        <w:rPr>
          <w:rFonts w:ascii="宋体" w:hAnsi="宋体"/>
          <w:b w:val="0"/>
          <w:snapToGrid w:val="0"/>
          <w:color w:val="auto"/>
          <w:highlight w:val="none"/>
        </w:rPr>
      </w:pPr>
      <w:bookmarkStart w:id="549" w:name="_Toc287620737"/>
      <w:bookmarkStart w:id="550" w:name="_Toc13382"/>
      <w:bookmarkStart w:id="551" w:name="_Toc277082604"/>
      <w:bookmarkStart w:id="552" w:name="_Toc57905883"/>
      <w:bookmarkStart w:id="553" w:name="_Toc200513178"/>
      <w:bookmarkStart w:id="554" w:name="_Toc430530487"/>
      <w:bookmarkStart w:id="555" w:name="_Toc224103369"/>
      <w:bookmarkStart w:id="556" w:name="_Toc287607798"/>
      <w:bookmarkStart w:id="557" w:name="_Toc509218762"/>
      <w:r>
        <w:rPr>
          <w:rFonts w:ascii="宋体" w:hAnsi="宋体"/>
          <w:b w:val="0"/>
          <w:snapToGrid w:val="0"/>
          <w:color w:val="auto"/>
          <w:highlight w:val="none"/>
        </w:rPr>
        <w:t>10. 需要补充的其他内容</w:t>
      </w:r>
      <w:bookmarkEnd w:id="549"/>
      <w:bookmarkEnd w:id="550"/>
      <w:bookmarkEnd w:id="551"/>
      <w:bookmarkEnd w:id="552"/>
      <w:bookmarkEnd w:id="553"/>
      <w:bookmarkEnd w:id="554"/>
      <w:bookmarkEnd w:id="555"/>
      <w:bookmarkEnd w:id="556"/>
      <w:bookmarkEnd w:id="557"/>
    </w:p>
    <w:p w14:paraId="4BD768C9">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w:t>
      </w:r>
    </w:p>
    <w:p w14:paraId="08FC4C2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497F05A4">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附表一：开标记录表</w:t>
      </w:r>
    </w:p>
    <w:p w14:paraId="01E78D45">
      <w:pPr>
        <w:autoSpaceDE w:val="0"/>
        <w:autoSpaceDN w:val="0"/>
        <w:adjustRightInd w:val="0"/>
        <w:snapToGrid w:val="0"/>
        <w:spacing w:line="360" w:lineRule="auto"/>
        <w:jc w:val="left"/>
        <w:rPr>
          <w:rFonts w:ascii="宋体" w:hAnsi="宋体"/>
          <w:b/>
          <w:snapToGrid w:val="0"/>
          <w:color w:val="auto"/>
          <w:kern w:val="0"/>
          <w:highlight w:val="none"/>
        </w:rPr>
      </w:pPr>
    </w:p>
    <w:p w14:paraId="63F5331F">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u w:val="single"/>
        </w:rPr>
        <w:t>（项目名称）</w:t>
      </w:r>
      <w:r>
        <w:rPr>
          <w:rFonts w:ascii="宋体" w:hAnsi="宋体"/>
          <w:b/>
          <w:snapToGrid w:val="0"/>
          <w:color w:val="auto"/>
          <w:w w:val="99"/>
          <w:kern w:val="0"/>
          <w:sz w:val="28"/>
          <w:szCs w:val="28"/>
          <w:highlight w:val="none"/>
        </w:rPr>
        <w:t>开标记录表</w:t>
      </w:r>
    </w:p>
    <w:p w14:paraId="69FE68F9">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6"/>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5DDA24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20FBAF6E">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3260" w:type="dxa"/>
            <w:vAlign w:val="center"/>
          </w:tcPr>
          <w:p w14:paraId="6EB23667">
            <w:pPr>
              <w:autoSpaceDE w:val="0"/>
              <w:autoSpaceDN w:val="0"/>
              <w:adjustRightInd w:val="0"/>
              <w:snapToGri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竞选人</w:t>
            </w:r>
          </w:p>
        </w:tc>
        <w:tc>
          <w:tcPr>
            <w:tcW w:w="1134" w:type="dxa"/>
            <w:vAlign w:val="center"/>
          </w:tcPr>
          <w:p w14:paraId="0B76B5C2">
            <w:pPr>
              <w:autoSpaceDE w:val="0"/>
              <w:autoSpaceDN w:val="0"/>
              <w:adjustRightInd w:val="0"/>
              <w:snapToGri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密封情况</w:t>
            </w:r>
          </w:p>
        </w:tc>
        <w:tc>
          <w:tcPr>
            <w:tcW w:w="1559" w:type="dxa"/>
            <w:tcBorders>
              <w:right w:val="single" w:color="auto" w:sz="4" w:space="0"/>
            </w:tcBorders>
            <w:vAlign w:val="center"/>
          </w:tcPr>
          <w:p w14:paraId="12F5099C">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投标总报价</w:t>
            </w:r>
          </w:p>
        </w:tc>
        <w:tc>
          <w:tcPr>
            <w:tcW w:w="1560" w:type="dxa"/>
            <w:tcBorders>
              <w:left w:val="single" w:color="auto" w:sz="4" w:space="0"/>
            </w:tcBorders>
            <w:vAlign w:val="center"/>
          </w:tcPr>
          <w:p w14:paraId="06171310">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安全文明施工费暂定金额</w:t>
            </w:r>
          </w:p>
        </w:tc>
        <w:tc>
          <w:tcPr>
            <w:tcW w:w="1275" w:type="dxa"/>
            <w:vAlign w:val="center"/>
          </w:tcPr>
          <w:p w14:paraId="00F0173B">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质量目标</w:t>
            </w:r>
          </w:p>
        </w:tc>
        <w:tc>
          <w:tcPr>
            <w:tcW w:w="993" w:type="dxa"/>
            <w:vAlign w:val="center"/>
          </w:tcPr>
          <w:p w14:paraId="5BE13303">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1285" w:type="dxa"/>
            <w:vAlign w:val="center"/>
          </w:tcPr>
          <w:p w14:paraId="3302FF33">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947" w:type="dxa"/>
            <w:vAlign w:val="center"/>
          </w:tcPr>
          <w:p w14:paraId="6E09E64A">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1311" w:type="dxa"/>
            <w:vAlign w:val="center"/>
          </w:tcPr>
          <w:p w14:paraId="1939F041">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14:paraId="37BA94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F11AC24">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47C040A5">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72678903">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2B8FE872">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379B3D2E">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1940955C">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75BD0B82">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7DA63E2">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450CA27A">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780363C5">
            <w:pPr>
              <w:autoSpaceDE w:val="0"/>
              <w:autoSpaceDN w:val="0"/>
              <w:adjustRightInd w:val="0"/>
              <w:snapToGrid w:val="0"/>
              <w:jc w:val="left"/>
              <w:rPr>
                <w:rFonts w:ascii="宋体" w:hAnsi="宋体"/>
                <w:snapToGrid w:val="0"/>
                <w:color w:val="auto"/>
                <w:kern w:val="0"/>
                <w:sz w:val="28"/>
                <w:szCs w:val="28"/>
                <w:highlight w:val="none"/>
              </w:rPr>
            </w:pPr>
          </w:p>
        </w:tc>
      </w:tr>
      <w:tr w14:paraId="566BA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C7D8A31">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62D3A9F2">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68122C5">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0FC61A0B">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6D7B15F0">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4946C1B1">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22A97F70">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FBE89C7">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55D1A959">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2BF7BA35">
            <w:pPr>
              <w:autoSpaceDE w:val="0"/>
              <w:autoSpaceDN w:val="0"/>
              <w:adjustRightInd w:val="0"/>
              <w:snapToGrid w:val="0"/>
              <w:jc w:val="left"/>
              <w:rPr>
                <w:rFonts w:ascii="宋体" w:hAnsi="宋体"/>
                <w:snapToGrid w:val="0"/>
                <w:color w:val="auto"/>
                <w:kern w:val="0"/>
                <w:sz w:val="28"/>
                <w:szCs w:val="28"/>
                <w:highlight w:val="none"/>
              </w:rPr>
            </w:pPr>
          </w:p>
        </w:tc>
      </w:tr>
      <w:tr w14:paraId="5AC81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85C014A">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3D2654C3">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1B141919">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0363F7D0">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6F7E7524">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6250BC8F">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31153554">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10DB377E">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3D3FE73F">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59C04036">
            <w:pPr>
              <w:autoSpaceDE w:val="0"/>
              <w:autoSpaceDN w:val="0"/>
              <w:adjustRightInd w:val="0"/>
              <w:snapToGrid w:val="0"/>
              <w:jc w:val="left"/>
              <w:rPr>
                <w:rFonts w:ascii="宋体" w:hAnsi="宋体"/>
                <w:snapToGrid w:val="0"/>
                <w:color w:val="auto"/>
                <w:kern w:val="0"/>
                <w:sz w:val="28"/>
                <w:szCs w:val="28"/>
                <w:highlight w:val="none"/>
              </w:rPr>
            </w:pPr>
          </w:p>
        </w:tc>
      </w:tr>
      <w:tr w14:paraId="18FC0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7F4FA2AC">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116261B2">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14D0DA36">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2475D4A8">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0E82AE39">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4BD5E119">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023FF921">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21DD70F7">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255AC1A2">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E753FFA">
            <w:pPr>
              <w:autoSpaceDE w:val="0"/>
              <w:autoSpaceDN w:val="0"/>
              <w:adjustRightInd w:val="0"/>
              <w:snapToGrid w:val="0"/>
              <w:jc w:val="left"/>
              <w:rPr>
                <w:rFonts w:ascii="宋体" w:hAnsi="宋体"/>
                <w:snapToGrid w:val="0"/>
                <w:color w:val="auto"/>
                <w:kern w:val="0"/>
                <w:sz w:val="28"/>
                <w:szCs w:val="28"/>
                <w:highlight w:val="none"/>
              </w:rPr>
            </w:pPr>
          </w:p>
        </w:tc>
      </w:tr>
      <w:tr w14:paraId="14C881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195B643">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1EEAC5DC">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7F25430E">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4355FB96">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562DCD58">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5FA11CD2">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495EACA7">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2EB8475A">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60A5DCE3">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75E3EB40">
            <w:pPr>
              <w:autoSpaceDE w:val="0"/>
              <w:autoSpaceDN w:val="0"/>
              <w:adjustRightInd w:val="0"/>
              <w:snapToGrid w:val="0"/>
              <w:jc w:val="left"/>
              <w:rPr>
                <w:rFonts w:ascii="宋体" w:hAnsi="宋体"/>
                <w:snapToGrid w:val="0"/>
                <w:color w:val="auto"/>
                <w:kern w:val="0"/>
                <w:sz w:val="28"/>
                <w:szCs w:val="28"/>
                <w:highlight w:val="none"/>
              </w:rPr>
            </w:pPr>
          </w:p>
        </w:tc>
      </w:tr>
      <w:tr w14:paraId="034B82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573F8AD5">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4F59DED3">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59B3D104">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40155009">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723F1C42">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019E62CF">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403657D0">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4B6A17CC">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0249D3E1">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0006A44B">
            <w:pPr>
              <w:autoSpaceDE w:val="0"/>
              <w:autoSpaceDN w:val="0"/>
              <w:adjustRightInd w:val="0"/>
              <w:snapToGrid w:val="0"/>
              <w:jc w:val="left"/>
              <w:rPr>
                <w:rFonts w:ascii="宋体" w:hAnsi="宋体"/>
                <w:snapToGrid w:val="0"/>
                <w:color w:val="auto"/>
                <w:kern w:val="0"/>
                <w:sz w:val="28"/>
                <w:szCs w:val="28"/>
                <w:highlight w:val="none"/>
              </w:rPr>
            </w:pPr>
          </w:p>
        </w:tc>
      </w:tr>
      <w:tr w14:paraId="50507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85FD4C2">
            <w:pPr>
              <w:autoSpaceDE w:val="0"/>
              <w:autoSpaceDN w:val="0"/>
              <w:adjustRightInd w:val="0"/>
              <w:snapToGrid w:val="0"/>
              <w:jc w:val="left"/>
              <w:rPr>
                <w:rFonts w:ascii="宋体" w:hAnsi="宋体"/>
                <w:snapToGrid w:val="0"/>
                <w:color w:val="auto"/>
                <w:kern w:val="0"/>
                <w:sz w:val="28"/>
                <w:szCs w:val="28"/>
                <w:highlight w:val="none"/>
              </w:rPr>
            </w:pPr>
          </w:p>
        </w:tc>
        <w:tc>
          <w:tcPr>
            <w:tcW w:w="3260" w:type="dxa"/>
            <w:vAlign w:val="center"/>
          </w:tcPr>
          <w:p w14:paraId="2F124770">
            <w:pPr>
              <w:autoSpaceDE w:val="0"/>
              <w:autoSpaceDN w:val="0"/>
              <w:adjustRightInd w:val="0"/>
              <w:snapToGrid w:val="0"/>
              <w:jc w:val="left"/>
              <w:rPr>
                <w:rFonts w:ascii="宋体" w:hAnsi="宋体"/>
                <w:snapToGrid w:val="0"/>
                <w:color w:val="auto"/>
                <w:kern w:val="0"/>
                <w:sz w:val="28"/>
                <w:szCs w:val="28"/>
                <w:highlight w:val="none"/>
              </w:rPr>
            </w:pPr>
          </w:p>
        </w:tc>
        <w:tc>
          <w:tcPr>
            <w:tcW w:w="1134" w:type="dxa"/>
            <w:vAlign w:val="center"/>
          </w:tcPr>
          <w:p w14:paraId="3F62DA55">
            <w:pPr>
              <w:autoSpaceDE w:val="0"/>
              <w:autoSpaceDN w:val="0"/>
              <w:adjustRightInd w:val="0"/>
              <w:snapToGrid w:val="0"/>
              <w:jc w:val="left"/>
              <w:rPr>
                <w:rFonts w:ascii="宋体" w:hAnsi="宋体"/>
                <w:snapToGrid w:val="0"/>
                <w:color w:val="auto"/>
                <w:kern w:val="0"/>
                <w:sz w:val="28"/>
                <w:szCs w:val="28"/>
                <w:highlight w:val="none"/>
              </w:rPr>
            </w:pPr>
          </w:p>
        </w:tc>
        <w:tc>
          <w:tcPr>
            <w:tcW w:w="1559" w:type="dxa"/>
            <w:tcBorders>
              <w:right w:val="single" w:color="auto" w:sz="4" w:space="0"/>
            </w:tcBorders>
            <w:vAlign w:val="center"/>
          </w:tcPr>
          <w:p w14:paraId="255D3A89">
            <w:pPr>
              <w:autoSpaceDE w:val="0"/>
              <w:autoSpaceDN w:val="0"/>
              <w:adjustRightInd w:val="0"/>
              <w:snapToGrid w:val="0"/>
              <w:jc w:val="left"/>
              <w:rPr>
                <w:rFonts w:ascii="宋体" w:hAnsi="宋体"/>
                <w:snapToGrid w:val="0"/>
                <w:color w:val="auto"/>
                <w:kern w:val="0"/>
                <w:sz w:val="28"/>
                <w:szCs w:val="28"/>
                <w:highlight w:val="none"/>
              </w:rPr>
            </w:pPr>
          </w:p>
        </w:tc>
        <w:tc>
          <w:tcPr>
            <w:tcW w:w="1560" w:type="dxa"/>
            <w:tcBorders>
              <w:left w:val="single" w:color="auto" w:sz="4" w:space="0"/>
            </w:tcBorders>
            <w:vAlign w:val="center"/>
          </w:tcPr>
          <w:p w14:paraId="4C1C3751">
            <w:pPr>
              <w:autoSpaceDE w:val="0"/>
              <w:autoSpaceDN w:val="0"/>
              <w:adjustRightInd w:val="0"/>
              <w:snapToGrid w:val="0"/>
              <w:jc w:val="left"/>
              <w:rPr>
                <w:rFonts w:ascii="宋体" w:hAnsi="宋体"/>
                <w:snapToGrid w:val="0"/>
                <w:color w:val="auto"/>
                <w:kern w:val="0"/>
                <w:sz w:val="28"/>
                <w:szCs w:val="28"/>
                <w:highlight w:val="none"/>
              </w:rPr>
            </w:pPr>
          </w:p>
        </w:tc>
        <w:tc>
          <w:tcPr>
            <w:tcW w:w="1275" w:type="dxa"/>
            <w:vAlign w:val="center"/>
          </w:tcPr>
          <w:p w14:paraId="5E549B93">
            <w:pPr>
              <w:autoSpaceDE w:val="0"/>
              <w:autoSpaceDN w:val="0"/>
              <w:adjustRightInd w:val="0"/>
              <w:snapToGrid w:val="0"/>
              <w:jc w:val="left"/>
              <w:rPr>
                <w:rFonts w:ascii="宋体" w:hAnsi="宋体"/>
                <w:snapToGrid w:val="0"/>
                <w:color w:val="auto"/>
                <w:kern w:val="0"/>
                <w:sz w:val="28"/>
                <w:szCs w:val="28"/>
                <w:highlight w:val="none"/>
              </w:rPr>
            </w:pPr>
          </w:p>
        </w:tc>
        <w:tc>
          <w:tcPr>
            <w:tcW w:w="993" w:type="dxa"/>
            <w:vAlign w:val="center"/>
          </w:tcPr>
          <w:p w14:paraId="17F47CCC">
            <w:pPr>
              <w:autoSpaceDE w:val="0"/>
              <w:autoSpaceDN w:val="0"/>
              <w:adjustRightInd w:val="0"/>
              <w:snapToGrid w:val="0"/>
              <w:jc w:val="left"/>
              <w:rPr>
                <w:rFonts w:ascii="宋体" w:hAnsi="宋体"/>
                <w:snapToGrid w:val="0"/>
                <w:color w:val="auto"/>
                <w:kern w:val="0"/>
                <w:sz w:val="28"/>
                <w:szCs w:val="28"/>
                <w:highlight w:val="none"/>
              </w:rPr>
            </w:pPr>
          </w:p>
        </w:tc>
        <w:tc>
          <w:tcPr>
            <w:tcW w:w="1285" w:type="dxa"/>
            <w:vAlign w:val="center"/>
          </w:tcPr>
          <w:p w14:paraId="61D5C9BE">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14:paraId="18845FCA">
            <w:pPr>
              <w:autoSpaceDE w:val="0"/>
              <w:autoSpaceDN w:val="0"/>
              <w:adjustRightInd w:val="0"/>
              <w:snapToGrid w:val="0"/>
              <w:jc w:val="left"/>
              <w:rPr>
                <w:rFonts w:ascii="宋体" w:hAnsi="宋体"/>
                <w:snapToGrid w:val="0"/>
                <w:color w:val="auto"/>
                <w:kern w:val="0"/>
                <w:sz w:val="28"/>
                <w:szCs w:val="28"/>
                <w:highlight w:val="none"/>
              </w:rPr>
            </w:pPr>
          </w:p>
        </w:tc>
        <w:tc>
          <w:tcPr>
            <w:tcW w:w="1311" w:type="dxa"/>
            <w:vAlign w:val="center"/>
          </w:tcPr>
          <w:p w14:paraId="187DB92D">
            <w:pPr>
              <w:autoSpaceDE w:val="0"/>
              <w:autoSpaceDN w:val="0"/>
              <w:adjustRightInd w:val="0"/>
              <w:snapToGrid w:val="0"/>
              <w:jc w:val="left"/>
              <w:rPr>
                <w:rFonts w:ascii="宋体" w:hAnsi="宋体"/>
                <w:snapToGrid w:val="0"/>
                <w:color w:val="auto"/>
                <w:kern w:val="0"/>
                <w:sz w:val="28"/>
                <w:szCs w:val="28"/>
                <w:highlight w:val="none"/>
              </w:rPr>
            </w:pPr>
          </w:p>
        </w:tc>
      </w:tr>
      <w:tr w14:paraId="7CA322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35A4B2DF">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10064" w:type="dxa"/>
            <w:gridSpan w:val="8"/>
            <w:tcBorders>
              <w:bottom w:val="single" w:color="auto" w:sz="4" w:space="0"/>
            </w:tcBorders>
            <w:vAlign w:val="center"/>
          </w:tcPr>
          <w:p w14:paraId="1483FE33">
            <w:pPr>
              <w:autoSpaceDE w:val="0"/>
              <w:autoSpaceDN w:val="0"/>
              <w:adjustRightInd w:val="0"/>
              <w:snapToGrid w:val="0"/>
              <w:jc w:val="left"/>
              <w:rPr>
                <w:rFonts w:ascii="宋体" w:hAnsi="宋体"/>
                <w:snapToGrid w:val="0"/>
                <w:color w:val="auto"/>
                <w:kern w:val="0"/>
                <w:szCs w:val="21"/>
                <w:highlight w:val="none"/>
              </w:rPr>
            </w:pPr>
          </w:p>
        </w:tc>
      </w:tr>
    </w:tbl>
    <w:p w14:paraId="713E0317">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14:paraId="04E92159">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pP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人代表：</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监标人：</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hint="eastAsia" w:ascii="宋体" w:hAnsi="宋体"/>
          <w:snapToGrid w:val="0"/>
          <w:color w:val="auto"/>
          <w:kern w:val="0"/>
          <w:szCs w:val="21"/>
          <w:highlight w:val="none"/>
        </w:rPr>
        <w:t>主持人</w:t>
      </w:r>
      <w:r>
        <w:rPr>
          <w:rFonts w:ascii="宋体" w:hAnsi="宋体"/>
          <w:snapToGrid w:val="0"/>
          <w:color w:val="auto"/>
          <w:kern w:val="0"/>
          <w:szCs w:val="21"/>
          <w:highlight w:val="none"/>
        </w:rPr>
        <w:t>：</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w w:val="200"/>
          <w:kern w:val="0"/>
          <w:szCs w:val="21"/>
          <w:highlight w:val="non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p>
    <w:p w14:paraId="3CE4ABCE">
      <w:pPr>
        <w:autoSpaceDE w:val="0"/>
        <w:autoSpaceDN w:val="0"/>
        <w:adjustRightInd w:val="0"/>
        <w:snapToGrid w:val="0"/>
        <w:spacing w:before="62"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14:paraId="3DEC718F">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highlight w:val="none"/>
          <w:u w:val="single"/>
        </w:rPr>
        <w:sectPr>
          <w:pgSz w:w="16838" w:h="11906" w:orient="landscape"/>
          <w:pgMar w:top="1304" w:right="1304" w:bottom="1134" w:left="1304" w:header="851" w:footer="992" w:gutter="0"/>
          <w:cols w:space="720" w:num="1"/>
          <w:docGrid w:type="lines" w:linePitch="312" w:charSpace="0"/>
        </w:sectPr>
      </w:pPr>
      <w:r>
        <w:rPr>
          <w:rFonts w:ascii="宋体" w:hAnsi="宋体"/>
          <w:snapToGrid w:val="0"/>
          <w:color w:val="auto"/>
          <w:kern w:val="0"/>
          <w:sz w:val="24"/>
          <w:highlight w:val="none"/>
        </w:rPr>
        <w:br w:type="page"/>
      </w:r>
    </w:p>
    <w:p w14:paraId="2B58616F">
      <w:pPr>
        <w:autoSpaceDE w:val="0"/>
        <w:autoSpaceDN w:val="0"/>
        <w:adjustRightInd w:val="0"/>
        <w:snapToGrid w:val="0"/>
        <w:spacing w:line="360" w:lineRule="auto"/>
        <w:jc w:val="left"/>
        <w:rPr>
          <w:rFonts w:ascii="宋体" w:hAnsi="宋体"/>
          <w:b/>
          <w:snapToGrid w:val="0"/>
          <w:color w:val="auto"/>
          <w:kern w:val="0"/>
          <w:highlight w:val="none"/>
        </w:rPr>
      </w:pPr>
    </w:p>
    <w:p w14:paraId="57F11699">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w:t>
      </w:r>
      <w:r>
        <w:rPr>
          <w:rFonts w:hint="eastAsia" w:ascii="宋体" w:hAnsi="宋体"/>
          <w:b/>
          <w:snapToGrid w:val="0"/>
          <w:color w:val="auto"/>
          <w:kern w:val="0"/>
          <w:highlight w:val="none"/>
        </w:rPr>
        <w:t>三</w:t>
      </w:r>
      <w:r>
        <w:rPr>
          <w:rFonts w:ascii="宋体" w:hAnsi="宋体"/>
          <w:b/>
          <w:snapToGrid w:val="0"/>
          <w:color w:val="auto"/>
          <w:kern w:val="0"/>
          <w:highlight w:val="none"/>
        </w:rPr>
        <w:t>：问题澄清通知</w:t>
      </w:r>
    </w:p>
    <w:p w14:paraId="28F91002">
      <w:pPr>
        <w:autoSpaceDE w:val="0"/>
        <w:autoSpaceDN w:val="0"/>
        <w:adjustRightInd w:val="0"/>
        <w:snapToGrid w:val="0"/>
        <w:spacing w:line="360" w:lineRule="auto"/>
        <w:jc w:val="left"/>
        <w:rPr>
          <w:rFonts w:ascii="宋体" w:hAnsi="宋体"/>
          <w:b/>
          <w:snapToGrid w:val="0"/>
          <w:color w:val="auto"/>
          <w:kern w:val="0"/>
          <w:sz w:val="24"/>
          <w:highlight w:val="none"/>
        </w:rPr>
      </w:pPr>
    </w:p>
    <w:p w14:paraId="655D21B9">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14:paraId="5A652AFD">
      <w:pPr>
        <w:autoSpaceDE w:val="0"/>
        <w:autoSpaceDN w:val="0"/>
        <w:adjustRightInd w:val="0"/>
        <w:snapToGrid w:val="0"/>
        <w:spacing w:line="360" w:lineRule="auto"/>
        <w:jc w:val="left"/>
        <w:rPr>
          <w:rFonts w:ascii="宋体" w:hAnsi="宋体"/>
          <w:b/>
          <w:snapToGrid w:val="0"/>
          <w:color w:val="auto"/>
          <w:kern w:val="0"/>
          <w:sz w:val="24"/>
          <w:highlight w:val="none"/>
        </w:rPr>
      </w:pPr>
    </w:p>
    <w:p w14:paraId="2F2D78EE">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2B85DD5E">
      <w:pPr>
        <w:autoSpaceDE w:val="0"/>
        <w:autoSpaceDN w:val="0"/>
        <w:adjustRightInd w:val="0"/>
        <w:snapToGrid w:val="0"/>
        <w:spacing w:line="360" w:lineRule="auto"/>
        <w:jc w:val="left"/>
        <w:rPr>
          <w:rFonts w:ascii="宋体" w:hAnsi="宋体"/>
          <w:b/>
          <w:snapToGrid w:val="0"/>
          <w:color w:val="auto"/>
          <w:kern w:val="0"/>
          <w:sz w:val="24"/>
          <w:highlight w:val="none"/>
        </w:rPr>
      </w:pPr>
    </w:p>
    <w:p w14:paraId="5C84A148">
      <w:pPr>
        <w:autoSpaceDE w:val="0"/>
        <w:autoSpaceDN w:val="0"/>
        <w:adjustRightInd w:val="0"/>
        <w:snapToGrid w:val="0"/>
        <w:spacing w:line="360" w:lineRule="auto"/>
        <w:rPr>
          <w:rFonts w:ascii="宋体" w:hAnsi="宋体"/>
          <w:snapToGrid w:val="0"/>
          <w:color w:val="auto"/>
          <w:kern w:val="0"/>
          <w:sz w:val="28"/>
          <w:szCs w:val="28"/>
          <w:highlight w:val="none"/>
        </w:rPr>
      </w:pPr>
    </w:p>
    <w:p w14:paraId="7171484D">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名称）：</w:t>
      </w:r>
    </w:p>
    <w:p w14:paraId="0D169F5A">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进行了仔细的审查，现需你方对下列问题以书面形式予以澄清：</w:t>
      </w:r>
    </w:p>
    <w:p w14:paraId="5CF14CCF">
      <w:pPr>
        <w:autoSpaceDE w:val="0"/>
        <w:autoSpaceDN w:val="0"/>
        <w:adjustRightInd w:val="0"/>
        <w:snapToGrid w:val="0"/>
        <w:spacing w:line="360" w:lineRule="auto"/>
        <w:jc w:val="left"/>
        <w:rPr>
          <w:rFonts w:ascii="宋体" w:hAnsi="宋体"/>
          <w:snapToGrid w:val="0"/>
          <w:color w:val="auto"/>
          <w:kern w:val="0"/>
          <w:sz w:val="24"/>
          <w:highlight w:val="none"/>
        </w:rPr>
      </w:pPr>
    </w:p>
    <w:p w14:paraId="5C982449">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4A1A3D17">
      <w:pPr>
        <w:autoSpaceDE w:val="0"/>
        <w:autoSpaceDN w:val="0"/>
        <w:adjustRightInd w:val="0"/>
        <w:snapToGrid w:val="0"/>
        <w:spacing w:line="360" w:lineRule="auto"/>
        <w:jc w:val="left"/>
        <w:rPr>
          <w:rFonts w:ascii="宋体" w:hAnsi="宋体"/>
          <w:snapToGrid w:val="0"/>
          <w:color w:val="auto"/>
          <w:kern w:val="0"/>
          <w:szCs w:val="21"/>
          <w:highlight w:val="none"/>
        </w:rPr>
      </w:pPr>
    </w:p>
    <w:p w14:paraId="6CA88543">
      <w:pPr>
        <w:autoSpaceDE w:val="0"/>
        <w:autoSpaceDN w:val="0"/>
        <w:adjustRightInd w:val="0"/>
        <w:snapToGrid w:val="0"/>
        <w:spacing w:line="360" w:lineRule="auto"/>
        <w:jc w:val="left"/>
        <w:rPr>
          <w:rFonts w:ascii="宋体" w:hAnsi="宋体"/>
          <w:snapToGrid w:val="0"/>
          <w:color w:val="auto"/>
          <w:kern w:val="0"/>
          <w:szCs w:val="21"/>
          <w:highlight w:val="none"/>
        </w:rPr>
      </w:pPr>
    </w:p>
    <w:p w14:paraId="118AD3BF">
      <w:pPr>
        <w:autoSpaceDE w:val="0"/>
        <w:autoSpaceDN w:val="0"/>
        <w:adjustRightInd w:val="0"/>
        <w:snapToGrid w:val="0"/>
        <w:spacing w:line="360" w:lineRule="auto"/>
        <w:jc w:val="left"/>
        <w:rPr>
          <w:rFonts w:ascii="宋体" w:hAnsi="宋体"/>
          <w:snapToGrid w:val="0"/>
          <w:color w:val="auto"/>
          <w:kern w:val="0"/>
          <w:szCs w:val="21"/>
          <w:highlight w:val="none"/>
        </w:rPr>
      </w:pPr>
    </w:p>
    <w:p w14:paraId="1CA30E28">
      <w:pPr>
        <w:autoSpaceDE w:val="0"/>
        <w:autoSpaceDN w:val="0"/>
        <w:adjustRightInd w:val="0"/>
        <w:snapToGrid w:val="0"/>
        <w:spacing w:line="360" w:lineRule="auto"/>
        <w:jc w:val="left"/>
        <w:rPr>
          <w:rFonts w:ascii="宋体" w:hAnsi="宋体"/>
          <w:snapToGrid w:val="0"/>
          <w:color w:val="auto"/>
          <w:kern w:val="0"/>
          <w:szCs w:val="21"/>
          <w:highlight w:val="none"/>
        </w:rPr>
      </w:pPr>
    </w:p>
    <w:p w14:paraId="6B172520">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65765B8A">
      <w:pPr>
        <w:autoSpaceDE w:val="0"/>
        <w:autoSpaceDN w:val="0"/>
        <w:adjustRightInd w:val="0"/>
        <w:snapToGrid w:val="0"/>
        <w:spacing w:line="360" w:lineRule="auto"/>
        <w:jc w:val="left"/>
        <w:rPr>
          <w:rFonts w:ascii="宋体" w:hAnsi="宋体"/>
          <w:snapToGrid w:val="0"/>
          <w:color w:val="auto"/>
          <w:kern w:val="0"/>
          <w:szCs w:val="21"/>
          <w:highlight w:val="none"/>
        </w:rPr>
      </w:pPr>
    </w:p>
    <w:p w14:paraId="0676C03C">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077FD8C9">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50270670">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68E61BEA">
      <w:pPr>
        <w:autoSpaceDE w:val="0"/>
        <w:autoSpaceDN w:val="0"/>
        <w:adjustRightInd w:val="0"/>
        <w:snapToGrid w:val="0"/>
        <w:spacing w:line="360" w:lineRule="auto"/>
        <w:jc w:val="left"/>
        <w:rPr>
          <w:rFonts w:ascii="宋体" w:hAnsi="宋体"/>
          <w:snapToGrid w:val="0"/>
          <w:color w:val="auto"/>
          <w:kern w:val="0"/>
          <w:sz w:val="14"/>
          <w:szCs w:val="14"/>
          <w:highlight w:val="none"/>
        </w:rPr>
      </w:pPr>
    </w:p>
    <w:p w14:paraId="71EA7909">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14:paraId="3E83A7B7">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20FCB6E">
      <w:pPr>
        <w:autoSpaceDE w:val="0"/>
        <w:autoSpaceDN w:val="0"/>
        <w:adjustRightInd w:val="0"/>
        <w:snapToGrid w:val="0"/>
        <w:spacing w:line="360" w:lineRule="auto"/>
        <w:jc w:val="left"/>
        <w:rPr>
          <w:rFonts w:ascii="宋体" w:hAnsi="宋体"/>
          <w:snapToGrid w:val="0"/>
          <w:color w:val="auto"/>
          <w:kern w:val="0"/>
          <w:sz w:val="28"/>
          <w:szCs w:val="28"/>
          <w:highlight w:val="none"/>
        </w:rPr>
      </w:pPr>
    </w:p>
    <w:p w14:paraId="5F75D433">
      <w:pPr>
        <w:tabs>
          <w:tab w:val="left" w:pos="6400"/>
        </w:tabs>
        <w:autoSpaceDE w:val="0"/>
        <w:autoSpaceDN w:val="0"/>
        <w:adjustRightInd w:val="0"/>
        <w:snapToGrid w:val="0"/>
        <w:spacing w:line="360" w:lineRule="auto"/>
        <w:jc w:val="right"/>
        <w:rPr>
          <w:rFonts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w:t>
      </w:r>
      <w:r>
        <w:rPr>
          <w:rFonts w:ascii="宋体" w:hAnsi="宋体"/>
          <w:snapToGrid w:val="0"/>
          <w:color w:val="auto"/>
          <w:kern w:val="0"/>
          <w:sz w:val="24"/>
          <w:highlight w:val="none"/>
        </w:rPr>
        <w:t xml:space="preserve"> </w:t>
      </w:r>
    </w:p>
    <w:p w14:paraId="4AF950E4">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14:paraId="35CC40A7">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4807E771">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w:t>
      </w:r>
      <w:r>
        <w:rPr>
          <w:rFonts w:hint="eastAsia" w:ascii="宋体" w:hAnsi="宋体"/>
          <w:b/>
          <w:snapToGrid w:val="0"/>
          <w:color w:val="auto"/>
          <w:kern w:val="0"/>
          <w:highlight w:val="none"/>
        </w:rPr>
        <w:t>四</w:t>
      </w:r>
      <w:r>
        <w:rPr>
          <w:rFonts w:ascii="宋体" w:hAnsi="宋体"/>
          <w:b/>
          <w:snapToGrid w:val="0"/>
          <w:color w:val="auto"/>
          <w:kern w:val="0"/>
          <w:highlight w:val="none"/>
        </w:rPr>
        <w:t>：问题的澄清</w:t>
      </w:r>
    </w:p>
    <w:p w14:paraId="31DA70E1">
      <w:pPr>
        <w:autoSpaceDE w:val="0"/>
        <w:autoSpaceDN w:val="0"/>
        <w:adjustRightInd w:val="0"/>
        <w:snapToGrid w:val="0"/>
        <w:spacing w:line="360" w:lineRule="auto"/>
        <w:jc w:val="left"/>
        <w:rPr>
          <w:rFonts w:ascii="宋体" w:hAnsi="宋体"/>
          <w:b/>
          <w:snapToGrid w:val="0"/>
          <w:color w:val="auto"/>
          <w:kern w:val="0"/>
          <w:sz w:val="10"/>
          <w:szCs w:val="10"/>
          <w:highlight w:val="none"/>
        </w:rPr>
      </w:pPr>
    </w:p>
    <w:p w14:paraId="4E0A4DAD">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14:paraId="157600F0">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14:paraId="543177B1">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14:paraId="627FFD79">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175BAC13">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14:paraId="4DD0FB9F">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评标委员会：</w:t>
      </w:r>
    </w:p>
    <w:p w14:paraId="6CD9C8C7">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14:paraId="55F3A723">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60F2DA38">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14:paraId="0F91723E">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14:paraId="1D3A5FB1">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68C1DA9F">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030AFFC2">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63C16E82">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1ACEE123">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2D88DD02">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14:paraId="5483599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0B87E18">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6D1C41B2">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4F577634">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6561163">
      <w:pPr>
        <w:autoSpaceDE w:val="0"/>
        <w:autoSpaceDN w:val="0"/>
        <w:adjustRightInd w:val="0"/>
        <w:snapToGrid w:val="0"/>
        <w:spacing w:line="360" w:lineRule="auto"/>
        <w:jc w:val="left"/>
        <w:rPr>
          <w:rFonts w:ascii="宋体" w:hAnsi="宋体"/>
          <w:snapToGrid w:val="0"/>
          <w:color w:val="auto"/>
          <w:kern w:val="0"/>
          <w:sz w:val="22"/>
          <w:szCs w:val="22"/>
          <w:highlight w:val="none"/>
        </w:rPr>
      </w:pPr>
    </w:p>
    <w:p w14:paraId="07B0CA12">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14:paraId="6BE8B87E">
      <w:pPr>
        <w:autoSpaceDE w:val="0"/>
        <w:autoSpaceDN w:val="0"/>
        <w:adjustRightInd w:val="0"/>
        <w:snapToGrid w:val="0"/>
        <w:spacing w:line="360" w:lineRule="auto"/>
        <w:jc w:val="left"/>
        <w:rPr>
          <w:rFonts w:ascii="宋体" w:hAnsi="宋体"/>
          <w:snapToGrid w:val="0"/>
          <w:color w:val="auto"/>
          <w:kern w:val="0"/>
          <w:sz w:val="18"/>
          <w:szCs w:val="18"/>
          <w:highlight w:val="none"/>
        </w:rPr>
      </w:pPr>
    </w:p>
    <w:p w14:paraId="32769EEA">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51B8960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366F278D">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13408BBE">
      <w:pPr>
        <w:autoSpaceDE w:val="0"/>
        <w:autoSpaceDN w:val="0"/>
        <w:adjustRightInd w:val="0"/>
        <w:snapToGrid w:val="0"/>
        <w:spacing w:line="360" w:lineRule="auto"/>
        <w:jc w:val="left"/>
        <w:rPr>
          <w:rFonts w:ascii="宋体" w:hAnsi="宋体"/>
          <w:snapToGrid w:val="0"/>
          <w:color w:val="auto"/>
          <w:kern w:val="0"/>
          <w:sz w:val="20"/>
          <w:szCs w:val="20"/>
          <w:highlight w:val="none"/>
        </w:rPr>
      </w:pPr>
    </w:p>
    <w:p w14:paraId="45856122">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14:paraId="676B77B6">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 w:val="20"/>
          <w:szCs w:val="20"/>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42B93EE8">
      <w:pPr>
        <w:wordWrap w:val="0"/>
        <w:autoSpaceDE w:val="0"/>
        <w:autoSpaceDN w:val="0"/>
        <w:adjustRightInd w:val="0"/>
        <w:snapToGrid w:val="0"/>
        <w:spacing w:line="360" w:lineRule="auto"/>
        <w:ind w:firstLine="315" w:firstLineChars="150"/>
        <w:jc w:val="right"/>
        <w:rPr>
          <w:rFonts w:ascii="宋体" w:hAnsi="宋体"/>
          <w:color w:val="auto"/>
          <w:kern w:val="0"/>
          <w:sz w:val="24"/>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1BDDCDA6">
      <w:pPr>
        <w:spacing w:line="200" w:lineRule="exact"/>
        <w:rPr>
          <w:rFonts w:ascii="宋体" w:hAnsi="宋体"/>
          <w:color w:val="auto"/>
          <w:kern w:val="0"/>
          <w:highlight w:val="none"/>
        </w:rPr>
      </w:pPr>
      <w:r>
        <w:rPr>
          <w:rFonts w:ascii="宋体" w:hAnsi="宋体"/>
          <w:snapToGrid w:val="0"/>
          <w:color w:val="auto"/>
          <w:kern w:val="0"/>
          <w:highlight w:val="none"/>
        </w:rPr>
        <w:br w:type="page"/>
      </w:r>
      <w:bookmarkStart w:id="558" w:name="招标文件03章02评标办法综合评估法"/>
      <w:bookmarkEnd w:id="558"/>
      <w:bookmarkStart w:id="559" w:name="招标文件03章02评标办法综合评估法00"/>
      <w:bookmarkEnd w:id="559"/>
      <w:bookmarkStart w:id="560" w:name="_Toc287607812"/>
      <w:bookmarkStart w:id="561" w:name="_Toc430530500"/>
      <w:bookmarkStart w:id="562" w:name="_Toc224103384"/>
      <w:bookmarkStart w:id="563" w:name="_Toc287620751"/>
      <w:bookmarkStart w:id="564" w:name="_Toc200513198"/>
      <w:bookmarkStart w:id="565" w:name="_Toc277082618"/>
    </w:p>
    <w:p w14:paraId="26AE6A00">
      <w:pPr>
        <w:pStyle w:val="3"/>
        <w:spacing w:line="360" w:lineRule="auto"/>
        <w:ind w:firstLine="883" w:firstLineChars="200"/>
        <w:jc w:val="center"/>
        <w:rPr>
          <w:rFonts w:ascii="宋体" w:hAnsi="宋体"/>
          <w:color w:val="auto"/>
          <w:highlight w:val="none"/>
        </w:rPr>
      </w:pPr>
      <w:bookmarkStart w:id="566" w:name="_Toc57905895"/>
      <w:bookmarkStart w:id="567" w:name="_Toc509218774"/>
      <w:bookmarkStart w:id="568" w:name="_Toc6128"/>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66"/>
      <w:bookmarkEnd w:id="567"/>
      <w:bookmarkEnd w:id="568"/>
      <w:bookmarkStart w:id="569" w:name="_Toc287607811"/>
      <w:bookmarkStart w:id="570" w:name="_Toc430530499"/>
      <w:bookmarkStart w:id="571" w:name="_Toc277082617"/>
      <w:bookmarkStart w:id="572" w:name="_Toc287620750"/>
      <w:bookmarkStart w:id="573" w:name="_Toc224103383"/>
    </w:p>
    <w:p w14:paraId="5F313B36">
      <w:pPr>
        <w:pStyle w:val="4"/>
        <w:spacing w:before="100" w:after="100" w:line="360" w:lineRule="auto"/>
        <w:rPr>
          <w:rFonts w:hint="eastAsia" w:ascii="新宋体" w:hAnsi="新宋体" w:eastAsia="新宋体" w:cs="MingLiU"/>
          <w:b/>
          <w:bCs/>
          <w:color w:val="auto"/>
          <w:kern w:val="0"/>
          <w:sz w:val="24"/>
          <w:highlight w:val="none"/>
        </w:rPr>
      </w:pPr>
      <w:bookmarkStart w:id="574" w:name="_Toc14663"/>
      <w:bookmarkStart w:id="575" w:name="_Toc509218775"/>
      <w:bookmarkStart w:id="576" w:name="_Toc57905896"/>
      <w:r>
        <w:rPr>
          <w:rFonts w:hint="eastAsia" w:ascii="宋体" w:hAnsi="宋体"/>
          <w:color w:val="auto"/>
          <w:highlight w:val="none"/>
        </w:rPr>
        <w:t>评标办法前附表</w:t>
      </w:r>
      <w:bookmarkEnd w:id="569"/>
      <w:bookmarkEnd w:id="570"/>
      <w:bookmarkEnd w:id="571"/>
      <w:bookmarkEnd w:id="572"/>
      <w:bookmarkEnd w:id="573"/>
      <w:bookmarkEnd w:id="574"/>
      <w:bookmarkEnd w:id="575"/>
      <w:bookmarkEnd w:id="576"/>
      <w:bookmarkStart w:id="577" w:name="_Toc509218776"/>
    </w:p>
    <w:bookmarkEnd w:id="560"/>
    <w:bookmarkEnd w:id="561"/>
    <w:bookmarkEnd w:id="562"/>
    <w:bookmarkEnd w:id="563"/>
    <w:bookmarkEnd w:id="564"/>
    <w:bookmarkEnd w:id="565"/>
    <w:bookmarkEnd w:id="577"/>
    <w:p w14:paraId="62EE75D2">
      <w:pPr>
        <w:spacing w:line="360" w:lineRule="auto"/>
        <w:ind w:firstLine="420" w:firstLineChars="200"/>
        <w:rPr>
          <w:szCs w:val="21"/>
        </w:rPr>
      </w:pPr>
      <w:r>
        <w:rPr>
          <w:szCs w:val="21"/>
        </w:rPr>
        <w:t>评标办法中的评审内容必须和</w:t>
      </w:r>
      <w:r>
        <w:rPr>
          <w:rFonts w:hint="eastAsia"/>
          <w:szCs w:val="21"/>
          <w:lang w:eastAsia="zh-CN"/>
        </w:rPr>
        <w:t>竞选人</w:t>
      </w:r>
      <w:r>
        <w:rPr>
          <w:szCs w:val="21"/>
        </w:rPr>
        <w:t>须知中的对应内容一致，若</w:t>
      </w:r>
      <w:r>
        <w:rPr>
          <w:rFonts w:hint="eastAsia"/>
          <w:szCs w:val="21"/>
          <w:lang w:eastAsia="zh-CN"/>
        </w:rPr>
        <w:t>竞选人</w:t>
      </w:r>
      <w:r>
        <w:rPr>
          <w:szCs w:val="21"/>
        </w:rPr>
        <w:t>须知中未作要求的内容，不得列入评标办法作为评定依据。</w:t>
      </w:r>
    </w:p>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3617E5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631447BE">
            <w:pPr>
              <w:spacing w:line="400" w:lineRule="exact"/>
              <w:jc w:val="center"/>
              <w:rPr>
                <w:rFonts w:ascii="宋体" w:hAnsi="宋体"/>
                <w:b/>
                <w:kern w:val="0"/>
              </w:rPr>
            </w:pPr>
            <w:r>
              <w:rPr>
                <w:rFonts w:ascii="宋体" w:hAnsi="宋体"/>
                <w:b/>
                <w:kern w:val="0"/>
              </w:rPr>
              <w:t>条款号</w:t>
            </w:r>
          </w:p>
        </w:tc>
        <w:tc>
          <w:tcPr>
            <w:tcW w:w="2559" w:type="dxa"/>
            <w:gridSpan w:val="3"/>
            <w:vAlign w:val="center"/>
          </w:tcPr>
          <w:p w14:paraId="76315AC9">
            <w:pPr>
              <w:spacing w:line="400" w:lineRule="exact"/>
              <w:jc w:val="center"/>
              <w:rPr>
                <w:rFonts w:ascii="宋体" w:hAnsi="宋体"/>
                <w:b/>
                <w:kern w:val="0"/>
              </w:rPr>
            </w:pPr>
            <w:r>
              <w:rPr>
                <w:rFonts w:ascii="宋体" w:hAnsi="宋体"/>
                <w:b/>
                <w:kern w:val="0"/>
              </w:rPr>
              <w:t>评审因素</w:t>
            </w:r>
          </w:p>
        </w:tc>
        <w:tc>
          <w:tcPr>
            <w:tcW w:w="5493" w:type="dxa"/>
            <w:vAlign w:val="center"/>
          </w:tcPr>
          <w:p w14:paraId="2D243F5A">
            <w:pPr>
              <w:spacing w:line="400" w:lineRule="exact"/>
              <w:jc w:val="center"/>
              <w:rPr>
                <w:rFonts w:ascii="宋体" w:hAnsi="宋体"/>
                <w:b/>
                <w:kern w:val="0"/>
              </w:rPr>
            </w:pPr>
            <w:r>
              <w:rPr>
                <w:rFonts w:ascii="宋体" w:hAnsi="宋体"/>
                <w:b/>
                <w:kern w:val="0"/>
              </w:rPr>
              <w:t>评审标准</w:t>
            </w:r>
          </w:p>
        </w:tc>
      </w:tr>
      <w:tr w14:paraId="460E42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724B7BE7">
            <w:pPr>
              <w:spacing w:line="400" w:lineRule="exact"/>
              <w:jc w:val="center"/>
              <w:rPr>
                <w:rFonts w:ascii="宋体" w:hAnsi="宋体"/>
                <w:kern w:val="0"/>
              </w:rPr>
            </w:pPr>
            <w:r>
              <w:rPr>
                <w:rFonts w:hint="eastAsia" w:ascii="宋体" w:hAnsi="宋体"/>
                <w:kern w:val="0"/>
              </w:rPr>
              <w:t>1</w:t>
            </w:r>
          </w:p>
        </w:tc>
        <w:tc>
          <w:tcPr>
            <w:tcW w:w="2559" w:type="dxa"/>
            <w:gridSpan w:val="3"/>
            <w:vAlign w:val="center"/>
          </w:tcPr>
          <w:p w14:paraId="22916420">
            <w:pPr>
              <w:spacing w:line="400" w:lineRule="exact"/>
              <w:jc w:val="center"/>
              <w:rPr>
                <w:rFonts w:ascii="宋体" w:hAnsi="宋体"/>
                <w:kern w:val="0"/>
              </w:rPr>
            </w:pPr>
            <w:r>
              <w:rPr>
                <w:rFonts w:ascii="宋体" w:hAnsi="宋体"/>
                <w:kern w:val="0"/>
              </w:rPr>
              <w:t>评标办法</w:t>
            </w:r>
          </w:p>
        </w:tc>
        <w:tc>
          <w:tcPr>
            <w:tcW w:w="5493" w:type="dxa"/>
            <w:vAlign w:val="center"/>
          </w:tcPr>
          <w:p w14:paraId="61CB73F4">
            <w:pPr>
              <w:spacing w:line="400" w:lineRule="exact"/>
              <w:ind w:firstLine="420" w:firstLineChars="200"/>
              <w:jc w:val="left"/>
              <w:rPr>
                <w:rFonts w:ascii="宋体" w:hAnsi="宋体"/>
                <w:kern w:val="0"/>
              </w:rPr>
            </w:pPr>
            <w:r>
              <w:rPr>
                <w:rFonts w:ascii="宋体" w:hAnsi="宋体"/>
                <w:kern w:val="0"/>
                <w:szCs w:val="21"/>
              </w:rPr>
              <w:t>本次</w:t>
            </w:r>
            <w:r>
              <w:rPr>
                <w:rFonts w:hint="eastAsia" w:ascii="宋体" w:hAnsi="宋体"/>
                <w:kern w:val="0"/>
                <w:szCs w:val="21"/>
              </w:rPr>
              <w:t>评审</w:t>
            </w:r>
            <w:r>
              <w:rPr>
                <w:rFonts w:ascii="宋体" w:hAnsi="宋体"/>
                <w:kern w:val="0"/>
                <w:szCs w:val="21"/>
              </w:rPr>
              <w:t>采用综合评估法</w:t>
            </w:r>
            <w:r>
              <w:rPr>
                <w:rFonts w:ascii="宋体" w:hAnsi="宋体"/>
                <w:spacing w:val="-47"/>
                <w:kern w:val="0"/>
                <w:szCs w:val="21"/>
              </w:rPr>
              <w:t>。</w:t>
            </w:r>
            <w:r>
              <w:rPr>
                <w:rFonts w:hint="eastAsia" w:ascii="宋体" w:hAnsi="宋体"/>
                <w:kern w:val="0"/>
                <w:szCs w:val="21"/>
              </w:rPr>
              <w:t>评审委员会</w:t>
            </w:r>
            <w:r>
              <w:rPr>
                <w:rFonts w:ascii="宋体" w:hAnsi="宋体"/>
                <w:kern w:val="0"/>
                <w:szCs w:val="21"/>
              </w:rPr>
              <w:t>按照本章第</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w:t>
            </w:r>
            <w:r>
              <w:rPr>
                <w:rFonts w:hint="eastAsia" w:ascii="宋体" w:hAnsi="宋体"/>
                <w:kern w:val="0"/>
                <w:szCs w:val="21"/>
              </w:rPr>
              <w:t>中选候选人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w:t>
            </w:r>
            <w:r>
              <w:rPr>
                <w:rFonts w:hint="eastAsia" w:ascii="宋体" w:hAnsi="宋体"/>
                <w:kern w:val="0"/>
                <w:szCs w:val="21"/>
              </w:rPr>
              <w:t>竞选报价</w:t>
            </w:r>
            <w:r>
              <w:rPr>
                <w:rFonts w:ascii="宋体" w:hAnsi="宋体"/>
                <w:kern w:val="0"/>
                <w:szCs w:val="21"/>
              </w:rPr>
              <w:t>低的优先；</w:t>
            </w:r>
            <w:r>
              <w:rPr>
                <w:rFonts w:hint="eastAsia" w:ascii="宋体" w:hAnsi="宋体"/>
                <w:kern w:val="0"/>
                <w:szCs w:val="21"/>
              </w:rPr>
              <w:t>竞选报价</w:t>
            </w:r>
            <w:r>
              <w:rPr>
                <w:rFonts w:ascii="宋体" w:hAnsi="宋体"/>
                <w:kern w:val="0"/>
                <w:szCs w:val="21"/>
              </w:rPr>
              <w:t>相等的，</w:t>
            </w:r>
            <w:r>
              <w:rPr>
                <w:rFonts w:hint="eastAsia" w:ascii="宋体" w:hAnsi="宋体"/>
                <w:kern w:val="0"/>
                <w:szCs w:val="21"/>
              </w:rPr>
              <w:t>由评审委员会按照</w:t>
            </w:r>
            <w:r>
              <w:rPr>
                <w:rFonts w:hint="eastAsia" w:ascii="宋体" w:hAnsi="宋体" w:cs="宋体"/>
                <w:kern w:val="0"/>
                <w:u w:val="single"/>
                <w:lang w:val="en-US" w:eastAsia="zh-CN"/>
              </w:rPr>
              <w:t>技术部分得分由高到低的</w:t>
            </w:r>
            <w:r>
              <w:rPr>
                <w:rFonts w:hint="eastAsia" w:ascii="宋体" w:hAnsi="宋体"/>
                <w:kern w:val="0"/>
                <w:szCs w:val="21"/>
              </w:rPr>
              <w:t>原则排序。</w:t>
            </w:r>
          </w:p>
        </w:tc>
      </w:tr>
      <w:tr w14:paraId="170FCA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F389935">
            <w:pPr>
              <w:spacing w:line="400" w:lineRule="exact"/>
              <w:jc w:val="center"/>
              <w:rPr>
                <w:rFonts w:ascii="宋体" w:hAnsi="宋体"/>
                <w:kern w:val="0"/>
              </w:rPr>
            </w:pPr>
            <w:r>
              <w:rPr>
                <w:rFonts w:ascii="宋体" w:hAnsi="宋体"/>
                <w:kern w:val="0"/>
              </w:rPr>
              <w:t>2.1.</w:t>
            </w:r>
            <w:r>
              <w:rPr>
                <w:rFonts w:hint="eastAsia" w:ascii="宋体" w:hAnsi="宋体"/>
                <w:kern w:val="0"/>
              </w:rPr>
              <w:t>1</w:t>
            </w:r>
          </w:p>
        </w:tc>
        <w:tc>
          <w:tcPr>
            <w:tcW w:w="567" w:type="dxa"/>
            <w:vMerge w:val="restart"/>
            <w:vAlign w:val="center"/>
          </w:tcPr>
          <w:p w14:paraId="3EF25608">
            <w:pPr>
              <w:spacing w:line="400" w:lineRule="exact"/>
              <w:jc w:val="center"/>
              <w:rPr>
                <w:rFonts w:ascii="宋体" w:hAnsi="宋体"/>
                <w:kern w:val="0"/>
              </w:rPr>
            </w:pPr>
            <w:r>
              <w:rPr>
                <w:rFonts w:ascii="宋体" w:hAnsi="宋体"/>
                <w:kern w:val="0"/>
              </w:rPr>
              <w:t>资格评审标准</w:t>
            </w:r>
          </w:p>
        </w:tc>
        <w:tc>
          <w:tcPr>
            <w:tcW w:w="2559" w:type="dxa"/>
            <w:gridSpan w:val="3"/>
            <w:tcBorders>
              <w:bottom w:val="single" w:color="auto" w:sz="4" w:space="0"/>
            </w:tcBorders>
            <w:vAlign w:val="center"/>
          </w:tcPr>
          <w:p w14:paraId="797D0CDB">
            <w:pPr>
              <w:spacing w:line="400" w:lineRule="exact"/>
              <w:jc w:val="left"/>
              <w:rPr>
                <w:rFonts w:ascii="宋体" w:hAnsi="宋体"/>
                <w:kern w:val="0"/>
              </w:rPr>
            </w:pPr>
            <w:r>
              <w:rPr>
                <w:rFonts w:hint="eastAsia" w:ascii="宋体" w:hAnsi="宋体"/>
                <w:kern w:val="0"/>
              </w:rPr>
              <w:t>资质条件</w:t>
            </w:r>
          </w:p>
        </w:tc>
        <w:tc>
          <w:tcPr>
            <w:tcW w:w="5493" w:type="dxa"/>
            <w:vAlign w:val="center"/>
          </w:tcPr>
          <w:p w14:paraId="04B11C1C">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0238B8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01BF1916">
            <w:pPr>
              <w:spacing w:line="400" w:lineRule="exact"/>
              <w:rPr>
                <w:rFonts w:ascii="宋体" w:hAnsi="宋体"/>
              </w:rPr>
            </w:pPr>
          </w:p>
        </w:tc>
        <w:tc>
          <w:tcPr>
            <w:tcW w:w="567" w:type="dxa"/>
            <w:vMerge w:val="continue"/>
            <w:vAlign w:val="top"/>
          </w:tcPr>
          <w:p w14:paraId="2E81C840">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2E014753">
            <w:pPr>
              <w:spacing w:line="400" w:lineRule="exact"/>
              <w:jc w:val="left"/>
              <w:rPr>
                <w:rFonts w:ascii="宋体" w:hAnsi="宋体"/>
                <w:kern w:val="0"/>
              </w:rPr>
            </w:pPr>
            <w:r>
              <w:rPr>
                <w:rFonts w:hint="eastAsia" w:ascii="宋体" w:hAnsi="宋体"/>
                <w:kern w:val="0"/>
              </w:rPr>
              <w:t>营业执照</w:t>
            </w:r>
          </w:p>
        </w:tc>
        <w:tc>
          <w:tcPr>
            <w:tcW w:w="5493" w:type="dxa"/>
            <w:vAlign w:val="center"/>
          </w:tcPr>
          <w:p w14:paraId="16DE2878">
            <w:pPr>
              <w:autoSpaceDE w:val="0"/>
              <w:autoSpaceDN w:val="0"/>
              <w:adjustRightInd w:val="0"/>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1B4A49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03" w:hRule="atLeast"/>
          <w:jc w:val="center"/>
        </w:trPr>
        <w:tc>
          <w:tcPr>
            <w:tcW w:w="851" w:type="dxa"/>
            <w:gridSpan w:val="2"/>
            <w:vMerge w:val="continue"/>
            <w:vAlign w:val="top"/>
          </w:tcPr>
          <w:p w14:paraId="2295F2D0">
            <w:pPr>
              <w:spacing w:line="400" w:lineRule="exact"/>
              <w:rPr>
                <w:rFonts w:ascii="宋体" w:hAnsi="宋体"/>
              </w:rPr>
            </w:pPr>
          </w:p>
        </w:tc>
        <w:tc>
          <w:tcPr>
            <w:tcW w:w="567" w:type="dxa"/>
            <w:vMerge w:val="continue"/>
            <w:vAlign w:val="top"/>
          </w:tcPr>
          <w:p w14:paraId="37CC8596">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3C2245A4">
            <w:pPr>
              <w:spacing w:line="400" w:lineRule="exact"/>
              <w:jc w:val="left"/>
              <w:rPr>
                <w:rFonts w:ascii="宋体" w:hAnsi="宋体"/>
                <w:kern w:val="0"/>
              </w:rPr>
            </w:pPr>
            <w:r>
              <w:rPr>
                <w:rFonts w:hint="eastAsia" w:ascii="宋体" w:hAnsi="宋体"/>
                <w:kern w:val="0"/>
              </w:rPr>
              <w:t>安全生产条件</w:t>
            </w:r>
          </w:p>
        </w:tc>
        <w:tc>
          <w:tcPr>
            <w:tcW w:w="5493" w:type="dxa"/>
            <w:vAlign w:val="center"/>
          </w:tcPr>
          <w:p w14:paraId="61A36895">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7D2CE7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43994E50">
            <w:pPr>
              <w:spacing w:line="400" w:lineRule="exact"/>
              <w:rPr>
                <w:rFonts w:ascii="宋体" w:hAnsi="宋体"/>
              </w:rPr>
            </w:pPr>
          </w:p>
        </w:tc>
        <w:tc>
          <w:tcPr>
            <w:tcW w:w="567" w:type="dxa"/>
            <w:vMerge w:val="continue"/>
            <w:vAlign w:val="top"/>
          </w:tcPr>
          <w:p w14:paraId="1D97FA4E">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14F96969">
            <w:pPr>
              <w:spacing w:line="400" w:lineRule="exact"/>
              <w:jc w:val="left"/>
              <w:rPr>
                <w:rFonts w:ascii="宋体" w:hAnsi="宋体"/>
                <w:kern w:val="0"/>
              </w:rPr>
            </w:pPr>
            <w:r>
              <w:rPr>
                <w:rFonts w:ascii="宋体" w:hAnsi="宋体"/>
                <w:szCs w:val="21"/>
              </w:rPr>
              <w:t>投标截止日投标资格情况</w:t>
            </w:r>
          </w:p>
        </w:tc>
        <w:tc>
          <w:tcPr>
            <w:tcW w:w="5493" w:type="dxa"/>
            <w:vAlign w:val="center"/>
          </w:tcPr>
          <w:p w14:paraId="365C7E61">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619C97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407212B5">
            <w:pPr>
              <w:spacing w:line="400" w:lineRule="exact"/>
              <w:rPr>
                <w:rFonts w:ascii="宋体" w:hAnsi="宋体"/>
              </w:rPr>
            </w:pPr>
          </w:p>
        </w:tc>
        <w:tc>
          <w:tcPr>
            <w:tcW w:w="567" w:type="dxa"/>
            <w:vMerge w:val="continue"/>
            <w:vAlign w:val="top"/>
          </w:tcPr>
          <w:p w14:paraId="77FBA733">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1238E062">
            <w:pPr>
              <w:spacing w:line="400" w:lineRule="exact"/>
              <w:jc w:val="left"/>
              <w:rPr>
                <w:rFonts w:ascii="宋体" w:hAnsi="宋体"/>
                <w:szCs w:val="21"/>
              </w:rPr>
            </w:pPr>
            <w:r>
              <w:rPr>
                <w:rFonts w:ascii="宋体" w:hAnsi="宋体"/>
                <w:kern w:val="0"/>
              </w:rPr>
              <w:t>项目经理资格</w:t>
            </w:r>
            <w:r>
              <w:rPr>
                <w:rFonts w:hint="eastAsia" w:ascii="宋体" w:hAnsi="宋体"/>
                <w:kern w:val="0"/>
              </w:rPr>
              <w:t>要求</w:t>
            </w:r>
          </w:p>
        </w:tc>
        <w:tc>
          <w:tcPr>
            <w:tcW w:w="5493" w:type="dxa"/>
            <w:vAlign w:val="center"/>
          </w:tcPr>
          <w:p w14:paraId="4FA48B07">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0F187E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6" w:hRule="atLeast"/>
          <w:jc w:val="center"/>
        </w:trPr>
        <w:tc>
          <w:tcPr>
            <w:tcW w:w="851" w:type="dxa"/>
            <w:gridSpan w:val="2"/>
            <w:vMerge w:val="continue"/>
            <w:vAlign w:val="top"/>
          </w:tcPr>
          <w:p w14:paraId="1D27970F">
            <w:pPr>
              <w:spacing w:line="400" w:lineRule="exact"/>
              <w:rPr>
                <w:rFonts w:ascii="宋体" w:hAnsi="宋体"/>
              </w:rPr>
            </w:pPr>
          </w:p>
        </w:tc>
        <w:tc>
          <w:tcPr>
            <w:tcW w:w="567" w:type="dxa"/>
            <w:vMerge w:val="continue"/>
            <w:vAlign w:val="top"/>
          </w:tcPr>
          <w:p w14:paraId="3C293629">
            <w:pPr>
              <w:spacing w:line="400" w:lineRule="exact"/>
              <w:rPr>
                <w:rFonts w:ascii="宋体" w:hAnsi="宋体"/>
              </w:rPr>
            </w:pPr>
          </w:p>
        </w:tc>
        <w:tc>
          <w:tcPr>
            <w:tcW w:w="2559" w:type="dxa"/>
            <w:gridSpan w:val="3"/>
            <w:tcBorders>
              <w:top w:val="single" w:color="auto" w:sz="4" w:space="0"/>
              <w:bottom w:val="single" w:color="auto" w:sz="4" w:space="0"/>
            </w:tcBorders>
            <w:vAlign w:val="top"/>
          </w:tcPr>
          <w:p w14:paraId="5BF80342">
            <w:pPr>
              <w:spacing w:line="400" w:lineRule="exact"/>
              <w:jc w:val="left"/>
              <w:rPr>
                <w:rFonts w:ascii="宋体" w:hAnsi="宋体"/>
                <w:kern w:val="0"/>
              </w:rPr>
            </w:pPr>
            <w:r>
              <w:rPr>
                <w:rFonts w:ascii="宋体" w:hAnsi="宋体"/>
                <w:kern w:val="0"/>
              </w:rPr>
              <w:t>其他要求</w:t>
            </w:r>
          </w:p>
        </w:tc>
        <w:tc>
          <w:tcPr>
            <w:tcW w:w="5493" w:type="dxa"/>
            <w:vAlign w:val="center"/>
          </w:tcPr>
          <w:p w14:paraId="7704B49D">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须知”第1.4.1项规定</w:t>
            </w:r>
          </w:p>
        </w:tc>
      </w:tr>
      <w:tr w14:paraId="58A9D8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435D23F">
            <w:pPr>
              <w:spacing w:line="400" w:lineRule="exact"/>
              <w:jc w:val="center"/>
              <w:rPr>
                <w:rFonts w:ascii="宋体" w:hAnsi="宋体"/>
              </w:rPr>
            </w:pPr>
            <w:r>
              <w:rPr>
                <w:rFonts w:ascii="宋体" w:hAnsi="宋体"/>
                <w:kern w:val="0"/>
              </w:rPr>
              <w:t>2.1.</w:t>
            </w:r>
            <w:r>
              <w:rPr>
                <w:rFonts w:hint="eastAsia" w:ascii="宋体" w:hAnsi="宋体"/>
                <w:kern w:val="0"/>
              </w:rPr>
              <w:t>2</w:t>
            </w:r>
          </w:p>
        </w:tc>
        <w:tc>
          <w:tcPr>
            <w:tcW w:w="567" w:type="dxa"/>
            <w:vMerge w:val="restart"/>
            <w:vAlign w:val="center"/>
          </w:tcPr>
          <w:p w14:paraId="0D1C32EF">
            <w:pPr>
              <w:spacing w:line="400" w:lineRule="exact"/>
              <w:jc w:val="center"/>
              <w:rPr>
                <w:rFonts w:ascii="宋体" w:hAnsi="宋体"/>
              </w:rPr>
            </w:pPr>
            <w:r>
              <w:rPr>
                <w:rFonts w:ascii="宋体" w:hAnsi="宋体"/>
                <w:kern w:val="0"/>
              </w:rPr>
              <w:t>形式评审标准</w:t>
            </w:r>
          </w:p>
        </w:tc>
        <w:tc>
          <w:tcPr>
            <w:tcW w:w="2559" w:type="dxa"/>
            <w:gridSpan w:val="3"/>
            <w:tcBorders>
              <w:top w:val="single" w:color="auto" w:sz="4" w:space="0"/>
              <w:bottom w:val="single" w:color="auto" w:sz="4" w:space="0"/>
            </w:tcBorders>
            <w:vAlign w:val="center"/>
          </w:tcPr>
          <w:p w14:paraId="1A5F21E3">
            <w:pPr>
              <w:spacing w:line="400" w:lineRule="exact"/>
              <w:jc w:val="left"/>
              <w:rPr>
                <w:rFonts w:ascii="宋体" w:hAnsi="宋体"/>
                <w:kern w:val="0"/>
              </w:rPr>
            </w:pPr>
            <w:r>
              <w:rPr>
                <w:rFonts w:hint="eastAsia" w:ascii="宋体" w:hAnsi="宋体"/>
                <w:kern w:val="0"/>
                <w:lang w:eastAsia="zh-CN"/>
              </w:rPr>
              <w:t>竞选人</w:t>
            </w:r>
            <w:r>
              <w:rPr>
                <w:rFonts w:ascii="宋体" w:hAnsi="宋体"/>
                <w:kern w:val="0"/>
              </w:rPr>
              <w:t>名称</w:t>
            </w:r>
          </w:p>
        </w:tc>
        <w:tc>
          <w:tcPr>
            <w:tcW w:w="5493" w:type="dxa"/>
            <w:vAlign w:val="center"/>
          </w:tcPr>
          <w:p w14:paraId="20CB5256">
            <w:pPr>
              <w:spacing w:line="400" w:lineRule="exact"/>
              <w:ind w:firstLine="420" w:firstLineChars="200"/>
              <w:rPr>
                <w:rFonts w:ascii="宋体" w:hAnsi="宋体"/>
                <w:kern w:val="0"/>
              </w:rPr>
            </w:pPr>
            <w:r>
              <w:rPr>
                <w:rFonts w:ascii="宋体" w:hAnsi="宋体"/>
                <w:kern w:val="0"/>
              </w:rPr>
              <w:t>与营业执照、资质证书、安全生产许可证一致</w:t>
            </w:r>
            <w:r>
              <w:rPr>
                <w:rFonts w:hint="eastAsia" w:ascii="宋体" w:hAnsi="宋体"/>
                <w:kern w:val="0"/>
              </w:rPr>
              <w:t>，依法变更名称的应提交相应证明材料</w:t>
            </w:r>
            <w:r>
              <w:rPr>
                <w:rFonts w:ascii="宋体" w:hAnsi="宋体"/>
                <w:kern w:val="0"/>
              </w:rPr>
              <w:t>。</w:t>
            </w:r>
          </w:p>
        </w:tc>
      </w:tr>
      <w:tr w14:paraId="23B129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5EBA1132">
            <w:pPr>
              <w:spacing w:line="400" w:lineRule="exact"/>
              <w:rPr>
                <w:rFonts w:ascii="宋体" w:hAnsi="宋体"/>
              </w:rPr>
            </w:pPr>
          </w:p>
        </w:tc>
        <w:tc>
          <w:tcPr>
            <w:tcW w:w="567" w:type="dxa"/>
            <w:vMerge w:val="continue"/>
            <w:vAlign w:val="top"/>
          </w:tcPr>
          <w:p w14:paraId="1F1B9D20">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372B08AE">
            <w:pPr>
              <w:spacing w:line="400" w:lineRule="exact"/>
              <w:jc w:val="left"/>
              <w:rPr>
                <w:rFonts w:ascii="宋体" w:hAnsi="宋体"/>
                <w:kern w:val="0"/>
              </w:rPr>
            </w:pPr>
            <w:r>
              <w:rPr>
                <w:rFonts w:ascii="宋体" w:hAnsi="宋体"/>
                <w:kern w:val="0"/>
              </w:rPr>
              <w:t>投标函</w:t>
            </w:r>
            <w:r>
              <w:rPr>
                <w:rFonts w:hint="eastAsia" w:ascii="宋体" w:hAnsi="宋体"/>
                <w:kern w:val="0"/>
              </w:rPr>
              <w:t>签名</w:t>
            </w:r>
            <w:r>
              <w:rPr>
                <w:rFonts w:ascii="宋体" w:hAnsi="宋体"/>
                <w:kern w:val="0"/>
              </w:rPr>
              <w:t>盖章</w:t>
            </w:r>
          </w:p>
        </w:tc>
        <w:tc>
          <w:tcPr>
            <w:tcW w:w="5493" w:type="dxa"/>
            <w:vAlign w:val="center"/>
          </w:tcPr>
          <w:p w14:paraId="7076761F">
            <w:pPr>
              <w:spacing w:line="400" w:lineRule="exact"/>
              <w:ind w:firstLine="420" w:firstLineChars="200"/>
              <w:rPr>
                <w:rFonts w:ascii="宋体" w:hAnsi="宋体"/>
                <w:kern w:val="0"/>
              </w:rPr>
            </w:pPr>
            <w:r>
              <w:rPr>
                <w:rFonts w:ascii="宋体" w:hAnsi="宋体"/>
                <w:kern w:val="0"/>
              </w:rPr>
              <w:t>投标函格式规定</w:t>
            </w:r>
            <w:r>
              <w:rPr>
                <w:rFonts w:hint="eastAsia" w:ascii="宋体" w:hAnsi="宋体"/>
                <w:kern w:val="0"/>
              </w:rPr>
              <w:t>签名、</w:t>
            </w:r>
            <w:r>
              <w:rPr>
                <w:rFonts w:ascii="宋体" w:hAnsi="宋体"/>
                <w:kern w:val="0"/>
              </w:rPr>
              <w:t>盖章的位置有法定代表人或其委托代理人</w:t>
            </w:r>
            <w:r>
              <w:rPr>
                <w:rFonts w:hint="eastAsia" w:ascii="宋体" w:hAnsi="宋体"/>
                <w:kern w:val="0"/>
              </w:rPr>
              <w:t>签名</w:t>
            </w:r>
            <w:r>
              <w:rPr>
                <w:rFonts w:ascii="宋体" w:hAnsi="宋体"/>
                <w:kern w:val="0"/>
              </w:rPr>
              <w:t>（或盖章）、加盖单位法人章。</w:t>
            </w:r>
          </w:p>
        </w:tc>
      </w:tr>
      <w:tr w14:paraId="21C9A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74BF60AB">
            <w:pPr>
              <w:spacing w:line="400" w:lineRule="exact"/>
              <w:rPr>
                <w:rFonts w:ascii="宋体" w:hAnsi="宋体"/>
              </w:rPr>
            </w:pPr>
          </w:p>
        </w:tc>
        <w:tc>
          <w:tcPr>
            <w:tcW w:w="567" w:type="dxa"/>
            <w:vMerge w:val="continue"/>
            <w:vAlign w:val="top"/>
          </w:tcPr>
          <w:p w14:paraId="4A30703C">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2E31A3FC">
            <w:pPr>
              <w:spacing w:line="400" w:lineRule="exact"/>
              <w:jc w:val="left"/>
              <w:rPr>
                <w:rFonts w:ascii="宋体" w:hAnsi="宋体"/>
                <w:kern w:val="0"/>
              </w:rPr>
            </w:pPr>
            <w:r>
              <w:rPr>
                <w:rFonts w:hint="eastAsia" w:ascii="宋体" w:hAnsi="宋体"/>
                <w:kern w:val="0"/>
                <w:lang w:eastAsia="zh-CN"/>
              </w:rPr>
              <w:t>竞选文件</w:t>
            </w:r>
            <w:r>
              <w:rPr>
                <w:rFonts w:ascii="宋体" w:hAnsi="宋体"/>
                <w:kern w:val="0"/>
              </w:rPr>
              <w:t>格式</w:t>
            </w:r>
          </w:p>
        </w:tc>
        <w:tc>
          <w:tcPr>
            <w:tcW w:w="5493" w:type="dxa"/>
            <w:vAlign w:val="center"/>
          </w:tcPr>
          <w:p w14:paraId="26FBE600">
            <w:pPr>
              <w:spacing w:line="400" w:lineRule="exact"/>
              <w:ind w:firstLine="420" w:firstLineChars="200"/>
              <w:rPr>
                <w:rFonts w:ascii="宋体" w:hAnsi="宋体"/>
                <w:kern w:val="0"/>
              </w:rPr>
            </w:pPr>
            <w:r>
              <w:rPr>
                <w:rFonts w:ascii="宋体" w:hAnsi="宋体"/>
                <w:kern w:val="0"/>
              </w:rPr>
              <w:t>符合</w:t>
            </w:r>
            <w:r>
              <w:rPr>
                <w:rFonts w:hint="eastAsia" w:ascii="宋体" w:hAnsi="宋体"/>
                <w:kern w:val="0"/>
              </w:rPr>
              <w:t>第二</w:t>
            </w:r>
            <w:r>
              <w:rPr>
                <w:rFonts w:ascii="宋体" w:hAnsi="宋体"/>
                <w:kern w:val="0"/>
              </w:rPr>
              <w:t>章“</w:t>
            </w:r>
            <w:r>
              <w:rPr>
                <w:rFonts w:hint="eastAsia" w:ascii="宋体" w:hAnsi="宋体"/>
                <w:kern w:val="0"/>
                <w:lang w:eastAsia="zh-CN"/>
              </w:rPr>
              <w:t>竞选人</w:t>
            </w:r>
            <w:r>
              <w:rPr>
                <w:rFonts w:hint="eastAsia" w:ascii="宋体" w:hAnsi="宋体"/>
                <w:kern w:val="0"/>
              </w:rPr>
              <w:t>须知</w:t>
            </w:r>
            <w:r>
              <w:rPr>
                <w:rFonts w:ascii="宋体" w:hAnsi="宋体"/>
                <w:kern w:val="0"/>
              </w:rPr>
              <w:t>”</w:t>
            </w:r>
            <w:r>
              <w:rPr>
                <w:rFonts w:hint="eastAsia" w:ascii="宋体" w:hAnsi="宋体"/>
                <w:kern w:val="0"/>
              </w:rPr>
              <w:t>第3.7款</w:t>
            </w:r>
            <w:r>
              <w:rPr>
                <w:rFonts w:ascii="宋体" w:hAnsi="宋体"/>
                <w:kern w:val="0"/>
              </w:rPr>
              <w:t>的要求。</w:t>
            </w:r>
          </w:p>
        </w:tc>
      </w:tr>
      <w:tr w14:paraId="6601A1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87" w:hRule="atLeast"/>
          <w:jc w:val="center"/>
        </w:trPr>
        <w:tc>
          <w:tcPr>
            <w:tcW w:w="851" w:type="dxa"/>
            <w:gridSpan w:val="2"/>
            <w:vMerge w:val="continue"/>
            <w:vAlign w:val="top"/>
          </w:tcPr>
          <w:p w14:paraId="14A5D258">
            <w:pPr>
              <w:spacing w:line="400" w:lineRule="exact"/>
              <w:rPr>
                <w:rFonts w:ascii="宋体" w:hAnsi="宋体"/>
              </w:rPr>
            </w:pPr>
          </w:p>
        </w:tc>
        <w:tc>
          <w:tcPr>
            <w:tcW w:w="567" w:type="dxa"/>
            <w:vMerge w:val="continue"/>
            <w:vAlign w:val="top"/>
          </w:tcPr>
          <w:p w14:paraId="5CAEBCD9">
            <w:pPr>
              <w:spacing w:line="400" w:lineRule="exact"/>
              <w:rPr>
                <w:rFonts w:ascii="宋体" w:hAnsi="宋体"/>
              </w:rPr>
            </w:pPr>
          </w:p>
        </w:tc>
        <w:tc>
          <w:tcPr>
            <w:tcW w:w="2559" w:type="dxa"/>
            <w:gridSpan w:val="3"/>
            <w:tcBorders>
              <w:top w:val="single" w:color="auto" w:sz="4" w:space="0"/>
            </w:tcBorders>
            <w:vAlign w:val="center"/>
          </w:tcPr>
          <w:p w14:paraId="697EF4C1">
            <w:pPr>
              <w:spacing w:line="400" w:lineRule="exact"/>
              <w:jc w:val="left"/>
              <w:rPr>
                <w:rFonts w:ascii="宋体" w:hAnsi="宋体"/>
                <w:kern w:val="0"/>
              </w:rPr>
            </w:pPr>
            <w:r>
              <w:rPr>
                <w:rFonts w:hint="eastAsia" w:ascii="宋体" w:hAnsi="宋体"/>
                <w:kern w:val="0"/>
                <w:lang w:eastAsia="zh-CN"/>
              </w:rPr>
              <w:t>竞选文件</w:t>
            </w:r>
            <w:r>
              <w:rPr>
                <w:rFonts w:hint="eastAsia" w:ascii="宋体" w:hAnsi="宋体"/>
                <w:kern w:val="0"/>
              </w:rPr>
              <w:t>份数</w:t>
            </w:r>
          </w:p>
        </w:tc>
        <w:tc>
          <w:tcPr>
            <w:tcW w:w="5493" w:type="dxa"/>
            <w:vAlign w:val="center"/>
          </w:tcPr>
          <w:p w14:paraId="22760021">
            <w:pPr>
              <w:spacing w:line="400" w:lineRule="exact"/>
              <w:ind w:firstLine="420" w:firstLineChars="200"/>
              <w:rPr>
                <w:rFonts w:ascii="宋体" w:hAnsi="宋体"/>
                <w:kern w:val="0"/>
              </w:rPr>
            </w:pPr>
            <w:r>
              <w:rPr>
                <w:rFonts w:hint="eastAsia" w:ascii="宋体" w:hAnsi="宋体"/>
                <w:kern w:val="0"/>
              </w:rPr>
              <w:t>符合第二章“</w:t>
            </w:r>
            <w:r>
              <w:rPr>
                <w:rFonts w:hint="eastAsia" w:ascii="宋体" w:hAnsi="宋体"/>
                <w:kern w:val="0"/>
                <w:lang w:eastAsia="zh-CN"/>
              </w:rPr>
              <w:t>竞选人</w:t>
            </w:r>
            <w:r>
              <w:rPr>
                <w:rFonts w:hint="eastAsia" w:ascii="宋体" w:hAnsi="宋体"/>
                <w:kern w:val="0"/>
              </w:rPr>
              <w:t>须知”第3.7.4项规定。</w:t>
            </w:r>
          </w:p>
        </w:tc>
      </w:tr>
      <w:tr w14:paraId="3BA3C5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5C7F4B01">
            <w:pPr>
              <w:spacing w:line="400" w:lineRule="exact"/>
              <w:rPr>
                <w:rFonts w:ascii="宋体" w:hAnsi="宋体"/>
              </w:rPr>
            </w:pPr>
          </w:p>
        </w:tc>
        <w:tc>
          <w:tcPr>
            <w:tcW w:w="567" w:type="dxa"/>
            <w:vMerge w:val="continue"/>
            <w:vAlign w:val="top"/>
          </w:tcPr>
          <w:p w14:paraId="2F5A18AC">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011EA245">
            <w:pPr>
              <w:spacing w:line="400" w:lineRule="exact"/>
              <w:jc w:val="left"/>
              <w:rPr>
                <w:rFonts w:ascii="宋体" w:hAnsi="宋体"/>
                <w:kern w:val="0"/>
              </w:rPr>
            </w:pPr>
            <w:r>
              <w:rPr>
                <w:rFonts w:ascii="宋体" w:hAnsi="宋体"/>
                <w:kern w:val="0"/>
              </w:rPr>
              <w:t>报价唯一</w:t>
            </w:r>
          </w:p>
        </w:tc>
        <w:tc>
          <w:tcPr>
            <w:tcW w:w="5493" w:type="dxa"/>
            <w:vAlign w:val="center"/>
          </w:tcPr>
          <w:p w14:paraId="2097D267">
            <w:pPr>
              <w:spacing w:line="400" w:lineRule="exact"/>
              <w:ind w:firstLine="420" w:firstLineChars="200"/>
              <w:rPr>
                <w:rFonts w:ascii="宋体" w:hAnsi="宋体"/>
                <w:kern w:val="0"/>
              </w:rPr>
            </w:pPr>
            <w:r>
              <w:rPr>
                <w:rFonts w:ascii="宋体" w:hAnsi="宋体"/>
                <w:kern w:val="0"/>
              </w:rPr>
              <w:t>只能有一个有效报价，在招标文件没有规定的情况下，不得提交选择性报价。</w:t>
            </w:r>
          </w:p>
        </w:tc>
      </w:tr>
      <w:tr w14:paraId="6E8489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30F8C360">
            <w:pPr>
              <w:spacing w:line="400" w:lineRule="exact"/>
              <w:rPr>
                <w:rFonts w:ascii="宋体" w:hAnsi="宋体"/>
              </w:rPr>
            </w:pPr>
          </w:p>
        </w:tc>
        <w:tc>
          <w:tcPr>
            <w:tcW w:w="567" w:type="dxa"/>
            <w:vMerge w:val="continue"/>
            <w:vAlign w:val="top"/>
          </w:tcPr>
          <w:p w14:paraId="6BBBF56B">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752EF942">
            <w:pPr>
              <w:spacing w:line="400" w:lineRule="exact"/>
              <w:jc w:val="left"/>
              <w:rPr>
                <w:rFonts w:ascii="宋体" w:hAnsi="宋体"/>
                <w:kern w:val="0"/>
              </w:rPr>
            </w:pPr>
            <w:r>
              <w:rPr>
                <w:rFonts w:hint="eastAsia" w:ascii="宋体" w:hAnsi="宋体"/>
                <w:kern w:val="0"/>
                <w:lang w:eastAsia="zh-CN"/>
              </w:rPr>
              <w:t>竞选文件</w:t>
            </w:r>
            <w:r>
              <w:rPr>
                <w:rFonts w:ascii="宋体" w:hAnsi="宋体"/>
                <w:kern w:val="0"/>
              </w:rPr>
              <w:t>的签署</w:t>
            </w:r>
          </w:p>
        </w:tc>
        <w:tc>
          <w:tcPr>
            <w:tcW w:w="5493" w:type="dxa"/>
            <w:vAlign w:val="center"/>
          </w:tcPr>
          <w:p w14:paraId="0ABB7511">
            <w:pPr>
              <w:spacing w:line="400" w:lineRule="exact"/>
              <w:ind w:firstLine="420" w:firstLineChars="200"/>
              <w:rPr>
                <w:rFonts w:ascii="宋体" w:hAnsi="宋体"/>
                <w:kern w:val="0"/>
              </w:rPr>
            </w:pPr>
            <w:r>
              <w:rPr>
                <w:rFonts w:hint="eastAsia" w:ascii="宋体" w:hAnsi="宋体"/>
                <w:kern w:val="0"/>
              </w:rPr>
              <w:t xml:space="preserve">第八章 </w:t>
            </w:r>
            <w:r>
              <w:rPr>
                <w:rFonts w:hint="eastAsia" w:ascii="宋体" w:hAnsi="宋体"/>
                <w:kern w:val="0"/>
                <w:lang w:eastAsia="zh-CN"/>
              </w:rPr>
              <w:t>竞选文件</w:t>
            </w:r>
            <w:r>
              <w:rPr>
                <w:rFonts w:hint="eastAsia" w:ascii="宋体" w:hAnsi="宋体"/>
                <w:kern w:val="0"/>
              </w:rPr>
              <w:t>格式要求</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tc>
      </w:tr>
      <w:tr w14:paraId="5D8CC7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081017AC">
            <w:pPr>
              <w:spacing w:line="400" w:lineRule="exact"/>
              <w:rPr>
                <w:rFonts w:ascii="宋体" w:hAnsi="宋体"/>
              </w:rPr>
            </w:pPr>
          </w:p>
        </w:tc>
        <w:tc>
          <w:tcPr>
            <w:tcW w:w="567" w:type="dxa"/>
            <w:vMerge w:val="continue"/>
            <w:vAlign w:val="top"/>
          </w:tcPr>
          <w:p w14:paraId="54F91122">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18606EAA">
            <w:pPr>
              <w:spacing w:line="400" w:lineRule="exact"/>
              <w:jc w:val="left"/>
              <w:rPr>
                <w:rFonts w:ascii="宋体" w:hAnsi="宋体"/>
                <w:kern w:val="0"/>
              </w:rPr>
            </w:pPr>
            <w:r>
              <w:rPr>
                <w:rFonts w:ascii="宋体" w:hAnsi="宋体"/>
                <w:kern w:val="0"/>
              </w:rPr>
              <w:t>委托代理人</w:t>
            </w:r>
          </w:p>
        </w:tc>
        <w:tc>
          <w:tcPr>
            <w:tcW w:w="5493" w:type="dxa"/>
            <w:vAlign w:val="center"/>
          </w:tcPr>
          <w:p w14:paraId="65C15B5F">
            <w:pPr>
              <w:spacing w:line="400" w:lineRule="exact"/>
              <w:ind w:firstLine="420" w:firstLineChars="200"/>
              <w:rPr>
                <w:rFonts w:ascii="宋体" w:hAnsi="宋体"/>
                <w:kern w:val="0"/>
              </w:rPr>
            </w:pPr>
            <w:r>
              <w:rPr>
                <w:rFonts w:hint="eastAsia" w:ascii="宋体" w:hAnsi="宋体"/>
                <w:kern w:val="0"/>
                <w:lang w:eastAsia="zh-CN"/>
              </w:rPr>
              <w:t>竞选人</w:t>
            </w:r>
            <w:r>
              <w:rPr>
                <w:rFonts w:ascii="宋体" w:hAnsi="宋体"/>
                <w:kern w:val="0"/>
              </w:rPr>
              <w:t>法定代表人的委托代理人有法定代表人签署的授权委托书</w:t>
            </w:r>
            <w:r>
              <w:rPr>
                <w:rFonts w:hint="eastAsia" w:ascii="宋体" w:hAnsi="宋体"/>
                <w:kern w:val="0"/>
              </w:rPr>
              <w:t>和</w:t>
            </w:r>
            <w:r>
              <w:rPr>
                <w:rFonts w:hint="eastAsia" w:ascii="宋体" w:hAnsi="宋体"/>
                <w:kern w:val="0"/>
                <w:lang w:eastAsia="zh-CN"/>
              </w:rPr>
              <w:t>竞选人</w:t>
            </w:r>
            <w:r>
              <w:rPr>
                <w:rFonts w:hint="eastAsia" w:ascii="宋体" w:hAnsi="宋体"/>
                <w:kern w:val="0"/>
              </w:rPr>
              <w:t>为其缴纳的养老保险。</w:t>
            </w:r>
          </w:p>
        </w:tc>
      </w:tr>
      <w:tr w14:paraId="227D1D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69979D2">
            <w:pPr>
              <w:spacing w:line="400" w:lineRule="exact"/>
              <w:jc w:val="center"/>
              <w:rPr>
                <w:rFonts w:ascii="宋体" w:hAnsi="宋体"/>
              </w:rPr>
            </w:pPr>
            <w:r>
              <w:rPr>
                <w:rFonts w:ascii="宋体" w:hAnsi="宋体"/>
                <w:kern w:val="0"/>
              </w:rPr>
              <w:t>2.1.3</w:t>
            </w:r>
          </w:p>
        </w:tc>
        <w:tc>
          <w:tcPr>
            <w:tcW w:w="567" w:type="dxa"/>
            <w:vMerge w:val="restart"/>
            <w:vAlign w:val="center"/>
          </w:tcPr>
          <w:p w14:paraId="754A15AD">
            <w:pPr>
              <w:spacing w:line="400" w:lineRule="exact"/>
              <w:jc w:val="center"/>
              <w:rPr>
                <w:rFonts w:ascii="宋体" w:hAnsi="宋体"/>
              </w:rPr>
            </w:pPr>
            <w:r>
              <w:rPr>
                <w:rFonts w:ascii="宋体" w:hAnsi="宋体"/>
                <w:kern w:val="0"/>
              </w:rPr>
              <w:t>响应性评审标准</w:t>
            </w:r>
          </w:p>
        </w:tc>
        <w:tc>
          <w:tcPr>
            <w:tcW w:w="2559" w:type="dxa"/>
            <w:gridSpan w:val="3"/>
            <w:vAlign w:val="center"/>
          </w:tcPr>
          <w:p w14:paraId="4F3472D0">
            <w:pPr>
              <w:spacing w:line="400" w:lineRule="exact"/>
              <w:jc w:val="left"/>
              <w:rPr>
                <w:rFonts w:ascii="宋体" w:hAnsi="宋体"/>
                <w:kern w:val="0"/>
              </w:rPr>
            </w:pPr>
            <w:r>
              <w:rPr>
                <w:rFonts w:ascii="宋体" w:hAnsi="宋体"/>
                <w:kern w:val="0"/>
              </w:rPr>
              <w:t>投标总报价</w:t>
            </w:r>
          </w:p>
        </w:tc>
        <w:tc>
          <w:tcPr>
            <w:tcW w:w="5493" w:type="dxa"/>
            <w:vAlign w:val="center"/>
          </w:tcPr>
          <w:p w14:paraId="74F7F822">
            <w:pPr>
              <w:spacing w:line="400" w:lineRule="exact"/>
              <w:ind w:firstLine="420" w:firstLineChars="200"/>
              <w:rPr>
                <w:rFonts w:ascii="宋体" w:hAnsi="宋体"/>
                <w:kern w:val="0"/>
              </w:rPr>
            </w:pPr>
            <w:r>
              <w:rPr>
                <w:rFonts w:hint="eastAsia" w:ascii="宋体" w:hAnsi="宋体"/>
                <w:kern w:val="0"/>
              </w:rPr>
              <w:t>1.</w:t>
            </w:r>
            <w:r>
              <w:rPr>
                <w:rFonts w:hint="eastAsia" w:ascii="宋体" w:hAnsi="宋体" w:cs="宋体"/>
                <w:szCs w:val="21"/>
              </w:rPr>
              <w:t>投标总报价必须与已标价工程量清单总报价一致。</w:t>
            </w:r>
          </w:p>
          <w:p w14:paraId="232AFD82">
            <w:pPr>
              <w:spacing w:line="400" w:lineRule="exact"/>
              <w:ind w:firstLine="420" w:firstLineChars="200"/>
              <w:rPr>
                <w:rFonts w:ascii="宋体" w:hAnsi="宋体"/>
                <w:kern w:val="0"/>
              </w:rPr>
            </w:pPr>
            <w:r>
              <w:rPr>
                <w:rFonts w:hint="eastAsia" w:ascii="宋体" w:hAnsi="宋体"/>
                <w:kern w:val="0"/>
              </w:rPr>
              <w:t>2</w:t>
            </w:r>
            <w:r>
              <w:rPr>
                <w:rFonts w:ascii="宋体" w:hAnsi="宋体"/>
                <w:kern w:val="0"/>
              </w:rPr>
              <w:t>.投标总报价不得高于</w:t>
            </w:r>
            <w:r>
              <w:rPr>
                <w:rFonts w:hint="eastAsia" w:ascii="宋体" w:hAnsi="宋体"/>
                <w:kern w:val="0"/>
                <w:lang w:eastAsia="zh-CN"/>
              </w:rPr>
              <w:t>比选人</w:t>
            </w:r>
            <w:r>
              <w:rPr>
                <w:rFonts w:ascii="宋体" w:hAnsi="宋体"/>
                <w:kern w:val="0"/>
              </w:rPr>
              <w:t>公布的投标总报价最高限价</w:t>
            </w:r>
            <w:r>
              <w:rPr>
                <w:rFonts w:hint="eastAsia" w:ascii="宋体" w:hAnsi="宋体"/>
                <w:kern w:val="0"/>
              </w:rPr>
              <w:t>。</w:t>
            </w:r>
          </w:p>
        </w:tc>
      </w:tr>
      <w:tr w14:paraId="4643CA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0C77A416">
            <w:pPr>
              <w:spacing w:line="400" w:lineRule="exact"/>
              <w:jc w:val="center"/>
              <w:rPr>
                <w:rFonts w:ascii="宋体" w:hAnsi="宋体"/>
                <w:kern w:val="0"/>
              </w:rPr>
            </w:pPr>
          </w:p>
        </w:tc>
        <w:tc>
          <w:tcPr>
            <w:tcW w:w="567" w:type="dxa"/>
            <w:vMerge w:val="continue"/>
            <w:textDirection w:val="tbRlV"/>
            <w:vAlign w:val="center"/>
          </w:tcPr>
          <w:p w14:paraId="09BA1E21">
            <w:pPr>
              <w:spacing w:line="400" w:lineRule="exact"/>
              <w:jc w:val="center"/>
              <w:rPr>
                <w:rFonts w:ascii="宋体" w:hAnsi="宋体"/>
                <w:kern w:val="0"/>
              </w:rPr>
            </w:pPr>
          </w:p>
        </w:tc>
        <w:tc>
          <w:tcPr>
            <w:tcW w:w="2559" w:type="dxa"/>
            <w:gridSpan w:val="3"/>
            <w:vAlign w:val="center"/>
          </w:tcPr>
          <w:p w14:paraId="1A285914">
            <w:pPr>
              <w:spacing w:line="400" w:lineRule="exact"/>
              <w:jc w:val="left"/>
              <w:rPr>
                <w:rFonts w:ascii="宋体" w:hAnsi="宋体"/>
                <w:kern w:val="0"/>
              </w:rPr>
            </w:pPr>
            <w:r>
              <w:rPr>
                <w:rFonts w:hint="eastAsia" w:ascii="宋体" w:hAnsi="宋体"/>
                <w:kern w:val="0"/>
              </w:rPr>
              <w:t>暂定金额</w:t>
            </w:r>
          </w:p>
        </w:tc>
        <w:tc>
          <w:tcPr>
            <w:tcW w:w="5493" w:type="dxa"/>
            <w:vAlign w:val="center"/>
          </w:tcPr>
          <w:p w14:paraId="1E97078A">
            <w:pPr>
              <w:spacing w:line="400" w:lineRule="exact"/>
              <w:ind w:firstLine="420" w:firstLineChars="200"/>
              <w:rPr>
                <w:rFonts w:ascii="宋体" w:hAnsi="宋体"/>
                <w:kern w:val="0"/>
              </w:rPr>
            </w:pPr>
            <w:r>
              <w:rPr>
                <w:rFonts w:hint="eastAsia" w:ascii="宋体" w:hAnsi="宋体"/>
                <w:kern w:val="0"/>
              </w:rPr>
              <w:t>暂列金额、暂估价、安全文明施工费等暂定金额必须按照招标文件给定的金额填报</w:t>
            </w:r>
          </w:p>
        </w:tc>
      </w:tr>
      <w:tr w14:paraId="42A483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0EE8BC5E">
            <w:pPr>
              <w:spacing w:line="400" w:lineRule="exact"/>
              <w:jc w:val="center"/>
              <w:rPr>
                <w:rFonts w:ascii="宋体" w:hAnsi="宋体"/>
                <w:kern w:val="0"/>
              </w:rPr>
            </w:pPr>
          </w:p>
        </w:tc>
        <w:tc>
          <w:tcPr>
            <w:tcW w:w="567" w:type="dxa"/>
            <w:vMerge w:val="continue"/>
            <w:textDirection w:val="tbRlV"/>
            <w:vAlign w:val="center"/>
          </w:tcPr>
          <w:p w14:paraId="50BA9DC4">
            <w:pPr>
              <w:spacing w:line="400" w:lineRule="exact"/>
              <w:jc w:val="center"/>
              <w:rPr>
                <w:rFonts w:ascii="宋体" w:hAnsi="宋体"/>
                <w:kern w:val="0"/>
              </w:rPr>
            </w:pPr>
          </w:p>
        </w:tc>
        <w:tc>
          <w:tcPr>
            <w:tcW w:w="2559" w:type="dxa"/>
            <w:gridSpan w:val="3"/>
            <w:vAlign w:val="center"/>
          </w:tcPr>
          <w:p w14:paraId="21870A53">
            <w:pPr>
              <w:spacing w:line="400" w:lineRule="exact"/>
              <w:jc w:val="left"/>
              <w:rPr>
                <w:rFonts w:ascii="宋体" w:hAnsi="宋体"/>
                <w:kern w:val="0"/>
              </w:rPr>
            </w:pPr>
            <w:r>
              <w:rPr>
                <w:rFonts w:ascii="宋体" w:hAnsi="宋体"/>
                <w:kern w:val="0"/>
              </w:rPr>
              <w:t>投标内容</w:t>
            </w:r>
          </w:p>
        </w:tc>
        <w:tc>
          <w:tcPr>
            <w:tcW w:w="5493" w:type="dxa"/>
            <w:vAlign w:val="center"/>
          </w:tcPr>
          <w:p w14:paraId="4A2995C1">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须知”第1.3.1项规定</w:t>
            </w:r>
          </w:p>
        </w:tc>
      </w:tr>
      <w:tr w14:paraId="6CC138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550B1EF8">
            <w:pPr>
              <w:spacing w:line="400" w:lineRule="exact"/>
              <w:jc w:val="center"/>
              <w:rPr>
                <w:rFonts w:ascii="宋体" w:hAnsi="宋体"/>
              </w:rPr>
            </w:pPr>
          </w:p>
        </w:tc>
        <w:tc>
          <w:tcPr>
            <w:tcW w:w="567" w:type="dxa"/>
            <w:vMerge w:val="continue"/>
            <w:vAlign w:val="top"/>
          </w:tcPr>
          <w:p w14:paraId="4E8B3928">
            <w:pPr>
              <w:spacing w:line="400" w:lineRule="exact"/>
              <w:jc w:val="center"/>
              <w:rPr>
                <w:rFonts w:ascii="宋体" w:hAnsi="宋体"/>
              </w:rPr>
            </w:pPr>
          </w:p>
        </w:tc>
        <w:tc>
          <w:tcPr>
            <w:tcW w:w="2559" w:type="dxa"/>
            <w:gridSpan w:val="3"/>
            <w:vAlign w:val="center"/>
          </w:tcPr>
          <w:p w14:paraId="2FA1845F">
            <w:pPr>
              <w:spacing w:line="400" w:lineRule="exact"/>
              <w:jc w:val="left"/>
              <w:rPr>
                <w:rFonts w:ascii="宋体" w:hAnsi="宋体"/>
                <w:kern w:val="0"/>
              </w:rPr>
            </w:pPr>
            <w:r>
              <w:rPr>
                <w:rFonts w:ascii="宋体" w:hAnsi="宋体"/>
                <w:kern w:val="0"/>
              </w:rPr>
              <w:t>工期</w:t>
            </w:r>
          </w:p>
        </w:tc>
        <w:tc>
          <w:tcPr>
            <w:tcW w:w="5493" w:type="dxa"/>
            <w:vAlign w:val="center"/>
          </w:tcPr>
          <w:p w14:paraId="6776C3CF">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须知”第1.3.2项规定</w:t>
            </w:r>
          </w:p>
        </w:tc>
      </w:tr>
      <w:tr w14:paraId="16182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45F76EB5">
            <w:pPr>
              <w:spacing w:line="400" w:lineRule="exact"/>
              <w:jc w:val="center"/>
              <w:rPr>
                <w:rFonts w:ascii="宋体" w:hAnsi="宋体"/>
              </w:rPr>
            </w:pPr>
          </w:p>
        </w:tc>
        <w:tc>
          <w:tcPr>
            <w:tcW w:w="567" w:type="dxa"/>
            <w:vMerge w:val="continue"/>
            <w:vAlign w:val="top"/>
          </w:tcPr>
          <w:p w14:paraId="69CA33A3">
            <w:pPr>
              <w:spacing w:line="400" w:lineRule="exact"/>
              <w:jc w:val="center"/>
              <w:rPr>
                <w:rFonts w:ascii="宋体" w:hAnsi="宋体"/>
              </w:rPr>
            </w:pPr>
          </w:p>
        </w:tc>
        <w:tc>
          <w:tcPr>
            <w:tcW w:w="2559" w:type="dxa"/>
            <w:gridSpan w:val="3"/>
            <w:vAlign w:val="center"/>
          </w:tcPr>
          <w:p w14:paraId="0C175AF6">
            <w:pPr>
              <w:spacing w:line="400" w:lineRule="exact"/>
              <w:jc w:val="left"/>
              <w:rPr>
                <w:rFonts w:ascii="宋体" w:hAnsi="宋体"/>
                <w:kern w:val="0"/>
              </w:rPr>
            </w:pPr>
            <w:r>
              <w:rPr>
                <w:rFonts w:ascii="宋体" w:hAnsi="宋体"/>
                <w:kern w:val="0"/>
              </w:rPr>
              <w:t>工程质量</w:t>
            </w:r>
          </w:p>
        </w:tc>
        <w:tc>
          <w:tcPr>
            <w:tcW w:w="5493" w:type="dxa"/>
            <w:vAlign w:val="center"/>
          </w:tcPr>
          <w:p w14:paraId="62904F21">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须知”第1.3.3项规定</w:t>
            </w:r>
          </w:p>
        </w:tc>
      </w:tr>
      <w:tr w14:paraId="1ABA13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48D6172D">
            <w:pPr>
              <w:spacing w:line="400" w:lineRule="exact"/>
              <w:jc w:val="center"/>
              <w:rPr>
                <w:rFonts w:ascii="宋体" w:hAnsi="宋体"/>
              </w:rPr>
            </w:pPr>
          </w:p>
        </w:tc>
        <w:tc>
          <w:tcPr>
            <w:tcW w:w="567" w:type="dxa"/>
            <w:vMerge w:val="continue"/>
            <w:vAlign w:val="top"/>
          </w:tcPr>
          <w:p w14:paraId="169526F9">
            <w:pPr>
              <w:spacing w:line="400" w:lineRule="exact"/>
              <w:jc w:val="center"/>
              <w:rPr>
                <w:rFonts w:ascii="宋体" w:hAnsi="宋体"/>
              </w:rPr>
            </w:pPr>
          </w:p>
        </w:tc>
        <w:tc>
          <w:tcPr>
            <w:tcW w:w="2559" w:type="dxa"/>
            <w:gridSpan w:val="3"/>
            <w:vAlign w:val="center"/>
          </w:tcPr>
          <w:p w14:paraId="1BD5EC06">
            <w:pPr>
              <w:spacing w:line="400" w:lineRule="exact"/>
              <w:jc w:val="left"/>
              <w:rPr>
                <w:rFonts w:ascii="宋体" w:hAnsi="宋体"/>
                <w:kern w:val="0"/>
              </w:rPr>
            </w:pPr>
            <w:r>
              <w:rPr>
                <w:rFonts w:ascii="宋体" w:hAnsi="宋体"/>
                <w:kern w:val="0"/>
              </w:rPr>
              <w:t>投标有效期</w:t>
            </w:r>
          </w:p>
        </w:tc>
        <w:tc>
          <w:tcPr>
            <w:tcW w:w="5493" w:type="dxa"/>
            <w:vAlign w:val="center"/>
          </w:tcPr>
          <w:p w14:paraId="13729C5D">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lang w:eastAsia="zh-CN"/>
              </w:rPr>
              <w:t>竞选人</w:t>
            </w:r>
            <w:r>
              <w:rPr>
                <w:rFonts w:ascii="宋体" w:hAnsi="宋体"/>
                <w:kern w:val="0"/>
              </w:rPr>
              <w:t>须知”第3.3.1项规定</w:t>
            </w:r>
          </w:p>
        </w:tc>
      </w:tr>
      <w:tr w14:paraId="41DB13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2D684965">
            <w:pPr>
              <w:spacing w:line="400" w:lineRule="exact"/>
              <w:jc w:val="center"/>
              <w:rPr>
                <w:rFonts w:ascii="宋体" w:hAnsi="宋体"/>
              </w:rPr>
            </w:pPr>
          </w:p>
        </w:tc>
        <w:tc>
          <w:tcPr>
            <w:tcW w:w="567" w:type="dxa"/>
            <w:vMerge w:val="continue"/>
            <w:vAlign w:val="top"/>
          </w:tcPr>
          <w:p w14:paraId="65DA0864">
            <w:pPr>
              <w:spacing w:line="400" w:lineRule="exact"/>
              <w:jc w:val="center"/>
              <w:rPr>
                <w:rFonts w:ascii="宋体" w:hAnsi="宋体"/>
              </w:rPr>
            </w:pPr>
          </w:p>
        </w:tc>
        <w:tc>
          <w:tcPr>
            <w:tcW w:w="2559" w:type="dxa"/>
            <w:gridSpan w:val="3"/>
            <w:vAlign w:val="center"/>
          </w:tcPr>
          <w:p w14:paraId="06FB7197">
            <w:pPr>
              <w:spacing w:line="400" w:lineRule="exact"/>
              <w:jc w:val="left"/>
              <w:rPr>
                <w:rFonts w:ascii="宋体" w:hAnsi="宋体"/>
                <w:kern w:val="0"/>
              </w:rPr>
            </w:pPr>
            <w:r>
              <w:rPr>
                <w:rFonts w:ascii="宋体" w:hAnsi="宋体"/>
                <w:kern w:val="0"/>
              </w:rPr>
              <w:t>投标保证金</w:t>
            </w:r>
          </w:p>
        </w:tc>
        <w:tc>
          <w:tcPr>
            <w:tcW w:w="5493" w:type="dxa"/>
            <w:vAlign w:val="center"/>
          </w:tcPr>
          <w:p w14:paraId="14B5244C">
            <w:pPr>
              <w:tabs>
                <w:tab w:val="left" w:pos="601"/>
                <w:tab w:val="left" w:pos="669"/>
              </w:tabs>
              <w:snapToGrid w:val="0"/>
              <w:spacing w:line="400" w:lineRule="exact"/>
              <w:ind w:firstLine="420" w:firstLineChars="200"/>
              <w:rPr>
                <w:rFonts w:ascii="宋体" w:hAnsi="宋体"/>
                <w:kern w:val="0"/>
              </w:rPr>
            </w:pPr>
            <w:r>
              <w:rPr>
                <w:rFonts w:ascii="宋体" w:hAnsi="宋体"/>
                <w:kern w:val="0"/>
                <w:szCs w:val="21"/>
              </w:rPr>
              <w:t>符合第二章</w:t>
            </w:r>
            <w:r>
              <w:rPr>
                <w:rFonts w:hint="eastAsia" w:ascii="宋体" w:hAnsi="宋体"/>
                <w:kern w:val="0"/>
                <w:szCs w:val="21"/>
                <w:lang w:eastAsia="zh-CN"/>
              </w:rPr>
              <w:t>竞选人</w:t>
            </w:r>
            <w:r>
              <w:rPr>
                <w:rFonts w:ascii="宋体" w:hAnsi="宋体"/>
                <w:kern w:val="0"/>
                <w:szCs w:val="21"/>
              </w:rPr>
              <w:t>须知前附表第3.4</w:t>
            </w:r>
            <w:r>
              <w:rPr>
                <w:rFonts w:hint="eastAsia" w:ascii="宋体" w:hAnsi="宋体"/>
                <w:kern w:val="0"/>
                <w:szCs w:val="21"/>
              </w:rPr>
              <w:t>款</w:t>
            </w:r>
            <w:r>
              <w:rPr>
                <w:rFonts w:ascii="宋体" w:hAnsi="宋体"/>
                <w:kern w:val="0"/>
              </w:rPr>
              <w:t>规定</w:t>
            </w:r>
          </w:p>
        </w:tc>
      </w:tr>
      <w:tr w14:paraId="6E3F9B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37BA763A">
            <w:pPr>
              <w:spacing w:line="400" w:lineRule="exact"/>
              <w:jc w:val="center"/>
              <w:rPr>
                <w:rFonts w:ascii="宋体" w:hAnsi="宋体"/>
              </w:rPr>
            </w:pPr>
          </w:p>
        </w:tc>
        <w:tc>
          <w:tcPr>
            <w:tcW w:w="567" w:type="dxa"/>
            <w:vMerge w:val="continue"/>
            <w:vAlign w:val="top"/>
          </w:tcPr>
          <w:p w14:paraId="727FB5B7">
            <w:pPr>
              <w:spacing w:line="400" w:lineRule="exact"/>
              <w:jc w:val="center"/>
              <w:rPr>
                <w:rFonts w:ascii="宋体" w:hAnsi="宋体"/>
              </w:rPr>
            </w:pPr>
          </w:p>
        </w:tc>
        <w:tc>
          <w:tcPr>
            <w:tcW w:w="2559" w:type="dxa"/>
            <w:gridSpan w:val="3"/>
            <w:vAlign w:val="center"/>
          </w:tcPr>
          <w:p w14:paraId="6E824EFE">
            <w:pPr>
              <w:spacing w:line="400" w:lineRule="exact"/>
              <w:jc w:val="left"/>
              <w:rPr>
                <w:rFonts w:ascii="宋体" w:hAnsi="宋体"/>
                <w:kern w:val="0"/>
              </w:rPr>
            </w:pPr>
            <w:r>
              <w:rPr>
                <w:rFonts w:ascii="宋体" w:hAnsi="宋体"/>
                <w:kern w:val="0"/>
              </w:rPr>
              <w:t>权利义务</w:t>
            </w:r>
          </w:p>
        </w:tc>
        <w:tc>
          <w:tcPr>
            <w:tcW w:w="5493" w:type="dxa"/>
            <w:vAlign w:val="center"/>
          </w:tcPr>
          <w:p w14:paraId="6E0A757D">
            <w:pPr>
              <w:spacing w:after="62" w:afterLines="20" w:line="400" w:lineRule="exact"/>
              <w:ind w:firstLine="420" w:firstLineChars="200"/>
              <w:rPr>
                <w:rFonts w:ascii="宋体" w:hAnsi="宋体"/>
                <w:kern w:val="0"/>
              </w:rPr>
            </w:pPr>
            <w:r>
              <w:rPr>
                <w:rFonts w:ascii="宋体" w:hAnsi="宋体"/>
                <w:kern w:val="0"/>
              </w:rPr>
              <w:t>符合第四章“合同条款及格式”规定，</w:t>
            </w:r>
            <w:r>
              <w:rPr>
                <w:rFonts w:hint="eastAsia" w:ascii="宋体" w:hAnsi="宋体"/>
                <w:kern w:val="0"/>
                <w:lang w:eastAsia="zh-CN"/>
              </w:rPr>
              <w:t>竞选文件</w:t>
            </w:r>
            <w:r>
              <w:rPr>
                <w:rFonts w:ascii="宋体" w:hAnsi="宋体"/>
                <w:kern w:val="0"/>
              </w:rPr>
              <w:t>不应附有</w:t>
            </w:r>
            <w:r>
              <w:rPr>
                <w:rFonts w:hint="eastAsia" w:ascii="宋体" w:hAnsi="宋体"/>
                <w:kern w:val="0"/>
                <w:lang w:eastAsia="zh-CN"/>
              </w:rPr>
              <w:t>比选人</w:t>
            </w:r>
            <w:r>
              <w:rPr>
                <w:rFonts w:ascii="宋体" w:hAnsi="宋体"/>
                <w:kern w:val="0"/>
              </w:rPr>
              <w:t>不能接受的条件。</w:t>
            </w:r>
            <w:r>
              <w:rPr>
                <w:rFonts w:hint="eastAsia" w:ascii="宋体" w:hAnsi="宋体" w:cs="宋体"/>
                <w:kern w:val="0"/>
              </w:rPr>
              <w:t>（由</w:t>
            </w:r>
            <w:r>
              <w:rPr>
                <w:rFonts w:hint="eastAsia" w:ascii="宋体" w:hAnsi="宋体" w:cs="宋体"/>
                <w:kern w:val="0"/>
                <w:lang w:eastAsia="zh-CN"/>
              </w:rPr>
              <w:t>竞选人</w:t>
            </w:r>
            <w:r>
              <w:rPr>
                <w:rFonts w:hint="eastAsia" w:ascii="宋体" w:hAnsi="宋体" w:cs="宋体"/>
                <w:kern w:val="0"/>
              </w:rPr>
              <w:t>承诺，承诺书格式详见第八章</w:t>
            </w:r>
            <w:r>
              <w:rPr>
                <w:rFonts w:hint="eastAsia" w:ascii="宋体" w:hAnsi="宋体" w:cs="宋体"/>
                <w:kern w:val="0"/>
                <w:lang w:eastAsia="zh-CN"/>
              </w:rPr>
              <w:t>竞选文件</w:t>
            </w:r>
            <w:r>
              <w:rPr>
                <w:rFonts w:hint="eastAsia" w:ascii="宋体" w:hAnsi="宋体" w:cs="宋体"/>
                <w:kern w:val="0"/>
              </w:rPr>
              <w:t>格式。）</w:t>
            </w:r>
          </w:p>
        </w:tc>
      </w:tr>
      <w:tr w14:paraId="05CE6D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1EEC102C">
            <w:pPr>
              <w:spacing w:line="400" w:lineRule="exact"/>
              <w:jc w:val="center"/>
              <w:rPr>
                <w:rFonts w:ascii="宋体" w:hAnsi="宋体"/>
              </w:rPr>
            </w:pPr>
          </w:p>
        </w:tc>
        <w:tc>
          <w:tcPr>
            <w:tcW w:w="567" w:type="dxa"/>
            <w:vMerge w:val="continue"/>
            <w:vAlign w:val="top"/>
          </w:tcPr>
          <w:p w14:paraId="094A467D">
            <w:pPr>
              <w:spacing w:line="400" w:lineRule="exact"/>
              <w:jc w:val="center"/>
              <w:rPr>
                <w:rFonts w:ascii="宋体" w:hAnsi="宋体"/>
              </w:rPr>
            </w:pPr>
          </w:p>
        </w:tc>
        <w:tc>
          <w:tcPr>
            <w:tcW w:w="2559" w:type="dxa"/>
            <w:gridSpan w:val="3"/>
            <w:vAlign w:val="center"/>
          </w:tcPr>
          <w:p w14:paraId="4B7A774C">
            <w:pPr>
              <w:spacing w:line="400" w:lineRule="exact"/>
              <w:jc w:val="left"/>
              <w:rPr>
                <w:rFonts w:ascii="宋体" w:hAnsi="宋体"/>
                <w:kern w:val="0"/>
              </w:rPr>
            </w:pPr>
            <w:r>
              <w:rPr>
                <w:rFonts w:ascii="宋体" w:hAnsi="宋体"/>
                <w:kern w:val="0"/>
              </w:rPr>
              <w:t>技术标准和要求</w:t>
            </w:r>
          </w:p>
        </w:tc>
        <w:tc>
          <w:tcPr>
            <w:tcW w:w="5493" w:type="dxa"/>
            <w:vAlign w:val="center"/>
          </w:tcPr>
          <w:p w14:paraId="77F43C9C">
            <w:pPr>
              <w:spacing w:line="400" w:lineRule="exact"/>
              <w:ind w:firstLine="420" w:firstLineChars="200"/>
              <w:rPr>
                <w:rFonts w:ascii="宋体" w:hAnsi="宋体"/>
                <w:kern w:val="0"/>
              </w:rPr>
            </w:pPr>
            <w:r>
              <w:rPr>
                <w:rFonts w:ascii="宋体" w:hAnsi="宋体"/>
                <w:kern w:val="0"/>
              </w:rPr>
              <w:t>符合第七章“技术标准和要求”规定</w:t>
            </w:r>
            <w:r>
              <w:rPr>
                <w:rFonts w:hint="eastAsia" w:ascii="宋体" w:hAnsi="宋体"/>
                <w:kern w:val="0"/>
              </w:rPr>
              <w:t>。</w:t>
            </w:r>
            <w:r>
              <w:rPr>
                <w:rFonts w:hint="eastAsia" w:ascii="宋体" w:hAnsi="宋体" w:cs="宋体"/>
                <w:kern w:val="0"/>
              </w:rPr>
              <w:t>（由</w:t>
            </w:r>
            <w:r>
              <w:rPr>
                <w:rFonts w:hint="eastAsia" w:ascii="宋体" w:hAnsi="宋体" w:cs="宋体"/>
                <w:kern w:val="0"/>
                <w:lang w:eastAsia="zh-CN"/>
              </w:rPr>
              <w:t>竞选人</w:t>
            </w:r>
            <w:r>
              <w:rPr>
                <w:rFonts w:hint="eastAsia" w:ascii="宋体" w:hAnsi="宋体" w:cs="宋体"/>
                <w:kern w:val="0"/>
              </w:rPr>
              <w:t>承诺，承诺书格式详见第八章</w:t>
            </w:r>
            <w:r>
              <w:rPr>
                <w:rFonts w:hint="eastAsia" w:ascii="宋体" w:hAnsi="宋体" w:cs="宋体"/>
                <w:kern w:val="0"/>
                <w:lang w:eastAsia="zh-CN"/>
              </w:rPr>
              <w:t>竞选文件</w:t>
            </w:r>
            <w:r>
              <w:rPr>
                <w:rFonts w:hint="eastAsia" w:ascii="宋体" w:hAnsi="宋体" w:cs="宋体"/>
                <w:kern w:val="0"/>
              </w:rPr>
              <w:t>格式。）</w:t>
            </w:r>
          </w:p>
        </w:tc>
      </w:tr>
      <w:tr w14:paraId="1733AC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2C4BE244">
            <w:pPr>
              <w:spacing w:line="400" w:lineRule="exact"/>
              <w:jc w:val="center"/>
              <w:rPr>
                <w:rFonts w:ascii="宋体" w:hAnsi="宋体"/>
              </w:rPr>
            </w:pPr>
          </w:p>
        </w:tc>
        <w:tc>
          <w:tcPr>
            <w:tcW w:w="567" w:type="dxa"/>
            <w:vMerge w:val="continue"/>
            <w:vAlign w:val="center"/>
          </w:tcPr>
          <w:p w14:paraId="79348E34">
            <w:pPr>
              <w:spacing w:line="400" w:lineRule="exact"/>
              <w:jc w:val="center"/>
              <w:rPr>
                <w:rFonts w:ascii="宋体" w:hAnsi="宋体"/>
              </w:rPr>
            </w:pPr>
          </w:p>
        </w:tc>
        <w:tc>
          <w:tcPr>
            <w:tcW w:w="2559" w:type="dxa"/>
            <w:gridSpan w:val="3"/>
            <w:vAlign w:val="center"/>
          </w:tcPr>
          <w:p w14:paraId="30398DF1">
            <w:pPr>
              <w:spacing w:line="400" w:lineRule="exact"/>
              <w:jc w:val="left"/>
              <w:rPr>
                <w:rFonts w:ascii="宋体" w:hAnsi="宋体"/>
                <w:kern w:val="0"/>
              </w:rPr>
            </w:pPr>
            <w:r>
              <w:rPr>
                <w:rFonts w:ascii="宋体" w:hAnsi="宋体"/>
                <w:kern w:val="0"/>
              </w:rPr>
              <w:t>已标价工程量清单</w:t>
            </w:r>
          </w:p>
        </w:tc>
        <w:tc>
          <w:tcPr>
            <w:tcW w:w="5493" w:type="dxa"/>
            <w:vAlign w:val="center"/>
          </w:tcPr>
          <w:p w14:paraId="1E0D1217">
            <w:pPr>
              <w:spacing w:after="62" w:afterLines="20" w:line="400" w:lineRule="exact"/>
              <w:ind w:firstLine="420" w:firstLineChars="200"/>
              <w:rPr>
                <w:rFonts w:ascii="宋体" w:hAnsi="宋体"/>
                <w:kern w:val="0"/>
              </w:rPr>
            </w:pPr>
            <w:r>
              <w:rPr>
                <w:rFonts w:hint="eastAsia" w:ascii="宋体" w:hAnsi="宋体"/>
                <w:kern w:val="0"/>
                <w:lang w:eastAsia="zh-CN"/>
              </w:rPr>
              <w:t>竞选人</w:t>
            </w:r>
            <w:r>
              <w:rPr>
                <w:rFonts w:hint="eastAsia" w:ascii="宋体" w:hAnsi="宋体"/>
                <w:kern w:val="0"/>
              </w:rPr>
              <w:t>承诺满足以下内容：</w:t>
            </w:r>
          </w:p>
          <w:p w14:paraId="70B82BF6">
            <w:pPr>
              <w:spacing w:after="62" w:afterLines="20" w:line="400" w:lineRule="exact"/>
              <w:ind w:firstLine="420" w:firstLineChars="200"/>
              <w:rPr>
                <w:rFonts w:ascii="宋体" w:hAnsi="宋体"/>
                <w:kern w:val="0"/>
              </w:rPr>
            </w:pPr>
            <w:r>
              <w:rPr>
                <w:rFonts w:hint="eastAsia" w:ascii="宋体" w:hAnsi="宋体"/>
                <w:kern w:val="0"/>
              </w:rPr>
              <w:t>1</w:t>
            </w:r>
            <w:r>
              <w:rPr>
                <w:rFonts w:ascii="宋体" w:hAnsi="宋体"/>
                <w:kern w:val="0"/>
              </w:rPr>
              <w:t>.符合第五章“工程量清单”给出的范围及数量。</w:t>
            </w:r>
          </w:p>
          <w:p w14:paraId="7E1CE213">
            <w:pPr>
              <w:spacing w:after="62" w:afterLines="20" w:line="400" w:lineRule="exact"/>
              <w:ind w:firstLine="420" w:firstLineChars="200"/>
              <w:rPr>
                <w:rFonts w:ascii="宋体" w:hAnsi="宋体"/>
                <w:kern w:val="0"/>
              </w:rPr>
            </w:pPr>
            <w:r>
              <w:rPr>
                <w:rFonts w:ascii="宋体" w:hAnsi="宋体"/>
                <w:kern w:val="0"/>
              </w:rPr>
              <w:t>2.</w:t>
            </w:r>
            <w:r>
              <w:rPr>
                <w:rFonts w:hint="eastAsia" w:ascii="宋体" w:hAnsi="宋体"/>
                <w:kern w:val="0"/>
              </w:rPr>
              <w:t>招标文件中规定工程量清单不允许修改的内容不得修改。</w:t>
            </w:r>
          </w:p>
          <w:p w14:paraId="5B241C1A">
            <w:pPr>
              <w:spacing w:after="62" w:afterLines="20" w:line="400" w:lineRule="exact"/>
              <w:ind w:firstLine="420" w:firstLineChars="200"/>
              <w:rPr>
                <w:rFonts w:ascii="宋体" w:hAnsi="宋体"/>
                <w:kern w:val="0"/>
              </w:rPr>
            </w:pPr>
            <w:r>
              <w:rPr>
                <w:rFonts w:hint="eastAsia" w:ascii="宋体" w:hAnsi="宋体"/>
                <w:kern w:val="0"/>
              </w:rPr>
              <w:t>3.每项工程量清单综合单价报价不得高于对应工程量清单综合单价最高限价。</w:t>
            </w:r>
          </w:p>
        </w:tc>
      </w:tr>
      <w:tr w14:paraId="519DC8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2E0EAA07">
            <w:pPr>
              <w:spacing w:line="400" w:lineRule="exact"/>
              <w:rPr>
                <w:rFonts w:ascii="宋体" w:hAnsi="宋体"/>
              </w:rPr>
            </w:pPr>
          </w:p>
        </w:tc>
        <w:tc>
          <w:tcPr>
            <w:tcW w:w="567" w:type="dxa"/>
            <w:vMerge w:val="continue"/>
            <w:vAlign w:val="top"/>
          </w:tcPr>
          <w:p w14:paraId="32DE1777">
            <w:pPr>
              <w:spacing w:line="400" w:lineRule="exact"/>
              <w:rPr>
                <w:rFonts w:ascii="宋体" w:hAnsi="宋体"/>
              </w:rPr>
            </w:pPr>
          </w:p>
        </w:tc>
        <w:tc>
          <w:tcPr>
            <w:tcW w:w="2559" w:type="dxa"/>
            <w:gridSpan w:val="3"/>
            <w:vAlign w:val="center"/>
          </w:tcPr>
          <w:p w14:paraId="17B5149D">
            <w:pPr>
              <w:spacing w:line="400" w:lineRule="exact"/>
              <w:jc w:val="left"/>
              <w:rPr>
                <w:rFonts w:ascii="宋体" w:hAnsi="宋体"/>
                <w:kern w:val="0"/>
              </w:rPr>
            </w:pPr>
            <w:r>
              <w:rPr>
                <w:rFonts w:ascii="宋体" w:hAnsi="宋体"/>
                <w:kern w:val="0"/>
              </w:rPr>
              <w:t>投标报价算术错误修正</w:t>
            </w:r>
          </w:p>
        </w:tc>
        <w:tc>
          <w:tcPr>
            <w:tcW w:w="5493" w:type="dxa"/>
            <w:vAlign w:val="center"/>
          </w:tcPr>
          <w:p w14:paraId="76566C8B">
            <w:pPr>
              <w:spacing w:line="400" w:lineRule="exact"/>
              <w:ind w:firstLine="420" w:firstLineChars="200"/>
              <w:rPr>
                <w:rFonts w:ascii="宋体" w:hAnsi="宋体"/>
                <w:kern w:val="0"/>
              </w:rPr>
            </w:pPr>
            <w:r>
              <w:rPr>
                <w:rFonts w:ascii="宋体" w:hAnsi="宋体"/>
                <w:kern w:val="0"/>
              </w:rPr>
              <w:t>符合第三章3.评标程序第3.1.3项规定。</w:t>
            </w:r>
          </w:p>
        </w:tc>
      </w:tr>
      <w:tr w14:paraId="5AE1B6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top"/>
          </w:tcPr>
          <w:p w14:paraId="65CA6921">
            <w:pPr>
              <w:spacing w:line="400" w:lineRule="exact"/>
              <w:rPr>
                <w:rFonts w:ascii="宋体" w:hAnsi="宋体"/>
              </w:rPr>
            </w:pPr>
          </w:p>
        </w:tc>
        <w:tc>
          <w:tcPr>
            <w:tcW w:w="567" w:type="dxa"/>
            <w:vMerge w:val="continue"/>
            <w:vAlign w:val="top"/>
          </w:tcPr>
          <w:p w14:paraId="6EC97276">
            <w:pPr>
              <w:spacing w:line="400" w:lineRule="exact"/>
              <w:rPr>
                <w:rFonts w:ascii="宋体" w:hAnsi="宋体"/>
              </w:rPr>
            </w:pPr>
          </w:p>
        </w:tc>
        <w:tc>
          <w:tcPr>
            <w:tcW w:w="2559" w:type="dxa"/>
            <w:gridSpan w:val="3"/>
            <w:vAlign w:val="center"/>
          </w:tcPr>
          <w:p w14:paraId="1C6F9BEE">
            <w:pPr>
              <w:spacing w:line="400" w:lineRule="exact"/>
              <w:jc w:val="left"/>
              <w:rPr>
                <w:rFonts w:ascii="宋体" w:hAnsi="宋体"/>
                <w:kern w:val="0"/>
              </w:rPr>
            </w:pPr>
            <w:r>
              <w:rPr>
                <w:rFonts w:ascii="宋体" w:hAnsi="宋体"/>
                <w:kern w:val="0"/>
              </w:rPr>
              <w:t>实质性要求</w:t>
            </w:r>
          </w:p>
        </w:tc>
        <w:tc>
          <w:tcPr>
            <w:tcW w:w="5493" w:type="dxa"/>
            <w:vAlign w:val="center"/>
          </w:tcPr>
          <w:p w14:paraId="602150F1">
            <w:pPr>
              <w:spacing w:after="62" w:afterLines="20" w:line="400" w:lineRule="exact"/>
              <w:ind w:firstLine="420" w:firstLineChars="200"/>
              <w:rPr>
                <w:rFonts w:ascii="宋体" w:hAnsi="宋体"/>
                <w:kern w:val="0"/>
              </w:rPr>
            </w:pPr>
            <w:r>
              <w:rPr>
                <w:rFonts w:hint="eastAsia" w:ascii="宋体" w:hAnsi="宋体"/>
                <w:kern w:val="0"/>
              </w:rPr>
              <w:t>符合第二章“</w:t>
            </w:r>
            <w:r>
              <w:rPr>
                <w:rFonts w:hint="eastAsia" w:ascii="宋体" w:hAnsi="宋体"/>
                <w:kern w:val="0"/>
                <w:lang w:eastAsia="zh-CN"/>
              </w:rPr>
              <w:t>竞选人</w:t>
            </w:r>
            <w:r>
              <w:rPr>
                <w:rFonts w:hint="eastAsia" w:ascii="宋体" w:hAnsi="宋体"/>
                <w:kern w:val="0"/>
              </w:rPr>
              <w:t>须知”第1.4.3项规定。</w:t>
            </w:r>
          </w:p>
          <w:p w14:paraId="5D2F8D08">
            <w:pPr>
              <w:spacing w:after="62" w:afterLines="20" w:line="400" w:lineRule="exact"/>
              <w:ind w:firstLine="420" w:firstLineChars="200"/>
              <w:rPr>
                <w:rFonts w:ascii="宋体" w:hAnsi="宋体"/>
                <w:kern w:val="0"/>
              </w:rPr>
            </w:pPr>
            <w:r>
              <w:rPr>
                <w:rFonts w:hint="eastAsia" w:ascii="宋体" w:hAnsi="宋体"/>
                <w:kern w:val="0"/>
              </w:rPr>
              <w:t>本次投标不得有串通投标</w:t>
            </w:r>
            <w:r>
              <w:rPr>
                <w:rFonts w:ascii="宋体" w:hAnsi="宋体"/>
                <w:kern w:val="0"/>
              </w:rPr>
              <w:t>、弄虚作假等其他违反招投标相关法律、法规行为。</w:t>
            </w:r>
          </w:p>
          <w:p w14:paraId="399496F4">
            <w:pPr>
              <w:spacing w:after="62" w:afterLines="20" w:line="400" w:lineRule="exact"/>
              <w:ind w:firstLine="420" w:firstLineChars="200"/>
              <w:rPr>
                <w:rFonts w:ascii="宋体" w:hAnsi="宋体"/>
                <w:kern w:val="0"/>
              </w:rPr>
            </w:pPr>
            <w:r>
              <w:rPr>
                <w:rFonts w:hint="eastAsia" w:ascii="宋体" w:hAnsi="宋体" w:cs="宋体"/>
                <w:kern w:val="0"/>
              </w:rPr>
              <w:t>按评标委员会要求澄清、说明或补正。</w:t>
            </w:r>
          </w:p>
        </w:tc>
      </w:tr>
      <w:tr w14:paraId="76854F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54F444AD">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559" w:type="dxa"/>
            <w:gridSpan w:val="3"/>
            <w:vAlign w:val="center"/>
          </w:tcPr>
          <w:p w14:paraId="2EFD646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00D48088">
            <w:pPr>
              <w:pStyle w:val="2"/>
              <w:ind w:left="0" w:leftChars="0" w:firstLine="420" w:firstLineChars="200"/>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1.技术部分 30分；</w:t>
            </w:r>
          </w:p>
          <w:p w14:paraId="5F8CA8AF">
            <w:pPr>
              <w:pStyle w:val="2"/>
              <w:ind w:left="0" w:leftChars="0" w:firstLine="420" w:firstLineChars="200"/>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2.投标总报价60分；</w:t>
            </w:r>
          </w:p>
          <w:p w14:paraId="2A665876">
            <w:pPr>
              <w:pStyle w:val="2"/>
              <w:ind w:left="0" w:leftChars="0" w:firstLine="420" w:firstLineChars="200"/>
              <w:rPr>
                <w:rFonts w:hint="eastAsia" w:eastAsia="宋体"/>
                <w:color w:val="auto"/>
                <w:highlight w:val="none"/>
                <w:lang w:val="en-US" w:eastAsia="zh-CN"/>
              </w:rPr>
            </w:pPr>
            <w:r>
              <w:rPr>
                <w:rFonts w:hint="eastAsia" w:ascii="宋体" w:hAnsi="宋体"/>
                <w:color w:val="auto"/>
                <w:kern w:val="0"/>
                <w:highlight w:val="none"/>
                <w:lang w:val="en-US" w:eastAsia="zh-CN"/>
              </w:rPr>
              <w:t>3.商务部分10分。</w:t>
            </w:r>
          </w:p>
        </w:tc>
      </w:tr>
      <w:tr w14:paraId="11F699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833" w:type="dxa"/>
            <w:vMerge w:val="restart"/>
            <w:tcBorders>
              <w:right w:val="single" w:color="auto" w:sz="4" w:space="0"/>
            </w:tcBorders>
            <w:vAlign w:val="center"/>
          </w:tcPr>
          <w:p w14:paraId="7C0CEBF2">
            <w:pPr>
              <w:spacing w:line="400" w:lineRule="exact"/>
              <w:jc w:val="center"/>
              <w:rPr>
                <w:rFonts w:ascii="宋体" w:hAnsi="宋体"/>
                <w:color w:val="auto"/>
                <w:kern w:val="0"/>
              </w:rPr>
            </w:pPr>
            <w:r>
              <w:rPr>
                <w:rFonts w:hint="eastAsia" w:ascii="宋体" w:hAnsi="宋体"/>
                <w:color w:val="auto"/>
                <w:kern w:val="0"/>
              </w:rPr>
              <w:t>2.2.2</w:t>
            </w:r>
          </w:p>
        </w:tc>
        <w:tc>
          <w:tcPr>
            <w:tcW w:w="585" w:type="dxa"/>
            <w:gridSpan w:val="2"/>
            <w:vMerge w:val="restart"/>
            <w:tcBorders>
              <w:left w:val="single" w:color="auto" w:sz="4" w:space="0"/>
            </w:tcBorders>
            <w:vAlign w:val="center"/>
          </w:tcPr>
          <w:p w14:paraId="1F27CA1A">
            <w:pPr>
              <w:spacing w:line="400" w:lineRule="exact"/>
              <w:jc w:val="center"/>
              <w:rPr>
                <w:rFonts w:ascii="宋体" w:hAnsi="宋体"/>
                <w:color w:val="auto"/>
                <w:kern w:val="0"/>
              </w:rPr>
            </w:pPr>
            <w:r>
              <w:rPr>
                <w:rFonts w:hint="eastAsia" w:ascii="宋体" w:hAnsi="宋体"/>
                <w:color w:val="auto"/>
                <w:kern w:val="0"/>
              </w:rPr>
              <w:t>技术部分评分标准</w:t>
            </w:r>
          </w:p>
        </w:tc>
        <w:tc>
          <w:tcPr>
            <w:tcW w:w="568" w:type="dxa"/>
            <w:vMerge w:val="restart"/>
            <w:tcBorders>
              <w:right w:val="single" w:color="auto" w:sz="4" w:space="0"/>
            </w:tcBorders>
            <w:vAlign w:val="center"/>
          </w:tcPr>
          <w:p w14:paraId="452E1167">
            <w:pPr>
              <w:tabs>
                <w:tab w:val="left" w:pos="1875"/>
              </w:tabs>
              <w:spacing w:line="400" w:lineRule="exact"/>
              <w:jc w:val="center"/>
              <w:rPr>
                <w:rFonts w:ascii="宋体" w:hAnsi="宋体"/>
                <w:color w:val="auto"/>
                <w:kern w:val="0"/>
              </w:rPr>
            </w:pPr>
            <w:r>
              <w:rPr>
                <w:rFonts w:ascii="宋体" w:hAnsi="宋体"/>
                <w:color w:val="auto"/>
                <w:kern w:val="0"/>
              </w:rPr>
              <w:t>技</w:t>
            </w:r>
          </w:p>
          <w:p w14:paraId="2A7E6C9B">
            <w:pPr>
              <w:tabs>
                <w:tab w:val="left" w:pos="1875"/>
              </w:tabs>
              <w:spacing w:line="400" w:lineRule="exact"/>
              <w:jc w:val="center"/>
              <w:rPr>
                <w:rFonts w:ascii="宋体" w:hAnsi="宋体"/>
                <w:color w:val="auto"/>
                <w:kern w:val="0"/>
              </w:rPr>
            </w:pPr>
            <w:r>
              <w:rPr>
                <w:rFonts w:ascii="宋体" w:hAnsi="宋体"/>
                <w:color w:val="auto"/>
                <w:kern w:val="0"/>
              </w:rPr>
              <w:t>术</w:t>
            </w:r>
          </w:p>
          <w:p w14:paraId="12339BAF">
            <w:pPr>
              <w:tabs>
                <w:tab w:val="left" w:pos="1875"/>
              </w:tabs>
              <w:spacing w:line="400" w:lineRule="exact"/>
              <w:jc w:val="center"/>
              <w:rPr>
                <w:rFonts w:ascii="宋体" w:hAnsi="宋体"/>
                <w:color w:val="auto"/>
                <w:kern w:val="0"/>
              </w:rPr>
            </w:pPr>
            <w:r>
              <w:rPr>
                <w:rFonts w:ascii="宋体" w:hAnsi="宋体"/>
                <w:color w:val="auto"/>
                <w:kern w:val="0"/>
              </w:rPr>
              <w:t>方</w:t>
            </w:r>
          </w:p>
          <w:p w14:paraId="48024FB4">
            <w:pPr>
              <w:tabs>
                <w:tab w:val="left" w:pos="1875"/>
              </w:tabs>
              <w:spacing w:line="400" w:lineRule="exact"/>
              <w:jc w:val="center"/>
              <w:rPr>
                <w:rFonts w:ascii="宋体" w:hAnsi="宋体"/>
                <w:color w:val="auto"/>
                <w:kern w:val="0"/>
              </w:rPr>
            </w:pPr>
            <w:r>
              <w:rPr>
                <w:rFonts w:ascii="宋体" w:hAnsi="宋体"/>
                <w:color w:val="auto"/>
                <w:kern w:val="0"/>
              </w:rPr>
              <w:t>案</w:t>
            </w:r>
          </w:p>
          <w:p w14:paraId="56D0E038">
            <w:pPr>
              <w:tabs>
                <w:tab w:val="left" w:pos="1875"/>
              </w:tabs>
              <w:spacing w:line="400" w:lineRule="exact"/>
              <w:jc w:val="center"/>
              <w:rPr>
                <w:rFonts w:ascii="宋体" w:hAnsi="宋体"/>
                <w:color w:val="auto"/>
                <w:kern w:val="0"/>
              </w:rPr>
            </w:pPr>
            <w:r>
              <w:rPr>
                <w:rFonts w:ascii="宋体" w:hAnsi="宋体"/>
                <w:color w:val="auto"/>
                <w:kern w:val="0"/>
              </w:rPr>
              <w:t>评</w:t>
            </w:r>
          </w:p>
          <w:p w14:paraId="75DA893C">
            <w:pPr>
              <w:tabs>
                <w:tab w:val="left" w:pos="1875"/>
              </w:tabs>
              <w:spacing w:line="400" w:lineRule="exact"/>
              <w:jc w:val="center"/>
              <w:rPr>
                <w:rFonts w:ascii="宋体" w:hAnsi="宋体"/>
                <w:color w:val="auto"/>
                <w:kern w:val="0"/>
              </w:rPr>
            </w:pPr>
            <w:r>
              <w:rPr>
                <w:rFonts w:ascii="宋体" w:hAnsi="宋体"/>
                <w:color w:val="auto"/>
                <w:kern w:val="0"/>
              </w:rPr>
              <w:t>审</w:t>
            </w:r>
          </w:p>
        </w:tc>
        <w:tc>
          <w:tcPr>
            <w:tcW w:w="1991" w:type="dxa"/>
            <w:gridSpan w:val="2"/>
            <w:tcBorders>
              <w:left w:val="single" w:color="auto" w:sz="4" w:space="0"/>
            </w:tcBorders>
            <w:vAlign w:val="center"/>
          </w:tcPr>
          <w:p w14:paraId="7FEA6847">
            <w:pPr>
              <w:tabs>
                <w:tab w:val="left" w:pos="1875"/>
              </w:tabs>
              <w:spacing w:line="400" w:lineRule="exact"/>
              <w:jc w:val="left"/>
              <w:rPr>
                <w:rFonts w:ascii="宋体" w:hAnsi="宋体"/>
                <w:color w:val="auto"/>
                <w:kern w:val="0"/>
              </w:rPr>
            </w:pPr>
            <w:r>
              <w:rPr>
                <w:rFonts w:ascii="宋体" w:hAnsi="宋体"/>
                <w:color w:val="auto"/>
                <w:kern w:val="0"/>
              </w:rPr>
              <w:t>内容完整性和编制水平</w:t>
            </w:r>
          </w:p>
        </w:tc>
        <w:tc>
          <w:tcPr>
            <w:tcW w:w="5493" w:type="dxa"/>
            <w:vAlign w:val="center"/>
          </w:tcPr>
          <w:p w14:paraId="2C45DA39">
            <w:pPr>
              <w:snapToGrid w:val="0"/>
              <w:spacing w:line="400" w:lineRule="exact"/>
              <w:ind w:firstLine="420" w:firstLineChars="200"/>
              <w:rPr>
                <w:rFonts w:hint="eastAsia" w:ascii="宋体" w:hAnsi="宋体"/>
                <w:color w:val="auto"/>
                <w:u w:val="single"/>
              </w:rPr>
            </w:pPr>
            <w:r>
              <w:rPr>
                <w:rFonts w:hint="eastAsia" w:ascii="宋体" w:hAnsi="宋体"/>
                <w:color w:val="auto"/>
                <w:u w:val="single"/>
              </w:rPr>
              <w:t xml:space="preserve"> </w:t>
            </w:r>
            <w:r>
              <w:rPr>
                <w:rFonts w:hint="eastAsia" w:ascii="宋体" w:hAnsi="宋体"/>
                <w:color w:val="auto"/>
                <w:u w:val="single"/>
                <w:lang w:val="en-US" w:eastAsia="zh-CN"/>
              </w:rPr>
              <w:t>4</w:t>
            </w:r>
            <w:r>
              <w:rPr>
                <w:rFonts w:hint="eastAsia" w:ascii="宋体" w:hAnsi="宋体"/>
                <w:color w:val="auto"/>
                <w:u w:val="single"/>
              </w:rPr>
              <w:t xml:space="preserve"> 分 编制要点：技术方案内容完整，编制水平科学合理，对项目总体认识深刻、总体组织安排、安全环境保护及安全文明施工控制论述完整，方案整体思路清晰、符合工程实际，具有针对性、可行性和指导性。 </w:t>
            </w:r>
          </w:p>
          <w:p w14:paraId="16A0A958">
            <w:pPr>
              <w:snapToGrid w:val="0"/>
              <w:spacing w:line="400" w:lineRule="exact"/>
              <w:ind w:firstLine="420" w:firstLineChars="200"/>
              <w:rPr>
                <w:rFonts w:ascii="宋体" w:hAnsi="宋体"/>
                <w:color w:val="auto"/>
                <w:u w:val="single"/>
              </w:rPr>
            </w:pPr>
            <w:r>
              <w:rPr>
                <w:rFonts w:hint="eastAsia"/>
                <w:color w:val="auto"/>
                <w:lang w:val="en-US" w:eastAsia="zh-CN"/>
              </w:rPr>
              <w:t>评分标准:优得3.0-4.0分，良得2.0-3.0（不含）分，一般得1.0-2.0（不含）分，差得0-1.0（不含）分，不提供则不得分。</w:t>
            </w:r>
          </w:p>
        </w:tc>
      </w:tr>
      <w:tr w14:paraId="5DB4D3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339C6A0">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35A5134E">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3352C6D9">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27D7BB70">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施工方案与技术措施</w:t>
            </w:r>
          </w:p>
        </w:tc>
        <w:tc>
          <w:tcPr>
            <w:tcW w:w="5493" w:type="dxa"/>
            <w:vAlign w:val="center"/>
          </w:tcPr>
          <w:p w14:paraId="616CD801">
            <w:pPr>
              <w:snapToGrid w:val="0"/>
              <w:spacing w:line="400" w:lineRule="exact"/>
              <w:ind w:firstLine="420" w:firstLineChars="200"/>
              <w:rPr>
                <w:rFonts w:hint="default" w:ascii="宋体" w:hAnsi="宋体" w:eastAsia="宋体" w:cs="宋体"/>
                <w:color w:val="auto"/>
                <w:highlight w:val="none"/>
                <w:u w:val="single"/>
                <w:lang w:val="en-US"/>
              </w:rPr>
            </w:pP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6</w:t>
            </w:r>
            <w:r>
              <w:rPr>
                <w:rFonts w:hint="eastAsia" w:ascii="宋体" w:hAnsi="宋体" w:eastAsia="宋体" w:cs="宋体"/>
                <w:color w:val="auto"/>
                <w:highlight w:val="none"/>
                <w:u w:val="single"/>
              </w:rPr>
              <w:t>　</w:t>
            </w:r>
            <w:r>
              <w:rPr>
                <w:rFonts w:hint="eastAsia" w:ascii="宋体" w:hAnsi="宋体" w:eastAsia="宋体" w:cs="宋体"/>
                <w:color w:val="auto"/>
                <w:highlight w:val="none"/>
              </w:rPr>
              <w:t>分   编制要点：</w:t>
            </w:r>
            <w:r>
              <w:rPr>
                <w:rFonts w:hint="eastAsia" w:ascii="宋体" w:hAnsi="宋体" w:eastAsia="宋体" w:cs="宋体"/>
                <w:color w:val="auto"/>
                <w:kern w:val="0"/>
                <w:highlight w:val="none"/>
                <w:lang w:val="en-US" w:eastAsia="zh-CN"/>
              </w:rPr>
              <w:t>根据施工内容及现场实际情况编制各分部分项工程施工方案，施工方案与技术措施安排科学合理且符合招标文件要求</w:t>
            </w:r>
            <w:r>
              <w:rPr>
                <w:rFonts w:hint="eastAsia" w:ascii="宋体" w:hAnsi="宋体" w:cs="宋体"/>
                <w:color w:val="auto"/>
                <w:kern w:val="0"/>
                <w:highlight w:val="none"/>
                <w:lang w:val="en-US" w:eastAsia="zh-CN"/>
              </w:rPr>
              <w:t>。</w:t>
            </w:r>
          </w:p>
          <w:p w14:paraId="2996E953">
            <w:pPr>
              <w:snapToGrid w:val="0"/>
              <w:spacing w:line="400" w:lineRule="exact"/>
              <w:ind w:firstLine="420" w:firstLineChars="200"/>
              <w:rPr>
                <w:rFonts w:ascii="宋体" w:hAnsi="宋体"/>
                <w:color w:val="auto"/>
                <w:kern w:val="0"/>
                <w:highlight w:val="none"/>
              </w:rPr>
            </w:pPr>
            <w:r>
              <w:rPr>
                <w:rFonts w:hint="eastAsia"/>
                <w:color w:val="auto"/>
                <w:highlight w:val="none"/>
                <w:lang w:val="en-US" w:eastAsia="zh-CN"/>
              </w:rPr>
              <w:t>评分标准:优得4.5-6.0分，良得3.0-4.5（不含）分，一般得1.5-3.0（不含）分，差得0-1.5（不含）分，不提供则不得分。</w:t>
            </w:r>
          </w:p>
        </w:tc>
      </w:tr>
      <w:tr w14:paraId="7EA0CE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F0EA215">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2FB78248">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047F085F">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3E82B2C5">
            <w:pPr>
              <w:tabs>
                <w:tab w:val="left" w:pos="1875"/>
              </w:tabs>
              <w:spacing w:line="400" w:lineRule="exact"/>
              <w:jc w:val="left"/>
              <w:rPr>
                <w:rFonts w:ascii="宋体" w:hAnsi="宋体"/>
                <w:color w:val="auto"/>
                <w:kern w:val="0"/>
              </w:rPr>
            </w:pPr>
            <w:r>
              <w:rPr>
                <w:rFonts w:ascii="宋体" w:hAnsi="宋体"/>
                <w:color w:val="auto"/>
                <w:kern w:val="0"/>
              </w:rPr>
              <w:t>质量管理体系与措施</w:t>
            </w:r>
          </w:p>
        </w:tc>
        <w:tc>
          <w:tcPr>
            <w:tcW w:w="5493" w:type="dxa"/>
            <w:vAlign w:val="center"/>
          </w:tcPr>
          <w:p w14:paraId="14DBC123">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6 </w:t>
            </w:r>
            <w:r>
              <w:rPr>
                <w:rFonts w:hint="eastAsia" w:ascii="宋体" w:hAnsi="宋体" w:eastAsia="宋体" w:cs="宋体"/>
                <w:color w:val="auto"/>
              </w:rPr>
              <w:t>分   编制要点：</w:t>
            </w:r>
            <w:r>
              <w:rPr>
                <w:rFonts w:hint="eastAsia" w:ascii="宋体" w:hAnsi="宋体" w:eastAsia="宋体" w:cs="宋体"/>
                <w:color w:val="auto"/>
                <w:u w:val="single"/>
              </w:rPr>
              <w:t xml:space="preserve"> 质量管理体系科学完善、总体思路清晰</w:t>
            </w:r>
            <w:r>
              <w:rPr>
                <w:rFonts w:hint="eastAsia" w:ascii="宋体" w:hAnsi="宋体" w:cs="宋体"/>
                <w:color w:val="auto"/>
                <w:u w:val="single"/>
                <w:lang w:eastAsia="zh-CN"/>
              </w:rPr>
              <w:t>，</w:t>
            </w:r>
            <w:r>
              <w:rPr>
                <w:rFonts w:hint="eastAsia" w:ascii="宋体" w:hAnsi="宋体" w:eastAsia="宋体" w:cs="宋体"/>
                <w:color w:val="auto"/>
                <w:u w:val="single"/>
              </w:rPr>
              <w:t>质量目标明确</w:t>
            </w:r>
            <w:r>
              <w:rPr>
                <w:rFonts w:hint="eastAsia" w:ascii="宋体" w:hAnsi="宋体" w:cs="宋体"/>
                <w:color w:val="auto"/>
                <w:u w:val="single"/>
                <w:lang w:eastAsia="zh-CN"/>
              </w:rPr>
              <w:t>，</w:t>
            </w:r>
            <w:r>
              <w:rPr>
                <w:rFonts w:hint="eastAsia" w:ascii="宋体" w:hAnsi="宋体" w:eastAsia="宋体" w:cs="宋体"/>
                <w:color w:val="auto"/>
                <w:u w:val="single"/>
              </w:rPr>
              <w:t>明确项目管理班子各成员质量工作职责</w:t>
            </w:r>
            <w:r>
              <w:rPr>
                <w:rFonts w:hint="eastAsia" w:ascii="宋体" w:hAnsi="宋体" w:cs="宋体"/>
                <w:color w:val="auto"/>
                <w:u w:val="single"/>
                <w:lang w:eastAsia="zh-CN"/>
              </w:rPr>
              <w:t>，</w:t>
            </w:r>
            <w:r>
              <w:rPr>
                <w:rFonts w:hint="eastAsia" w:ascii="宋体" w:hAnsi="宋体" w:eastAsia="宋体" w:cs="宋体"/>
                <w:color w:val="auto"/>
                <w:u w:val="single"/>
              </w:rPr>
              <w:t>质量责任具体</w:t>
            </w:r>
            <w:r>
              <w:rPr>
                <w:rFonts w:hint="eastAsia" w:ascii="宋体" w:hAnsi="宋体" w:cs="宋体"/>
                <w:color w:val="auto"/>
                <w:u w:val="single"/>
                <w:lang w:eastAsia="zh-CN"/>
              </w:rPr>
              <w:t>，</w:t>
            </w:r>
            <w:r>
              <w:rPr>
                <w:rFonts w:hint="eastAsia" w:ascii="宋体" w:hAnsi="宋体" w:eastAsia="宋体" w:cs="宋体"/>
                <w:color w:val="auto"/>
                <w:u w:val="single"/>
              </w:rPr>
              <w:t>具有可实施的质量控制措施和质量考核制度。</w:t>
            </w:r>
          </w:p>
          <w:p w14:paraId="2DF2C79D">
            <w:pPr>
              <w:pStyle w:val="2"/>
              <w:ind w:firstLine="420" w:firstLineChars="200"/>
              <w:rPr>
                <w:rFonts w:ascii="宋体" w:hAnsi="宋体"/>
                <w:color w:val="auto"/>
                <w:kern w:val="0"/>
              </w:rPr>
            </w:pPr>
            <w:r>
              <w:rPr>
                <w:rFonts w:hint="eastAsia"/>
                <w:color w:val="auto"/>
                <w:lang w:val="en-US" w:eastAsia="zh-CN"/>
              </w:rPr>
              <w:t>评分标准:优得4.5-6.0分，良得3.0-4.5（不含）分，一般得1.5-3.0（不含）分，差得0-1.5（不含）分，不提供则不得分。</w:t>
            </w:r>
          </w:p>
        </w:tc>
      </w:tr>
      <w:tr w14:paraId="7134CE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60ECE41">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0FD4C4F4">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2C16CD34">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5A3213E3">
            <w:pPr>
              <w:tabs>
                <w:tab w:val="left" w:pos="1875"/>
              </w:tabs>
              <w:spacing w:line="400" w:lineRule="exact"/>
              <w:jc w:val="left"/>
              <w:rPr>
                <w:rFonts w:ascii="宋体" w:hAnsi="宋体"/>
                <w:color w:val="auto"/>
                <w:kern w:val="0"/>
              </w:rPr>
            </w:pPr>
            <w:r>
              <w:rPr>
                <w:rFonts w:ascii="宋体" w:hAnsi="宋体"/>
                <w:color w:val="auto"/>
                <w:kern w:val="0"/>
              </w:rPr>
              <w:t>安全管理体系与措施</w:t>
            </w:r>
          </w:p>
        </w:tc>
        <w:tc>
          <w:tcPr>
            <w:tcW w:w="5493" w:type="dxa"/>
            <w:vAlign w:val="center"/>
          </w:tcPr>
          <w:p w14:paraId="26C3EE11">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4 </w:t>
            </w:r>
            <w:r>
              <w:rPr>
                <w:rFonts w:hint="eastAsia" w:ascii="宋体" w:hAnsi="宋体" w:eastAsia="宋体" w:cs="宋体"/>
                <w:color w:val="auto"/>
              </w:rPr>
              <w:t>分   编制要点：</w:t>
            </w:r>
            <w:r>
              <w:rPr>
                <w:rFonts w:hint="eastAsia" w:ascii="宋体" w:hAnsi="宋体" w:eastAsia="宋体" w:cs="宋体"/>
                <w:color w:val="auto"/>
                <w:u w:val="single"/>
              </w:rPr>
              <w:t>安全管理体系健全有效</w:t>
            </w:r>
            <w:r>
              <w:rPr>
                <w:rFonts w:hint="eastAsia" w:ascii="宋体" w:hAnsi="宋体" w:cs="宋体"/>
                <w:color w:val="auto"/>
                <w:u w:val="single"/>
                <w:lang w:eastAsia="zh-CN"/>
              </w:rPr>
              <w:t>，</w:t>
            </w:r>
            <w:r>
              <w:rPr>
                <w:rFonts w:hint="eastAsia" w:ascii="宋体" w:hAnsi="宋体" w:eastAsia="宋体" w:cs="宋体"/>
                <w:color w:val="auto"/>
                <w:u w:val="single"/>
              </w:rPr>
              <w:t>安全责任、目标明确</w:t>
            </w:r>
            <w:r>
              <w:rPr>
                <w:rFonts w:hint="eastAsia" w:ascii="宋体" w:hAnsi="宋体" w:cs="宋体"/>
                <w:color w:val="auto"/>
                <w:u w:val="single"/>
                <w:lang w:eastAsia="zh-CN"/>
              </w:rPr>
              <w:t>，</w:t>
            </w:r>
            <w:r>
              <w:rPr>
                <w:rFonts w:hint="eastAsia" w:ascii="宋体" w:hAnsi="宋体" w:eastAsia="宋体" w:cs="宋体"/>
                <w:color w:val="auto"/>
                <w:u w:val="single"/>
              </w:rPr>
              <w:t>劳动保护责任明确、安全责任具体</w:t>
            </w:r>
            <w:r>
              <w:rPr>
                <w:rFonts w:hint="eastAsia" w:ascii="宋体" w:hAnsi="宋体" w:cs="宋体"/>
                <w:color w:val="auto"/>
                <w:u w:val="single"/>
                <w:lang w:eastAsia="zh-CN"/>
              </w:rPr>
              <w:t>，</w:t>
            </w:r>
            <w:r>
              <w:rPr>
                <w:rFonts w:hint="eastAsia" w:ascii="宋体" w:hAnsi="宋体" w:eastAsia="宋体" w:cs="宋体"/>
                <w:color w:val="auto"/>
                <w:u w:val="single"/>
              </w:rPr>
              <w:t>具有可实施的安全控制措施与考核制度。</w:t>
            </w:r>
          </w:p>
          <w:p w14:paraId="52CE82B2">
            <w:pPr>
              <w:pStyle w:val="2"/>
              <w:ind w:firstLine="420" w:firstLineChars="200"/>
              <w:rPr>
                <w:rFonts w:ascii="宋体" w:hAnsi="宋体"/>
                <w:color w:val="auto"/>
                <w:kern w:val="0"/>
              </w:rPr>
            </w:pPr>
            <w:r>
              <w:rPr>
                <w:rFonts w:hint="eastAsia"/>
                <w:color w:val="auto"/>
                <w:lang w:val="en-US" w:eastAsia="zh-CN"/>
              </w:rPr>
              <w:t>评分标准:优得3.0-4.0分，良得2.0-3.0（不含）分，一般得1.0-2.0（不含）分，差得0-1.0（不含）分，不提供则不得分。</w:t>
            </w:r>
          </w:p>
        </w:tc>
      </w:tr>
      <w:tr w14:paraId="45B69A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5468948">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4EB8B01C">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0B8771E7">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7F49592E">
            <w:pPr>
              <w:tabs>
                <w:tab w:val="left" w:pos="1875"/>
              </w:tabs>
              <w:spacing w:line="400" w:lineRule="exact"/>
              <w:jc w:val="left"/>
              <w:rPr>
                <w:rFonts w:ascii="宋体" w:hAnsi="宋体"/>
                <w:color w:val="auto"/>
                <w:kern w:val="0"/>
              </w:rPr>
            </w:pPr>
            <w:r>
              <w:rPr>
                <w:rFonts w:ascii="宋体" w:hAnsi="宋体"/>
                <w:color w:val="auto"/>
                <w:kern w:val="0"/>
              </w:rPr>
              <w:t>环境保护管理体系措施</w:t>
            </w:r>
          </w:p>
        </w:tc>
        <w:tc>
          <w:tcPr>
            <w:tcW w:w="5493" w:type="dxa"/>
            <w:vAlign w:val="center"/>
          </w:tcPr>
          <w:p w14:paraId="0B061A31">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4 </w:t>
            </w:r>
            <w:r>
              <w:rPr>
                <w:rFonts w:hint="eastAsia" w:ascii="宋体" w:hAnsi="宋体" w:eastAsia="宋体" w:cs="宋体"/>
                <w:color w:val="auto"/>
              </w:rPr>
              <w:t>分   编制要点：</w:t>
            </w:r>
            <w:r>
              <w:rPr>
                <w:rFonts w:hint="eastAsia" w:ascii="宋体" w:hAnsi="宋体" w:eastAsia="宋体" w:cs="宋体"/>
                <w:color w:val="auto"/>
                <w:u w:val="single"/>
              </w:rPr>
              <w:t>环境保护管理体系措施健全有效</w:t>
            </w:r>
            <w:r>
              <w:rPr>
                <w:rFonts w:hint="eastAsia" w:ascii="宋体" w:hAnsi="宋体" w:cs="宋体"/>
                <w:color w:val="auto"/>
                <w:u w:val="single"/>
                <w:lang w:eastAsia="zh-CN"/>
              </w:rPr>
              <w:t>；</w:t>
            </w:r>
            <w:r>
              <w:rPr>
                <w:rFonts w:hint="eastAsia" w:ascii="宋体" w:hAnsi="宋体" w:eastAsia="宋体" w:cs="宋体"/>
                <w:color w:val="auto"/>
                <w:u w:val="single"/>
              </w:rPr>
              <w:t>目标明确</w:t>
            </w:r>
            <w:r>
              <w:rPr>
                <w:rFonts w:hint="eastAsia" w:ascii="宋体" w:hAnsi="宋体" w:cs="宋体"/>
                <w:color w:val="auto"/>
                <w:u w:val="single"/>
                <w:lang w:eastAsia="zh-CN"/>
              </w:rPr>
              <w:t>；</w:t>
            </w:r>
            <w:r>
              <w:rPr>
                <w:rFonts w:hint="eastAsia" w:ascii="宋体" w:hAnsi="宋体" w:eastAsia="宋体" w:cs="宋体"/>
                <w:color w:val="auto"/>
                <w:u w:val="single"/>
              </w:rPr>
              <w:t>具有可实施的安全控制措施与考核制度。。</w:t>
            </w:r>
          </w:p>
          <w:p w14:paraId="518279B0">
            <w:pPr>
              <w:pStyle w:val="2"/>
              <w:ind w:firstLine="420" w:firstLineChars="200"/>
              <w:rPr>
                <w:rFonts w:ascii="宋体" w:hAnsi="宋体"/>
                <w:color w:val="auto"/>
                <w:kern w:val="0"/>
              </w:rPr>
            </w:pPr>
            <w:r>
              <w:rPr>
                <w:rFonts w:hint="eastAsia"/>
                <w:color w:val="auto"/>
                <w:lang w:val="en-US" w:eastAsia="zh-CN"/>
              </w:rPr>
              <w:t>评分标准:优得3.0-4.0分，良得2.0-3.0（不含）分，一般得1.0-2.0（不含）分，差得0-1.0（不含）分，不提供则不得分。</w:t>
            </w:r>
          </w:p>
        </w:tc>
      </w:tr>
      <w:tr w14:paraId="1659F2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2B6881BB">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2BE8E439">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2BEDC815">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36822491">
            <w:pPr>
              <w:tabs>
                <w:tab w:val="left" w:pos="1875"/>
              </w:tabs>
              <w:spacing w:line="400" w:lineRule="exact"/>
              <w:jc w:val="left"/>
              <w:rPr>
                <w:rFonts w:ascii="宋体" w:hAnsi="宋体"/>
                <w:color w:val="auto"/>
                <w:kern w:val="0"/>
              </w:rPr>
            </w:pPr>
            <w:r>
              <w:rPr>
                <w:rFonts w:ascii="宋体" w:hAnsi="宋体"/>
                <w:color w:val="auto"/>
                <w:kern w:val="0"/>
              </w:rPr>
              <w:t>工程进度计划与措施</w:t>
            </w:r>
          </w:p>
        </w:tc>
        <w:tc>
          <w:tcPr>
            <w:tcW w:w="5493" w:type="dxa"/>
            <w:vAlign w:val="center"/>
          </w:tcPr>
          <w:p w14:paraId="09964225">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3 </w:t>
            </w:r>
            <w:r>
              <w:rPr>
                <w:rFonts w:hint="eastAsia" w:ascii="宋体" w:hAnsi="宋体" w:eastAsia="宋体" w:cs="宋体"/>
                <w:color w:val="auto"/>
              </w:rPr>
              <w:t>分   编制要点：</w:t>
            </w:r>
            <w:r>
              <w:rPr>
                <w:rFonts w:hint="eastAsia" w:ascii="宋体" w:hAnsi="宋体" w:eastAsia="宋体" w:cs="宋体"/>
                <w:color w:val="auto"/>
                <w:u w:val="single"/>
              </w:rPr>
              <w:t xml:space="preserve"> 合理规划施工总体进度计划、总计划满足招标文件要求，明确开、竣工日期，逻辑关系正确，关键线路节点清晰，可操作行强。</w:t>
            </w:r>
          </w:p>
          <w:p w14:paraId="11E8B9DC">
            <w:pPr>
              <w:pStyle w:val="2"/>
              <w:ind w:firstLine="420" w:firstLineChars="200"/>
              <w:rPr>
                <w:rFonts w:ascii="宋体" w:hAnsi="宋体"/>
                <w:color w:val="auto"/>
                <w:kern w:val="0"/>
              </w:rPr>
            </w:pPr>
            <w:r>
              <w:rPr>
                <w:rFonts w:hint="eastAsia"/>
                <w:color w:val="auto"/>
                <w:lang w:val="en-US" w:eastAsia="zh-CN"/>
              </w:rPr>
              <w:t>评分标准:优得2.5-3.0分，良得2.0-2.5（不含）分，一般得1.5-2.0（不含）分，差得0-1.5（不含）分，不提供则不得分。</w:t>
            </w:r>
          </w:p>
        </w:tc>
      </w:tr>
      <w:tr w14:paraId="7723C0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833" w:type="dxa"/>
            <w:vMerge w:val="continue"/>
            <w:tcBorders>
              <w:right w:val="single" w:color="auto" w:sz="4" w:space="0"/>
            </w:tcBorders>
            <w:vAlign w:val="center"/>
          </w:tcPr>
          <w:p w14:paraId="3EF7830B">
            <w:pPr>
              <w:spacing w:line="400" w:lineRule="exact"/>
              <w:ind w:firstLine="210" w:firstLineChars="100"/>
              <w:jc w:val="center"/>
              <w:rPr>
                <w:rFonts w:ascii="宋体" w:hAnsi="宋体"/>
                <w:color w:val="auto"/>
                <w:kern w:val="0"/>
              </w:rPr>
            </w:pPr>
          </w:p>
        </w:tc>
        <w:tc>
          <w:tcPr>
            <w:tcW w:w="585" w:type="dxa"/>
            <w:gridSpan w:val="2"/>
            <w:vMerge w:val="continue"/>
            <w:tcBorders>
              <w:left w:val="single" w:color="auto" w:sz="4" w:space="0"/>
            </w:tcBorders>
            <w:vAlign w:val="center"/>
          </w:tcPr>
          <w:p w14:paraId="5853CBE6">
            <w:pPr>
              <w:spacing w:line="400" w:lineRule="exact"/>
              <w:ind w:firstLine="210" w:firstLineChars="100"/>
              <w:jc w:val="center"/>
              <w:rPr>
                <w:rFonts w:ascii="宋体" w:hAnsi="宋体"/>
                <w:color w:val="auto"/>
                <w:kern w:val="0"/>
              </w:rPr>
            </w:pPr>
          </w:p>
        </w:tc>
        <w:tc>
          <w:tcPr>
            <w:tcW w:w="568" w:type="dxa"/>
            <w:vMerge w:val="continue"/>
            <w:tcBorders>
              <w:right w:val="single" w:color="auto" w:sz="4" w:space="0"/>
            </w:tcBorders>
            <w:vAlign w:val="center"/>
          </w:tcPr>
          <w:p w14:paraId="494CDEBA">
            <w:pPr>
              <w:tabs>
                <w:tab w:val="left" w:pos="1875"/>
              </w:tabs>
              <w:spacing w:line="400" w:lineRule="exact"/>
              <w:jc w:val="left"/>
              <w:rPr>
                <w:rFonts w:ascii="宋体" w:hAnsi="宋体"/>
                <w:color w:val="auto"/>
                <w:kern w:val="0"/>
              </w:rPr>
            </w:pPr>
          </w:p>
        </w:tc>
        <w:tc>
          <w:tcPr>
            <w:tcW w:w="1991" w:type="dxa"/>
            <w:gridSpan w:val="2"/>
            <w:tcBorders>
              <w:left w:val="single" w:color="auto" w:sz="4" w:space="0"/>
            </w:tcBorders>
            <w:vAlign w:val="center"/>
          </w:tcPr>
          <w:p w14:paraId="108C6A53">
            <w:pPr>
              <w:tabs>
                <w:tab w:val="left" w:pos="1875"/>
              </w:tabs>
              <w:spacing w:line="400" w:lineRule="exact"/>
              <w:jc w:val="left"/>
              <w:rPr>
                <w:rFonts w:ascii="宋体" w:hAnsi="宋体"/>
                <w:color w:val="auto"/>
                <w:kern w:val="0"/>
              </w:rPr>
            </w:pPr>
            <w:r>
              <w:rPr>
                <w:rFonts w:ascii="宋体" w:hAnsi="宋体"/>
                <w:color w:val="auto"/>
                <w:kern w:val="0"/>
              </w:rPr>
              <w:t>资源配备计划与先进性</w:t>
            </w:r>
          </w:p>
        </w:tc>
        <w:tc>
          <w:tcPr>
            <w:tcW w:w="5493" w:type="dxa"/>
            <w:vAlign w:val="center"/>
          </w:tcPr>
          <w:p w14:paraId="7937E7D6">
            <w:pPr>
              <w:snapToGrid w:val="0"/>
              <w:spacing w:line="400" w:lineRule="exact"/>
              <w:ind w:firstLine="420" w:firstLineChars="200"/>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cs="宋体"/>
                <w:color w:val="auto"/>
                <w:u w:val="single"/>
                <w:lang w:val="en-US" w:eastAsia="zh-CN"/>
              </w:rPr>
              <w:t xml:space="preserve">3 </w:t>
            </w:r>
            <w:r>
              <w:rPr>
                <w:rFonts w:hint="eastAsia" w:ascii="宋体" w:hAnsi="宋体" w:eastAsia="宋体" w:cs="宋体"/>
                <w:color w:val="auto"/>
              </w:rPr>
              <w:t>分   编制要点：</w:t>
            </w:r>
            <w:r>
              <w:rPr>
                <w:rFonts w:hint="eastAsia" w:ascii="宋体" w:hAnsi="宋体" w:eastAsia="宋体" w:cs="宋体"/>
                <w:color w:val="auto"/>
                <w:u w:val="single"/>
              </w:rPr>
              <w:t>根据项目实际情况制定具体可行的资源配置计划以满足施工进度需求，劳动力配置科学合理，施工机械设备配置合理齐全，资金使用计划完善。</w:t>
            </w:r>
          </w:p>
          <w:p w14:paraId="1A6B2661">
            <w:pPr>
              <w:pStyle w:val="2"/>
              <w:ind w:firstLine="420" w:firstLineChars="200"/>
              <w:rPr>
                <w:rFonts w:ascii="宋体" w:hAnsi="宋体"/>
                <w:color w:val="auto"/>
                <w:kern w:val="0"/>
              </w:rPr>
            </w:pPr>
            <w:r>
              <w:rPr>
                <w:rFonts w:hint="eastAsia"/>
                <w:color w:val="auto"/>
                <w:lang w:val="en-US" w:eastAsia="zh-CN"/>
              </w:rPr>
              <w:t>评分标准:优得2.5-3.0分，良得2.0-2.5（不含）分，一般得1.5-2.0（不含）分，差得0-1.5（不含）分，不提供则不得分。</w:t>
            </w:r>
          </w:p>
        </w:tc>
      </w:tr>
      <w:tr w14:paraId="413BD6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29CEBF1F">
            <w:pPr>
              <w:spacing w:line="400" w:lineRule="exact"/>
              <w:jc w:val="center"/>
              <w:rPr>
                <w:rFonts w:ascii="宋体" w:hAnsi="宋体"/>
                <w:color w:val="auto"/>
                <w:kern w:val="0"/>
              </w:rPr>
            </w:pPr>
            <w:r>
              <w:rPr>
                <w:rFonts w:ascii="宋体" w:hAnsi="宋体"/>
                <w:color w:val="auto"/>
                <w:kern w:val="0"/>
              </w:rPr>
              <w:t>2.2.</w:t>
            </w:r>
            <w:r>
              <w:rPr>
                <w:rFonts w:hint="eastAsia" w:ascii="宋体" w:hAnsi="宋体"/>
                <w:color w:val="auto"/>
                <w:kern w:val="0"/>
              </w:rPr>
              <w:t>3</w:t>
            </w:r>
          </w:p>
        </w:tc>
        <w:tc>
          <w:tcPr>
            <w:tcW w:w="2131" w:type="dxa"/>
            <w:gridSpan w:val="4"/>
            <w:vAlign w:val="center"/>
          </w:tcPr>
          <w:p w14:paraId="2B92D1A9">
            <w:pPr>
              <w:spacing w:line="400" w:lineRule="exact"/>
              <w:jc w:val="center"/>
              <w:rPr>
                <w:rFonts w:ascii="宋体" w:hAnsi="宋体"/>
                <w:color w:val="auto"/>
                <w:kern w:val="0"/>
              </w:rPr>
            </w:pPr>
            <w:r>
              <w:rPr>
                <w:rFonts w:ascii="宋体" w:hAnsi="宋体"/>
                <w:color w:val="auto"/>
                <w:kern w:val="0"/>
              </w:rPr>
              <w:t>评标基准价计算方法</w:t>
            </w:r>
          </w:p>
        </w:tc>
        <w:tc>
          <w:tcPr>
            <w:tcW w:w="1013" w:type="dxa"/>
            <w:vAlign w:val="center"/>
          </w:tcPr>
          <w:p w14:paraId="2DC77E09">
            <w:pPr>
              <w:spacing w:line="400" w:lineRule="exact"/>
              <w:jc w:val="center"/>
              <w:rPr>
                <w:rFonts w:ascii="宋体" w:hAnsi="宋体"/>
                <w:color w:val="auto"/>
                <w:kern w:val="0"/>
              </w:rPr>
            </w:pPr>
            <w:r>
              <w:rPr>
                <w:rFonts w:ascii="宋体" w:hAnsi="宋体"/>
                <w:color w:val="auto"/>
                <w:kern w:val="0"/>
              </w:rPr>
              <w:t>投标总报价</w:t>
            </w:r>
          </w:p>
        </w:tc>
        <w:tc>
          <w:tcPr>
            <w:tcW w:w="5493" w:type="dxa"/>
            <w:vAlign w:val="top"/>
          </w:tcPr>
          <w:p w14:paraId="427EAC2F">
            <w:pPr>
              <w:snapToGrid w:val="0"/>
              <w:spacing w:line="400" w:lineRule="exact"/>
              <w:ind w:firstLine="420" w:firstLineChars="200"/>
              <w:rPr>
                <w:rFonts w:ascii="宋体" w:hAnsi="宋体"/>
                <w:i/>
                <w:color w:val="auto"/>
                <w:kern w:val="0"/>
                <w:szCs w:val="21"/>
              </w:rPr>
            </w:pPr>
            <w:r>
              <w:rPr>
                <w:rFonts w:ascii="宋体" w:hAnsi="宋体"/>
                <w:color w:val="auto"/>
                <w:kern w:val="0"/>
                <w:szCs w:val="21"/>
              </w:rPr>
              <w:t>所有通过初步评审合格的</w:t>
            </w:r>
            <w:r>
              <w:rPr>
                <w:rFonts w:hint="eastAsia" w:ascii="宋体" w:hAnsi="宋体"/>
                <w:color w:val="auto"/>
                <w:kern w:val="0"/>
                <w:szCs w:val="21"/>
                <w:lang w:eastAsia="zh-CN"/>
              </w:rPr>
              <w:t>竞选人</w:t>
            </w:r>
            <w:r>
              <w:rPr>
                <w:rFonts w:ascii="宋体" w:hAnsi="宋体"/>
                <w:color w:val="auto"/>
                <w:szCs w:val="21"/>
              </w:rPr>
              <w:t>的投标总报</w:t>
            </w:r>
            <w:r>
              <w:rPr>
                <w:rFonts w:ascii="宋体" w:hAnsi="宋体"/>
                <w:color w:val="auto"/>
                <w:kern w:val="0"/>
                <w:szCs w:val="21"/>
              </w:rPr>
              <w:t>价中去掉六分之一（不能整除的按小数点前整数取整，不足六家报价则不去掉）的最低价和相同家数的最高价后的算术平均值</w:t>
            </w:r>
            <w:r>
              <w:rPr>
                <w:rFonts w:hint="eastAsia" w:ascii="宋体" w:hAnsi="宋体"/>
                <w:color w:val="auto"/>
                <w:kern w:val="0"/>
                <w:szCs w:val="21"/>
              </w:rPr>
              <w:t>，即为本项目的投标总报价的评标基准价。</w:t>
            </w:r>
          </w:p>
          <w:p w14:paraId="266D8783">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评标基准价计算的最终</w:t>
            </w:r>
            <w:r>
              <w:rPr>
                <w:rFonts w:ascii="宋体" w:hAnsi="宋体"/>
                <w:color w:val="auto"/>
                <w:kern w:val="0"/>
                <w:szCs w:val="21"/>
              </w:rPr>
              <w:t>结果取小数点后两位，第三位四舍五入。</w:t>
            </w:r>
          </w:p>
          <w:p w14:paraId="7C21AD01">
            <w:pPr>
              <w:snapToGrid w:val="0"/>
              <w:spacing w:line="400" w:lineRule="exact"/>
              <w:ind w:firstLine="420" w:firstLineChars="200"/>
              <w:rPr>
                <w:rFonts w:ascii="宋体" w:hAnsi="宋体"/>
                <w:color w:val="auto"/>
                <w:kern w:val="0"/>
                <w:szCs w:val="21"/>
              </w:rPr>
            </w:pPr>
            <w:r>
              <w:rPr>
                <w:rFonts w:ascii="宋体" w:hAnsi="宋体"/>
                <w:color w:val="auto"/>
                <w:kern w:val="0"/>
                <w:szCs w:val="21"/>
              </w:rPr>
              <w:t>在评标基准价计算完成后（除计算错误外），在后续的评审中不得再对其做出调整。</w:t>
            </w:r>
          </w:p>
        </w:tc>
      </w:tr>
      <w:tr w14:paraId="439D04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30" w:hRule="atLeast"/>
          <w:jc w:val="center"/>
        </w:trPr>
        <w:tc>
          <w:tcPr>
            <w:tcW w:w="833" w:type="dxa"/>
            <w:vAlign w:val="center"/>
          </w:tcPr>
          <w:p w14:paraId="3A7C1F30">
            <w:pPr>
              <w:spacing w:line="400" w:lineRule="exact"/>
              <w:jc w:val="center"/>
              <w:rPr>
                <w:rFonts w:ascii="宋体" w:hAnsi="宋体"/>
                <w:color w:val="auto"/>
                <w:kern w:val="0"/>
              </w:rPr>
            </w:pPr>
            <w:r>
              <w:rPr>
                <w:rFonts w:ascii="宋体" w:hAnsi="宋体"/>
                <w:color w:val="auto"/>
                <w:kern w:val="0"/>
              </w:rPr>
              <w:t>2.2.</w:t>
            </w:r>
            <w:r>
              <w:rPr>
                <w:rFonts w:hint="eastAsia" w:ascii="宋体" w:hAnsi="宋体"/>
                <w:color w:val="auto"/>
                <w:kern w:val="0"/>
              </w:rPr>
              <w:t>4</w:t>
            </w:r>
          </w:p>
          <w:p w14:paraId="014F84EE">
            <w:pPr>
              <w:spacing w:line="400" w:lineRule="exact"/>
              <w:jc w:val="center"/>
              <w:rPr>
                <w:rFonts w:ascii="宋体" w:hAnsi="宋体"/>
                <w:color w:val="auto"/>
                <w:kern w:val="0"/>
              </w:rPr>
            </w:pPr>
          </w:p>
        </w:tc>
        <w:tc>
          <w:tcPr>
            <w:tcW w:w="3144" w:type="dxa"/>
            <w:gridSpan w:val="5"/>
            <w:vAlign w:val="center"/>
          </w:tcPr>
          <w:p w14:paraId="37107E69">
            <w:pPr>
              <w:spacing w:line="400" w:lineRule="exact"/>
              <w:jc w:val="center"/>
              <w:rPr>
                <w:rFonts w:ascii="宋体" w:hAnsi="宋体"/>
                <w:color w:val="auto"/>
                <w:kern w:val="0"/>
              </w:rPr>
            </w:pPr>
            <w:r>
              <w:rPr>
                <w:rFonts w:hint="eastAsia" w:ascii="宋体" w:hAnsi="宋体"/>
                <w:color w:val="auto"/>
                <w:kern w:val="0"/>
              </w:rPr>
              <w:t>允许偏差率</w:t>
            </w:r>
          </w:p>
        </w:tc>
        <w:tc>
          <w:tcPr>
            <w:tcW w:w="5493" w:type="dxa"/>
            <w:vAlign w:val="center"/>
          </w:tcPr>
          <w:p w14:paraId="011A1B44">
            <w:pPr>
              <w:spacing w:line="400" w:lineRule="exact"/>
              <w:ind w:firstLine="420" w:firstLineChars="200"/>
              <w:jc w:val="left"/>
              <w:rPr>
                <w:rFonts w:ascii="宋体" w:hAnsi="宋体"/>
                <w:color w:val="auto"/>
                <w:kern w:val="0"/>
              </w:rPr>
            </w:pPr>
            <w:r>
              <w:rPr>
                <w:rFonts w:ascii="宋体" w:hAnsi="宋体"/>
                <w:color w:val="auto"/>
                <w:kern w:val="0"/>
              </w:rPr>
              <w:t>投标总报价的偏差率计算公式</w:t>
            </w:r>
          </w:p>
          <w:p w14:paraId="2C7B6EA8">
            <w:pPr>
              <w:spacing w:line="400" w:lineRule="exact"/>
              <w:ind w:firstLine="420" w:firstLineChars="200"/>
              <w:jc w:val="left"/>
              <w:rPr>
                <w:rFonts w:ascii="宋体" w:hAnsi="宋体"/>
                <w:color w:val="auto"/>
                <w:kern w:val="0"/>
              </w:rPr>
            </w:pPr>
            <w:r>
              <w:rPr>
                <w:rFonts w:ascii="宋体" w:hAnsi="宋体"/>
                <w:color w:val="auto"/>
                <w:kern w:val="0"/>
              </w:rPr>
              <w:t>偏差率</w:t>
            </w:r>
            <w:r>
              <w:rPr>
                <w:rFonts w:ascii="宋体" w:hAnsi="宋体"/>
                <w:color w:val="auto"/>
                <w:kern w:val="0"/>
                <w:sz w:val="28"/>
                <w:szCs w:val="28"/>
              </w:rPr>
              <w:t>=</w:t>
            </w:r>
            <w:r>
              <w:rPr>
                <w:rFonts w:ascii="宋体" w:hAnsi="宋体"/>
                <w:color w:val="auto"/>
                <w:kern w:val="0"/>
              </w:rPr>
              <w:t>100％×（</w:t>
            </w:r>
            <w:r>
              <w:rPr>
                <w:rFonts w:hint="eastAsia" w:ascii="宋体" w:hAnsi="宋体"/>
                <w:color w:val="auto"/>
                <w:kern w:val="0"/>
                <w:lang w:eastAsia="zh-CN"/>
              </w:rPr>
              <w:t>竞选人</w:t>
            </w:r>
            <w:r>
              <w:rPr>
                <w:rFonts w:ascii="宋体" w:hAnsi="宋体"/>
                <w:color w:val="auto"/>
                <w:kern w:val="0"/>
              </w:rPr>
              <w:t>报价一评标基准价）／评标基准价</w:t>
            </w:r>
          </w:p>
          <w:p w14:paraId="25EC53BF">
            <w:pPr>
              <w:spacing w:line="400" w:lineRule="exact"/>
              <w:ind w:firstLine="200"/>
              <w:rPr>
                <w:rFonts w:ascii="宋体" w:hAnsi="宋体"/>
                <w:color w:val="auto"/>
                <w:kern w:val="0"/>
              </w:rPr>
            </w:pPr>
            <w:r>
              <w:rPr>
                <w:rFonts w:ascii="宋体" w:hAnsi="宋体"/>
                <w:color w:val="auto"/>
                <w:kern w:val="0"/>
              </w:rPr>
              <w:t xml:space="preserve">  偏差率</w:t>
            </w:r>
            <w:r>
              <w:rPr>
                <w:rFonts w:ascii="宋体" w:hAnsi="宋体"/>
                <w:color w:val="auto"/>
                <w:kern w:val="0"/>
                <w:szCs w:val="21"/>
              </w:rPr>
              <w:t>计算的最终结果</w:t>
            </w:r>
            <w:r>
              <w:rPr>
                <w:rFonts w:hint="eastAsia" w:ascii="宋体" w:hAnsi="宋体"/>
                <w:color w:val="auto"/>
                <w:kern w:val="0"/>
                <w:szCs w:val="21"/>
              </w:rPr>
              <w:t>取</w:t>
            </w:r>
            <w:r>
              <w:rPr>
                <w:rFonts w:ascii="宋体" w:hAnsi="宋体"/>
                <w:color w:val="auto"/>
                <w:kern w:val="0"/>
                <w:szCs w:val="21"/>
              </w:rPr>
              <w:t>小数点后两位，小数点后第三位“四舍五入”。</w:t>
            </w:r>
          </w:p>
        </w:tc>
      </w:tr>
      <w:tr w14:paraId="305D39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042327B3">
            <w:pPr>
              <w:spacing w:line="400" w:lineRule="exact"/>
              <w:jc w:val="center"/>
              <w:rPr>
                <w:rFonts w:ascii="宋体" w:hAnsi="宋体"/>
                <w:color w:val="auto"/>
                <w:kern w:val="0"/>
              </w:rPr>
            </w:pPr>
            <w:r>
              <w:rPr>
                <w:rFonts w:ascii="宋体" w:hAnsi="宋体"/>
                <w:color w:val="auto"/>
              </w:rPr>
              <w:t>3</w:t>
            </w:r>
          </w:p>
        </w:tc>
        <w:tc>
          <w:tcPr>
            <w:tcW w:w="1135" w:type="dxa"/>
            <w:gridSpan w:val="2"/>
            <w:vAlign w:val="center"/>
          </w:tcPr>
          <w:p w14:paraId="334301EF">
            <w:pPr>
              <w:spacing w:line="400" w:lineRule="exact"/>
              <w:jc w:val="center"/>
              <w:rPr>
                <w:rFonts w:ascii="宋体" w:hAnsi="宋体"/>
                <w:color w:val="auto"/>
                <w:kern w:val="0"/>
              </w:rPr>
            </w:pPr>
            <w:r>
              <w:rPr>
                <w:rFonts w:ascii="宋体" w:hAnsi="宋体"/>
                <w:color w:val="auto"/>
              </w:rPr>
              <w:t>评标程序</w:t>
            </w:r>
          </w:p>
        </w:tc>
        <w:tc>
          <w:tcPr>
            <w:tcW w:w="7484" w:type="dxa"/>
            <w:gridSpan w:val="3"/>
            <w:vAlign w:val="top"/>
          </w:tcPr>
          <w:p w14:paraId="01A0BF8F">
            <w:pPr>
              <w:spacing w:line="400" w:lineRule="exact"/>
              <w:ind w:firstLine="420" w:firstLineChars="200"/>
              <w:rPr>
                <w:rFonts w:ascii="宋体" w:hAnsi="宋体"/>
                <w:color w:val="auto"/>
                <w:szCs w:val="21"/>
              </w:rPr>
            </w:pPr>
            <w:r>
              <w:rPr>
                <w:rFonts w:hint="eastAsia" w:ascii="宋体" w:hAnsi="宋体"/>
                <w:color w:val="auto"/>
                <w:szCs w:val="21"/>
              </w:rPr>
              <w:t>1.按本章评标办法第3.1款进行初步评审。未通过初步评审或评标委员会认定为无效的</w:t>
            </w:r>
            <w:r>
              <w:rPr>
                <w:rFonts w:hint="eastAsia" w:ascii="宋体" w:hAnsi="宋体"/>
                <w:color w:val="auto"/>
                <w:szCs w:val="21"/>
                <w:lang w:eastAsia="zh-CN"/>
              </w:rPr>
              <w:t>竞选文件</w:t>
            </w:r>
            <w:r>
              <w:rPr>
                <w:rFonts w:hint="eastAsia" w:ascii="宋体" w:hAnsi="宋体"/>
                <w:color w:val="auto"/>
                <w:szCs w:val="21"/>
              </w:rPr>
              <w:t>的不再进行后续评审。</w:t>
            </w:r>
          </w:p>
          <w:p w14:paraId="73CEA807">
            <w:pPr>
              <w:spacing w:line="400" w:lineRule="exact"/>
              <w:ind w:firstLine="420" w:firstLineChars="200"/>
              <w:rPr>
                <w:rFonts w:hint="eastAsia" w:ascii="宋体" w:hAnsi="宋体"/>
                <w:color w:val="auto"/>
                <w:szCs w:val="21"/>
              </w:rPr>
            </w:pPr>
            <w:r>
              <w:rPr>
                <w:rFonts w:hint="eastAsia" w:ascii="宋体" w:hAnsi="宋体"/>
                <w:color w:val="auto"/>
                <w:szCs w:val="21"/>
              </w:rPr>
              <w:t>2.按本章评标办法前附表第2.2.2项及第3.2.1（1）目的规定对技术部分进行评审。</w:t>
            </w:r>
          </w:p>
          <w:p w14:paraId="0A03133A">
            <w:pPr>
              <w:spacing w:line="400" w:lineRule="exact"/>
              <w:ind w:firstLine="420" w:firstLineChars="200"/>
              <w:rPr>
                <w:rFonts w:ascii="宋体" w:hAnsi="宋体"/>
                <w:color w:val="auto"/>
                <w:szCs w:val="21"/>
              </w:rPr>
            </w:pPr>
            <w:r>
              <w:rPr>
                <w:rFonts w:hint="eastAsia" w:ascii="宋体" w:hAnsi="宋体"/>
                <w:color w:val="auto"/>
                <w:szCs w:val="21"/>
              </w:rPr>
              <w:t>3.因评标委员会作否决投标处理导致有效</w:t>
            </w:r>
            <w:r>
              <w:rPr>
                <w:rFonts w:hint="eastAsia" w:ascii="宋体" w:hAnsi="宋体"/>
                <w:color w:val="auto"/>
                <w:szCs w:val="21"/>
                <w:lang w:eastAsia="zh-CN"/>
              </w:rPr>
              <w:t>竞选人</w:t>
            </w:r>
            <w:r>
              <w:rPr>
                <w:rFonts w:hint="eastAsia" w:ascii="宋体" w:hAnsi="宋体"/>
                <w:color w:val="auto"/>
                <w:szCs w:val="21"/>
              </w:rPr>
              <w:t>不足三个的，评标委员会应当否决所有投标。但是有效</w:t>
            </w:r>
            <w:r>
              <w:rPr>
                <w:rFonts w:hint="eastAsia" w:ascii="宋体" w:hAnsi="宋体"/>
                <w:color w:val="auto"/>
                <w:szCs w:val="21"/>
                <w:lang w:eastAsia="zh-CN"/>
              </w:rPr>
              <w:t>竞选人</w:t>
            </w:r>
            <w:r>
              <w:rPr>
                <w:rFonts w:hint="eastAsia" w:ascii="宋体" w:hAnsi="宋体"/>
                <w:color w:val="auto"/>
                <w:szCs w:val="21"/>
              </w:rPr>
              <w:t>的经济、技术等指标仍然具有市场竞争力，能够满足招标文件要求的，评标委员会可以继续评标并确定中标候选人。</w:t>
            </w:r>
          </w:p>
          <w:p w14:paraId="1BBC3EEB">
            <w:pPr>
              <w:spacing w:line="400" w:lineRule="exact"/>
              <w:ind w:firstLine="420" w:firstLineChars="200"/>
              <w:rPr>
                <w:rFonts w:ascii="宋体" w:hAnsi="宋体"/>
                <w:color w:val="auto"/>
                <w:szCs w:val="21"/>
              </w:rPr>
            </w:pPr>
            <w:r>
              <w:rPr>
                <w:rFonts w:hint="eastAsia" w:ascii="宋体" w:hAnsi="宋体"/>
                <w:color w:val="auto"/>
                <w:szCs w:val="21"/>
              </w:rPr>
              <w:t>4.对初步评审合格的</w:t>
            </w:r>
            <w:r>
              <w:rPr>
                <w:rFonts w:hint="eastAsia" w:ascii="宋体" w:hAnsi="宋体"/>
                <w:color w:val="auto"/>
                <w:szCs w:val="21"/>
                <w:lang w:eastAsia="zh-CN"/>
              </w:rPr>
              <w:t>竞选人</w:t>
            </w:r>
            <w:r>
              <w:rPr>
                <w:rFonts w:hint="eastAsia" w:ascii="宋体" w:hAnsi="宋体"/>
                <w:color w:val="auto"/>
                <w:szCs w:val="21"/>
              </w:rPr>
              <w:t>按照本章第2.2.3项计算方法计算评标基准价，并按本附表第3.2.1（2）目规定的评分方法对投标总报价进行评分。</w:t>
            </w:r>
          </w:p>
          <w:p w14:paraId="5E53DC0F">
            <w:pPr>
              <w:spacing w:line="400" w:lineRule="exact"/>
              <w:ind w:firstLine="420" w:firstLineChars="200"/>
              <w:rPr>
                <w:rFonts w:ascii="宋体" w:hAnsi="宋体"/>
                <w:color w:val="auto"/>
                <w:szCs w:val="21"/>
              </w:rPr>
            </w:pPr>
            <w:r>
              <w:rPr>
                <w:rFonts w:hint="eastAsia" w:ascii="宋体" w:hAnsi="宋体"/>
                <w:color w:val="auto"/>
                <w:szCs w:val="21"/>
              </w:rPr>
              <w:t>5.对技术部分、投标总报价得分进行汇总，确定得分由高至低前三名</w:t>
            </w:r>
            <w:r>
              <w:rPr>
                <w:rFonts w:hint="eastAsia" w:ascii="宋体" w:hAnsi="宋体"/>
                <w:color w:val="auto"/>
                <w:szCs w:val="21"/>
                <w:lang w:eastAsia="zh-CN"/>
              </w:rPr>
              <w:t>竞选人</w:t>
            </w:r>
            <w:r>
              <w:rPr>
                <w:rFonts w:hint="eastAsia" w:ascii="宋体" w:hAnsi="宋体"/>
                <w:color w:val="auto"/>
                <w:szCs w:val="21"/>
              </w:rPr>
              <w:t>为中标候选人。</w:t>
            </w:r>
          </w:p>
        </w:tc>
      </w:tr>
      <w:tr w14:paraId="1840F1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039E7DAC">
            <w:pPr>
              <w:spacing w:line="400" w:lineRule="exact"/>
              <w:jc w:val="center"/>
              <w:rPr>
                <w:rFonts w:ascii="宋体" w:hAnsi="宋体"/>
                <w:color w:val="auto"/>
              </w:rPr>
            </w:pPr>
            <w:r>
              <w:rPr>
                <w:rFonts w:ascii="宋体" w:hAnsi="宋体"/>
                <w:color w:val="auto"/>
              </w:rPr>
              <w:t>3.2.1</w:t>
            </w:r>
          </w:p>
          <w:p w14:paraId="4E192E8A">
            <w:pPr>
              <w:spacing w:line="400" w:lineRule="exact"/>
              <w:jc w:val="center"/>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w:t>
            </w:r>
          </w:p>
        </w:tc>
        <w:tc>
          <w:tcPr>
            <w:tcW w:w="1135" w:type="dxa"/>
            <w:gridSpan w:val="2"/>
            <w:vMerge w:val="restart"/>
            <w:vAlign w:val="center"/>
          </w:tcPr>
          <w:p w14:paraId="0A8C636A">
            <w:pPr>
              <w:spacing w:line="400" w:lineRule="exact"/>
              <w:jc w:val="center"/>
              <w:rPr>
                <w:rFonts w:ascii="宋体" w:hAnsi="宋体"/>
                <w:color w:val="auto"/>
              </w:rPr>
            </w:pPr>
            <w:r>
              <w:rPr>
                <w:rFonts w:hint="eastAsia" w:ascii="宋体" w:hAnsi="宋体"/>
                <w:color w:val="auto"/>
              </w:rPr>
              <w:t>技术部分</w:t>
            </w:r>
            <w:r>
              <w:rPr>
                <w:rFonts w:ascii="宋体" w:hAnsi="宋体"/>
                <w:color w:val="auto"/>
                <w:kern w:val="0"/>
              </w:rPr>
              <w:t>得分</w:t>
            </w:r>
            <w:r>
              <w:rPr>
                <w:rFonts w:ascii="宋体" w:hAnsi="宋体"/>
                <w:color w:val="auto"/>
                <w:spacing w:val="-4"/>
              </w:rPr>
              <w:t>（</w:t>
            </w:r>
            <w:r>
              <w:rPr>
                <w:rFonts w:hint="eastAsia" w:ascii="宋体" w:hAnsi="宋体"/>
                <w:color w:val="auto"/>
                <w:spacing w:val="-4"/>
              </w:rPr>
              <w:t>A）</w:t>
            </w:r>
          </w:p>
        </w:tc>
        <w:tc>
          <w:tcPr>
            <w:tcW w:w="1991" w:type="dxa"/>
            <w:gridSpan w:val="2"/>
            <w:vAlign w:val="center"/>
          </w:tcPr>
          <w:p w14:paraId="0B1D32C1">
            <w:pPr>
              <w:spacing w:line="400" w:lineRule="exact"/>
              <w:jc w:val="left"/>
              <w:rPr>
                <w:rFonts w:ascii="宋体" w:hAnsi="宋体"/>
                <w:color w:val="auto"/>
                <w:kern w:val="0"/>
              </w:rPr>
            </w:pPr>
            <w:r>
              <w:rPr>
                <w:rFonts w:ascii="宋体" w:hAnsi="宋体"/>
                <w:color w:val="auto"/>
                <w:kern w:val="0"/>
              </w:rPr>
              <w:t>内容完整性和编制水平</w:t>
            </w:r>
          </w:p>
        </w:tc>
        <w:tc>
          <w:tcPr>
            <w:tcW w:w="5493" w:type="dxa"/>
            <w:vMerge w:val="restart"/>
            <w:vAlign w:val="center"/>
          </w:tcPr>
          <w:p w14:paraId="66407E65">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评标委员会按</w:t>
            </w:r>
            <w:r>
              <w:rPr>
                <w:rFonts w:hint="eastAsia" w:ascii="宋体" w:hAnsi="宋体"/>
                <w:color w:val="auto"/>
                <w:szCs w:val="21"/>
              </w:rPr>
              <w:t>第</w:t>
            </w:r>
            <w:r>
              <w:rPr>
                <w:rFonts w:ascii="宋体" w:hAnsi="宋体"/>
                <w:color w:val="auto"/>
                <w:szCs w:val="21"/>
              </w:rPr>
              <w:t>2.2.</w:t>
            </w:r>
            <w:r>
              <w:rPr>
                <w:rFonts w:hint="eastAsia" w:ascii="宋体" w:hAnsi="宋体"/>
                <w:color w:val="auto"/>
                <w:szCs w:val="21"/>
              </w:rPr>
              <w:t>2</w:t>
            </w:r>
            <w:r>
              <w:rPr>
                <w:rFonts w:ascii="宋体" w:hAnsi="宋体"/>
                <w:color w:val="auto"/>
                <w:szCs w:val="21"/>
              </w:rPr>
              <w:t>项各评审因素设定的分值评分。</w:t>
            </w:r>
          </w:p>
          <w:p w14:paraId="374245B9">
            <w:pPr>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评标委员会成员为</w:t>
            </w:r>
            <w:r>
              <w:rPr>
                <w:rFonts w:hint="eastAsia" w:ascii="宋体" w:hAnsi="宋体"/>
                <w:snapToGrid w:val="0"/>
                <w:color w:val="auto"/>
                <w:kern w:val="0"/>
                <w:szCs w:val="21"/>
                <w:lang w:val="en-US" w:eastAsia="zh-CN"/>
              </w:rPr>
              <w:t>3</w:t>
            </w:r>
            <w:r>
              <w:rPr>
                <w:rFonts w:ascii="宋体" w:hAnsi="宋体"/>
                <w:snapToGrid w:val="0"/>
                <w:color w:val="auto"/>
                <w:kern w:val="0"/>
                <w:szCs w:val="21"/>
              </w:rPr>
              <w:t>人及以上时，所有评委</w:t>
            </w:r>
            <w:r>
              <w:rPr>
                <w:rFonts w:hint="eastAsia" w:ascii="宋体" w:hAnsi="宋体"/>
                <w:snapToGrid w:val="0"/>
                <w:color w:val="auto"/>
                <w:kern w:val="0"/>
                <w:szCs w:val="21"/>
                <w:lang w:eastAsia="zh-CN"/>
              </w:rPr>
              <w:t>评分</w:t>
            </w:r>
            <w:r>
              <w:rPr>
                <w:rFonts w:ascii="宋体" w:hAnsi="宋体"/>
                <w:snapToGrid w:val="0"/>
                <w:color w:val="auto"/>
                <w:kern w:val="0"/>
                <w:szCs w:val="21"/>
              </w:rPr>
              <w:t>中去掉一个最高和一个最低分，余下评委</w:t>
            </w:r>
            <w:r>
              <w:rPr>
                <w:rFonts w:hint="eastAsia" w:ascii="宋体" w:hAnsi="宋体"/>
                <w:snapToGrid w:val="0"/>
                <w:color w:val="auto"/>
                <w:kern w:val="0"/>
                <w:szCs w:val="21"/>
                <w:lang w:eastAsia="zh-CN"/>
              </w:rPr>
              <w:t>评分</w:t>
            </w:r>
            <w:r>
              <w:rPr>
                <w:rFonts w:ascii="宋体" w:hAnsi="宋体"/>
                <w:snapToGrid w:val="0"/>
                <w:color w:val="auto"/>
                <w:kern w:val="0"/>
                <w:szCs w:val="21"/>
              </w:rPr>
              <w:t>取算术平均值为该</w:t>
            </w:r>
            <w:r>
              <w:rPr>
                <w:rFonts w:hint="eastAsia" w:ascii="宋体" w:hAnsi="宋体"/>
                <w:snapToGrid w:val="0"/>
                <w:color w:val="auto"/>
                <w:kern w:val="0"/>
                <w:szCs w:val="21"/>
                <w:lang w:eastAsia="zh-CN"/>
              </w:rPr>
              <w:t>竞选人</w:t>
            </w:r>
            <w:r>
              <w:rPr>
                <w:rFonts w:ascii="宋体" w:hAnsi="宋体"/>
                <w:snapToGrid w:val="0"/>
                <w:color w:val="auto"/>
                <w:kern w:val="0"/>
                <w:szCs w:val="21"/>
              </w:rPr>
              <w:t>技术方案得分。</w:t>
            </w:r>
          </w:p>
          <w:p w14:paraId="7DD08E2E">
            <w:pPr>
              <w:spacing w:line="400" w:lineRule="exact"/>
              <w:ind w:firstLine="420" w:firstLineChars="200"/>
              <w:rPr>
                <w:rFonts w:ascii="宋体" w:hAnsi="宋体"/>
                <w:color w:val="auto"/>
                <w:kern w:val="0"/>
                <w:szCs w:val="21"/>
              </w:rPr>
            </w:pPr>
            <w:r>
              <w:rPr>
                <w:rFonts w:ascii="宋体" w:hAnsi="宋体"/>
                <w:color w:val="auto"/>
                <w:kern w:val="0"/>
                <w:szCs w:val="21"/>
              </w:rPr>
              <w:t>技术方案得分的最终结果取小数点后两位，第三位四舍五入。</w:t>
            </w:r>
          </w:p>
        </w:tc>
      </w:tr>
      <w:tr w14:paraId="65EE50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61641067">
            <w:pPr>
              <w:spacing w:line="400" w:lineRule="exact"/>
              <w:jc w:val="center"/>
              <w:rPr>
                <w:rFonts w:ascii="宋体" w:hAnsi="宋体"/>
                <w:color w:val="auto"/>
              </w:rPr>
            </w:pPr>
          </w:p>
        </w:tc>
        <w:tc>
          <w:tcPr>
            <w:tcW w:w="1135" w:type="dxa"/>
            <w:gridSpan w:val="2"/>
            <w:vMerge w:val="continue"/>
            <w:vAlign w:val="center"/>
          </w:tcPr>
          <w:p w14:paraId="076B7752">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62F77969">
            <w:pPr>
              <w:spacing w:line="400" w:lineRule="exact"/>
              <w:jc w:val="left"/>
              <w:rPr>
                <w:rFonts w:ascii="宋体" w:hAnsi="宋体"/>
                <w:color w:val="auto"/>
              </w:rPr>
            </w:pPr>
            <w:r>
              <w:rPr>
                <w:rFonts w:ascii="宋体" w:hAnsi="宋体"/>
                <w:color w:val="auto"/>
                <w:kern w:val="0"/>
              </w:rPr>
              <w:t>施工方案与技术措施</w:t>
            </w:r>
          </w:p>
        </w:tc>
        <w:tc>
          <w:tcPr>
            <w:tcW w:w="5493" w:type="dxa"/>
            <w:vMerge w:val="continue"/>
            <w:vAlign w:val="center"/>
          </w:tcPr>
          <w:p w14:paraId="686B76DE">
            <w:pPr>
              <w:autoSpaceDE w:val="0"/>
              <w:autoSpaceDN w:val="0"/>
              <w:adjustRightInd w:val="0"/>
              <w:snapToGrid w:val="0"/>
              <w:spacing w:line="400" w:lineRule="exact"/>
              <w:ind w:firstLine="420" w:firstLineChars="200"/>
              <w:rPr>
                <w:rFonts w:ascii="宋体" w:hAnsi="宋体"/>
                <w:color w:val="auto"/>
                <w:szCs w:val="21"/>
              </w:rPr>
            </w:pPr>
          </w:p>
        </w:tc>
      </w:tr>
      <w:tr w14:paraId="08D7AE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4EEB35A7">
            <w:pPr>
              <w:spacing w:line="400" w:lineRule="exact"/>
              <w:jc w:val="center"/>
              <w:rPr>
                <w:rFonts w:ascii="宋体" w:hAnsi="宋体"/>
                <w:color w:val="auto"/>
              </w:rPr>
            </w:pPr>
          </w:p>
        </w:tc>
        <w:tc>
          <w:tcPr>
            <w:tcW w:w="1135" w:type="dxa"/>
            <w:gridSpan w:val="2"/>
            <w:vMerge w:val="continue"/>
            <w:vAlign w:val="center"/>
          </w:tcPr>
          <w:p w14:paraId="25475A89">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2B837E21">
            <w:pPr>
              <w:spacing w:line="400" w:lineRule="exact"/>
              <w:jc w:val="left"/>
              <w:rPr>
                <w:rFonts w:ascii="宋体" w:hAnsi="宋体"/>
                <w:color w:val="auto"/>
              </w:rPr>
            </w:pPr>
            <w:r>
              <w:rPr>
                <w:rFonts w:ascii="宋体" w:hAnsi="宋体"/>
                <w:color w:val="auto"/>
                <w:kern w:val="0"/>
              </w:rPr>
              <w:t>质量管理体系与措施</w:t>
            </w:r>
          </w:p>
        </w:tc>
        <w:tc>
          <w:tcPr>
            <w:tcW w:w="5493" w:type="dxa"/>
            <w:vMerge w:val="continue"/>
            <w:vAlign w:val="center"/>
          </w:tcPr>
          <w:p w14:paraId="27586607">
            <w:pPr>
              <w:autoSpaceDE w:val="0"/>
              <w:autoSpaceDN w:val="0"/>
              <w:adjustRightInd w:val="0"/>
              <w:snapToGrid w:val="0"/>
              <w:spacing w:line="400" w:lineRule="exact"/>
              <w:ind w:firstLine="420" w:firstLineChars="200"/>
              <w:rPr>
                <w:rFonts w:ascii="宋体" w:hAnsi="宋体"/>
                <w:color w:val="auto"/>
                <w:szCs w:val="21"/>
              </w:rPr>
            </w:pPr>
          </w:p>
        </w:tc>
      </w:tr>
      <w:tr w14:paraId="7FDF66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351B9915">
            <w:pPr>
              <w:spacing w:line="400" w:lineRule="exact"/>
              <w:jc w:val="center"/>
              <w:rPr>
                <w:rFonts w:ascii="宋体" w:hAnsi="宋体"/>
                <w:color w:val="auto"/>
              </w:rPr>
            </w:pPr>
          </w:p>
        </w:tc>
        <w:tc>
          <w:tcPr>
            <w:tcW w:w="1135" w:type="dxa"/>
            <w:gridSpan w:val="2"/>
            <w:vMerge w:val="continue"/>
            <w:vAlign w:val="center"/>
          </w:tcPr>
          <w:p w14:paraId="78801924">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6D23601F">
            <w:pPr>
              <w:spacing w:line="400" w:lineRule="exact"/>
              <w:jc w:val="left"/>
              <w:rPr>
                <w:rFonts w:ascii="宋体" w:hAnsi="宋体"/>
                <w:color w:val="auto"/>
              </w:rPr>
            </w:pPr>
            <w:r>
              <w:rPr>
                <w:rFonts w:ascii="宋体" w:hAnsi="宋体"/>
                <w:color w:val="auto"/>
                <w:kern w:val="0"/>
              </w:rPr>
              <w:t>安全管理体系与措施</w:t>
            </w:r>
          </w:p>
        </w:tc>
        <w:tc>
          <w:tcPr>
            <w:tcW w:w="5493" w:type="dxa"/>
            <w:vMerge w:val="continue"/>
            <w:vAlign w:val="center"/>
          </w:tcPr>
          <w:p w14:paraId="0D922B68">
            <w:pPr>
              <w:autoSpaceDE w:val="0"/>
              <w:autoSpaceDN w:val="0"/>
              <w:adjustRightInd w:val="0"/>
              <w:snapToGrid w:val="0"/>
              <w:spacing w:line="400" w:lineRule="exact"/>
              <w:ind w:firstLine="420" w:firstLineChars="200"/>
              <w:rPr>
                <w:rFonts w:ascii="宋体" w:hAnsi="宋体"/>
                <w:color w:val="auto"/>
                <w:szCs w:val="21"/>
              </w:rPr>
            </w:pPr>
          </w:p>
        </w:tc>
      </w:tr>
      <w:tr w14:paraId="2B7D71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50070CA5">
            <w:pPr>
              <w:spacing w:line="400" w:lineRule="exact"/>
              <w:jc w:val="center"/>
              <w:rPr>
                <w:rFonts w:ascii="宋体" w:hAnsi="宋体"/>
                <w:color w:val="auto"/>
              </w:rPr>
            </w:pPr>
          </w:p>
        </w:tc>
        <w:tc>
          <w:tcPr>
            <w:tcW w:w="1135" w:type="dxa"/>
            <w:gridSpan w:val="2"/>
            <w:vMerge w:val="continue"/>
            <w:vAlign w:val="center"/>
          </w:tcPr>
          <w:p w14:paraId="2B5BB4CB">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3C41C6CE">
            <w:pPr>
              <w:spacing w:line="400" w:lineRule="exact"/>
              <w:jc w:val="left"/>
              <w:rPr>
                <w:rFonts w:ascii="宋体" w:hAnsi="宋体"/>
                <w:color w:val="auto"/>
              </w:rPr>
            </w:pPr>
            <w:r>
              <w:rPr>
                <w:rFonts w:ascii="宋体" w:hAnsi="宋体"/>
                <w:color w:val="auto"/>
                <w:kern w:val="0"/>
              </w:rPr>
              <w:t>环境保护管理体系措施</w:t>
            </w:r>
          </w:p>
        </w:tc>
        <w:tc>
          <w:tcPr>
            <w:tcW w:w="5493" w:type="dxa"/>
            <w:vMerge w:val="continue"/>
            <w:vAlign w:val="center"/>
          </w:tcPr>
          <w:p w14:paraId="3A27D7B5">
            <w:pPr>
              <w:autoSpaceDE w:val="0"/>
              <w:autoSpaceDN w:val="0"/>
              <w:adjustRightInd w:val="0"/>
              <w:snapToGrid w:val="0"/>
              <w:spacing w:line="400" w:lineRule="exact"/>
              <w:ind w:firstLine="420" w:firstLineChars="200"/>
              <w:rPr>
                <w:rFonts w:ascii="宋体" w:hAnsi="宋体"/>
                <w:color w:val="auto"/>
                <w:szCs w:val="21"/>
              </w:rPr>
            </w:pPr>
          </w:p>
        </w:tc>
      </w:tr>
      <w:tr w14:paraId="5F32D1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5FA710DB">
            <w:pPr>
              <w:spacing w:line="400" w:lineRule="exact"/>
              <w:jc w:val="center"/>
              <w:rPr>
                <w:rFonts w:ascii="宋体" w:hAnsi="宋体"/>
                <w:color w:val="auto"/>
              </w:rPr>
            </w:pPr>
          </w:p>
        </w:tc>
        <w:tc>
          <w:tcPr>
            <w:tcW w:w="1135" w:type="dxa"/>
            <w:gridSpan w:val="2"/>
            <w:vMerge w:val="continue"/>
            <w:vAlign w:val="center"/>
          </w:tcPr>
          <w:p w14:paraId="024A7A88">
            <w:pPr>
              <w:spacing w:line="400" w:lineRule="exact"/>
              <w:jc w:val="center"/>
              <w:rPr>
                <w:rFonts w:ascii="宋体" w:hAnsi="宋体"/>
                <w:color w:val="auto"/>
              </w:rPr>
            </w:pPr>
          </w:p>
        </w:tc>
        <w:tc>
          <w:tcPr>
            <w:tcW w:w="1991" w:type="dxa"/>
            <w:gridSpan w:val="2"/>
            <w:tcBorders>
              <w:top w:val="single" w:color="auto" w:sz="4" w:space="0"/>
              <w:bottom w:val="single" w:color="auto" w:sz="4" w:space="0"/>
            </w:tcBorders>
            <w:vAlign w:val="center"/>
          </w:tcPr>
          <w:p w14:paraId="49B585AD">
            <w:pPr>
              <w:spacing w:line="400" w:lineRule="exact"/>
              <w:jc w:val="left"/>
              <w:rPr>
                <w:rFonts w:ascii="宋体" w:hAnsi="宋体"/>
                <w:color w:val="auto"/>
              </w:rPr>
            </w:pPr>
            <w:r>
              <w:rPr>
                <w:rFonts w:ascii="宋体" w:hAnsi="宋体"/>
                <w:color w:val="auto"/>
                <w:kern w:val="0"/>
              </w:rPr>
              <w:t>工程进度计划与措施</w:t>
            </w:r>
          </w:p>
        </w:tc>
        <w:tc>
          <w:tcPr>
            <w:tcW w:w="5493" w:type="dxa"/>
            <w:vMerge w:val="continue"/>
            <w:vAlign w:val="center"/>
          </w:tcPr>
          <w:p w14:paraId="79894FF4">
            <w:pPr>
              <w:autoSpaceDE w:val="0"/>
              <w:autoSpaceDN w:val="0"/>
              <w:adjustRightInd w:val="0"/>
              <w:snapToGrid w:val="0"/>
              <w:spacing w:line="400" w:lineRule="exact"/>
              <w:ind w:firstLine="420" w:firstLineChars="200"/>
              <w:rPr>
                <w:rFonts w:ascii="宋体" w:hAnsi="宋体"/>
                <w:color w:val="auto"/>
                <w:szCs w:val="21"/>
              </w:rPr>
            </w:pPr>
          </w:p>
        </w:tc>
      </w:tr>
      <w:tr w14:paraId="67BDA7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1" w:type="dxa"/>
            <w:gridSpan w:val="2"/>
            <w:vMerge w:val="continue"/>
            <w:vAlign w:val="center"/>
          </w:tcPr>
          <w:p w14:paraId="06714C7E">
            <w:pPr>
              <w:spacing w:line="400" w:lineRule="exact"/>
              <w:jc w:val="center"/>
              <w:rPr>
                <w:rFonts w:ascii="宋体" w:hAnsi="宋体"/>
                <w:color w:val="auto"/>
              </w:rPr>
            </w:pPr>
          </w:p>
        </w:tc>
        <w:tc>
          <w:tcPr>
            <w:tcW w:w="1135" w:type="dxa"/>
            <w:gridSpan w:val="2"/>
            <w:vMerge w:val="continue"/>
            <w:vAlign w:val="center"/>
          </w:tcPr>
          <w:p w14:paraId="3C0B8CFF">
            <w:pPr>
              <w:spacing w:line="400" w:lineRule="exact"/>
              <w:jc w:val="center"/>
              <w:rPr>
                <w:rFonts w:ascii="宋体" w:hAnsi="宋体"/>
                <w:color w:val="auto"/>
              </w:rPr>
            </w:pPr>
          </w:p>
        </w:tc>
        <w:tc>
          <w:tcPr>
            <w:tcW w:w="1991" w:type="dxa"/>
            <w:gridSpan w:val="2"/>
            <w:tcBorders>
              <w:top w:val="single" w:color="auto" w:sz="4" w:space="0"/>
            </w:tcBorders>
            <w:vAlign w:val="center"/>
          </w:tcPr>
          <w:p w14:paraId="10B6C4C2">
            <w:pPr>
              <w:spacing w:line="400" w:lineRule="exact"/>
              <w:jc w:val="left"/>
              <w:rPr>
                <w:rFonts w:ascii="宋体" w:hAnsi="宋体"/>
                <w:color w:val="auto"/>
              </w:rPr>
            </w:pPr>
            <w:r>
              <w:rPr>
                <w:rFonts w:ascii="宋体" w:hAnsi="宋体"/>
                <w:color w:val="auto"/>
                <w:kern w:val="0"/>
              </w:rPr>
              <w:t>资源配备计划与先进性</w:t>
            </w:r>
          </w:p>
        </w:tc>
        <w:tc>
          <w:tcPr>
            <w:tcW w:w="5493" w:type="dxa"/>
            <w:vMerge w:val="continue"/>
            <w:vAlign w:val="center"/>
          </w:tcPr>
          <w:p w14:paraId="08A6744D">
            <w:pPr>
              <w:autoSpaceDE w:val="0"/>
              <w:autoSpaceDN w:val="0"/>
              <w:adjustRightInd w:val="0"/>
              <w:snapToGrid w:val="0"/>
              <w:spacing w:line="400" w:lineRule="exact"/>
              <w:ind w:firstLine="420" w:firstLineChars="200"/>
              <w:rPr>
                <w:rFonts w:ascii="宋体" w:hAnsi="宋体"/>
                <w:color w:val="auto"/>
                <w:szCs w:val="21"/>
              </w:rPr>
            </w:pPr>
          </w:p>
        </w:tc>
      </w:tr>
      <w:tr w14:paraId="63C8F7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3C48F51C">
            <w:pP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rPr>
              <w:t>2</w:t>
            </w:r>
            <w:r>
              <w:rPr>
                <w:rFonts w:ascii="宋体" w:hAnsi="宋体"/>
                <w:color w:val="auto"/>
                <w:highlight w:val="none"/>
              </w:rPr>
              <w:t>）</w:t>
            </w:r>
          </w:p>
        </w:tc>
        <w:tc>
          <w:tcPr>
            <w:tcW w:w="1135" w:type="dxa"/>
            <w:gridSpan w:val="2"/>
            <w:vAlign w:val="center"/>
          </w:tcPr>
          <w:p w14:paraId="7F3FDD13">
            <w:pPr>
              <w:spacing w:line="400" w:lineRule="exact"/>
              <w:jc w:val="center"/>
              <w:rPr>
                <w:rFonts w:ascii="宋体" w:hAnsi="宋体"/>
                <w:color w:val="auto"/>
                <w:highlight w:val="none"/>
              </w:rPr>
            </w:pPr>
            <w:r>
              <w:rPr>
                <w:rFonts w:ascii="宋体" w:hAnsi="宋体"/>
                <w:color w:val="auto"/>
                <w:highlight w:val="none"/>
              </w:rPr>
              <w:t>投标报价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rPr>
              <w:t>B</w:t>
            </w:r>
            <w:r>
              <w:rPr>
                <w:rFonts w:ascii="宋体" w:hAnsi="宋体"/>
                <w:color w:val="auto"/>
                <w:spacing w:val="-8"/>
                <w:highlight w:val="none"/>
              </w:rPr>
              <w:t>）</w:t>
            </w:r>
          </w:p>
        </w:tc>
        <w:tc>
          <w:tcPr>
            <w:tcW w:w="1991" w:type="dxa"/>
            <w:gridSpan w:val="2"/>
            <w:tcBorders>
              <w:top w:val="single" w:color="auto" w:sz="4" w:space="0"/>
            </w:tcBorders>
            <w:vAlign w:val="center"/>
          </w:tcPr>
          <w:p w14:paraId="6EDA71C6">
            <w:pPr>
              <w:spacing w:line="400" w:lineRule="exact"/>
              <w:jc w:val="center"/>
              <w:rPr>
                <w:rFonts w:ascii="宋体" w:hAnsi="宋体"/>
                <w:color w:val="auto"/>
                <w:highlight w:val="none"/>
              </w:rPr>
            </w:pPr>
            <w:r>
              <w:rPr>
                <w:rFonts w:ascii="宋体" w:hAnsi="宋体"/>
                <w:color w:val="auto"/>
                <w:highlight w:val="none"/>
              </w:rPr>
              <w:t>投标总报价</w:t>
            </w:r>
            <w:r>
              <w:rPr>
                <w:rFonts w:hint="eastAsia" w:ascii="宋体" w:hAnsi="宋体"/>
                <w:color w:val="auto"/>
                <w:highlight w:val="none"/>
                <w:lang w:eastAsia="zh-CN"/>
              </w:rPr>
              <w:t>（</w:t>
            </w:r>
            <w:r>
              <w:rPr>
                <w:rFonts w:hint="eastAsia" w:ascii="宋体" w:hAnsi="宋体"/>
                <w:color w:val="auto"/>
                <w:kern w:val="0"/>
                <w:highlight w:val="none"/>
                <w:lang w:val="en-US" w:eastAsia="zh-CN"/>
              </w:rPr>
              <w:t>60分）</w:t>
            </w:r>
          </w:p>
        </w:tc>
        <w:tc>
          <w:tcPr>
            <w:tcW w:w="5493" w:type="dxa"/>
            <w:vAlign w:val="center"/>
          </w:tcPr>
          <w:p w14:paraId="403583A7">
            <w:pPr>
              <w:spacing w:line="400" w:lineRule="exact"/>
              <w:ind w:firstLine="420" w:firstLineChars="200"/>
              <w:rPr>
                <w:rFonts w:ascii="宋体" w:hAnsi="宋体"/>
                <w:color w:val="auto"/>
                <w:szCs w:val="21"/>
                <w:highlight w:val="none"/>
              </w:rPr>
            </w:pPr>
            <w:r>
              <w:rPr>
                <w:rFonts w:hint="eastAsia" w:ascii="宋体" w:hAnsi="宋体"/>
                <w:bCs/>
                <w:color w:val="auto"/>
                <w:kern w:val="0"/>
                <w:szCs w:val="21"/>
                <w:highlight w:val="none"/>
              </w:rPr>
              <w:t>设置允许偏差范围的，</w:t>
            </w:r>
            <w:r>
              <w:rPr>
                <w:rFonts w:ascii="宋体" w:hAnsi="宋体"/>
                <w:color w:val="auto"/>
                <w:kern w:val="0"/>
                <w:highlight w:val="none"/>
              </w:rPr>
              <w:t>投标总报价的偏差在</w:t>
            </w:r>
            <w:r>
              <w:rPr>
                <w:rFonts w:ascii="宋体" w:hAnsi="宋体"/>
                <w:color w:val="auto"/>
                <w:szCs w:val="21"/>
                <w:highlight w:val="none"/>
              </w:rPr>
              <w:t>允许偏差范围外的，</w:t>
            </w:r>
            <w:r>
              <w:rPr>
                <w:rFonts w:ascii="宋体" w:hAnsi="宋体"/>
                <w:bCs/>
                <w:color w:val="auto"/>
                <w:szCs w:val="28"/>
                <w:highlight w:val="none"/>
              </w:rPr>
              <w:t>得零分</w:t>
            </w:r>
            <w:r>
              <w:rPr>
                <w:rFonts w:ascii="宋体" w:hAnsi="宋体"/>
                <w:color w:val="auto"/>
                <w:kern w:val="0"/>
                <w:highlight w:val="none"/>
              </w:rPr>
              <w:t>；</w:t>
            </w:r>
            <w:r>
              <w:rPr>
                <w:rFonts w:hint="eastAsia" w:ascii="宋体" w:hAnsi="宋体"/>
                <w:color w:val="auto"/>
                <w:kern w:val="0"/>
                <w:highlight w:val="none"/>
              </w:rPr>
              <w:t>不设置允许偏差范围或</w:t>
            </w:r>
            <w:r>
              <w:rPr>
                <w:rFonts w:ascii="宋体" w:hAnsi="宋体"/>
                <w:color w:val="auto"/>
                <w:szCs w:val="21"/>
                <w:highlight w:val="none"/>
              </w:rPr>
              <w:t>投标总报价偏差在允许范围内的（含上、下限值），得</w:t>
            </w:r>
            <w:r>
              <w:rPr>
                <w:rFonts w:ascii="宋体" w:hAnsi="宋体"/>
                <w:bCs/>
                <w:color w:val="auto"/>
                <w:szCs w:val="28"/>
                <w:highlight w:val="none"/>
              </w:rPr>
              <w:t>本附表</w:t>
            </w:r>
            <w:r>
              <w:rPr>
                <w:rFonts w:hint="eastAsia" w:ascii="宋体" w:hAnsi="宋体"/>
                <w:bCs/>
                <w:color w:val="auto"/>
                <w:szCs w:val="28"/>
                <w:highlight w:val="none"/>
              </w:rPr>
              <w:t>第</w:t>
            </w:r>
            <w:r>
              <w:rPr>
                <w:rFonts w:ascii="宋体" w:hAnsi="宋体"/>
                <w:bCs/>
                <w:color w:val="auto"/>
                <w:szCs w:val="28"/>
                <w:highlight w:val="none"/>
              </w:rPr>
              <w:t>2.2.1</w:t>
            </w:r>
            <w:r>
              <w:rPr>
                <w:rFonts w:hint="eastAsia" w:ascii="宋体" w:hAnsi="宋体"/>
                <w:bCs/>
                <w:color w:val="auto"/>
                <w:szCs w:val="28"/>
                <w:highlight w:val="none"/>
              </w:rPr>
              <w:t>项</w:t>
            </w:r>
            <w:r>
              <w:rPr>
                <w:rFonts w:ascii="宋体" w:hAnsi="宋体"/>
                <w:bCs/>
                <w:color w:val="auto"/>
                <w:szCs w:val="28"/>
                <w:highlight w:val="none"/>
              </w:rPr>
              <w:t>规定分值的满分</w:t>
            </w:r>
            <w:r>
              <w:rPr>
                <w:rFonts w:ascii="宋体" w:hAnsi="宋体"/>
                <w:bCs/>
                <w:color w:val="auto"/>
                <w:szCs w:val="28"/>
                <w:highlight w:val="none"/>
                <w:u w:val="single"/>
              </w:rPr>
              <w:t xml:space="preserve"> </w:t>
            </w:r>
            <w:r>
              <w:rPr>
                <w:rFonts w:hint="eastAsia" w:ascii="宋体" w:hAnsi="宋体"/>
                <w:bCs/>
                <w:color w:val="auto"/>
                <w:szCs w:val="28"/>
                <w:highlight w:val="none"/>
                <w:u w:val="single"/>
                <w:lang w:val="en-US" w:eastAsia="zh-CN"/>
              </w:rPr>
              <w:t>60</w:t>
            </w:r>
            <w:r>
              <w:rPr>
                <w:rFonts w:ascii="宋体" w:hAnsi="宋体"/>
                <w:bCs/>
                <w:color w:val="auto"/>
                <w:szCs w:val="28"/>
                <w:highlight w:val="none"/>
                <w:u w:val="single"/>
              </w:rPr>
              <w:t xml:space="preserve"> </w:t>
            </w:r>
            <w:r>
              <w:rPr>
                <w:rFonts w:ascii="宋体" w:hAnsi="宋体"/>
                <w:color w:val="auto"/>
                <w:szCs w:val="21"/>
                <w:highlight w:val="none"/>
              </w:rPr>
              <w:t>分。在此基础上，投标总报价与评标基准价相比，每增加1%扣</w:t>
            </w:r>
            <w:r>
              <w:rPr>
                <w:rFonts w:ascii="宋体" w:hAnsi="宋体"/>
                <w:color w:val="auto"/>
                <w:szCs w:val="21"/>
                <w:highlight w:val="none"/>
                <w:u w:val="single"/>
              </w:rPr>
              <w:t>　</w:t>
            </w:r>
            <w:r>
              <w:rPr>
                <w:rFonts w:hint="eastAsia" w:ascii="宋体" w:hAnsi="宋体"/>
                <w:color w:val="auto"/>
                <w:szCs w:val="21"/>
                <w:highlight w:val="none"/>
                <w:u w:val="single"/>
                <w:lang w:val="en-US" w:eastAsia="zh-CN"/>
              </w:rPr>
              <w:t>0.2</w:t>
            </w:r>
            <w:r>
              <w:rPr>
                <w:rFonts w:ascii="宋体" w:hAnsi="宋体"/>
                <w:color w:val="auto"/>
                <w:szCs w:val="21"/>
                <w:highlight w:val="none"/>
                <w:u w:val="single"/>
              </w:rPr>
              <w:t>　</w:t>
            </w:r>
            <w:r>
              <w:rPr>
                <w:rFonts w:ascii="宋体" w:hAnsi="宋体"/>
                <w:color w:val="auto"/>
                <w:szCs w:val="21"/>
                <w:highlight w:val="none"/>
              </w:rPr>
              <w:t>分，每减少1%扣</w:t>
            </w:r>
            <w:r>
              <w:rPr>
                <w:rFonts w:ascii="宋体" w:hAnsi="宋体"/>
                <w:color w:val="auto"/>
                <w:szCs w:val="21"/>
                <w:highlight w:val="none"/>
                <w:u w:val="single"/>
              </w:rPr>
              <w:t>　</w:t>
            </w:r>
            <w:r>
              <w:rPr>
                <w:rFonts w:hint="eastAsia" w:ascii="宋体" w:hAnsi="宋体"/>
                <w:color w:val="auto"/>
                <w:szCs w:val="21"/>
                <w:highlight w:val="none"/>
                <w:u w:val="single"/>
                <w:lang w:val="en-US" w:eastAsia="zh-CN"/>
              </w:rPr>
              <w:t>0.1</w:t>
            </w:r>
            <w:r>
              <w:rPr>
                <w:rFonts w:ascii="宋体" w:hAnsi="宋体"/>
                <w:color w:val="auto"/>
                <w:szCs w:val="21"/>
                <w:highlight w:val="none"/>
                <w:u w:val="single"/>
              </w:rPr>
              <w:t>　</w:t>
            </w:r>
            <w:r>
              <w:rPr>
                <w:rFonts w:ascii="宋体" w:hAnsi="宋体"/>
                <w:color w:val="auto"/>
                <w:szCs w:val="21"/>
                <w:highlight w:val="none"/>
              </w:rPr>
              <w:t>分，扣完为止。</w:t>
            </w:r>
          </w:p>
          <w:p w14:paraId="0F8D141F">
            <w:pPr>
              <w:spacing w:line="400" w:lineRule="exact"/>
              <w:ind w:firstLine="420" w:firstLineChars="200"/>
              <w:rPr>
                <w:rFonts w:ascii="宋体" w:hAnsi="宋体"/>
                <w:color w:val="auto"/>
                <w:szCs w:val="21"/>
                <w:highlight w:val="none"/>
              </w:rPr>
            </w:pPr>
            <w:r>
              <w:rPr>
                <w:rFonts w:ascii="宋体" w:hAnsi="宋体"/>
                <w:color w:val="auto"/>
                <w:szCs w:val="21"/>
                <w:highlight w:val="none"/>
              </w:rPr>
              <w:t>按插入法计算得分。</w:t>
            </w:r>
          </w:p>
          <w:p w14:paraId="779A0C92">
            <w:pPr>
              <w:spacing w:line="400" w:lineRule="exact"/>
              <w:ind w:firstLine="420" w:firstLineChars="200"/>
              <w:rPr>
                <w:rFonts w:ascii="宋体" w:hAnsi="宋体"/>
                <w:color w:val="auto"/>
                <w:szCs w:val="21"/>
                <w:highlight w:val="none"/>
              </w:rPr>
            </w:pPr>
            <w:r>
              <w:rPr>
                <w:rFonts w:ascii="宋体" w:hAnsi="宋体"/>
                <w:color w:val="auto"/>
                <w:szCs w:val="21"/>
                <w:highlight w:val="none"/>
              </w:rPr>
              <w:t>在偏差范围内，未参与评标基准价计算的投标报价，仍应参加计算相应分值。</w:t>
            </w:r>
          </w:p>
          <w:p w14:paraId="2E9F3344">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投标总报价得分最终结果</w:t>
            </w:r>
            <w:r>
              <w:rPr>
                <w:rFonts w:ascii="宋体" w:hAnsi="宋体"/>
                <w:color w:val="auto"/>
                <w:kern w:val="0"/>
                <w:szCs w:val="21"/>
                <w:highlight w:val="none"/>
              </w:rPr>
              <w:t>取小数点后两位，第三位四舍五入。</w:t>
            </w:r>
          </w:p>
        </w:tc>
      </w:tr>
      <w:tr w14:paraId="6B4B9B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75" w:hRule="atLeast"/>
          <w:jc w:val="center"/>
        </w:trPr>
        <w:tc>
          <w:tcPr>
            <w:tcW w:w="851" w:type="dxa"/>
            <w:gridSpan w:val="2"/>
            <w:vAlign w:val="center"/>
          </w:tcPr>
          <w:p w14:paraId="334F2E19">
            <w:pPr>
              <w:spacing w:line="400" w:lineRule="exact"/>
              <w:rPr>
                <w:rFonts w:ascii="宋体" w:hAnsi="宋体"/>
                <w:color w:val="auto"/>
                <w:szCs w:val="21"/>
                <w:highlight w:val="none"/>
              </w:rPr>
            </w:pPr>
            <w:r>
              <w:rPr>
                <w:rFonts w:hint="eastAsia" w:ascii="宋体" w:hAnsi="宋体"/>
                <w:color w:val="auto"/>
                <w:szCs w:val="21"/>
                <w:highlight w:val="none"/>
              </w:rPr>
              <w:t>3.2.1（3）</w:t>
            </w:r>
          </w:p>
        </w:tc>
        <w:tc>
          <w:tcPr>
            <w:tcW w:w="1135" w:type="dxa"/>
            <w:gridSpan w:val="2"/>
            <w:vAlign w:val="center"/>
          </w:tcPr>
          <w:p w14:paraId="7AC16FC7">
            <w:pPr>
              <w:spacing w:line="400" w:lineRule="exact"/>
              <w:rPr>
                <w:rFonts w:ascii="宋体" w:hAnsi="宋体"/>
                <w:color w:val="auto"/>
                <w:szCs w:val="21"/>
                <w:highlight w:val="none"/>
              </w:rPr>
            </w:pPr>
            <w:r>
              <w:rPr>
                <w:rFonts w:hint="eastAsia" w:ascii="宋体" w:hAnsi="宋体"/>
                <w:color w:val="auto"/>
                <w:szCs w:val="21"/>
                <w:highlight w:val="none"/>
              </w:rPr>
              <w:t>商务部分得分（C）</w:t>
            </w:r>
          </w:p>
        </w:tc>
        <w:tc>
          <w:tcPr>
            <w:tcW w:w="1991" w:type="dxa"/>
            <w:gridSpan w:val="2"/>
            <w:tcBorders>
              <w:top w:val="single" w:color="auto" w:sz="4" w:space="0"/>
            </w:tcBorders>
            <w:vAlign w:val="center"/>
          </w:tcPr>
          <w:p w14:paraId="4B5F7B26">
            <w:pPr>
              <w:spacing w:line="400" w:lineRule="exact"/>
              <w:rPr>
                <w:rFonts w:ascii="宋体" w:hAnsi="宋体"/>
                <w:color w:val="auto"/>
                <w:szCs w:val="21"/>
                <w:highlight w:val="none"/>
              </w:rPr>
            </w:pPr>
            <w:r>
              <w:rPr>
                <w:rFonts w:hint="eastAsia" w:ascii="宋体" w:hAnsi="宋体"/>
                <w:color w:val="auto"/>
                <w:szCs w:val="21"/>
                <w:highlight w:val="none"/>
              </w:rPr>
              <w:t>商务部分（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5493" w:type="dxa"/>
            <w:vAlign w:val="center"/>
          </w:tcPr>
          <w:p w14:paraId="3546EAA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1、近三年来投标人完成类似施工项目，每提供一个得</w:t>
            </w:r>
            <w:r>
              <w:rPr>
                <w:rFonts w:hint="eastAsia" w:ascii="宋体" w:hAnsi="宋体"/>
                <w:color w:val="auto"/>
                <w:szCs w:val="21"/>
                <w:highlight w:val="none"/>
                <w:lang w:val="en-US" w:eastAsia="zh-CN"/>
              </w:rPr>
              <w:t>2.5</w:t>
            </w:r>
            <w:r>
              <w:rPr>
                <w:rFonts w:hint="eastAsia" w:ascii="宋体" w:hAnsi="宋体"/>
                <w:color w:val="auto"/>
                <w:szCs w:val="21"/>
                <w:highlight w:val="none"/>
              </w:rPr>
              <w:t>分，此项最多得</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p w14:paraId="74E55C5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注：须提供中标通知书及施工合同复印件，并加盖公章。</w:t>
            </w:r>
          </w:p>
        </w:tc>
      </w:tr>
      <w:tr w14:paraId="4A8A6C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3E22DAC6">
            <w:pPr>
              <w:spacing w:line="400" w:lineRule="exact"/>
              <w:ind w:firstLine="18" w:firstLineChars="9"/>
              <w:jc w:val="center"/>
              <w:rPr>
                <w:rFonts w:ascii="宋体" w:hAnsi="宋体"/>
                <w:szCs w:val="21"/>
              </w:rPr>
            </w:pPr>
            <w:r>
              <w:rPr>
                <w:rFonts w:ascii="宋体" w:hAnsi="宋体"/>
                <w:szCs w:val="21"/>
              </w:rPr>
              <w:t>3.2.3</w:t>
            </w:r>
          </w:p>
        </w:tc>
        <w:tc>
          <w:tcPr>
            <w:tcW w:w="1991" w:type="dxa"/>
            <w:gridSpan w:val="2"/>
            <w:vAlign w:val="center"/>
          </w:tcPr>
          <w:p w14:paraId="590BFF97">
            <w:pPr>
              <w:spacing w:line="400" w:lineRule="exact"/>
              <w:ind w:firstLine="18" w:firstLineChars="9"/>
              <w:jc w:val="center"/>
              <w:rPr>
                <w:rFonts w:ascii="宋体" w:hAnsi="宋体"/>
                <w:szCs w:val="21"/>
              </w:rPr>
            </w:pPr>
            <w:r>
              <w:rPr>
                <w:rFonts w:hint="eastAsia" w:ascii="宋体" w:hAnsi="宋体"/>
                <w:szCs w:val="21"/>
                <w:lang w:eastAsia="zh-CN"/>
              </w:rPr>
              <w:t>竞选人</w:t>
            </w:r>
            <w:r>
              <w:rPr>
                <w:rFonts w:ascii="宋体" w:hAnsi="宋体"/>
                <w:szCs w:val="21"/>
              </w:rPr>
              <w:t>得分</w:t>
            </w:r>
          </w:p>
        </w:tc>
        <w:tc>
          <w:tcPr>
            <w:tcW w:w="5493" w:type="dxa"/>
            <w:vAlign w:val="center"/>
          </w:tcPr>
          <w:p w14:paraId="59E872F5">
            <w:pPr>
              <w:spacing w:line="400" w:lineRule="exact"/>
              <w:jc w:val="center"/>
              <w:rPr>
                <w:rFonts w:hint="default" w:ascii="宋体" w:hAnsi="宋体" w:eastAsia="宋体"/>
                <w:szCs w:val="21"/>
                <w:u w:val="single"/>
                <w:lang w:val="en-US" w:eastAsia="zh-CN"/>
              </w:rPr>
            </w:pPr>
            <w:r>
              <w:rPr>
                <w:rFonts w:hint="eastAsia" w:ascii="宋体" w:hAnsi="宋体"/>
                <w:szCs w:val="21"/>
                <w:u w:val="single"/>
                <w:lang w:eastAsia="zh-CN"/>
              </w:rPr>
              <w:t>竞选人</w:t>
            </w:r>
            <w:r>
              <w:rPr>
                <w:rFonts w:ascii="宋体" w:hAnsi="宋体"/>
                <w:szCs w:val="21"/>
                <w:u w:val="single"/>
              </w:rPr>
              <w:t>得分=A+B</w:t>
            </w:r>
            <w:r>
              <w:rPr>
                <w:rFonts w:hint="eastAsia" w:ascii="宋体" w:hAnsi="宋体"/>
                <w:szCs w:val="21"/>
                <w:u w:val="single"/>
                <w:lang w:eastAsia="zh-CN"/>
              </w:rPr>
              <w:t>＋</w:t>
            </w:r>
            <w:r>
              <w:rPr>
                <w:rFonts w:hint="eastAsia" w:ascii="宋体" w:hAnsi="宋体"/>
                <w:szCs w:val="21"/>
                <w:u w:val="single"/>
                <w:lang w:val="en-US" w:eastAsia="zh-CN"/>
              </w:rPr>
              <w:t>C</w:t>
            </w:r>
          </w:p>
        </w:tc>
      </w:tr>
    </w:tbl>
    <w:p w14:paraId="6618518C">
      <w:pPr>
        <w:pStyle w:val="4"/>
        <w:spacing w:before="0" w:after="0" w:line="360" w:lineRule="auto"/>
        <w:rPr>
          <w:rFonts w:ascii="宋体" w:hAnsi="宋体"/>
          <w:b w:val="0"/>
          <w:snapToGrid w:val="0"/>
        </w:rPr>
      </w:pPr>
    </w:p>
    <w:p w14:paraId="7793DB44">
      <w:pPr>
        <w:pStyle w:val="4"/>
        <w:spacing w:before="0" w:after="0" w:line="360" w:lineRule="auto"/>
        <w:rPr>
          <w:rFonts w:ascii="宋体" w:hAnsi="宋体"/>
          <w:b w:val="0"/>
          <w:snapToGrid w:val="0"/>
        </w:rPr>
      </w:pPr>
      <w:r>
        <w:rPr>
          <w:rFonts w:ascii="宋体" w:hAnsi="宋体"/>
          <w:b w:val="0"/>
          <w:snapToGrid w:val="0"/>
        </w:rPr>
        <w:br w:type="page"/>
      </w:r>
      <w:bookmarkStart w:id="578" w:name="_Toc2957"/>
      <w:bookmarkStart w:id="579" w:name="_Toc57905897"/>
      <w:r>
        <w:rPr>
          <w:rFonts w:ascii="宋体" w:hAnsi="宋体"/>
          <w:b w:val="0"/>
          <w:snapToGrid w:val="0"/>
        </w:rPr>
        <w:t>1.  评标方法</w:t>
      </w:r>
      <w:bookmarkEnd w:id="578"/>
      <w:bookmarkEnd w:id="579"/>
    </w:p>
    <w:p w14:paraId="33A45E2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lang w:eastAsia="zh-CN"/>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w:t>
      </w:r>
      <w:r>
        <w:rPr>
          <w:rFonts w:hint="eastAsia" w:ascii="宋体" w:hAnsi="宋体"/>
          <w:kern w:val="0"/>
          <w:szCs w:val="21"/>
          <w:lang w:eastAsia="zh-CN"/>
        </w:rPr>
        <w:t>比选人</w:t>
      </w:r>
      <w:r>
        <w:rPr>
          <w:rFonts w:ascii="宋体" w:hAnsi="宋体"/>
          <w:kern w:val="0"/>
          <w:szCs w:val="21"/>
        </w:rPr>
        <w:t>授权直接确定</w:t>
      </w:r>
      <w:r>
        <w:rPr>
          <w:rFonts w:hint="eastAsia" w:ascii="宋体" w:hAnsi="宋体"/>
          <w:kern w:val="0"/>
          <w:szCs w:val="21"/>
          <w:lang w:eastAsia="zh-CN"/>
        </w:rPr>
        <w:t>中选人</w:t>
      </w:r>
      <w:r>
        <w:rPr>
          <w:rFonts w:hint="eastAsia" w:ascii="宋体" w:hAnsi="宋体"/>
          <w:kern w:val="0"/>
          <w:szCs w:val="21"/>
        </w:rPr>
        <w:t>，若出现</w:t>
      </w:r>
      <w:r>
        <w:rPr>
          <w:rFonts w:hint="eastAsia" w:ascii="宋体" w:hAnsi="宋体"/>
          <w:kern w:val="0"/>
          <w:szCs w:val="21"/>
          <w:lang w:eastAsia="zh-CN"/>
        </w:rPr>
        <w:t>竞选人</w:t>
      </w:r>
      <w:r>
        <w:rPr>
          <w:rFonts w:hint="eastAsia" w:ascii="宋体" w:hAnsi="宋体"/>
          <w:kern w:val="0"/>
          <w:szCs w:val="21"/>
        </w:rPr>
        <w:t>投标报价相同的，以评标办法前附表约定的原则确定排序</w:t>
      </w:r>
      <w:r>
        <w:rPr>
          <w:rFonts w:ascii="宋体" w:hAnsi="宋体"/>
          <w:spacing w:val="-31"/>
          <w:kern w:val="0"/>
          <w:szCs w:val="21"/>
        </w:rPr>
        <w:t>。</w:t>
      </w:r>
    </w:p>
    <w:p w14:paraId="25B71AE2">
      <w:pPr>
        <w:pStyle w:val="4"/>
        <w:spacing w:before="0" w:after="0" w:line="360" w:lineRule="auto"/>
        <w:rPr>
          <w:rFonts w:ascii="宋体" w:hAnsi="宋体"/>
          <w:b w:val="0"/>
          <w:snapToGrid w:val="0"/>
        </w:rPr>
      </w:pPr>
      <w:bookmarkStart w:id="580" w:name="_Toc430530501"/>
      <w:bookmarkStart w:id="581" w:name="_Toc200513199"/>
      <w:bookmarkStart w:id="582" w:name="_Toc287607813"/>
      <w:bookmarkStart w:id="583" w:name="_Toc277082619"/>
      <w:bookmarkStart w:id="584" w:name="_Toc57905898"/>
      <w:bookmarkStart w:id="585" w:name="_Toc509218777"/>
      <w:bookmarkStart w:id="586" w:name="_Toc287620752"/>
      <w:bookmarkStart w:id="587" w:name="_Toc28040"/>
      <w:bookmarkStart w:id="588" w:name="_Toc224103385"/>
      <w:r>
        <w:rPr>
          <w:rFonts w:ascii="宋体" w:hAnsi="宋体"/>
          <w:b w:val="0"/>
          <w:snapToGrid w:val="0"/>
        </w:rPr>
        <w:t>2.  评审标准</w:t>
      </w:r>
      <w:bookmarkEnd w:id="580"/>
      <w:bookmarkEnd w:id="581"/>
      <w:bookmarkEnd w:id="582"/>
      <w:bookmarkEnd w:id="583"/>
      <w:bookmarkEnd w:id="584"/>
      <w:bookmarkEnd w:id="585"/>
      <w:bookmarkEnd w:id="586"/>
      <w:bookmarkEnd w:id="587"/>
      <w:bookmarkEnd w:id="588"/>
    </w:p>
    <w:p w14:paraId="0077DACD">
      <w:pPr>
        <w:pStyle w:val="5"/>
        <w:snapToGrid w:val="0"/>
        <w:spacing w:before="0" w:after="0" w:line="360" w:lineRule="auto"/>
        <w:rPr>
          <w:rFonts w:ascii="宋体" w:hAnsi="宋体"/>
          <w:b w:val="0"/>
          <w:snapToGrid w:val="0"/>
          <w:sz w:val="24"/>
          <w:szCs w:val="24"/>
        </w:rPr>
      </w:pPr>
      <w:bookmarkStart w:id="589" w:name="_Toc430530502"/>
      <w:bookmarkStart w:id="590" w:name="_Toc57905899"/>
      <w:bookmarkStart w:id="591" w:name="_Toc2588"/>
      <w:bookmarkStart w:id="592" w:name="_Toc287620753"/>
      <w:bookmarkStart w:id="593" w:name="_Toc287607814"/>
      <w:bookmarkStart w:id="594" w:name="_Toc224103386"/>
      <w:bookmarkStart w:id="595" w:name="_Toc200513200"/>
      <w:bookmarkStart w:id="596" w:name="_Toc509218778"/>
      <w:bookmarkStart w:id="597" w:name="_Toc277082620"/>
      <w:r>
        <w:rPr>
          <w:rFonts w:ascii="宋体" w:hAnsi="宋体"/>
          <w:b w:val="0"/>
          <w:snapToGrid w:val="0"/>
          <w:sz w:val="24"/>
          <w:szCs w:val="24"/>
        </w:rPr>
        <w:t>2.1  初步评审标准</w:t>
      </w:r>
      <w:bookmarkEnd w:id="589"/>
      <w:bookmarkEnd w:id="590"/>
      <w:bookmarkEnd w:id="591"/>
      <w:bookmarkEnd w:id="592"/>
      <w:bookmarkEnd w:id="593"/>
      <w:bookmarkEnd w:id="594"/>
      <w:bookmarkEnd w:id="595"/>
      <w:bookmarkEnd w:id="596"/>
      <w:bookmarkEnd w:id="597"/>
    </w:p>
    <w:p w14:paraId="65FC0C1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1A</w:t>
      </w:r>
      <w:r>
        <w:rPr>
          <w:rFonts w:ascii="宋体" w:hAnsi="宋体"/>
          <w:kern w:val="0"/>
          <w:szCs w:val="21"/>
        </w:rPr>
        <w:t xml:space="preserve">  资格评审标准：见评标办法前附表（适用于未进行资格预审的）。</w:t>
      </w:r>
    </w:p>
    <w:p w14:paraId="3BC9144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1B</w:t>
      </w:r>
      <w:r>
        <w:rPr>
          <w:rFonts w:ascii="宋体" w:hAnsi="宋体"/>
          <w:kern w:val="0"/>
          <w:szCs w:val="21"/>
        </w:rPr>
        <w:t xml:space="preserve">  资格评审标准：见资格预审文件第三章“资格审查办法”详细审查标准（适用于已进行资格预审的）。</w:t>
      </w:r>
    </w:p>
    <w:p w14:paraId="0DE5519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488357A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2.1.3  响应性评审标准：见评标办法前附表。</w:t>
      </w:r>
    </w:p>
    <w:p w14:paraId="70F14A21">
      <w:pPr>
        <w:pStyle w:val="5"/>
        <w:snapToGrid w:val="0"/>
        <w:spacing w:before="0" w:after="0" w:line="360" w:lineRule="auto"/>
        <w:rPr>
          <w:rFonts w:ascii="宋体" w:hAnsi="宋体"/>
          <w:b w:val="0"/>
          <w:snapToGrid w:val="0"/>
          <w:sz w:val="24"/>
          <w:szCs w:val="24"/>
        </w:rPr>
      </w:pPr>
      <w:bookmarkStart w:id="598" w:name="_Toc287620754"/>
      <w:bookmarkStart w:id="599" w:name="_Toc277082621"/>
      <w:bookmarkStart w:id="600" w:name="_Toc509218779"/>
      <w:bookmarkStart w:id="601" w:name="_Toc200513201"/>
      <w:bookmarkStart w:id="602" w:name="_Toc17923"/>
      <w:bookmarkStart w:id="603" w:name="_Toc57905900"/>
      <w:bookmarkStart w:id="604" w:name="_Toc224103387"/>
      <w:bookmarkStart w:id="605" w:name="_Toc287607815"/>
      <w:bookmarkStart w:id="606" w:name="_Toc430530503"/>
      <w:r>
        <w:rPr>
          <w:rFonts w:ascii="宋体" w:hAnsi="宋体"/>
          <w:b w:val="0"/>
          <w:snapToGrid w:val="0"/>
          <w:sz w:val="24"/>
          <w:szCs w:val="24"/>
        </w:rPr>
        <w:t>2.2  分值构成与评分标准</w:t>
      </w:r>
      <w:bookmarkEnd w:id="598"/>
      <w:bookmarkEnd w:id="599"/>
      <w:bookmarkEnd w:id="600"/>
      <w:bookmarkEnd w:id="601"/>
      <w:bookmarkEnd w:id="602"/>
      <w:bookmarkEnd w:id="603"/>
      <w:bookmarkEnd w:id="604"/>
      <w:bookmarkEnd w:id="605"/>
      <w:bookmarkEnd w:id="606"/>
    </w:p>
    <w:p w14:paraId="70967D6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2.2.1  分值构成</w:t>
      </w:r>
    </w:p>
    <w:p w14:paraId="772D72A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）技术</w:t>
      </w:r>
      <w:r>
        <w:rPr>
          <w:rFonts w:hint="eastAsia" w:ascii="宋体" w:hAnsi="宋体"/>
          <w:kern w:val="0"/>
          <w:szCs w:val="21"/>
        </w:rPr>
        <w:t>部分</w:t>
      </w:r>
      <w:r>
        <w:rPr>
          <w:rFonts w:ascii="宋体" w:hAnsi="宋体"/>
          <w:kern w:val="0"/>
          <w:szCs w:val="21"/>
        </w:rPr>
        <w:t>：见评标办法前附表</w:t>
      </w:r>
      <w:r>
        <w:rPr>
          <w:rFonts w:hint="eastAsia" w:ascii="宋体" w:hAnsi="宋体"/>
          <w:kern w:val="0"/>
          <w:szCs w:val="21"/>
        </w:rPr>
        <w:t>；</w:t>
      </w:r>
    </w:p>
    <w:p w14:paraId="48D4262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）投标</w:t>
      </w:r>
      <w:r>
        <w:rPr>
          <w:rFonts w:hint="eastAsia" w:ascii="宋体" w:hAnsi="宋体"/>
          <w:kern w:val="0"/>
          <w:szCs w:val="21"/>
        </w:rPr>
        <w:t>总</w:t>
      </w:r>
      <w:r>
        <w:rPr>
          <w:rFonts w:ascii="宋体" w:hAnsi="宋体"/>
          <w:spacing w:val="-1"/>
          <w:kern w:val="0"/>
          <w:szCs w:val="21"/>
        </w:rPr>
        <w:t>报</w:t>
      </w:r>
      <w:r>
        <w:rPr>
          <w:rFonts w:ascii="宋体" w:hAnsi="宋体"/>
          <w:kern w:val="0"/>
          <w:szCs w:val="21"/>
        </w:rPr>
        <w:t>价：见评标办法前附表</w:t>
      </w:r>
      <w:r>
        <w:rPr>
          <w:rFonts w:hint="eastAsia" w:ascii="宋体" w:hAnsi="宋体"/>
          <w:kern w:val="0"/>
          <w:szCs w:val="21"/>
        </w:rPr>
        <w:t>。</w:t>
      </w:r>
    </w:p>
    <w:p w14:paraId="762781B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2.2.2  </w:t>
      </w:r>
      <w:r>
        <w:rPr>
          <w:rFonts w:hint="eastAsia" w:ascii="宋体" w:hAnsi="宋体"/>
          <w:kern w:val="0"/>
          <w:szCs w:val="21"/>
        </w:rPr>
        <w:t>评分标准</w:t>
      </w:r>
    </w:p>
    <w:p w14:paraId="3152BC3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技术</w:t>
      </w:r>
      <w:r>
        <w:rPr>
          <w:rFonts w:hint="eastAsia" w:ascii="宋体" w:hAnsi="宋体"/>
          <w:kern w:val="0"/>
          <w:szCs w:val="21"/>
        </w:rPr>
        <w:t>部分</w:t>
      </w:r>
      <w:r>
        <w:rPr>
          <w:rFonts w:ascii="宋体" w:hAnsi="宋体"/>
          <w:kern w:val="0"/>
          <w:szCs w:val="21"/>
        </w:rPr>
        <w:t>评分标准：见评标办法前附表；（对于施工难度大、专业技术复杂的项目，应由</w:t>
      </w:r>
      <w:r>
        <w:rPr>
          <w:rFonts w:hint="eastAsia" w:ascii="宋体" w:hAnsi="宋体"/>
          <w:kern w:val="0"/>
          <w:szCs w:val="21"/>
          <w:lang w:eastAsia="zh-CN"/>
        </w:rPr>
        <w:t>比选人</w:t>
      </w:r>
      <w:r>
        <w:rPr>
          <w:rFonts w:ascii="宋体" w:hAnsi="宋体"/>
          <w:kern w:val="0"/>
          <w:szCs w:val="21"/>
        </w:rPr>
        <w:t>会同设计单位提出技术方案编写要点，作为评分标准）。</w:t>
      </w:r>
    </w:p>
    <w:p w14:paraId="03674C6E">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2.2.3  </w:t>
      </w:r>
      <w:r>
        <w:rPr>
          <w:rFonts w:ascii="宋体" w:hAnsi="宋体"/>
          <w:kern w:val="0"/>
          <w:szCs w:val="21"/>
        </w:rPr>
        <w:t>评标基准价计算</w:t>
      </w:r>
    </w:p>
    <w:p w14:paraId="0D520AE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评标基准价计算方法：见评标办法前附表。</w:t>
      </w:r>
    </w:p>
    <w:p w14:paraId="6C77FBF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投标报价的偏差率计算</w:t>
      </w:r>
      <w:r>
        <w:rPr>
          <w:rFonts w:hint="eastAsia" w:ascii="宋体" w:hAnsi="宋体"/>
          <w:kern w:val="0"/>
          <w:szCs w:val="21"/>
        </w:rPr>
        <w:t>和允许偏差范围</w:t>
      </w:r>
    </w:p>
    <w:p w14:paraId="1D49DF0C">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投标报价的偏差率计算公式：见评标办法前附表</w:t>
      </w:r>
      <w:r>
        <w:rPr>
          <w:rFonts w:hint="eastAsia" w:ascii="宋体" w:hAnsi="宋体"/>
          <w:kern w:val="0"/>
          <w:szCs w:val="21"/>
        </w:rPr>
        <w:t>；</w:t>
      </w:r>
    </w:p>
    <w:p w14:paraId="48B435C2">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（2）投标报价的允许偏差范围</w:t>
      </w:r>
      <w:r>
        <w:rPr>
          <w:rFonts w:ascii="宋体" w:hAnsi="宋体"/>
          <w:kern w:val="0"/>
          <w:szCs w:val="21"/>
        </w:rPr>
        <w:t>：见评标办法前附表</w:t>
      </w:r>
      <w:r>
        <w:rPr>
          <w:rFonts w:hint="eastAsia" w:ascii="宋体" w:hAnsi="宋体"/>
          <w:kern w:val="0"/>
          <w:szCs w:val="21"/>
        </w:rPr>
        <w:t>。</w:t>
      </w:r>
    </w:p>
    <w:p w14:paraId="306BA969">
      <w:pPr>
        <w:pStyle w:val="4"/>
        <w:spacing w:before="0" w:after="0" w:line="360" w:lineRule="auto"/>
        <w:rPr>
          <w:rFonts w:ascii="宋体" w:hAnsi="宋体"/>
          <w:b w:val="0"/>
          <w:snapToGrid w:val="0"/>
        </w:rPr>
      </w:pPr>
      <w:bookmarkStart w:id="607" w:name="_Toc287620755"/>
      <w:bookmarkStart w:id="608" w:name="_Toc57905901"/>
      <w:bookmarkStart w:id="609" w:name="_Toc287607816"/>
      <w:bookmarkStart w:id="610" w:name="_Toc430530504"/>
      <w:bookmarkStart w:id="611" w:name="_Toc224103388"/>
      <w:bookmarkStart w:id="612" w:name="_Toc200513202"/>
      <w:bookmarkStart w:id="613" w:name="_Toc4568"/>
      <w:bookmarkStart w:id="614" w:name="_Toc509218780"/>
      <w:bookmarkStart w:id="615" w:name="_Toc277082622"/>
      <w:r>
        <w:rPr>
          <w:rFonts w:ascii="宋体" w:hAnsi="宋体"/>
          <w:b w:val="0"/>
          <w:snapToGrid w:val="0"/>
        </w:rPr>
        <w:t>3.  评标程序</w:t>
      </w:r>
      <w:bookmarkEnd w:id="607"/>
      <w:bookmarkEnd w:id="608"/>
      <w:bookmarkEnd w:id="609"/>
      <w:bookmarkEnd w:id="610"/>
      <w:bookmarkEnd w:id="611"/>
      <w:bookmarkEnd w:id="612"/>
      <w:bookmarkEnd w:id="613"/>
      <w:bookmarkEnd w:id="614"/>
      <w:bookmarkEnd w:id="615"/>
    </w:p>
    <w:p w14:paraId="0E76E5C4">
      <w:pPr>
        <w:pStyle w:val="5"/>
        <w:snapToGrid w:val="0"/>
        <w:spacing w:before="0" w:after="0" w:line="360" w:lineRule="auto"/>
        <w:rPr>
          <w:rFonts w:ascii="宋体" w:hAnsi="宋体"/>
          <w:b w:val="0"/>
          <w:snapToGrid w:val="0"/>
          <w:sz w:val="24"/>
          <w:szCs w:val="24"/>
        </w:rPr>
      </w:pPr>
      <w:bookmarkStart w:id="616" w:name="_Toc287607817"/>
      <w:bookmarkStart w:id="617" w:name="_Toc277082623"/>
      <w:bookmarkStart w:id="618" w:name="_Toc430530505"/>
      <w:bookmarkStart w:id="619" w:name="_Toc57905902"/>
      <w:bookmarkStart w:id="620" w:name="_Toc21102"/>
      <w:bookmarkStart w:id="621" w:name="_Toc224103389"/>
      <w:bookmarkStart w:id="622" w:name="_Toc509218781"/>
      <w:bookmarkStart w:id="623" w:name="_Toc200513203"/>
      <w:bookmarkStart w:id="624" w:name="_Toc287620756"/>
      <w:r>
        <w:rPr>
          <w:rFonts w:ascii="宋体" w:hAnsi="宋体"/>
          <w:b w:val="0"/>
          <w:snapToGrid w:val="0"/>
          <w:sz w:val="24"/>
          <w:szCs w:val="24"/>
        </w:rPr>
        <w:t>3.1  初步评审</w:t>
      </w:r>
      <w:bookmarkEnd w:id="616"/>
      <w:bookmarkEnd w:id="617"/>
      <w:bookmarkEnd w:id="618"/>
      <w:bookmarkEnd w:id="619"/>
      <w:bookmarkEnd w:id="620"/>
      <w:bookmarkEnd w:id="621"/>
      <w:bookmarkEnd w:id="622"/>
      <w:bookmarkEnd w:id="623"/>
      <w:bookmarkEnd w:id="624"/>
    </w:p>
    <w:p w14:paraId="453F47C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 2.1 款规定的标准对</w:t>
      </w:r>
      <w:r>
        <w:rPr>
          <w:rFonts w:hint="eastAsia" w:ascii="宋体" w:hAnsi="宋体"/>
          <w:kern w:val="0"/>
          <w:szCs w:val="21"/>
          <w:lang w:eastAsia="zh-CN"/>
        </w:rPr>
        <w:t>竞选文件</w:t>
      </w:r>
      <w:r>
        <w:rPr>
          <w:rFonts w:ascii="宋体" w:hAnsi="宋体"/>
          <w:kern w:val="0"/>
          <w:szCs w:val="21"/>
        </w:rPr>
        <w:t>进行初步评审。有一项不符合评审标准的，作否决投标处理。（适用于未进行资格预审的）</w:t>
      </w:r>
    </w:p>
    <w:p w14:paraId="318DF84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评标委员会依据本章第2.1.1项</w:t>
      </w:r>
      <w:r>
        <w:rPr>
          <w:rFonts w:hint="eastAsia" w:ascii="宋体" w:hAnsi="宋体"/>
          <w:kern w:val="0"/>
          <w:szCs w:val="21"/>
        </w:rPr>
        <w:t>至</w:t>
      </w:r>
      <w:r>
        <w:rPr>
          <w:rFonts w:ascii="宋体" w:hAnsi="宋体"/>
          <w:kern w:val="0"/>
          <w:szCs w:val="21"/>
        </w:rPr>
        <w:t>第2.1.3项规定的评审标准对</w:t>
      </w:r>
      <w:r>
        <w:rPr>
          <w:rFonts w:hint="eastAsia" w:ascii="宋体" w:hAnsi="宋体"/>
          <w:kern w:val="0"/>
          <w:szCs w:val="21"/>
          <w:lang w:eastAsia="zh-CN"/>
        </w:rPr>
        <w:t>竞选文件</w:t>
      </w:r>
      <w:r>
        <w:rPr>
          <w:rFonts w:ascii="宋体" w:hAnsi="宋体"/>
          <w:kern w:val="0"/>
          <w:szCs w:val="21"/>
        </w:rPr>
        <w:t>进行初步评审。有一项不符合评审标准的，作否决投标处理。当</w:t>
      </w:r>
      <w:r>
        <w:rPr>
          <w:rFonts w:hint="eastAsia" w:ascii="宋体" w:hAnsi="宋体"/>
          <w:kern w:val="0"/>
          <w:szCs w:val="21"/>
          <w:lang w:eastAsia="zh-CN"/>
        </w:rPr>
        <w:t>竞选人</w:t>
      </w:r>
      <w:r>
        <w:rPr>
          <w:rFonts w:ascii="宋体" w:hAnsi="宋体"/>
          <w:kern w:val="0"/>
          <w:szCs w:val="21"/>
        </w:rPr>
        <w:t>资格预审申请文件的内容发生重大变化时，评标委员会依据本章第2.1.2项规定的标准对其更新资料进行评审</w:t>
      </w:r>
      <w:r>
        <w:rPr>
          <w:rFonts w:hint="eastAsia" w:ascii="宋体" w:hAnsi="宋体"/>
          <w:kern w:val="0"/>
          <w:szCs w:val="21"/>
        </w:rPr>
        <w:t>。</w:t>
      </w:r>
      <w:r>
        <w:rPr>
          <w:rFonts w:ascii="宋体" w:hAnsi="宋体"/>
          <w:kern w:val="0"/>
          <w:szCs w:val="21"/>
        </w:rPr>
        <w:t>（适用于已进行资格预审的）</w:t>
      </w:r>
    </w:p>
    <w:p w14:paraId="52D69B5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3.1.2  </w:t>
      </w:r>
      <w:r>
        <w:rPr>
          <w:rFonts w:hint="eastAsia" w:ascii="宋体" w:hAnsi="宋体"/>
          <w:kern w:val="0"/>
          <w:szCs w:val="21"/>
          <w:lang w:eastAsia="zh-CN"/>
        </w:rPr>
        <w:t>竞选人</w:t>
      </w:r>
      <w:r>
        <w:rPr>
          <w:rFonts w:ascii="宋体" w:hAnsi="宋体"/>
          <w:kern w:val="0"/>
          <w:szCs w:val="21"/>
        </w:rPr>
        <w:t>有以下情形之一的，其投标作否决投标处理：</w:t>
      </w:r>
    </w:p>
    <w:p w14:paraId="3D97AAB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hint="eastAsia" w:ascii="宋体" w:hAnsi="宋体"/>
          <w:kern w:val="0"/>
          <w:szCs w:val="21"/>
          <w:lang w:eastAsia="zh-CN"/>
        </w:rPr>
        <w:t>竞选人</w:t>
      </w:r>
      <w:r>
        <w:rPr>
          <w:rFonts w:ascii="宋体" w:hAnsi="宋体"/>
          <w:kern w:val="0"/>
          <w:szCs w:val="21"/>
        </w:rPr>
        <w:t>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5571635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hint="eastAsia" w:ascii="宋体" w:hAnsi="宋体" w:cs="宋体"/>
          <w:szCs w:val="21"/>
        </w:rPr>
        <w:t>本次投标有串通投标、弄虚作假等其他违反招投标相关法律、法规行为的</w:t>
      </w:r>
      <w:r>
        <w:rPr>
          <w:rFonts w:ascii="宋体" w:hAnsi="宋体"/>
          <w:kern w:val="0"/>
          <w:szCs w:val="21"/>
        </w:rPr>
        <w:t>；</w:t>
      </w:r>
    </w:p>
    <w:p w14:paraId="54CA6EF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hint="eastAsia" w:ascii="宋体" w:hAnsi="宋体"/>
          <w:kern w:val="0"/>
          <w:szCs w:val="21"/>
        </w:rPr>
        <w:t>。</w:t>
      </w:r>
    </w:p>
    <w:p w14:paraId="5EF0BBD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3.1.3  投标报价有算术错误的，评标委员会按以下原则对投标报价进行修正，修正的价格经</w:t>
      </w:r>
      <w:r>
        <w:rPr>
          <w:rFonts w:hint="eastAsia" w:ascii="宋体" w:hAnsi="宋体"/>
          <w:kern w:val="0"/>
          <w:szCs w:val="21"/>
          <w:lang w:eastAsia="zh-CN"/>
        </w:rPr>
        <w:t>竞选人</w:t>
      </w:r>
      <w:r>
        <w:rPr>
          <w:rFonts w:ascii="宋体" w:hAnsi="宋体"/>
          <w:kern w:val="0"/>
          <w:szCs w:val="21"/>
        </w:rPr>
        <w:t>书面确认后具有约束力</w:t>
      </w:r>
      <w:r>
        <w:rPr>
          <w:rFonts w:hint="eastAsia" w:ascii="宋体" w:hAnsi="宋体"/>
          <w:kern w:val="0"/>
          <w:szCs w:val="21"/>
        </w:rPr>
        <w:t>，修正原则如下：</w:t>
      </w:r>
    </w:p>
    <w:p w14:paraId="059F7B25">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t>（1）</w:t>
      </w:r>
      <w:r>
        <w:rPr>
          <w:rFonts w:hint="eastAsia" w:ascii="宋体" w:hAnsi="宋体"/>
          <w:spacing w:val="-1"/>
          <w:kern w:val="0"/>
          <w:szCs w:val="21"/>
          <w:lang w:eastAsia="zh-CN"/>
        </w:rPr>
        <w:t>竞选文件</w:t>
      </w:r>
      <w:r>
        <w:rPr>
          <w:rFonts w:ascii="宋体" w:hAnsi="宋体"/>
          <w:spacing w:val="-1"/>
          <w:kern w:val="0"/>
          <w:szCs w:val="21"/>
        </w:rPr>
        <w:t>中的大写金额与小写金额不一致的，以大写金</w:t>
      </w:r>
      <w:r>
        <w:rPr>
          <w:rFonts w:ascii="宋体" w:hAnsi="宋体"/>
          <w:kern w:val="0"/>
          <w:szCs w:val="21"/>
        </w:rPr>
        <w:t>额为准</w:t>
      </w:r>
      <w:r>
        <w:rPr>
          <w:rFonts w:hint="eastAsia" w:ascii="宋体" w:hAnsi="宋体"/>
          <w:kern w:val="0"/>
          <w:szCs w:val="21"/>
        </w:rPr>
        <w:t>；</w:t>
      </w:r>
    </w:p>
    <w:p w14:paraId="60F8C919">
      <w:pPr>
        <w:autoSpaceDE w:val="0"/>
        <w:autoSpaceDN w:val="0"/>
        <w:adjustRightInd w:val="0"/>
        <w:snapToGrid w:val="0"/>
        <w:spacing w:line="360" w:lineRule="auto"/>
        <w:ind w:firstLine="532"/>
        <w:rPr>
          <w:rFonts w:ascii="宋体" w:hAnsi="宋体"/>
          <w:kern w:val="0"/>
          <w:szCs w:val="21"/>
        </w:rPr>
      </w:pPr>
      <w:r>
        <w:rPr>
          <w:rFonts w:hint="eastAsia" w:ascii="宋体" w:hAnsi="宋体"/>
          <w:kern w:val="0"/>
          <w:szCs w:val="21"/>
        </w:rPr>
        <w:t>（2）投标函中的总报价与已标价工程量清单总报价不一致的，由评标委员会作否决投标处理。</w:t>
      </w:r>
    </w:p>
    <w:p w14:paraId="1D87B7BC">
      <w:pPr>
        <w:pStyle w:val="5"/>
        <w:snapToGrid w:val="0"/>
        <w:spacing w:before="0" w:after="0" w:line="360" w:lineRule="auto"/>
        <w:rPr>
          <w:rFonts w:ascii="宋体" w:hAnsi="宋体"/>
          <w:b w:val="0"/>
          <w:snapToGrid w:val="0"/>
          <w:sz w:val="24"/>
          <w:szCs w:val="24"/>
        </w:rPr>
      </w:pPr>
      <w:bookmarkStart w:id="625" w:name="_Toc200513204"/>
      <w:bookmarkStart w:id="626" w:name="_Toc277082624"/>
      <w:bookmarkStart w:id="627" w:name="_Toc57905903"/>
      <w:bookmarkStart w:id="628" w:name="_Toc224103390"/>
      <w:bookmarkStart w:id="629" w:name="_Toc31837"/>
      <w:bookmarkStart w:id="630" w:name="_Toc287620757"/>
      <w:bookmarkStart w:id="631" w:name="_Toc287607818"/>
      <w:bookmarkStart w:id="632" w:name="_Toc509218782"/>
      <w:bookmarkStart w:id="633" w:name="_Toc430530506"/>
      <w:r>
        <w:rPr>
          <w:rFonts w:ascii="宋体" w:hAnsi="宋体"/>
          <w:b w:val="0"/>
          <w:snapToGrid w:val="0"/>
          <w:sz w:val="24"/>
          <w:szCs w:val="24"/>
        </w:rPr>
        <w:t>3.2  详细评审</w:t>
      </w:r>
      <w:bookmarkEnd w:id="625"/>
      <w:bookmarkEnd w:id="626"/>
      <w:bookmarkEnd w:id="627"/>
      <w:bookmarkEnd w:id="628"/>
      <w:bookmarkEnd w:id="629"/>
      <w:bookmarkEnd w:id="630"/>
      <w:bookmarkEnd w:id="631"/>
      <w:bookmarkEnd w:id="632"/>
      <w:bookmarkEnd w:id="633"/>
    </w:p>
    <w:p w14:paraId="663B872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3.2.1  评标委员会按本章第2.2款规定的量化因素和分值进行</w:t>
      </w:r>
      <w:r>
        <w:rPr>
          <w:rFonts w:hint="eastAsia" w:ascii="宋体" w:hAnsi="宋体"/>
          <w:kern w:val="0"/>
          <w:szCs w:val="21"/>
          <w:lang w:eastAsia="zh-CN"/>
        </w:rPr>
        <w:t>评分</w:t>
      </w:r>
      <w:r>
        <w:rPr>
          <w:rFonts w:ascii="宋体" w:hAnsi="宋体"/>
          <w:kern w:val="0"/>
          <w:szCs w:val="21"/>
        </w:rPr>
        <w:t>，并计算出综合评估得分。</w:t>
      </w:r>
    </w:p>
    <w:p w14:paraId="4EF0BCC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）按本章第3.2.1（</w:t>
      </w:r>
      <w:r>
        <w:rPr>
          <w:rFonts w:hint="eastAsia" w:ascii="宋体" w:hAnsi="宋体"/>
          <w:kern w:val="0"/>
          <w:szCs w:val="21"/>
        </w:rPr>
        <w:t>1</w:t>
      </w:r>
      <w:r>
        <w:rPr>
          <w:rFonts w:ascii="宋体" w:hAnsi="宋体"/>
          <w:kern w:val="0"/>
          <w:szCs w:val="21"/>
        </w:rPr>
        <w:t>）目规定的评审因素和分值对技术方案计算出得分</w:t>
      </w:r>
      <w:r>
        <w:rPr>
          <w:rFonts w:hint="eastAsia" w:ascii="宋体" w:hAnsi="宋体"/>
          <w:kern w:val="0"/>
          <w:szCs w:val="21"/>
        </w:rPr>
        <w:t>A</w:t>
      </w:r>
      <w:r>
        <w:rPr>
          <w:rFonts w:ascii="宋体" w:hAnsi="宋体"/>
          <w:kern w:val="0"/>
          <w:szCs w:val="21"/>
        </w:rPr>
        <w:t>(</w:t>
      </w:r>
      <w:r>
        <w:rPr>
          <w:rFonts w:ascii="宋体" w:hAnsi="宋体"/>
          <w:snapToGrid w:val="0"/>
          <w:kern w:val="0"/>
          <w:szCs w:val="21"/>
        </w:rPr>
        <w:t>所有评委</w:t>
      </w:r>
      <w:r>
        <w:rPr>
          <w:rFonts w:hint="eastAsia" w:ascii="宋体" w:hAnsi="宋体"/>
          <w:snapToGrid w:val="0"/>
          <w:kern w:val="0"/>
          <w:szCs w:val="21"/>
          <w:lang w:eastAsia="zh-CN"/>
        </w:rPr>
        <w:t>评分</w:t>
      </w:r>
      <w:r>
        <w:rPr>
          <w:rFonts w:ascii="宋体" w:hAnsi="宋体"/>
          <w:snapToGrid w:val="0"/>
          <w:kern w:val="0"/>
          <w:szCs w:val="21"/>
        </w:rPr>
        <w:t>中去掉一个最高和一个最低分，余下评委</w:t>
      </w:r>
      <w:r>
        <w:rPr>
          <w:rFonts w:hint="eastAsia" w:ascii="宋体" w:hAnsi="宋体"/>
          <w:snapToGrid w:val="0"/>
          <w:kern w:val="0"/>
          <w:szCs w:val="21"/>
          <w:lang w:eastAsia="zh-CN"/>
        </w:rPr>
        <w:t>评分</w:t>
      </w:r>
      <w:r>
        <w:rPr>
          <w:rFonts w:ascii="宋体" w:hAnsi="宋体"/>
          <w:snapToGrid w:val="0"/>
          <w:kern w:val="0"/>
          <w:szCs w:val="21"/>
        </w:rPr>
        <w:t>取算术平均值为该</w:t>
      </w:r>
      <w:r>
        <w:rPr>
          <w:rFonts w:hint="eastAsia" w:ascii="宋体" w:hAnsi="宋体"/>
          <w:snapToGrid w:val="0"/>
          <w:kern w:val="0"/>
          <w:szCs w:val="21"/>
          <w:lang w:eastAsia="zh-CN"/>
        </w:rPr>
        <w:t>竞选人</w:t>
      </w:r>
      <w:r>
        <w:rPr>
          <w:rFonts w:ascii="宋体" w:hAnsi="宋体"/>
          <w:snapToGrid w:val="0"/>
          <w:kern w:val="0"/>
          <w:szCs w:val="21"/>
        </w:rPr>
        <w:t>技术方案得分。</w:t>
      </w:r>
      <w:r>
        <w:rPr>
          <w:rFonts w:ascii="宋体" w:hAnsi="宋体"/>
          <w:kern w:val="0"/>
          <w:szCs w:val="21"/>
        </w:rPr>
        <w:t>）</w:t>
      </w:r>
    </w:p>
    <w:p w14:paraId="43FA97F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）按本章第3.2.1（</w:t>
      </w:r>
      <w:r>
        <w:rPr>
          <w:rFonts w:hint="eastAsia" w:ascii="宋体" w:hAnsi="宋体"/>
          <w:kern w:val="0"/>
          <w:szCs w:val="21"/>
        </w:rPr>
        <w:t>2</w:t>
      </w:r>
      <w:r>
        <w:rPr>
          <w:rFonts w:ascii="宋体" w:hAnsi="宋体"/>
          <w:kern w:val="0"/>
          <w:szCs w:val="21"/>
        </w:rPr>
        <w:t>）目规定的评审因素和分值对投标总报价计算出得分</w:t>
      </w:r>
      <w:r>
        <w:rPr>
          <w:rFonts w:hint="eastAsia" w:ascii="宋体" w:hAnsi="宋体"/>
          <w:kern w:val="0"/>
          <w:szCs w:val="21"/>
        </w:rPr>
        <w:t>B。</w:t>
      </w:r>
    </w:p>
    <w:p w14:paraId="0F84955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17F1521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3.2.3  </w:t>
      </w:r>
      <w:r>
        <w:rPr>
          <w:rFonts w:hint="eastAsia" w:ascii="宋体" w:hAnsi="宋体"/>
          <w:kern w:val="0"/>
          <w:szCs w:val="21"/>
          <w:lang w:eastAsia="zh-CN"/>
        </w:rPr>
        <w:t>竞选人</w:t>
      </w:r>
      <w:r>
        <w:rPr>
          <w:rFonts w:ascii="宋体" w:hAnsi="宋体"/>
          <w:kern w:val="0"/>
          <w:szCs w:val="21"/>
        </w:rPr>
        <w:t>得分=A+B</w:t>
      </w:r>
      <w:r>
        <w:rPr>
          <w:rFonts w:hint="eastAsia" w:ascii="宋体" w:hAnsi="宋体"/>
          <w:kern w:val="0"/>
          <w:szCs w:val="21"/>
        </w:rPr>
        <w:t>。</w:t>
      </w:r>
    </w:p>
    <w:p w14:paraId="12FC2C86">
      <w:pPr>
        <w:pStyle w:val="5"/>
        <w:snapToGrid w:val="0"/>
        <w:spacing w:before="0" w:after="0" w:line="360" w:lineRule="auto"/>
        <w:rPr>
          <w:rFonts w:ascii="宋体" w:hAnsi="宋体"/>
          <w:b w:val="0"/>
          <w:snapToGrid w:val="0"/>
          <w:sz w:val="24"/>
          <w:szCs w:val="24"/>
        </w:rPr>
      </w:pPr>
      <w:bookmarkStart w:id="634" w:name="_Toc287607819"/>
      <w:bookmarkStart w:id="635" w:name="_Toc277082625"/>
      <w:bookmarkStart w:id="636" w:name="_Toc29615"/>
      <w:bookmarkStart w:id="637" w:name="_Toc224103391"/>
      <w:bookmarkStart w:id="638" w:name="_Toc509218783"/>
      <w:bookmarkStart w:id="639" w:name="_Toc200513205"/>
      <w:bookmarkStart w:id="640" w:name="_Toc430530507"/>
      <w:bookmarkStart w:id="641" w:name="_Toc287620758"/>
      <w:bookmarkStart w:id="642" w:name="_Toc57905904"/>
      <w:r>
        <w:rPr>
          <w:rFonts w:ascii="宋体" w:hAnsi="宋体"/>
          <w:b w:val="0"/>
          <w:snapToGrid w:val="0"/>
          <w:sz w:val="24"/>
          <w:szCs w:val="24"/>
        </w:rPr>
        <w:t xml:space="preserve">3.3  </w:t>
      </w:r>
      <w:r>
        <w:rPr>
          <w:rFonts w:hint="eastAsia" w:ascii="宋体" w:hAnsi="宋体"/>
          <w:b w:val="0"/>
          <w:snapToGrid w:val="0"/>
          <w:sz w:val="24"/>
          <w:szCs w:val="24"/>
          <w:lang w:eastAsia="zh-CN"/>
        </w:rPr>
        <w:t>竞选文件</w:t>
      </w:r>
      <w:r>
        <w:rPr>
          <w:rFonts w:ascii="宋体" w:hAnsi="宋体"/>
          <w:b w:val="0"/>
          <w:snapToGrid w:val="0"/>
          <w:sz w:val="24"/>
          <w:szCs w:val="24"/>
        </w:rPr>
        <w:t>的澄清和补正</w:t>
      </w:r>
      <w:bookmarkEnd w:id="634"/>
      <w:bookmarkEnd w:id="635"/>
      <w:bookmarkEnd w:id="636"/>
      <w:bookmarkEnd w:id="637"/>
      <w:bookmarkEnd w:id="638"/>
      <w:bookmarkEnd w:id="639"/>
      <w:bookmarkEnd w:id="640"/>
      <w:bookmarkEnd w:id="641"/>
      <w:bookmarkEnd w:id="642"/>
    </w:p>
    <w:p w14:paraId="68511F1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3.3.1  在评标过程中，评标委员会可以书面形式要求</w:t>
      </w:r>
      <w:r>
        <w:rPr>
          <w:rFonts w:hint="eastAsia" w:ascii="宋体" w:hAnsi="宋体"/>
          <w:kern w:val="0"/>
          <w:szCs w:val="21"/>
          <w:lang w:eastAsia="zh-CN"/>
        </w:rPr>
        <w:t>竞选人</w:t>
      </w:r>
      <w:r>
        <w:rPr>
          <w:rFonts w:ascii="宋体" w:hAnsi="宋体"/>
          <w:kern w:val="0"/>
          <w:szCs w:val="21"/>
        </w:rPr>
        <w:t>对所提交</w:t>
      </w:r>
      <w:r>
        <w:rPr>
          <w:rFonts w:hint="eastAsia" w:ascii="宋体" w:hAnsi="宋体"/>
          <w:kern w:val="0"/>
          <w:szCs w:val="21"/>
          <w:lang w:eastAsia="zh-CN"/>
        </w:rPr>
        <w:t>竞选文件</w:t>
      </w:r>
      <w:r>
        <w:rPr>
          <w:rFonts w:ascii="宋体" w:hAnsi="宋体"/>
          <w:kern w:val="0"/>
          <w:szCs w:val="21"/>
        </w:rPr>
        <w:t>中不明确的内容进行书面澄清或说明，或者对细微偏差进行补正。评标委员会不接受</w:t>
      </w:r>
      <w:r>
        <w:rPr>
          <w:rFonts w:hint="eastAsia" w:ascii="宋体" w:hAnsi="宋体"/>
          <w:kern w:val="0"/>
          <w:szCs w:val="21"/>
          <w:lang w:eastAsia="zh-CN"/>
        </w:rPr>
        <w:t>竞选人</w:t>
      </w:r>
      <w:r>
        <w:rPr>
          <w:rFonts w:ascii="宋体" w:hAnsi="宋体"/>
          <w:kern w:val="0"/>
          <w:szCs w:val="21"/>
        </w:rPr>
        <w:t>主动提出的澄清、说明或补正。</w:t>
      </w:r>
    </w:p>
    <w:p w14:paraId="0CBD8ED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澄清、说明和补正不得改变</w:t>
      </w:r>
      <w:r>
        <w:rPr>
          <w:rFonts w:hint="eastAsia" w:ascii="宋体" w:hAnsi="宋体"/>
          <w:kern w:val="0"/>
          <w:szCs w:val="21"/>
          <w:lang w:eastAsia="zh-CN"/>
        </w:rPr>
        <w:t>竞选文件</w:t>
      </w:r>
      <w:r>
        <w:rPr>
          <w:rFonts w:ascii="宋体" w:hAnsi="宋体"/>
          <w:kern w:val="0"/>
          <w:szCs w:val="21"/>
        </w:rPr>
        <w:t>的实质性内容（算术性错误修正的除外）。</w:t>
      </w:r>
      <w:r>
        <w:rPr>
          <w:rFonts w:hint="eastAsia" w:ascii="宋体" w:hAnsi="宋体"/>
          <w:kern w:val="0"/>
          <w:szCs w:val="21"/>
          <w:lang w:eastAsia="zh-CN"/>
        </w:rPr>
        <w:t>竞选人</w:t>
      </w:r>
      <w:r>
        <w:rPr>
          <w:rFonts w:ascii="宋体" w:hAnsi="宋体"/>
          <w:kern w:val="0"/>
          <w:szCs w:val="21"/>
        </w:rPr>
        <w:t>的书面澄清、说明和补正属于</w:t>
      </w:r>
      <w:r>
        <w:rPr>
          <w:rFonts w:hint="eastAsia" w:ascii="宋体" w:hAnsi="宋体"/>
          <w:kern w:val="0"/>
          <w:szCs w:val="21"/>
          <w:lang w:eastAsia="zh-CN"/>
        </w:rPr>
        <w:t>竞选文件</w:t>
      </w:r>
      <w:r>
        <w:rPr>
          <w:rFonts w:ascii="宋体" w:hAnsi="宋体"/>
          <w:kern w:val="0"/>
          <w:szCs w:val="21"/>
        </w:rPr>
        <w:t>的组成部分。</w:t>
      </w:r>
    </w:p>
    <w:p w14:paraId="03E6EBD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评标委员会对</w:t>
      </w:r>
      <w:r>
        <w:rPr>
          <w:rFonts w:hint="eastAsia" w:ascii="宋体" w:hAnsi="宋体"/>
          <w:kern w:val="0"/>
          <w:szCs w:val="21"/>
          <w:lang w:eastAsia="zh-CN"/>
        </w:rPr>
        <w:t>竞选人</w:t>
      </w:r>
      <w:r>
        <w:rPr>
          <w:rFonts w:ascii="宋体" w:hAnsi="宋体"/>
          <w:kern w:val="0"/>
          <w:szCs w:val="21"/>
        </w:rPr>
        <w:t>提交的澄清、说明或补正有疑问的，可以要求</w:t>
      </w:r>
      <w:r>
        <w:rPr>
          <w:rFonts w:hint="eastAsia" w:ascii="宋体" w:hAnsi="宋体"/>
          <w:kern w:val="0"/>
          <w:szCs w:val="21"/>
          <w:lang w:eastAsia="zh-CN"/>
        </w:rPr>
        <w:t>竞选人</w:t>
      </w:r>
      <w:r>
        <w:rPr>
          <w:rFonts w:ascii="宋体" w:hAnsi="宋体"/>
          <w:kern w:val="0"/>
          <w:szCs w:val="21"/>
        </w:rPr>
        <w:t>进一步澄清、说明或补正，直至满足评标委员会的要求。</w:t>
      </w:r>
    </w:p>
    <w:p w14:paraId="47C789A2">
      <w:pPr>
        <w:pStyle w:val="5"/>
        <w:snapToGrid w:val="0"/>
        <w:spacing w:before="0" w:after="0" w:line="360" w:lineRule="auto"/>
        <w:rPr>
          <w:rFonts w:ascii="宋体" w:hAnsi="宋体"/>
          <w:b w:val="0"/>
          <w:snapToGrid w:val="0"/>
          <w:sz w:val="24"/>
          <w:szCs w:val="24"/>
        </w:rPr>
      </w:pPr>
      <w:bookmarkStart w:id="643" w:name="_Toc509218784"/>
      <w:bookmarkStart w:id="644" w:name="_Toc224103392"/>
      <w:bookmarkStart w:id="645" w:name="_Toc430530508"/>
      <w:bookmarkStart w:id="646" w:name="_Toc57905905"/>
      <w:bookmarkStart w:id="647" w:name="_Toc200513206"/>
      <w:bookmarkStart w:id="648" w:name="_Toc287607820"/>
      <w:bookmarkStart w:id="649" w:name="_Toc287620759"/>
      <w:bookmarkStart w:id="650" w:name="_Toc17868"/>
      <w:bookmarkStart w:id="651" w:name="_Toc277082626"/>
      <w:r>
        <w:rPr>
          <w:rFonts w:ascii="宋体" w:hAnsi="宋体"/>
          <w:b w:val="0"/>
          <w:snapToGrid w:val="0"/>
          <w:sz w:val="24"/>
          <w:szCs w:val="24"/>
        </w:rPr>
        <w:t>3.4  评标结果</w:t>
      </w:r>
      <w:bookmarkEnd w:id="643"/>
      <w:bookmarkEnd w:id="644"/>
      <w:bookmarkEnd w:id="645"/>
      <w:bookmarkEnd w:id="646"/>
      <w:bookmarkEnd w:id="647"/>
      <w:bookmarkEnd w:id="648"/>
      <w:bookmarkEnd w:id="649"/>
      <w:bookmarkEnd w:id="650"/>
      <w:bookmarkEnd w:id="651"/>
    </w:p>
    <w:p w14:paraId="4FE6F6D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hint="eastAsia" w:ascii="宋体" w:hAnsi="宋体"/>
          <w:kern w:val="0"/>
          <w:szCs w:val="21"/>
          <w:lang w:eastAsia="zh-CN"/>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w:t>
      </w:r>
      <w:r>
        <w:rPr>
          <w:rFonts w:hint="eastAsia" w:ascii="宋体" w:hAnsi="宋体"/>
          <w:kern w:val="0"/>
          <w:szCs w:val="21"/>
          <w:lang w:eastAsia="zh-CN"/>
        </w:rPr>
        <w:t>中选人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49DE1ABF">
      <w:pPr>
        <w:autoSpaceDE w:val="0"/>
        <w:autoSpaceDN w:val="0"/>
        <w:adjustRightInd w:val="0"/>
        <w:snapToGrid w:val="0"/>
        <w:spacing w:line="360" w:lineRule="auto"/>
        <w:ind w:firstLine="424" w:firstLineChars="200"/>
        <w:rPr>
          <w:rFonts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lang w:eastAsia="zh-CN"/>
        </w:rPr>
        <w:t>比选人</w:t>
      </w:r>
      <w:r>
        <w:rPr>
          <w:rFonts w:ascii="宋体" w:hAnsi="宋体"/>
          <w:kern w:val="0"/>
          <w:szCs w:val="21"/>
        </w:rPr>
        <w:t>提交书面评标报告。</w:t>
      </w:r>
    </w:p>
    <w:p w14:paraId="54757A66">
      <w:pPr>
        <w:spacing w:line="360" w:lineRule="auto"/>
        <w:rPr>
          <w:rFonts w:ascii="宋体" w:hAnsi="宋体"/>
          <w:b/>
          <w:szCs w:val="20"/>
        </w:rPr>
      </w:pPr>
      <w:r>
        <w:rPr>
          <w:rFonts w:ascii="宋体" w:hAnsi="宋体"/>
          <w:kern w:val="0"/>
          <w:sz w:val="20"/>
          <w:szCs w:val="20"/>
        </w:rPr>
        <w:br w:type="page"/>
      </w:r>
    </w:p>
    <w:p w14:paraId="6436AF9C">
      <w:pPr>
        <w:pStyle w:val="33"/>
        <w:spacing w:line="360" w:lineRule="auto"/>
        <w:rPr>
          <w:rFonts w:ascii="宋体" w:hAnsi="宋体"/>
          <w:b/>
          <w:sz w:val="28"/>
          <w:szCs w:val="28"/>
          <w:u w:val="none"/>
          <w:lang w:eastAsia="zh-CN"/>
        </w:rPr>
      </w:pPr>
      <w:bookmarkStart w:id="652" w:name="招标文件04章合同条款及格式"/>
      <w:bookmarkEnd w:id="652"/>
      <w:bookmarkStart w:id="653" w:name="招标文件03章02评标办法综合评估法02附件02"/>
      <w:bookmarkEnd w:id="653"/>
      <w:bookmarkStart w:id="654" w:name="_Toc230410480"/>
      <w:bookmarkStart w:id="655" w:name="_Toc277082627"/>
      <w:r>
        <w:rPr>
          <w:rFonts w:ascii="宋体" w:hAnsi="宋体"/>
          <w:b/>
          <w:sz w:val="28"/>
          <w:szCs w:val="28"/>
          <w:u w:val="none"/>
          <w:lang w:eastAsia="zh-CN"/>
        </w:rPr>
        <w:t>附件A：综合评估法否决投标情况一览表</w:t>
      </w:r>
      <w:bookmarkEnd w:id="654"/>
    </w:p>
    <w:bookmarkEnd w:id="655"/>
    <w:p w14:paraId="00F92C73">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竞选文件存在本一览表下列情形之一的，竞选文件视为重大偏差并作否决投标处理，否则，评标委员会不得视为重大偏差而否决竞选人的竞选文件</w:t>
      </w:r>
      <w:r>
        <w:rPr>
          <w:rFonts w:ascii="宋体" w:hAnsi="宋体"/>
          <w:sz w:val="21"/>
          <w:szCs w:val="21"/>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7CC741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3D8F029">
            <w:pPr>
              <w:spacing w:line="400" w:lineRule="exact"/>
              <w:jc w:val="center"/>
              <w:rPr>
                <w:rFonts w:ascii="宋体" w:hAnsi="宋体"/>
                <w:b/>
                <w:szCs w:val="21"/>
              </w:rPr>
            </w:pPr>
            <w:r>
              <w:rPr>
                <w:rFonts w:ascii="宋体" w:hAnsi="宋体"/>
                <w:b/>
                <w:szCs w:val="21"/>
              </w:rPr>
              <w:t>章节号</w:t>
            </w:r>
          </w:p>
        </w:tc>
        <w:tc>
          <w:tcPr>
            <w:tcW w:w="1899" w:type="dxa"/>
            <w:vAlign w:val="center"/>
          </w:tcPr>
          <w:p w14:paraId="6000F0D6">
            <w:pPr>
              <w:spacing w:line="400" w:lineRule="exact"/>
              <w:jc w:val="center"/>
              <w:rPr>
                <w:rFonts w:ascii="宋体" w:hAnsi="宋体"/>
                <w:b/>
                <w:szCs w:val="21"/>
              </w:rPr>
            </w:pPr>
            <w:r>
              <w:rPr>
                <w:rFonts w:ascii="宋体" w:hAnsi="宋体"/>
                <w:b/>
                <w:szCs w:val="21"/>
              </w:rPr>
              <w:t>条款名称</w:t>
            </w:r>
          </w:p>
        </w:tc>
        <w:tc>
          <w:tcPr>
            <w:tcW w:w="6333" w:type="dxa"/>
            <w:vAlign w:val="center"/>
          </w:tcPr>
          <w:p w14:paraId="144F3657">
            <w:pPr>
              <w:spacing w:line="400" w:lineRule="exact"/>
              <w:jc w:val="center"/>
              <w:rPr>
                <w:rFonts w:ascii="宋体" w:hAnsi="宋体"/>
                <w:b/>
                <w:szCs w:val="21"/>
              </w:rPr>
            </w:pPr>
            <w:r>
              <w:rPr>
                <w:rFonts w:ascii="宋体" w:hAnsi="宋体"/>
                <w:b/>
                <w:szCs w:val="21"/>
              </w:rPr>
              <w:t>否决投标条件</w:t>
            </w:r>
          </w:p>
        </w:tc>
      </w:tr>
      <w:tr w14:paraId="24EC77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0C0FEB0A">
            <w:pPr>
              <w:spacing w:line="400" w:lineRule="exact"/>
              <w:jc w:val="center"/>
              <w:rPr>
                <w:rFonts w:ascii="宋体" w:hAnsi="宋体"/>
                <w:szCs w:val="21"/>
              </w:rPr>
            </w:pPr>
          </w:p>
        </w:tc>
        <w:tc>
          <w:tcPr>
            <w:tcW w:w="1899" w:type="dxa"/>
            <w:vMerge w:val="restart"/>
            <w:vAlign w:val="center"/>
          </w:tcPr>
          <w:p w14:paraId="16E501DF">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016A716D">
            <w:pPr>
              <w:spacing w:line="400" w:lineRule="exact"/>
              <w:ind w:firstLine="420" w:firstLineChars="200"/>
              <w:rPr>
                <w:rFonts w:ascii="宋体" w:hAnsi="宋体"/>
                <w:szCs w:val="21"/>
              </w:rPr>
            </w:pPr>
            <w:r>
              <w:rPr>
                <w:rFonts w:hint="eastAsia" w:ascii="宋体" w:hAnsi="宋体"/>
                <w:szCs w:val="21"/>
              </w:rPr>
              <w:t>A-1</w:t>
            </w:r>
            <w:r>
              <w:rPr>
                <w:rFonts w:hint="eastAsia" w:ascii="宋体" w:hAnsi="宋体"/>
                <w:szCs w:val="21"/>
                <w:lang w:eastAsia="zh-CN"/>
              </w:rPr>
              <w:t>竞选人</w:t>
            </w:r>
            <w:r>
              <w:rPr>
                <w:rFonts w:hint="eastAsia" w:ascii="宋体" w:hAnsi="宋体"/>
                <w:szCs w:val="21"/>
              </w:rPr>
              <w:t>的资质条件、营业执照及安全生产条件须满足</w:t>
            </w:r>
            <w:r>
              <w:rPr>
                <w:rFonts w:hint="eastAsia" w:ascii="宋体" w:hAnsi="宋体"/>
                <w:szCs w:val="21"/>
                <w:lang w:eastAsia="zh-CN"/>
              </w:rPr>
              <w:t>竞选人</w:t>
            </w:r>
            <w:r>
              <w:rPr>
                <w:rFonts w:hint="eastAsia" w:ascii="宋体" w:hAnsi="宋体"/>
                <w:szCs w:val="21"/>
              </w:rPr>
              <w:t>须知前附表1.4.1项的要求，否则由评标委员会作否决投标处理。</w:t>
            </w:r>
          </w:p>
        </w:tc>
      </w:tr>
      <w:tr w14:paraId="6A8289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3541D96">
            <w:pPr>
              <w:spacing w:line="400" w:lineRule="exact"/>
              <w:jc w:val="center"/>
              <w:rPr>
                <w:rFonts w:ascii="宋体" w:hAnsi="宋体"/>
                <w:szCs w:val="21"/>
              </w:rPr>
            </w:pPr>
          </w:p>
        </w:tc>
        <w:tc>
          <w:tcPr>
            <w:tcW w:w="1899" w:type="dxa"/>
            <w:vMerge w:val="continue"/>
            <w:vAlign w:val="center"/>
          </w:tcPr>
          <w:p w14:paraId="742B35D7">
            <w:pPr>
              <w:spacing w:line="400" w:lineRule="exact"/>
              <w:jc w:val="center"/>
              <w:rPr>
                <w:rFonts w:ascii="宋体" w:hAnsi="宋体"/>
                <w:szCs w:val="21"/>
              </w:rPr>
            </w:pPr>
          </w:p>
        </w:tc>
        <w:tc>
          <w:tcPr>
            <w:tcW w:w="6333" w:type="dxa"/>
            <w:vAlign w:val="center"/>
          </w:tcPr>
          <w:p w14:paraId="7DBE0B09">
            <w:pPr>
              <w:spacing w:line="400" w:lineRule="exact"/>
              <w:ind w:firstLine="420" w:firstLineChars="200"/>
              <w:rPr>
                <w:rFonts w:ascii="宋体" w:hAnsi="宋体"/>
                <w:szCs w:val="21"/>
              </w:rPr>
            </w:pPr>
            <w:r>
              <w:rPr>
                <w:rFonts w:hint="eastAsia" w:ascii="宋体" w:hAnsi="宋体"/>
                <w:szCs w:val="21"/>
              </w:rPr>
              <w:t>A-2</w:t>
            </w:r>
            <w:r>
              <w:rPr>
                <w:rFonts w:hint="eastAsia" w:ascii="宋体" w:hAnsi="宋体"/>
                <w:szCs w:val="21"/>
                <w:lang w:eastAsia="zh-CN"/>
              </w:rPr>
              <w:t>竞选人</w:t>
            </w:r>
            <w:r>
              <w:rPr>
                <w:rFonts w:hint="eastAsia" w:ascii="宋体" w:hAnsi="宋体"/>
                <w:szCs w:val="21"/>
              </w:rPr>
              <w:t>的财务须满足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须知前附表第1.4.1项的要求，否则由评标委员会作否决投标处理（如有）。</w:t>
            </w:r>
          </w:p>
        </w:tc>
      </w:tr>
      <w:tr w14:paraId="036090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8FA9C95">
            <w:pPr>
              <w:spacing w:line="400" w:lineRule="exact"/>
              <w:jc w:val="center"/>
              <w:rPr>
                <w:rFonts w:ascii="宋体" w:hAnsi="宋体"/>
                <w:szCs w:val="21"/>
              </w:rPr>
            </w:pPr>
          </w:p>
        </w:tc>
        <w:tc>
          <w:tcPr>
            <w:tcW w:w="1899" w:type="dxa"/>
            <w:vMerge w:val="continue"/>
            <w:vAlign w:val="center"/>
          </w:tcPr>
          <w:p w14:paraId="143A3985">
            <w:pPr>
              <w:spacing w:line="400" w:lineRule="exact"/>
              <w:jc w:val="center"/>
              <w:rPr>
                <w:rFonts w:ascii="宋体" w:hAnsi="宋体"/>
                <w:szCs w:val="21"/>
              </w:rPr>
            </w:pPr>
          </w:p>
        </w:tc>
        <w:tc>
          <w:tcPr>
            <w:tcW w:w="6333" w:type="dxa"/>
            <w:vAlign w:val="center"/>
          </w:tcPr>
          <w:p w14:paraId="590C63C9">
            <w:pPr>
              <w:spacing w:line="400" w:lineRule="exact"/>
              <w:ind w:firstLine="420" w:firstLineChars="200"/>
              <w:rPr>
                <w:rFonts w:ascii="宋体" w:hAnsi="宋体"/>
                <w:szCs w:val="21"/>
              </w:rPr>
            </w:pPr>
            <w:r>
              <w:rPr>
                <w:rFonts w:hint="eastAsia" w:ascii="宋体" w:hAnsi="宋体"/>
                <w:szCs w:val="21"/>
              </w:rPr>
              <w:t>A-3</w:t>
            </w:r>
            <w:r>
              <w:rPr>
                <w:rFonts w:hint="eastAsia" w:ascii="宋体" w:hAnsi="宋体"/>
                <w:szCs w:val="21"/>
                <w:lang w:eastAsia="zh-CN"/>
              </w:rPr>
              <w:t>竞选人</w:t>
            </w:r>
            <w:r>
              <w:rPr>
                <w:rFonts w:hint="eastAsia" w:ascii="宋体" w:hAnsi="宋体"/>
                <w:szCs w:val="21"/>
              </w:rPr>
              <w:t>的业绩须满足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须知前附表第1.4.1项的要求，否则由评标委员会作否决投标处理（如有）。</w:t>
            </w:r>
          </w:p>
        </w:tc>
      </w:tr>
      <w:tr w14:paraId="50E69E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248C6AC">
            <w:pPr>
              <w:spacing w:line="400" w:lineRule="exact"/>
              <w:jc w:val="center"/>
              <w:rPr>
                <w:rFonts w:ascii="宋体" w:hAnsi="宋体"/>
                <w:szCs w:val="21"/>
              </w:rPr>
            </w:pPr>
          </w:p>
        </w:tc>
        <w:tc>
          <w:tcPr>
            <w:tcW w:w="1899" w:type="dxa"/>
            <w:vMerge w:val="continue"/>
            <w:vAlign w:val="center"/>
          </w:tcPr>
          <w:p w14:paraId="3C9A9FA5">
            <w:pPr>
              <w:spacing w:line="400" w:lineRule="exact"/>
              <w:jc w:val="center"/>
              <w:rPr>
                <w:rFonts w:ascii="宋体" w:hAnsi="宋体"/>
                <w:szCs w:val="21"/>
              </w:rPr>
            </w:pPr>
          </w:p>
        </w:tc>
        <w:tc>
          <w:tcPr>
            <w:tcW w:w="6333" w:type="dxa"/>
            <w:vAlign w:val="center"/>
          </w:tcPr>
          <w:p w14:paraId="340752D8">
            <w:pPr>
              <w:spacing w:line="400" w:lineRule="exact"/>
              <w:ind w:firstLine="420" w:firstLineChars="200"/>
              <w:rPr>
                <w:rFonts w:ascii="宋体" w:hAnsi="宋体"/>
                <w:szCs w:val="21"/>
              </w:rPr>
            </w:pPr>
            <w:r>
              <w:rPr>
                <w:rFonts w:hint="eastAsia" w:ascii="宋体" w:hAnsi="宋体"/>
                <w:szCs w:val="21"/>
              </w:rPr>
              <w:t>A-4</w:t>
            </w:r>
            <w:r>
              <w:rPr>
                <w:rFonts w:hint="eastAsia" w:ascii="宋体" w:hAnsi="宋体"/>
                <w:szCs w:val="21"/>
                <w:lang w:eastAsia="zh-CN"/>
              </w:rPr>
              <w:t>竞选人</w:t>
            </w:r>
            <w:r>
              <w:rPr>
                <w:rFonts w:hint="eastAsia" w:ascii="宋体" w:hAnsi="宋体"/>
                <w:szCs w:val="21"/>
              </w:rPr>
              <w:t>的投标截止日投标资格情况须满足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w:t>
            </w:r>
          </w:p>
        </w:tc>
      </w:tr>
      <w:tr w14:paraId="7665DE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C28E046">
            <w:pPr>
              <w:spacing w:line="400" w:lineRule="exact"/>
              <w:jc w:val="center"/>
              <w:rPr>
                <w:rFonts w:ascii="宋体" w:hAnsi="宋体"/>
                <w:szCs w:val="21"/>
              </w:rPr>
            </w:pPr>
          </w:p>
        </w:tc>
        <w:tc>
          <w:tcPr>
            <w:tcW w:w="1899" w:type="dxa"/>
            <w:vMerge w:val="continue"/>
            <w:vAlign w:val="center"/>
          </w:tcPr>
          <w:p w14:paraId="09D54180">
            <w:pPr>
              <w:spacing w:line="400" w:lineRule="exact"/>
              <w:jc w:val="center"/>
              <w:rPr>
                <w:rFonts w:ascii="宋体" w:hAnsi="宋体"/>
                <w:szCs w:val="21"/>
              </w:rPr>
            </w:pPr>
          </w:p>
        </w:tc>
        <w:tc>
          <w:tcPr>
            <w:tcW w:w="6333" w:type="dxa"/>
            <w:vAlign w:val="center"/>
          </w:tcPr>
          <w:p w14:paraId="3036529D">
            <w:pPr>
              <w:spacing w:line="400" w:lineRule="exact"/>
              <w:ind w:firstLine="420" w:firstLineChars="200"/>
              <w:rPr>
                <w:rFonts w:ascii="宋体" w:hAnsi="宋体"/>
                <w:szCs w:val="21"/>
              </w:rPr>
            </w:pPr>
            <w:r>
              <w:rPr>
                <w:rFonts w:hint="eastAsia" w:ascii="宋体" w:hAnsi="宋体"/>
                <w:szCs w:val="21"/>
              </w:rPr>
              <w:t>A-5</w:t>
            </w:r>
            <w:r>
              <w:rPr>
                <w:rFonts w:hint="eastAsia" w:ascii="宋体" w:hAnsi="宋体"/>
                <w:szCs w:val="21"/>
                <w:lang w:eastAsia="zh-CN"/>
              </w:rPr>
              <w:t>竞选人</w:t>
            </w:r>
            <w:r>
              <w:rPr>
                <w:rFonts w:hint="eastAsia" w:ascii="宋体" w:hAnsi="宋体"/>
                <w:szCs w:val="21"/>
              </w:rPr>
              <w:t>的项目经理资格须满足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w:t>
            </w:r>
          </w:p>
        </w:tc>
      </w:tr>
      <w:tr w14:paraId="670530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C50A47E">
            <w:pPr>
              <w:spacing w:line="400" w:lineRule="exact"/>
              <w:jc w:val="center"/>
              <w:rPr>
                <w:rFonts w:ascii="宋体" w:hAnsi="宋体"/>
                <w:szCs w:val="21"/>
              </w:rPr>
            </w:pPr>
          </w:p>
        </w:tc>
        <w:tc>
          <w:tcPr>
            <w:tcW w:w="1899" w:type="dxa"/>
            <w:vMerge w:val="continue"/>
            <w:vAlign w:val="center"/>
          </w:tcPr>
          <w:p w14:paraId="3FC96C9A">
            <w:pPr>
              <w:spacing w:line="400" w:lineRule="exact"/>
              <w:jc w:val="center"/>
              <w:rPr>
                <w:rFonts w:ascii="宋体" w:hAnsi="宋体"/>
                <w:szCs w:val="21"/>
              </w:rPr>
            </w:pPr>
          </w:p>
        </w:tc>
        <w:tc>
          <w:tcPr>
            <w:tcW w:w="6333" w:type="dxa"/>
            <w:vAlign w:val="center"/>
          </w:tcPr>
          <w:p w14:paraId="536E9CD0">
            <w:pPr>
              <w:spacing w:line="400" w:lineRule="exact"/>
              <w:ind w:firstLine="420" w:firstLineChars="200"/>
              <w:rPr>
                <w:rFonts w:ascii="宋体" w:hAnsi="宋体"/>
                <w:szCs w:val="21"/>
              </w:rPr>
            </w:pPr>
            <w:r>
              <w:rPr>
                <w:rFonts w:hint="eastAsia" w:ascii="宋体" w:hAnsi="宋体"/>
                <w:szCs w:val="21"/>
              </w:rPr>
              <w:t>A-6</w:t>
            </w:r>
            <w:r>
              <w:rPr>
                <w:rFonts w:hint="eastAsia" w:ascii="宋体" w:hAnsi="宋体"/>
                <w:szCs w:val="21"/>
                <w:lang w:eastAsia="zh-CN"/>
              </w:rPr>
              <w:t>竞选人</w:t>
            </w:r>
            <w:r>
              <w:rPr>
                <w:rFonts w:hint="eastAsia" w:ascii="宋体" w:hAnsi="宋体"/>
                <w:szCs w:val="21"/>
              </w:rPr>
              <w:t>的其他要求须满足</w:t>
            </w:r>
            <w:r>
              <w:rPr>
                <w:rFonts w:hint="eastAsia" w:ascii="宋体" w:hAnsi="宋体"/>
                <w:szCs w:val="21"/>
                <w:lang w:eastAsia="zh-CN"/>
              </w:rPr>
              <w:t>竞选人</w:t>
            </w:r>
            <w:r>
              <w:rPr>
                <w:rFonts w:hint="eastAsia" w:ascii="宋体" w:hAnsi="宋体"/>
                <w:szCs w:val="21"/>
              </w:rPr>
              <w:t>须知前附表第1.4.1项的要求，否则由评标委员会作否决投标处理。</w:t>
            </w:r>
          </w:p>
        </w:tc>
      </w:tr>
      <w:tr w14:paraId="2362BE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9C254BC">
            <w:pPr>
              <w:spacing w:line="400" w:lineRule="exact"/>
              <w:jc w:val="center"/>
              <w:rPr>
                <w:rFonts w:ascii="宋体" w:hAnsi="宋体"/>
                <w:szCs w:val="21"/>
              </w:rPr>
            </w:pPr>
          </w:p>
        </w:tc>
        <w:tc>
          <w:tcPr>
            <w:tcW w:w="1899" w:type="dxa"/>
            <w:vMerge w:val="continue"/>
            <w:vAlign w:val="center"/>
          </w:tcPr>
          <w:p w14:paraId="3F3CF13B">
            <w:pPr>
              <w:spacing w:line="400" w:lineRule="exact"/>
              <w:jc w:val="center"/>
              <w:rPr>
                <w:rFonts w:ascii="宋体" w:hAnsi="宋体"/>
                <w:szCs w:val="21"/>
              </w:rPr>
            </w:pPr>
          </w:p>
        </w:tc>
        <w:tc>
          <w:tcPr>
            <w:tcW w:w="6333" w:type="dxa"/>
            <w:vAlign w:val="center"/>
          </w:tcPr>
          <w:p w14:paraId="39BF6916">
            <w:pPr>
              <w:spacing w:line="400" w:lineRule="exact"/>
              <w:ind w:firstLine="420" w:firstLineChars="200"/>
              <w:rPr>
                <w:rFonts w:ascii="宋体" w:hAnsi="宋体"/>
                <w:szCs w:val="21"/>
              </w:rPr>
            </w:pPr>
            <w:r>
              <w:rPr>
                <w:rFonts w:hint="eastAsia" w:ascii="宋体" w:hAnsi="宋体"/>
                <w:szCs w:val="21"/>
              </w:rPr>
              <w:t>A-7若有联合体</w:t>
            </w:r>
            <w:r>
              <w:rPr>
                <w:rFonts w:hint="eastAsia" w:ascii="宋体" w:hAnsi="宋体"/>
                <w:szCs w:val="21"/>
                <w:lang w:eastAsia="zh-CN"/>
              </w:rPr>
              <w:t>竞选人</w:t>
            </w:r>
            <w:r>
              <w:rPr>
                <w:rFonts w:hint="eastAsia" w:ascii="宋体" w:hAnsi="宋体"/>
                <w:szCs w:val="21"/>
              </w:rPr>
              <w:t>，则：</w:t>
            </w:r>
          </w:p>
          <w:p w14:paraId="6990C797">
            <w:pPr>
              <w:spacing w:line="400" w:lineRule="exact"/>
              <w:ind w:firstLine="420" w:firstLineChars="200"/>
              <w:rPr>
                <w:rFonts w:ascii="宋体" w:hAnsi="宋体"/>
                <w:szCs w:val="21"/>
              </w:rPr>
            </w:pPr>
            <w:r>
              <w:rPr>
                <w:rFonts w:hint="eastAsia" w:ascii="宋体" w:hAnsi="宋体"/>
                <w:szCs w:val="21"/>
              </w:rPr>
              <w:t>（1）联合体各方应按照招标文件提供的格式签订联合体协议书，明确联合体牵头人和各方权利义务；</w:t>
            </w:r>
          </w:p>
          <w:p w14:paraId="74409B4F">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14:paraId="59672B09">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14:paraId="173AD8B3">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14:paraId="0DE2DE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A967B8">
            <w:pPr>
              <w:spacing w:line="400" w:lineRule="exact"/>
              <w:jc w:val="center"/>
              <w:rPr>
                <w:rFonts w:ascii="宋体" w:hAnsi="宋体"/>
                <w:szCs w:val="21"/>
              </w:rPr>
            </w:pPr>
          </w:p>
        </w:tc>
        <w:tc>
          <w:tcPr>
            <w:tcW w:w="1899" w:type="dxa"/>
            <w:vMerge w:val="restart"/>
            <w:vAlign w:val="center"/>
          </w:tcPr>
          <w:p w14:paraId="71FF1003">
            <w:pPr>
              <w:spacing w:line="400" w:lineRule="exact"/>
              <w:jc w:val="center"/>
              <w:rPr>
                <w:rFonts w:ascii="宋体" w:hAnsi="宋体"/>
                <w:szCs w:val="21"/>
              </w:rPr>
            </w:pPr>
            <w:r>
              <w:rPr>
                <w:rFonts w:hint="eastAsia" w:ascii="宋体" w:hAnsi="宋体"/>
                <w:szCs w:val="21"/>
              </w:rPr>
              <w:t>形式评审</w:t>
            </w:r>
          </w:p>
        </w:tc>
        <w:tc>
          <w:tcPr>
            <w:tcW w:w="6333" w:type="dxa"/>
            <w:vAlign w:val="top"/>
          </w:tcPr>
          <w:p w14:paraId="608F8E53">
            <w:pPr>
              <w:spacing w:line="400" w:lineRule="exact"/>
              <w:ind w:firstLine="420" w:firstLineChars="200"/>
              <w:rPr>
                <w:rFonts w:ascii="宋体" w:hAnsi="宋体"/>
                <w:szCs w:val="21"/>
              </w:rPr>
            </w:pPr>
            <w:r>
              <w:rPr>
                <w:rFonts w:hint="eastAsia" w:ascii="宋体" w:hAnsi="宋体"/>
                <w:szCs w:val="21"/>
              </w:rPr>
              <w:t>A-8</w:t>
            </w:r>
            <w:r>
              <w:rPr>
                <w:rFonts w:hint="eastAsia" w:ascii="宋体" w:hAnsi="宋体"/>
                <w:szCs w:val="21"/>
                <w:lang w:eastAsia="zh-CN"/>
              </w:rPr>
              <w:t>竞选人</w:t>
            </w:r>
            <w:r>
              <w:rPr>
                <w:rFonts w:hint="eastAsia" w:ascii="宋体" w:hAnsi="宋体"/>
                <w:szCs w:val="21"/>
              </w:rPr>
              <w:t>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26BC30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D3B3A41">
            <w:pPr>
              <w:spacing w:line="400" w:lineRule="exact"/>
              <w:jc w:val="center"/>
              <w:rPr>
                <w:rFonts w:ascii="宋体" w:hAnsi="宋体"/>
                <w:szCs w:val="21"/>
              </w:rPr>
            </w:pPr>
          </w:p>
        </w:tc>
        <w:tc>
          <w:tcPr>
            <w:tcW w:w="1899" w:type="dxa"/>
            <w:vMerge w:val="continue"/>
            <w:vAlign w:val="center"/>
          </w:tcPr>
          <w:p w14:paraId="2045BC7E">
            <w:pPr>
              <w:spacing w:line="400" w:lineRule="exact"/>
              <w:jc w:val="center"/>
              <w:rPr>
                <w:rFonts w:ascii="宋体" w:hAnsi="宋体"/>
                <w:szCs w:val="21"/>
              </w:rPr>
            </w:pPr>
          </w:p>
        </w:tc>
        <w:tc>
          <w:tcPr>
            <w:tcW w:w="6333" w:type="dxa"/>
            <w:vAlign w:val="top"/>
          </w:tcPr>
          <w:p w14:paraId="416D2CD0">
            <w:pPr>
              <w:spacing w:line="400" w:lineRule="exact"/>
              <w:ind w:firstLine="420" w:firstLineChars="200"/>
              <w:rPr>
                <w:rFonts w:ascii="宋体" w:hAnsi="宋体"/>
                <w:szCs w:val="21"/>
              </w:rPr>
            </w:pPr>
            <w:r>
              <w:rPr>
                <w:rFonts w:hint="eastAsia" w:ascii="宋体" w:hAnsi="宋体"/>
                <w:szCs w:val="21"/>
              </w:rPr>
              <w:t>A-9投标函格式规定签名、盖章的位置有法定代表人或其委托代理人签名（或盖章）、加盖单位法人章，否则由评标委员会作否决投标处理。</w:t>
            </w:r>
          </w:p>
        </w:tc>
      </w:tr>
      <w:tr w14:paraId="189283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613BDB">
            <w:pPr>
              <w:spacing w:line="400" w:lineRule="exact"/>
              <w:jc w:val="center"/>
              <w:rPr>
                <w:rFonts w:ascii="宋体" w:hAnsi="宋体"/>
                <w:szCs w:val="21"/>
              </w:rPr>
            </w:pPr>
          </w:p>
        </w:tc>
        <w:tc>
          <w:tcPr>
            <w:tcW w:w="1899" w:type="dxa"/>
            <w:vMerge w:val="continue"/>
            <w:vAlign w:val="center"/>
          </w:tcPr>
          <w:p w14:paraId="5E20C794">
            <w:pPr>
              <w:spacing w:line="400" w:lineRule="exact"/>
              <w:jc w:val="center"/>
              <w:rPr>
                <w:rFonts w:ascii="宋体" w:hAnsi="宋体"/>
                <w:szCs w:val="21"/>
              </w:rPr>
            </w:pPr>
          </w:p>
        </w:tc>
        <w:tc>
          <w:tcPr>
            <w:tcW w:w="6333" w:type="dxa"/>
            <w:vAlign w:val="top"/>
          </w:tcPr>
          <w:p w14:paraId="4AD1E2B5">
            <w:pPr>
              <w:spacing w:line="400" w:lineRule="exact"/>
              <w:ind w:firstLine="420" w:firstLineChars="200"/>
              <w:rPr>
                <w:rFonts w:ascii="宋体" w:hAnsi="宋体"/>
                <w:szCs w:val="21"/>
              </w:rPr>
            </w:pPr>
            <w:r>
              <w:rPr>
                <w:rFonts w:hint="eastAsia" w:ascii="宋体" w:hAnsi="宋体"/>
                <w:szCs w:val="21"/>
              </w:rPr>
              <w:t>A-10</w:t>
            </w:r>
            <w:r>
              <w:rPr>
                <w:rFonts w:hint="eastAsia" w:ascii="宋体" w:hAnsi="宋体"/>
                <w:szCs w:val="21"/>
                <w:lang w:eastAsia="zh-CN"/>
              </w:rPr>
              <w:t>竞选文件</w:t>
            </w:r>
            <w:r>
              <w:rPr>
                <w:rFonts w:hint="eastAsia" w:ascii="宋体" w:hAnsi="宋体"/>
                <w:szCs w:val="21"/>
              </w:rPr>
              <w:t>格式符合第二章“</w:t>
            </w:r>
            <w:r>
              <w:rPr>
                <w:rFonts w:hint="eastAsia" w:ascii="宋体" w:hAnsi="宋体"/>
                <w:szCs w:val="21"/>
                <w:lang w:eastAsia="zh-CN"/>
              </w:rPr>
              <w:t>竞选人</w:t>
            </w:r>
            <w:r>
              <w:rPr>
                <w:rFonts w:hint="eastAsia" w:ascii="宋体" w:hAnsi="宋体"/>
                <w:szCs w:val="21"/>
              </w:rPr>
              <w:t>须知”第3.7款的要求，否则由评标委员会作否决投标处理。</w:t>
            </w:r>
          </w:p>
          <w:p w14:paraId="5F4300A1">
            <w:pPr>
              <w:spacing w:line="400" w:lineRule="exact"/>
              <w:ind w:firstLine="420" w:firstLineChars="200"/>
              <w:rPr>
                <w:rFonts w:ascii="宋体" w:hAnsi="宋体"/>
                <w:szCs w:val="21"/>
              </w:rPr>
            </w:pPr>
            <w:r>
              <w:rPr>
                <w:rFonts w:hint="eastAsia" w:ascii="宋体" w:hAnsi="宋体"/>
                <w:kern w:val="0"/>
                <w:szCs w:val="21"/>
              </w:rPr>
              <w:t>编制</w:t>
            </w:r>
            <w:r>
              <w:rPr>
                <w:rFonts w:hint="eastAsia" w:ascii="宋体" w:hAnsi="宋体"/>
                <w:kern w:val="0"/>
                <w:szCs w:val="21"/>
                <w:lang w:eastAsia="zh-CN"/>
              </w:rPr>
              <w:t>竞选文件</w:t>
            </w:r>
            <w:r>
              <w:rPr>
                <w:rFonts w:hint="eastAsia" w:ascii="宋体" w:hAnsi="宋体"/>
                <w:kern w:val="0"/>
                <w:szCs w:val="21"/>
              </w:rPr>
              <w:t>时不得对第八章“</w:t>
            </w:r>
            <w:r>
              <w:rPr>
                <w:rFonts w:hint="eastAsia" w:ascii="宋体" w:hAnsi="宋体"/>
                <w:kern w:val="0"/>
                <w:szCs w:val="21"/>
                <w:lang w:eastAsia="zh-CN"/>
              </w:rPr>
              <w:t>竞选文件</w:t>
            </w:r>
            <w:r>
              <w:rPr>
                <w:rFonts w:hint="eastAsia" w:ascii="宋体" w:hAnsi="宋体"/>
                <w:kern w:val="0"/>
                <w:szCs w:val="21"/>
              </w:rPr>
              <w:t>格式”的相应要素作实质性修改，否则由评标委员会作否决投标处理。</w:t>
            </w:r>
          </w:p>
        </w:tc>
      </w:tr>
      <w:tr w14:paraId="6B8E72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A3B4A43">
            <w:pPr>
              <w:spacing w:line="400" w:lineRule="exact"/>
              <w:jc w:val="center"/>
              <w:rPr>
                <w:rFonts w:ascii="宋体" w:hAnsi="宋体"/>
                <w:szCs w:val="21"/>
              </w:rPr>
            </w:pPr>
          </w:p>
        </w:tc>
        <w:tc>
          <w:tcPr>
            <w:tcW w:w="1899" w:type="dxa"/>
            <w:vMerge w:val="continue"/>
            <w:vAlign w:val="center"/>
          </w:tcPr>
          <w:p w14:paraId="27612125">
            <w:pPr>
              <w:spacing w:line="400" w:lineRule="exact"/>
              <w:jc w:val="center"/>
              <w:rPr>
                <w:rFonts w:ascii="宋体" w:hAnsi="宋体"/>
                <w:szCs w:val="21"/>
              </w:rPr>
            </w:pPr>
          </w:p>
        </w:tc>
        <w:tc>
          <w:tcPr>
            <w:tcW w:w="6333" w:type="dxa"/>
            <w:vAlign w:val="top"/>
          </w:tcPr>
          <w:p w14:paraId="2A673559">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A-11</w:t>
            </w:r>
            <w:r>
              <w:rPr>
                <w:rFonts w:hint="eastAsia" w:ascii="宋体" w:hAnsi="宋体"/>
                <w:szCs w:val="21"/>
                <w:lang w:eastAsia="zh-CN"/>
              </w:rPr>
              <w:t>竞选文件</w:t>
            </w:r>
            <w:r>
              <w:rPr>
                <w:rFonts w:hint="eastAsia" w:ascii="宋体" w:hAnsi="宋体"/>
                <w:szCs w:val="21"/>
              </w:rPr>
              <w:t>份数符合第二章“</w:t>
            </w:r>
            <w:r>
              <w:rPr>
                <w:rFonts w:hint="eastAsia" w:ascii="宋体" w:hAnsi="宋体"/>
                <w:szCs w:val="21"/>
                <w:lang w:eastAsia="zh-CN"/>
              </w:rPr>
              <w:t>竞选人</w:t>
            </w:r>
            <w:r>
              <w:rPr>
                <w:rFonts w:hint="eastAsia" w:ascii="宋体" w:hAnsi="宋体"/>
                <w:szCs w:val="21"/>
              </w:rPr>
              <w:t>须知”第3.7.4项的规定，</w:t>
            </w:r>
            <w:r>
              <w:rPr>
                <w:rFonts w:hint="eastAsia" w:ascii="宋体" w:hAnsi="宋体"/>
                <w:kern w:val="0"/>
                <w:szCs w:val="21"/>
              </w:rPr>
              <w:t>否则由评标委员会作否决投标处理。</w:t>
            </w:r>
          </w:p>
        </w:tc>
      </w:tr>
      <w:tr w14:paraId="50D3D6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3F4EC9B">
            <w:pPr>
              <w:spacing w:line="400" w:lineRule="exact"/>
              <w:jc w:val="center"/>
              <w:rPr>
                <w:rFonts w:ascii="宋体" w:hAnsi="宋体"/>
                <w:szCs w:val="21"/>
              </w:rPr>
            </w:pPr>
          </w:p>
        </w:tc>
        <w:tc>
          <w:tcPr>
            <w:tcW w:w="1899" w:type="dxa"/>
            <w:vMerge w:val="continue"/>
            <w:vAlign w:val="center"/>
          </w:tcPr>
          <w:p w14:paraId="40BA9A85">
            <w:pPr>
              <w:spacing w:line="400" w:lineRule="exact"/>
              <w:jc w:val="center"/>
              <w:rPr>
                <w:rFonts w:ascii="宋体" w:hAnsi="宋体"/>
                <w:szCs w:val="21"/>
              </w:rPr>
            </w:pPr>
          </w:p>
        </w:tc>
        <w:tc>
          <w:tcPr>
            <w:tcW w:w="6333" w:type="dxa"/>
            <w:vAlign w:val="top"/>
          </w:tcPr>
          <w:p w14:paraId="5056E46E">
            <w:pPr>
              <w:spacing w:line="400" w:lineRule="exact"/>
              <w:ind w:firstLine="420" w:firstLineChars="200"/>
              <w:rPr>
                <w:rFonts w:ascii="宋体" w:hAnsi="宋体"/>
                <w:szCs w:val="21"/>
              </w:rPr>
            </w:pPr>
            <w:r>
              <w:rPr>
                <w:rFonts w:hint="eastAsia" w:ascii="宋体" w:hAnsi="宋体"/>
                <w:szCs w:val="21"/>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36A85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BB3CAAC">
            <w:pPr>
              <w:spacing w:line="400" w:lineRule="exact"/>
              <w:jc w:val="center"/>
              <w:rPr>
                <w:rFonts w:ascii="宋体" w:hAnsi="宋体"/>
                <w:szCs w:val="21"/>
              </w:rPr>
            </w:pPr>
          </w:p>
        </w:tc>
        <w:tc>
          <w:tcPr>
            <w:tcW w:w="1899" w:type="dxa"/>
            <w:vMerge w:val="continue"/>
            <w:vAlign w:val="center"/>
          </w:tcPr>
          <w:p w14:paraId="2FE23E26">
            <w:pPr>
              <w:spacing w:line="400" w:lineRule="exact"/>
              <w:jc w:val="center"/>
              <w:rPr>
                <w:rFonts w:ascii="宋体" w:hAnsi="宋体"/>
                <w:szCs w:val="21"/>
              </w:rPr>
            </w:pPr>
          </w:p>
        </w:tc>
        <w:tc>
          <w:tcPr>
            <w:tcW w:w="6333" w:type="dxa"/>
            <w:vAlign w:val="top"/>
          </w:tcPr>
          <w:p w14:paraId="5AB4D9CC">
            <w:pPr>
              <w:spacing w:line="400" w:lineRule="exact"/>
              <w:ind w:firstLine="420" w:firstLineChars="200"/>
              <w:rPr>
                <w:rFonts w:ascii="宋体" w:hAnsi="宋体"/>
                <w:szCs w:val="21"/>
              </w:rPr>
            </w:pPr>
            <w:r>
              <w:rPr>
                <w:rFonts w:hint="eastAsia" w:ascii="宋体" w:hAnsi="宋体"/>
                <w:szCs w:val="21"/>
              </w:rPr>
              <w:t>A-13只能有一个有效报价。在招标文件没有规定的情况下，不得提交选择性报价，否则由评标委员会作否决投标处理。</w:t>
            </w:r>
          </w:p>
        </w:tc>
      </w:tr>
      <w:tr w14:paraId="2BB201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69A7547">
            <w:pPr>
              <w:spacing w:line="400" w:lineRule="exact"/>
              <w:jc w:val="center"/>
              <w:rPr>
                <w:rFonts w:ascii="宋体" w:hAnsi="宋体"/>
                <w:szCs w:val="21"/>
              </w:rPr>
            </w:pPr>
          </w:p>
        </w:tc>
        <w:tc>
          <w:tcPr>
            <w:tcW w:w="1899" w:type="dxa"/>
            <w:vMerge w:val="continue"/>
            <w:vAlign w:val="center"/>
          </w:tcPr>
          <w:p w14:paraId="550F32E1">
            <w:pPr>
              <w:spacing w:line="400" w:lineRule="exact"/>
              <w:jc w:val="center"/>
              <w:rPr>
                <w:rFonts w:ascii="宋体" w:hAnsi="宋体"/>
                <w:szCs w:val="21"/>
              </w:rPr>
            </w:pPr>
          </w:p>
        </w:tc>
        <w:tc>
          <w:tcPr>
            <w:tcW w:w="6333" w:type="dxa"/>
            <w:vAlign w:val="top"/>
          </w:tcPr>
          <w:p w14:paraId="737821C0">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A-14</w:t>
            </w:r>
            <w:r>
              <w:rPr>
                <w:rFonts w:hint="eastAsia" w:ascii="宋体" w:hAnsi="宋体" w:cs="宋体"/>
                <w:kern w:val="0"/>
              </w:rPr>
              <w:t xml:space="preserve">第八章 </w:t>
            </w:r>
            <w:r>
              <w:rPr>
                <w:rFonts w:hint="eastAsia" w:ascii="宋体" w:hAnsi="宋体" w:cs="宋体"/>
                <w:kern w:val="0"/>
                <w:lang w:eastAsia="zh-CN"/>
              </w:rPr>
              <w:t>竞选文件</w:t>
            </w:r>
            <w:r>
              <w:rPr>
                <w:rFonts w:hint="eastAsia" w:ascii="宋体" w:hAnsi="宋体" w:cs="宋体"/>
                <w:kern w:val="0"/>
              </w:rPr>
              <w:t>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lang w:eastAsia="zh-CN"/>
              </w:rPr>
              <w:t>竞选文件</w:t>
            </w:r>
            <w:r>
              <w:rPr>
                <w:rFonts w:hint="eastAsia" w:ascii="宋体" w:hAnsi="宋体" w:cs="宋体"/>
                <w:kern w:val="0"/>
              </w:rPr>
              <w:t>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，否则由评标委员会作否决投标处理。</w:t>
            </w:r>
          </w:p>
        </w:tc>
      </w:tr>
      <w:tr w14:paraId="5BD8FD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63FD9A">
            <w:pPr>
              <w:spacing w:line="400" w:lineRule="exact"/>
              <w:jc w:val="center"/>
              <w:rPr>
                <w:rFonts w:ascii="宋体" w:hAnsi="宋体"/>
                <w:szCs w:val="21"/>
              </w:rPr>
            </w:pPr>
          </w:p>
        </w:tc>
        <w:tc>
          <w:tcPr>
            <w:tcW w:w="1899" w:type="dxa"/>
            <w:vMerge w:val="continue"/>
            <w:vAlign w:val="center"/>
          </w:tcPr>
          <w:p w14:paraId="3EE4D152">
            <w:pPr>
              <w:spacing w:line="400" w:lineRule="exact"/>
              <w:jc w:val="center"/>
              <w:rPr>
                <w:rFonts w:ascii="宋体" w:hAnsi="宋体"/>
                <w:szCs w:val="21"/>
              </w:rPr>
            </w:pPr>
          </w:p>
        </w:tc>
        <w:tc>
          <w:tcPr>
            <w:tcW w:w="6333" w:type="dxa"/>
            <w:vAlign w:val="top"/>
          </w:tcPr>
          <w:p w14:paraId="6BE89CC8">
            <w:pPr>
              <w:spacing w:line="400" w:lineRule="exact"/>
              <w:ind w:firstLine="420" w:firstLineChars="200"/>
              <w:rPr>
                <w:rFonts w:ascii="宋体" w:hAnsi="宋体"/>
                <w:szCs w:val="21"/>
              </w:rPr>
            </w:pPr>
            <w:r>
              <w:rPr>
                <w:rFonts w:hint="eastAsia" w:ascii="宋体" w:hAnsi="宋体"/>
                <w:szCs w:val="21"/>
              </w:rPr>
              <w:t>A-15</w:t>
            </w:r>
            <w:r>
              <w:rPr>
                <w:rFonts w:hint="eastAsia" w:ascii="宋体" w:hAnsi="宋体"/>
                <w:szCs w:val="21"/>
                <w:lang w:eastAsia="zh-CN"/>
              </w:rPr>
              <w:t>竞选人</w:t>
            </w:r>
            <w:r>
              <w:rPr>
                <w:rFonts w:hint="eastAsia" w:ascii="宋体" w:hAnsi="宋体"/>
                <w:szCs w:val="21"/>
              </w:rPr>
              <w:t>法定代表人的委托代理人有法定代表人签署的授权委托书和</w:t>
            </w:r>
            <w:r>
              <w:rPr>
                <w:rFonts w:hint="eastAsia" w:ascii="宋体" w:hAnsi="宋体"/>
                <w:szCs w:val="21"/>
                <w:lang w:eastAsia="zh-CN"/>
              </w:rPr>
              <w:t>竞选人</w:t>
            </w:r>
            <w:r>
              <w:rPr>
                <w:rFonts w:hint="eastAsia" w:ascii="宋体" w:hAnsi="宋体"/>
                <w:szCs w:val="21"/>
              </w:rPr>
              <w:t>为其缴纳的养老保险证明材料，否则由评标委员会作否决投标处理。</w:t>
            </w:r>
          </w:p>
        </w:tc>
      </w:tr>
      <w:tr w14:paraId="4C177E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87548C3">
            <w:pPr>
              <w:spacing w:line="400" w:lineRule="exact"/>
              <w:jc w:val="center"/>
              <w:rPr>
                <w:rFonts w:ascii="宋体" w:hAnsi="宋体"/>
                <w:szCs w:val="21"/>
              </w:rPr>
            </w:pPr>
          </w:p>
        </w:tc>
        <w:tc>
          <w:tcPr>
            <w:tcW w:w="1899" w:type="dxa"/>
            <w:vMerge w:val="restart"/>
            <w:vAlign w:val="center"/>
          </w:tcPr>
          <w:p w14:paraId="7E9CA944">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14:paraId="6A2432F1">
            <w:pPr>
              <w:spacing w:line="400" w:lineRule="exact"/>
              <w:ind w:firstLine="420" w:firstLineChars="200"/>
              <w:rPr>
                <w:rFonts w:ascii="宋体" w:hAnsi="宋体"/>
                <w:szCs w:val="21"/>
              </w:rPr>
            </w:pPr>
            <w:r>
              <w:rPr>
                <w:rFonts w:hint="eastAsia" w:ascii="宋体" w:hAnsi="宋体"/>
                <w:szCs w:val="21"/>
              </w:rPr>
              <w:t>A-16</w:t>
            </w:r>
            <w:r>
              <w:rPr>
                <w:rFonts w:hint="eastAsia" w:ascii="宋体" w:hAnsi="宋体" w:cs="宋体"/>
                <w:szCs w:val="21"/>
              </w:rPr>
              <w:t>投标总报价必须与已标价工程量清单总报价一致</w:t>
            </w:r>
            <w:r>
              <w:rPr>
                <w:rFonts w:hint="eastAsia" w:ascii="宋体" w:hAnsi="宋体"/>
                <w:szCs w:val="21"/>
              </w:rPr>
              <w:t>，否则由评标委员会作否决投标处理。</w:t>
            </w:r>
          </w:p>
        </w:tc>
      </w:tr>
      <w:tr w14:paraId="22E86D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55BCB0">
            <w:pPr>
              <w:spacing w:line="400" w:lineRule="exact"/>
              <w:jc w:val="center"/>
              <w:rPr>
                <w:rFonts w:ascii="宋体" w:hAnsi="宋体"/>
                <w:szCs w:val="21"/>
              </w:rPr>
            </w:pPr>
          </w:p>
        </w:tc>
        <w:tc>
          <w:tcPr>
            <w:tcW w:w="1899" w:type="dxa"/>
            <w:vMerge w:val="continue"/>
            <w:vAlign w:val="center"/>
          </w:tcPr>
          <w:p w14:paraId="11ED6AC7">
            <w:pPr>
              <w:spacing w:line="400" w:lineRule="exact"/>
              <w:jc w:val="center"/>
              <w:rPr>
                <w:rFonts w:ascii="宋体" w:hAnsi="宋体"/>
                <w:szCs w:val="21"/>
              </w:rPr>
            </w:pPr>
          </w:p>
        </w:tc>
        <w:tc>
          <w:tcPr>
            <w:tcW w:w="6333" w:type="dxa"/>
            <w:vAlign w:val="center"/>
          </w:tcPr>
          <w:p w14:paraId="398D30F8">
            <w:pPr>
              <w:spacing w:line="400" w:lineRule="exact"/>
              <w:ind w:firstLine="420" w:firstLineChars="200"/>
              <w:rPr>
                <w:rFonts w:ascii="宋体" w:hAnsi="宋体"/>
                <w:szCs w:val="21"/>
              </w:rPr>
            </w:pPr>
            <w:r>
              <w:rPr>
                <w:rFonts w:hint="eastAsia" w:ascii="宋体" w:hAnsi="宋体"/>
                <w:szCs w:val="21"/>
              </w:rPr>
              <w:t>A-17投标总报价不得高于</w:t>
            </w:r>
            <w:r>
              <w:rPr>
                <w:rFonts w:hint="eastAsia" w:ascii="宋体" w:hAnsi="宋体"/>
                <w:szCs w:val="21"/>
                <w:lang w:eastAsia="zh-CN"/>
              </w:rPr>
              <w:t>比选人</w:t>
            </w:r>
            <w:r>
              <w:rPr>
                <w:rFonts w:hint="eastAsia" w:ascii="宋体" w:hAnsi="宋体"/>
                <w:szCs w:val="21"/>
              </w:rPr>
              <w:t>公布的投标总报价最高限价，否则由评标委员会作否决投标处理。</w:t>
            </w:r>
          </w:p>
        </w:tc>
      </w:tr>
      <w:tr w14:paraId="1932FD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2DE7F4C">
            <w:pPr>
              <w:spacing w:line="400" w:lineRule="exact"/>
              <w:jc w:val="center"/>
              <w:rPr>
                <w:rFonts w:ascii="宋体" w:hAnsi="宋体"/>
                <w:szCs w:val="21"/>
              </w:rPr>
            </w:pPr>
          </w:p>
        </w:tc>
        <w:tc>
          <w:tcPr>
            <w:tcW w:w="1899" w:type="dxa"/>
            <w:vMerge w:val="continue"/>
            <w:vAlign w:val="center"/>
          </w:tcPr>
          <w:p w14:paraId="50285B97">
            <w:pPr>
              <w:spacing w:line="400" w:lineRule="exact"/>
              <w:jc w:val="center"/>
              <w:rPr>
                <w:rFonts w:ascii="宋体" w:hAnsi="宋体"/>
                <w:szCs w:val="21"/>
              </w:rPr>
            </w:pPr>
          </w:p>
        </w:tc>
        <w:tc>
          <w:tcPr>
            <w:tcW w:w="6333" w:type="dxa"/>
            <w:vAlign w:val="center"/>
          </w:tcPr>
          <w:p w14:paraId="06A8D096">
            <w:pPr>
              <w:spacing w:line="400" w:lineRule="exact"/>
              <w:ind w:firstLine="420" w:firstLineChars="200"/>
              <w:rPr>
                <w:rFonts w:ascii="宋体" w:hAnsi="宋体"/>
                <w:szCs w:val="21"/>
              </w:rPr>
            </w:pPr>
            <w:r>
              <w:rPr>
                <w:rFonts w:hint="eastAsia" w:ascii="宋体" w:hAnsi="宋体"/>
                <w:szCs w:val="21"/>
              </w:rPr>
              <w:t>A-18暂列金额、暂估价、安全文明施工费等暂定金额必须按照招标文件给定的金额填报，否则由评标委员会作否决投标处理。</w:t>
            </w:r>
          </w:p>
        </w:tc>
      </w:tr>
      <w:tr w14:paraId="7E0A2F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0459CB">
            <w:pPr>
              <w:spacing w:line="400" w:lineRule="exact"/>
              <w:jc w:val="center"/>
              <w:rPr>
                <w:rFonts w:ascii="宋体" w:hAnsi="宋体"/>
                <w:szCs w:val="21"/>
              </w:rPr>
            </w:pPr>
          </w:p>
        </w:tc>
        <w:tc>
          <w:tcPr>
            <w:tcW w:w="1899" w:type="dxa"/>
            <w:vMerge w:val="continue"/>
            <w:vAlign w:val="center"/>
          </w:tcPr>
          <w:p w14:paraId="6CF3C572">
            <w:pPr>
              <w:spacing w:line="400" w:lineRule="exact"/>
              <w:jc w:val="center"/>
              <w:rPr>
                <w:rFonts w:ascii="宋体" w:hAnsi="宋体"/>
                <w:szCs w:val="21"/>
              </w:rPr>
            </w:pPr>
          </w:p>
        </w:tc>
        <w:tc>
          <w:tcPr>
            <w:tcW w:w="6333" w:type="dxa"/>
            <w:vAlign w:val="center"/>
          </w:tcPr>
          <w:p w14:paraId="739FF93E">
            <w:pPr>
              <w:spacing w:line="400" w:lineRule="exact"/>
              <w:ind w:firstLine="420" w:firstLineChars="200"/>
              <w:rPr>
                <w:rFonts w:ascii="宋体" w:hAnsi="宋体"/>
                <w:szCs w:val="21"/>
              </w:rPr>
            </w:pPr>
            <w:r>
              <w:rPr>
                <w:rFonts w:hint="eastAsia" w:ascii="宋体" w:hAnsi="宋体"/>
                <w:szCs w:val="21"/>
              </w:rPr>
              <w:t>A-19投标内容符合第二章“</w:t>
            </w:r>
            <w:r>
              <w:rPr>
                <w:rFonts w:hint="eastAsia" w:ascii="宋体" w:hAnsi="宋体"/>
                <w:szCs w:val="21"/>
                <w:lang w:eastAsia="zh-CN"/>
              </w:rPr>
              <w:t>竞选人</w:t>
            </w:r>
            <w:r>
              <w:rPr>
                <w:rFonts w:hint="eastAsia" w:ascii="宋体" w:hAnsi="宋体"/>
                <w:szCs w:val="21"/>
              </w:rPr>
              <w:t>须知”第1.3.1项规定，否则由评标委员会作否决投标处理。</w:t>
            </w:r>
          </w:p>
        </w:tc>
      </w:tr>
      <w:tr w14:paraId="0A9618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DB28F5">
            <w:pPr>
              <w:spacing w:line="400" w:lineRule="exact"/>
              <w:jc w:val="center"/>
              <w:rPr>
                <w:rFonts w:ascii="宋体" w:hAnsi="宋体"/>
                <w:szCs w:val="21"/>
              </w:rPr>
            </w:pPr>
          </w:p>
        </w:tc>
        <w:tc>
          <w:tcPr>
            <w:tcW w:w="1899" w:type="dxa"/>
            <w:vMerge w:val="continue"/>
            <w:vAlign w:val="center"/>
          </w:tcPr>
          <w:p w14:paraId="02C81788">
            <w:pPr>
              <w:spacing w:line="400" w:lineRule="exact"/>
              <w:jc w:val="center"/>
              <w:rPr>
                <w:rFonts w:ascii="宋体" w:hAnsi="宋体"/>
                <w:szCs w:val="21"/>
              </w:rPr>
            </w:pPr>
          </w:p>
        </w:tc>
        <w:tc>
          <w:tcPr>
            <w:tcW w:w="6333" w:type="dxa"/>
            <w:vAlign w:val="center"/>
          </w:tcPr>
          <w:p w14:paraId="3EA86336">
            <w:pPr>
              <w:spacing w:line="400" w:lineRule="exact"/>
              <w:ind w:firstLine="420" w:firstLineChars="200"/>
              <w:rPr>
                <w:rFonts w:ascii="宋体" w:hAnsi="宋体"/>
                <w:szCs w:val="21"/>
              </w:rPr>
            </w:pPr>
            <w:r>
              <w:rPr>
                <w:rFonts w:hint="eastAsia" w:ascii="宋体" w:hAnsi="宋体"/>
                <w:szCs w:val="21"/>
              </w:rPr>
              <w:t>A-20工期符合第二章“</w:t>
            </w:r>
            <w:r>
              <w:rPr>
                <w:rFonts w:hint="eastAsia" w:ascii="宋体" w:hAnsi="宋体"/>
                <w:szCs w:val="21"/>
                <w:lang w:eastAsia="zh-CN"/>
              </w:rPr>
              <w:t>竞选人</w:t>
            </w:r>
            <w:r>
              <w:rPr>
                <w:rFonts w:hint="eastAsia" w:ascii="宋体" w:hAnsi="宋体"/>
                <w:szCs w:val="21"/>
              </w:rPr>
              <w:t>须知”第1.3.2项规定，否则由评标委员会作否决投标处理。</w:t>
            </w:r>
          </w:p>
        </w:tc>
      </w:tr>
      <w:tr w14:paraId="02081E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FA9A007">
            <w:pPr>
              <w:spacing w:line="400" w:lineRule="exact"/>
              <w:jc w:val="center"/>
              <w:rPr>
                <w:rFonts w:ascii="宋体" w:hAnsi="宋体"/>
                <w:szCs w:val="21"/>
              </w:rPr>
            </w:pPr>
          </w:p>
        </w:tc>
        <w:tc>
          <w:tcPr>
            <w:tcW w:w="1899" w:type="dxa"/>
            <w:vMerge w:val="continue"/>
            <w:vAlign w:val="center"/>
          </w:tcPr>
          <w:p w14:paraId="7F4D1F3F">
            <w:pPr>
              <w:spacing w:line="400" w:lineRule="exact"/>
              <w:jc w:val="center"/>
              <w:rPr>
                <w:rFonts w:ascii="宋体" w:hAnsi="宋体"/>
                <w:szCs w:val="21"/>
              </w:rPr>
            </w:pPr>
          </w:p>
        </w:tc>
        <w:tc>
          <w:tcPr>
            <w:tcW w:w="6333" w:type="dxa"/>
            <w:vAlign w:val="center"/>
          </w:tcPr>
          <w:p w14:paraId="50F32301">
            <w:pPr>
              <w:spacing w:line="400" w:lineRule="exact"/>
              <w:ind w:firstLine="420" w:firstLineChars="200"/>
              <w:rPr>
                <w:rFonts w:ascii="宋体" w:hAnsi="宋体"/>
                <w:szCs w:val="21"/>
              </w:rPr>
            </w:pPr>
            <w:r>
              <w:rPr>
                <w:rFonts w:hint="eastAsia" w:ascii="宋体" w:hAnsi="宋体"/>
                <w:szCs w:val="21"/>
              </w:rPr>
              <w:t>A-21工程质量符合第二章“</w:t>
            </w:r>
            <w:r>
              <w:rPr>
                <w:rFonts w:hint="eastAsia" w:ascii="宋体" w:hAnsi="宋体"/>
                <w:szCs w:val="21"/>
                <w:lang w:eastAsia="zh-CN"/>
              </w:rPr>
              <w:t>竞选人</w:t>
            </w:r>
            <w:r>
              <w:rPr>
                <w:rFonts w:hint="eastAsia" w:ascii="宋体" w:hAnsi="宋体"/>
                <w:szCs w:val="21"/>
              </w:rPr>
              <w:t>须知”第1.3.3项规定，否则由评标委员会作否决投标处理。</w:t>
            </w:r>
          </w:p>
        </w:tc>
      </w:tr>
      <w:tr w14:paraId="3B123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4D417B">
            <w:pPr>
              <w:spacing w:line="400" w:lineRule="exact"/>
              <w:jc w:val="center"/>
              <w:rPr>
                <w:rFonts w:ascii="宋体" w:hAnsi="宋体"/>
                <w:szCs w:val="21"/>
              </w:rPr>
            </w:pPr>
          </w:p>
        </w:tc>
        <w:tc>
          <w:tcPr>
            <w:tcW w:w="1899" w:type="dxa"/>
            <w:vMerge w:val="continue"/>
            <w:vAlign w:val="center"/>
          </w:tcPr>
          <w:p w14:paraId="4E00C9BD">
            <w:pPr>
              <w:spacing w:line="400" w:lineRule="exact"/>
              <w:jc w:val="center"/>
              <w:rPr>
                <w:rFonts w:ascii="宋体" w:hAnsi="宋体"/>
                <w:szCs w:val="21"/>
              </w:rPr>
            </w:pPr>
          </w:p>
        </w:tc>
        <w:tc>
          <w:tcPr>
            <w:tcW w:w="6333" w:type="dxa"/>
            <w:vAlign w:val="center"/>
          </w:tcPr>
          <w:p w14:paraId="69E080C1">
            <w:pPr>
              <w:spacing w:line="400" w:lineRule="exact"/>
              <w:ind w:firstLine="420" w:firstLineChars="200"/>
              <w:rPr>
                <w:rFonts w:ascii="宋体" w:hAnsi="宋体"/>
                <w:szCs w:val="21"/>
              </w:rPr>
            </w:pPr>
            <w:r>
              <w:rPr>
                <w:rFonts w:hint="eastAsia" w:ascii="宋体" w:hAnsi="宋体"/>
                <w:szCs w:val="21"/>
              </w:rPr>
              <w:t>A-22投标有效期符合第二章“</w:t>
            </w:r>
            <w:r>
              <w:rPr>
                <w:rFonts w:hint="eastAsia" w:ascii="宋体" w:hAnsi="宋体"/>
                <w:szCs w:val="21"/>
                <w:lang w:eastAsia="zh-CN"/>
              </w:rPr>
              <w:t>竞选人</w:t>
            </w:r>
            <w:r>
              <w:rPr>
                <w:rFonts w:hint="eastAsia" w:ascii="宋体" w:hAnsi="宋体"/>
                <w:szCs w:val="21"/>
              </w:rPr>
              <w:t>须知”第3.3.1项规定，否则由评标委员会作否决投标处理。</w:t>
            </w:r>
          </w:p>
        </w:tc>
      </w:tr>
      <w:tr w14:paraId="345718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D21392">
            <w:pPr>
              <w:spacing w:line="400" w:lineRule="exact"/>
              <w:jc w:val="center"/>
              <w:rPr>
                <w:rFonts w:ascii="宋体" w:hAnsi="宋体"/>
                <w:szCs w:val="21"/>
              </w:rPr>
            </w:pPr>
          </w:p>
        </w:tc>
        <w:tc>
          <w:tcPr>
            <w:tcW w:w="1899" w:type="dxa"/>
            <w:vMerge w:val="continue"/>
            <w:vAlign w:val="center"/>
          </w:tcPr>
          <w:p w14:paraId="5198B165">
            <w:pPr>
              <w:spacing w:line="400" w:lineRule="exact"/>
              <w:jc w:val="center"/>
              <w:rPr>
                <w:rFonts w:ascii="宋体" w:hAnsi="宋体"/>
                <w:szCs w:val="21"/>
              </w:rPr>
            </w:pPr>
          </w:p>
        </w:tc>
        <w:tc>
          <w:tcPr>
            <w:tcW w:w="6333" w:type="dxa"/>
            <w:vAlign w:val="center"/>
          </w:tcPr>
          <w:p w14:paraId="3134B43D">
            <w:pPr>
              <w:spacing w:line="400" w:lineRule="exact"/>
              <w:ind w:firstLine="420" w:firstLineChars="200"/>
              <w:rPr>
                <w:rFonts w:ascii="宋体" w:hAnsi="宋体"/>
                <w:szCs w:val="21"/>
              </w:rPr>
            </w:pPr>
            <w:r>
              <w:rPr>
                <w:rFonts w:hint="eastAsia" w:ascii="宋体" w:hAnsi="宋体"/>
                <w:szCs w:val="21"/>
              </w:rPr>
              <w:t>A-23</w:t>
            </w:r>
            <w:r>
              <w:rPr>
                <w:rFonts w:hint="eastAsia" w:ascii="宋体" w:hAnsi="宋体"/>
                <w:szCs w:val="21"/>
                <w:lang w:eastAsia="zh-CN"/>
              </w:rPr>
              <w:t>竞选人</w:t>
            </w:r>
            <w:r>
              <w:rPr>
                <w:rFonts w:ascii="宋体" w:hAnsi="宋体"/>
                <w:szCs w:val="21"/>
              </w:rPr>
              <w:t>应按</w:t>
            </w:r>
            <w:r>
              <w:rPr>
                <w:rFonts w:hint="eastAsia" w:ascii="宋体" w:hAnsi="宋体"/>
                <w:szCs w:val="21"/>
                <w:lang w:eastAsia="zh-CN"/>
              </w:rPr>
              <w:t>竞选人</w:t>
            </w:r>
            <w:r>
              <w:rPr>
                <w:rFonts w:ascii="宋体" w:hAnsi="宋体"/>
                <w:szCs w:val="21"/>
              </w:rPr>
              <w:t>须知前附表</w:t>
            </w:r>
            <w:r>
              <w:rPr>
                <w:rFonts w:hint="eastAsia" w:ascii="宋体" w:hAnsi="宋体"/>
                <w:szCs w:val="21"/>
              </w:rPr>
              <w:t>第3.4款的</w:t>
            </w:r>
            <w:r>
              <w:rPr>
                <w:rFonts w:ascii="宋体" w:hAnsi="宋体"/>
                <w:szCs w:val="21"/>
              </w:rPr>
              <w:t>规定递交投标保证金，并作为其</w:t>
            </w:r>
            <w:r>
              <w:rPr>
                <w:rFonts w:hint="eastAsia" w:ascii="宋体" w:hAnsi="宋体"/>
                <w:szCs w:val="21"/>
                <w:lang w:eastAsia="zh-CN"/>
              </w:rPr>
              <w:t>竞选文件</w:t>
            </w:r>
            <w:r>
              <w:rPr>
                <w:rFonts w:ascii="宋体" w:hAnsi="宋体"/>
                <w:szCs w:val="21"/>
              </w:rPr>
              <w:t>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7BE61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D36BC12">
            <w:pPr>
              <w:spacing w:line="400" w:lineRule="exact"/>
              <w:jc w:val="center"/>
              <w:rPr>
                <w:rFonts w:ascii="宋体" w:hAnsi="宋体"/>
                <w:szCs w:val="21"/>
              </w:rPr>
            </w:pPr>
          </w:p>
        </w:tc>
        <w:tc>
          <w:tcPr>
            <w:tcW w:w="1899" w:type="dxa"/>
            <w:vMerge w:val="continue"/>
            <w:vAlign w:val="center"/>
          </w:tcPr>
          <w:p w14:paraId="27B47165">
            <w:pPr>
              <w:spacing w:line="400" w:lineRule="exact"/>
              <w:jc w:val="center"/>
              <w:rPr>
                <w:rFonts w:ascii="宋体" w:hAnsi="宋体"/>
                <w:szCs w:val="21"/>
              </w:rPr>
            </w:pPr>
          </w:p>
        </w:tc>
        <w:tc>
          <w:tcPr>
            <w:tcW w:w="6333" w:type="dxa"/>
            <w:vAlign w:val="center"/>
          </w:tcPr>
          <w:p w14:paraId="01ECA4B4">
            <w:pPr>
              <w:spacing w:line="400" w:lineRule="exact"/>
              <w:ind w:firstLine="420" w:firstLineChars="200"/>
              <w:rPr>
                <w:rFonts w:ascii="宋体" w:hAnsi="宋体"/>
                <w:szCs w:val="21"/>
              </w:rPr>
            </w:pPr>
            <w:r>
              <w:rPr>
                <w:rFonts w:hint="eastAsia" w:ascii="宋体" w:hAnsi="宋体"/>
                <w:szCs w:val="21"/>
              </w:rPr>
              <w:t>A-24符合第四章“合同条款及格式”规定，</w:t>
            </w:r>
            <w:r>
              <w:rPr>
                <w:rFonts w:hint="eastAsia" w:ascii="宋体" w:hAnsi="宋体"/>
                <w:szCs w:val="21"/>
                <w:lang w:eastAsia="zh-CN"/>
              </w:rPr>
              <w:t>竞选文件</w:t>
            </w:r>
            <w:r>
              <w:rPr>
                <w:rFonts w:hint="eastAsia" w:ascii="宋体" w:hAnsi="宋体"/>
                <w:szCs w:val="21"/>
              </w:rPr>
              <w:t>不应附有</w:t>
            </w:r>
            <w:r>
              <w:rPr>
                <w:rFonts w:hint="eastAsia" w:ascii="宋体" w:hAnsi="宋体"/>
                <w:szCs w:val="21"/>
                <w:lang w:eastAsia="zh-CN"/>
              </w:rPr>
              <w:t>比选人</w:t>
            </w:r>
            <w:r>
              <w:rPr>
                <w:rFonts w:hint="eastAsia" w:ascii="宋体" w:hAnsi="宋体"/>
                <w:szCs w:val="21"/>
              </w:rPr>
              <w:t>不能接受的条件，否则由评标委员会作否决投标处理。（由</w:t>
            </w:r>
            <w:r>
              <w:rPr>
                <w:rFonts w:hint="eastAsia" w:ascii="宋体" w:hAnsi="宋体"/>
                <w:szCs w:val="21"/>
                <w:lang w:eastAsia="zh-CN"/>
              </w:rPr>
              <w:t>竞选人</w:t>
            </w:r>
            <w:r>
              <w:rPr>
                <w:rFonts w:hint="eastAsia" w:ascii="宋体" w:hAnsi="宋体"/>
                <w:szCs w:val="21"/>
              </w:rPr>
              <w:t>承诺，承诺书格式详见第八章</w:t>
            </w:r>
            <w:r>
              <w:rPr>
                <w:rFonts w:hint="eastAsia" w:ascii="宋体" w:hAnsi="宋体"/>
                <w:szCs w:val="21"/>
                <w:lang w:eastAsia="zh-CN"/>
              </w:rPr>
              <w:t>竞选文件</w:t>
            </w:r>
            <w:r>
              <w:rPr>
                <w:rFonts w:hint="eastAsia" w:ascii="宋体" w:hAnsi="宋体"/>
                <w:szCs w:val="21"/>
              </w:rPr>
              <w:t>格式。）</w:t>
            </w:r>
          </w:p>
        </w:tc>
      </w:tr>
      <w:tr w14:paraId="0A8F2F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59BBF0">
            <w:pPr>
              <w:spacing w:line="400" w:lineRule="exact"/>
              <w:jc w:val="center"/>
              <w:rPr>
                <w:rFonts w:ascii="宋体" w:hAnsi="宋体"/>
                <w:szCs w:val="21"/>
              </w:rPr>
            </w:pPr>
          </w:p>
        </w:tc>
        <w:tc>
          <w:tcPr>
            <w:tcW w:w="1899" w:type="dxa"/>
            <w:vMerge w:val="continue"/>
            <w:vAlign w:val="center"/>
          </w:tcPr>
          <w:p w14:paraId="191FCF9B">
            <w:pPr>
              <w:spacing w:line="400" w:lineRule="exact"/>
              <w:jc w:val="center"/>
              <w:rPr>
                <w:rFonts w:ascii="宋体" w:hAnsi="宋体"/>
                <w:szCs w:val="21"/>
              </w:rPr>
            </w:pPr>
          </w:p>
        </w:tc>
        <w:tc>
          <w:tcPr>
            <w:tcW w:w="6333" w:type="dxa"/>
            <w:vAlign w:val="center"/>
          </w:tcPr>
          <w:p w14:paraId="7B858832">
            <w:pPr>
              <w:spacing w:line="400" w:lineRule="exact"/>
              <w:ind w:firstLine="420" w:firstLineChars="200"/>
              <w:rPr>
                <w:rFonts w:ascii="宋体" w:hAnsi="宋体"/>
                <w:szCs w:val="21"/>
              </w:rPr>
            </w:pPr>
            <w:r>
              <w:rPr>
                <w:rFonts w:hint="eastAsia" w:ascii="宋体" w:hAnsi="宋体"/>
                <w:szCs w:val="21"/>
              </w:rPr>
              <w:t>A-25符合第七章“技术标准和要求”规定。否则由评标委员会作否决投标处理（如有）。（由</w:t>
            </w:r>
            <w:r>
              <w:rPr>
                <w:rFonts w:hint="eastAsia" w:ascii="宋体" w:hAnsi="宋体"/>
                <w:szCs w:val="21"/>
                <w:lang w:eastAsia="zh-CN"/>
              </w:rPr>
              <w:t>竞选人</w:t>
            </w:r>
            <w:r>
              <w:rPr>
                <w:rFonts w:hint="eastAsia" w:ascii="宋体" w:hAnsi="宋体"/>
                <w:szCs w:val="21"/>
              </w:rPr>
              <w:t>承诺，承诺书格式详见第八章</w:t>
            </w:r>
            <w:r>
              <w:rPr>
                <w:rFonts w:hint="eastAsia" w:ascii="宋体" w:hAnsi="宋体"/>
                <w:szCs w:val="21"/>
                <w:lang w:eastAsia="zh-CN"/>
              </w:rPr>
              <w:t>竞选文件</w:t>
            </w:r>
            <w:r>
              <w:rPr>
                <w:rFonts w:hint="eastAsia" w:ascii="宋体" w:hAnsi="宋体"/>
                <w:szCs w:val="21"/>
              </w:rPr>
              <w:t>格式。）</w:t>
            </w:r>
          </w:p>
        </w:tc>
      </w:tr>
      <w:tr w14:paraId="65E9CB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983717">
            <w:pPr>
              <w:spacing w:line="400" w:lineRule="exact"/>
              <w:jc w:val="center"/>
              <w:rPr>
                <w:rFonts w:ascii="宋体" w:hAnsi="宋体"/>
                <w:szCs w:val="21"/>
              </w:rPr>
            </w:pPr>
          </w:p>
        </w:tc>
        <w:tc>
          <w:tcPr>
            <w:tcW w:w="1899" w:type="dxa"/>
            <w:vMerge w:val="continue"/>
            <w:vAlign w:val="center"/>
          </w:tcPr>
          <w:p w14:paraId="0A9938CD">
            <w:pPr>
              <w:spacing w:line="400" w:lineRule="exact"/>
              <w:jc w:val="center"/>
              <w:rPr>
                <w:rFonts w:ascii="宋体" w:hAnsi="宋体"/>
                <w:szCs w:val="21"/>
              </w:rPr>
            </w:pPr>
          </w:p>
        </w:tc>
        <w:tc>
          <w:tcPr>
            <w:tcW w:w="6333" w:type="dxa"/>
            <w:vAlign w:val="center"/>
          </w:tcPr>
          <w:p w14:paraId="2B97293E">
            <w:pPr>
              <w:spacing w:line="400" w:lineRule="exact"/>
              <w:ind w:firstLine="420" w:firstLineChars="200"/>
              <w:rPr>
                <w:rFonts w:ascii="宋体" w:hAnsi="宋体"/>
                <w:szCs w:val="21"/>
              </w:rPr>
            </w:pPr>
            <w:r>
              <w:rPr>
                <w:rFonts w:hint="eastAsia" w:ascii="宋体" w:hAnsi="宋体"/>
                <w:szCs w:val="21"/>
              </w:rPr>
              <w:t>A-26</w:t>
            </w:r>
            <w:r>
              <w:rPr>
                <w:rFonts w:hint="eastAsia" w:ascii="宋体" w:hAnsi="宋体"/>
                <w:szCs w:val="21"/>
                <w:lang w:eastAsia="zh-CN"/>
              </w:rPr>
              <w:t>竞选人</w:t>
            </w:r>
            <w:r>
              <w:rPr>
                <w:rFonts w:hint="eastAsia" w:ascii="宋体" w:hAnsi="宋体"/>
                <w:szCs w:val="21"/>
              </w:rPr>
              <w:t>提供的关于已标价工程量清单的承诺符合招标文件的要求，</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23C1A4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F8318D">
            <w:pPr>
              <w:spacing w:line="400" w:lineRule="exact"/>
              <w:jc w:val="center"/>
              <w:rPr>
                <w:rFonts w:ascii="宋体" w:hAnsi="宋体"/>
                <w:szCs w:val="21"/>
              </w:rPr>
            </w:pPr>
          </w:p>
        </w:tc>
        <w:tc>
          <w:tcPr>
            <w:tcW w:w="1899" w:type="dxa"/>
            <w:vMerge w:val="continue"/>
            <w:vAlign w:val="center"/>
          </w:tcPr>
          <w:p w14:paraId="397D7997">
            <w:pPr>
              <w:spacing w:line="400" w:lineRule="exact"/>
              <w:jc w:val="center"/>
              <w:rPr>
                <w:rFonts w:ascii="宋体" w:hAnsi="宋体"/>
                <w:szCs w:val="21"/>
              </w:rPr>
            </w:pPr>
          </w:p>
        </w:tc>
        <w:tc>
          <w:tcPr>
            <w:tcW w:w="6333" w:type="dxa"/>
            <w:vAlign w:val="center"/>
          </w:tcPr>
          <w:p w14:paraId="3D24DDDF">
            <w:pPr>
              <w:spacing w:line="400" w:lineRule="exact"/>
              <w:ind w:firstLine="420" w:firstLineChars="200"/>
              <w:rPr>
                <w:rFonts w:ascii="宋体" w:hAnsi="宋体"/>
                <w:szCs w:val="21"/>
              </w:rPr>
            </w:pPr>
            <w:r>
              <w:rPr>
                <w:rFonts w:hint="eastAsia" w:ascii="宋体" w:hAnsi="宋体"/>
                <w:szCs w:val="21"/>
              </w:rPr>
              <w:t>A-27投标报价有算术错误的，按照第三章“评标办法”第3.1.3项规定执行，否则由评标委员会作否决投标处理</w:t>
            </w:r>
            <w:r>
              <w:rPr>
                <w:rFonts w:ascii="宋体" w:hAnsi="宋体"/>
                <w:szCs w:val="21"/>
              </w:rPr>
              <w:t>。</w:t>
            </w:r>
          </w:p>
        </w:tc>
      </w:tr>
      <w:tr w14:paraId="22CB16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2E3444A">
            <w:pPr>
              <w:spacing w:line="400" w:lineRule="exact"/>
              <w:jc w:val="center"/>
              <w:rPr>
                <w:rFonts w:ascii="宋体" w:hAnsi="宋体"/>
                <w:szCs w:val="21"/>
              </w:rPr>
            </w:pPr>
          </w:p>
        </w:tc>
        <w:tc>
          <w:tcPr>
            <w:tcW w:w="1899" w:type="dxa"/>
            <w:vMerge w:val="continue"/>
            <w:vAlign w:val="center"/>
          </w:tcPr>
          <w:p w14:paraId="5CE66961">
            <w:pPr>
              <w:spacing w:line="400" w:lineRule="exact"/>
              <w:jc w:val="center"/>
              <w:rPr>
                <w:rFonts w:ascii="宋体" w:hAnsi="宋体"/>
                <w:szCs w:val="21"/>
              </w:rPr>
            </w:pPr>
          </w:p>
        </w:tc>
        <w:tc>
          <w:tcPr>
            <w:tcW w:w="6333" w:type="dxa"/>
            <w:vAlign w:val="center"/>
          </w:tcPr>
          <w:p w14:paraId="4EDA5AAA">
            <w:pPr>
              <w:spacing w:line="400" w:lineRule="exact"/>
              <w:ind w:firstLine="420" w:firstLineChars="200"/>
              <w:rPr>
                <w:rFonts w:ascii="宋体" w:hAnsi="宋体"/>
                <w:szCs w:val="21"/>
              </w:rPr>
            </w:pPr>
            <w:r>
              <w:rPr>
                <w:rFonts w:hint="eastAsia" w:ascii="宋体" w:hAnsi="宋体"/>
                <w:szCs w:val="21"/>
              </w:rPr>
              <w:t>A-28</w:t>
            </w:r>
            <w:r>
              <w:rPr>
                <w:rFonts w:hint="eastAsia" w:ascii="宋体" w:hAnsi="宋体"/>
                <w:szCs w:val="21"/>
                <w:lang w:eastAsia="zh-CN"/>
              </w:rPr>
              <w:t>竞选人</w:t>
            </w:r>
            <w:r>
              <w:rPr>
                <w:rFonts w:hint="eastAsia" w:ascii="宋体" w:hAnsi="宋体"/>
                <w:szCs w:val="21"/>
              </w:rPr>
              <w:t>有以下情形之一的，其</w:t>
            </w:r>
            <w:r>
              <w:rPr>
                <w:rFonts w:hint="eastAsia" w:ascii="宋体" w:hAnsi="宋体"/>
                <w:szCs w:val="21"/>
                <w:lang w:eastAsia="zh-CN"/>
              </w:rPr>
              <w:t>竞选文件</w:t>
            </w:r>
            <w:r>
              <w:rPr>
                <w:rFonts w:hint="eastAsia" w:ascii="宋体" w:hAnsi="宋体"/>
                <w:szCs w:val="21"/>
              </w:rPr>
              <w:t>由评标委员会</w:t>
            </w:r>
            <w:r>
              <w:rPr>
                <w:rFonts w:ascii="宋体" w:hAnsi="宋体"/>
                <w:szCs w:val="21"/>
              </w:rPr>
              <w:t>作否决投标处理</w:t>
            </w:r>
            <w:r>
              <w:rPr>
                <w:rFonts w:hint="eastAsia" w:ascii="宋体" w:hAnsi="宋体"/>
                <w:szCs w:val="21"/>
              </w:rPr>
              <w:t>：</w:t>
            </w:r>
          </w:p>
          <w:p w14:paraId="3FEA532E">
            <w:pPr>
              <w:spacing w:line="400" w:lineRule="exact"/>
              <w:ind w:firstLine="420" w:firstLineChars="200"/>
              <w:rPr>
                <w:rFonts w:ascii="宋体" w:hAnsi="宋体"/>
                <w:szCs w:val="21"/>
              </w:rPr>
            </w:pPr>
            <w:r>
              <w:rPr>
                <w:rFonts w:hint="eastAsia" w:ascii="宋体" w:hAnsi="宋体"/>
                <w:szCs w:val="21"/>
              </w:rPr>
              <w:t>1.第二章“</w:t>
            </w:r>
            <w:r>
              <w:rPr>
                <w:rFonts w:hint="eastAsia" w:ascii="宋体" w:hAnsi="宋体"/>
                <w:szCs w:val="21"/>
                <w:lang w:eastAsia="zh-CN"/>
              </w:rPr>
              <w:t>竞选人</w:t>
            </w:r>
            <w:r>
              <w:rPr>
                <w:rFonts w:hint="eastAsia" w:ascii="宋体" w:hAnsi="宋体"/>
                <w:szCs w:val="21"/>
              </w:rPr>
              <w:t>须知”第1.4.3项规定的任何一种情形的；</w:t>
            </w:r>
          </w:p>
          <w:p w14:paraId="173E7258">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0BE0B0B4">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bl>
    <w:p w14:paraId="6CD92015">
      <w:pPr>
        <w:autoSpaceDE w:val="0"/>
        <w:autoSpaceDN w:val="0"/>
        <w:adjustRightInd w:val="0"/>
        <w:snapToGrid w:val="0"/>
        <w:spacing w:line="360" w:lineRule="auto"/>
        <w:jc w:val="left"/>
        <w:rPr>
          <w:rFonts w:ascii="宋体" w:hAnsi="宋体"/>
          <w:b/>
          <w:color w:val="auto"/>
          <w:kern w:val="0"/>
          <w:sz w:val="20"/>
          <w:szCs w:val="20"/>
          <w:highlight w:val="none"/>
        </w:rPr>
      </w:pPr>
    </w:p>
    <w:p w14:paraId="60EC50DC">
      <w:pPr>
        <w:autoSpaceDE w:val="0"/>
        <w:autoSpaceDN w:val="0"/>
        <w:adjustRightInd w:val="0"/>
        <w:snapToGrid w:val="0"/>
        <w:spacing w:before="340" w:after="330" w:line="360" w:lineRule="auto"/>
        <w:jc w:val="left"/>
        <w:rPr>
          <w:rFonts w:ascii="宋体" w:hAnsi="宋体"/>
          <w:color w:val="auto"/>
          <w:kern w:val="0"/>
          <w:szCs w:val="21"/>
          <w:highlight w:val="none"/>
        </w:rPr>
      </w:pPr>
      <w:r>
        <w:rPr>
          <w:rFonts w:ascii="宋体" w:hAnsi="宋体"/>
          <w:color w:val="auto"/>
          <w:kern w:val="0"/>
          <w:highlight w:val="none"/>
        </w:rPr>
        <w:br w:type="page"/>
      </w:r>
      <w:bookmarkStart w:id="656" w:name="_Toc296890982"/>
      <w:bookmarkStart w:id="657" w:name="_Toc296503025"/>
      <w:bookmarkStart w:id="658" w:name="_Toc351203480"/>
    </w:p>
    <w:p w14:paraId="71A7144B">
      <w:pPr>
        <w:pStyle w:val="3"/>
        <w:spacing w:line="360" w:lineRule="auto"/>
        <w:ind w:firstLine="883" w:firstLineChars="200"/>
        <w:jc w:val="center"/>
        <w:rPr>
          <w:rFonts w:ascii="宋体" w:hAnsi="宋体" w:eastAsia="宋体" w:cs="Times New Roman"/>
          <w:color w:val="auto"/>
          <w:highlight w:val="none"/>
        </w:rPr>
      </w:pPr>
      <w:bookmarkStart w:id="659" w:name="_Toc430530509"/>
      <w:bookmarkStart w:id="660" w:name="_Toc509218785"/>
      <w:bookmarkStart w:id="661" w:name="_Toc31942"/>
      <w:r>
        <w:rPr>
          <w:rFonts w:hint="eastAsia" w:ascii="宋体" w:hAnsi="宋体" w:eastAsia="宋体" w:cs="Times New Roman"/>
          <w:color w:val="auto"/>
          <w:highlight w:val="none"/>
        </w:rPr>
        <w:t>第四章  合同条款及格式</w:t>
      </w:r>
      <w:bookmarkEnd w:id="659"/>
      <w:bookmarkEnd w:id="660"/>
      <w:bookmarkEnd w:id="661"/>
    </w:p>
    <w:p w14:paraId="178047D0">
      <w:pPr>
        <w:spacing w:after="0" w:afterAutospacing="0" w:line="360" w:lineRule="auto"/>
        <w:jc w:val="center"/>
        <w:rPr>
          <w:rFonts w:hint="eastAsia" w:ascii="宋体" w:hAnsi="宋体" w:eastAsia="宋体" w:cs="宋体"/>
          <w:color w:val="auto"/>
          <w:sz w:val="44"/>
          <w:szCs w:val="44"/>
          <w:highlight w:val="none"/>
        </w:rPr>
      </w:pPr>
      <w:r>
        <w:rPr>
          <w:rFonts w:ascii="宋体" w:hAnsi="宋体"/>
          <w:color w:val="auto"/>
          <w:szCs w:val="21"/>
          <w:highlight w:val="none"/>
        </w:rPr>
        <w:br w:type="page"/>
      </w:r>
      <w:r>
        <w:rPr>
          <w:rFonts w:hint="eastAsia" w:ascii="宋体" w:hAnsi="宋体" w:eastAsia="宋体" w:cs="宋体"/>
          <w:color w:val="auto"/>
          <w:sz w:val="44"/>
          <w:szCs w:val="44"/>
          <w:highlight w:val="none"/>
        </w:rPr>
        <w:t>第一部分 合同协议书</w:t>
      </w:r>
    </w:p>
    <w:p w14:paraId="509EAE48">
      <w:pPr>
        <w:pStyle w:val="138"/>
        <w:snapToGrid w:val="0"/>
        <w:spacing w:before="0" w:after="0" w:afterAutospacing="0" w:line="360" w:lineRule="auto"/>
        <w:ind w:firstLine="562" w:firstLineChars="200"/>
        <w:rPr>
          <w:rFonts w:hint="eastAsia" w:ascii="宋体" w:hAnsi="宋体" w:eastAsia="宋体" w:cs="宋体"/>
          <w:color w:val="auto"/>
          <w:highlight w:val="none"/>
        </w:rPr>
      </w:pPr>
    </w:p>
    <w:p w14:paraId="6B348390">
      <w:pPr>
        <w:spacing w:after="0" w:afterAutospacing="0" w:line="360" w:lineRule="auto"/>
        <w:ind w:firstLine="420" w:firstLineChars="200"/>
        <w:rPr>
          <w:rFonts w:hint="eastAsia" w:ascii="宋体" w:hAnsi="宋体" w:eastAsia="宋体" w:cs="宋体"/>
          <w:bCs/>
          <w:i/>
          <w:color w:val="auto"/>
          <w:szCs w:val="21"/>
          <w:highlight w:val="none"/>
        </w:rPr>
      </w:pPr>
      <w:r>
        <w:rPr>
          <w:rFonts w:hint="eastAsia" w:ascii="宋体" w:hAnsi="宋体" w:eastAsia="宋体" w:cs="宋体"/>
          <w:bCs/>
          <w:i/>
          <w:color w:val="auto"/>
          <w:szCs w:val="21"/>
          <w:highlight w:val="none"/>
        </w:rPr>
        <w:t>[提示：合同协议书为示范性内容，</w:t>
      </w:r>
      <w:r>
        <w:rPr>
          <w:rFonts w:hint="eastAsia" w:ascii="宋体" w:hAnsi="宋体" w:cs="宋体"/>
          <w:bCs/>
          <w:i/>
          <w:color w:val="auto"/>
          <w:szCs w:val="21"/>
          <w:highlight w:val="none"/>
          <w:lang w:eastAsia="zh-CN"/>
        </w:rPr>
        <w:t>比选人</w:t>
      </w:r>
      <w:r>
        <w:rPr>
          <w:rFonts w:hint="eastAsia" w:ascii="宋体" w:hAnsi="宋体" w:eastAsia="宋体" w:cs="宋体"/>
          <w:bCs/>
          <w:i/>
          <w:color w:val="auto"/>
          <w:szCs w:val="21"/>
          <w:highlight w:val="none"/>
        </w:rPr>
        <w:t>在编制招标文件时不必填写，供中标后签订合同时填写。]</w:t>
      </w:r>
    </w:p>
    <w:p w14:paraId="5D04B790">
      <w:pPr>
        <w:spacing w:after="0" w:afterAutospacing="0"/>
        <w:rPr>
          <w:rFonts w:hint="eastAsia" w:ascii="宋体" w:hAnsi="宋体" w:eastAsia="宋体" w:cs="宋体"/>
          <w:b/>
          <w:color w:val="auto"/>
          <w:highlight w:val="none"/>
        </w:rPr>
      </w:pPr>
      <w:r>
        <w:rPr>
          <w:rFonts w:hint="eastAsia" w:ascii="宋体" w:hAnsi="宋体" w:eastAsia="宋体" w:cs="宋体"/>
          <w:color w:val="auto"/>
          <w:kern w:val="2"/>
          <w:sz w:val="21"/>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2"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3B142643"/>
                        </w:txbxContent>
                      </wps:txbx>
                      <wps:bodyPr upright="1"/>
                    </wps:wsp>
                  </a:graphicData>
                </a:graphic>
              </wp:anchor>
            </w:drawing>
          </mc:Choice>
          <mc:Fallback>
            <w:pict>
              <v:rect id="矩形 130" o:spid="_x0000_s1026" o:spt="1" style="position:absolute;left:0pt;margin-left:211.9pt;margin-top:686.4pt;height:54.6pt;width:63.6pt;z-index:251660288;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PXnd9kAAAANAQAADwAAAAAAAAABACAAAAAiAAAAZHJzL2Rvd25yZXYueG1sUEsBAhQAFAAA&#10;AAgAh07iQL0F3G+1AQAAawMAAA4AAAAAAAAAAQAgAAAAKAEAAGRycy9lMm9Eb2MueG1sUEsFBgAA&#10;AAAGAAYAWQEAAE8FAAAAAA==&#10;">
                <v:fill on="t" focussize="0,0"/>
                <v:stroke on="f"/>
                <v:imagedata o:title=""/>
                <o:lock v:ext="edit" aspectratio="f"/>
                <v:textbox>
                  <w:txbxContent>
                    <w:p w14:paraId="3B142643"/>
                  </w:txbxContent>
                </v:textbox>
              </v:rect>
            </w:pict>
          </mc:Fallback>
        </mc:AlternateContent>
      </w:r>
      <w:r>
        <w:rPr>
          <w:rFonts w:hint="eastAsia" w:ascii="宋体" w:hAnsi="宋体" w:eastAsia="宋体" w:cs="宋体"/>
          <w:color w:val="auto"/>
          <w:highlight w:val="none"/>
        </w:rPr>
        <w:br w:type="page"/>
      </w:r>
    </w:p>
    <w:p w14:paraId="353BE66C">
      <w:pPr>
        <w:pStyle w:val="5"/>
        <w:wordWrap/>
        <w:spacing w:before="0" w:beforeAutospacing="0" w:after="0" w:afterAutospacing="0"/>
        <w:jc w:val="center"/>
        <w:textAlignment w:val="auto"/>
        <w:rPr>
          <w:rFonts w:hint="eastAsia" w:ascii="宋体" w:hAnsi="宋体" w:eastAsia="宋体" w:cs="宋体"/>
          <w:b/>
          <w:color w:val="auto"/>
          <w:sz w:val="44"/>
          <w:szCs w:val="44"/>
          <w:highlight w:val="none"/>
        </w:rPr>
      </w:pPr>
      <w:bookmarkStart w:id="662" w:name="_Toc534185765"/>
      <w:bookmarkStart w:id="663" w:name="_Toc9884"/>
      <w:bookmarkStart w:id="664" w:name="_Toc20318"/>
      <w:bookmarkStart w:id="665" w:name="_Toc509218786"/>
      <w:bookmarkStart w:id="666" w:name="_Toc351203494"/>
      <w:r>
        <w:rPr>
          <w:rFonts w:hint="eastAsia" w:ascii="宋体" w:hAnsi="宋体" w:eastAsia="宋体" w:cs="宋体"/>
          <w:color w:val="auto"/>
          <w:sz w:val="44"/>
          <w:szCs w:val="44"/>
          <w:highlight w:val="none"/>
        </w:rPr>
        <w:t>第一部分 合同协议书</w:t>
      </w:r>
      <w:bookmarkEnd w:id="662"/>
      <w:bookmarkEnd w:id="663"/>
      <w:bookmarkEnd w:id="664"/>
      <w:bookmarkEnd w:id="665"/>
    </w:p>
    <w:bookmarkEnd w:id="666"/>
    <w:p w14:paraId="471E78D3">
      <w:pPr>
        <w:wordWrap/>
        <w:snapToGrid w:val="0"/>
        <w:spacing w:beforeAutospacing="0" w:after="0" w:afterAutospacing="0" w:line="600" w:lineRule="exact"/>
        <w:ind w:firstLine="480" w:firstLineChars="200"/>
        <w:textAlignment w:val="auto"/>
        <w:rPr>
          <w:rFonts w:hint="eastAsia" w:ascii="宋体" w:hAnsi="宋体" w:eastAsia="宋体" w:cs="宋体"/>
          <w:color w:val="auto"/>
          <w:sz w:val="24"/>
          <w:highlight w:val="none"/>
        </w:rPr>
      </w:pPr>
      <w:bookmarkStart w:id="667" w:name="_Toc351203632"/>
    </w:p>
    <w:p w14:paraId="65D88B03">
      <w:pPr>
        <w:wordWrap/>
        <w:snapToGrid w:val="0"/>
        <w:spacing w:beforeAutospacing="0" w:after="0" w:afterAutospacing="0" w:line="360" w:lineRule="auto"/>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23755766">
      <w:pPr>
        <w:wordWrap/>
        <w:snapToGrid w:val="0"/>
        <w:spacing w:beforeAutospacing="0" w:after="0" w:afterAutospacing="0" w:line="360" w:lineRule="auto"/>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1318F432">
      <w:pPr>
        <w:wordWrap/>
        <w:spacing w:beforeAutospacing="0" w:after="0" w:afterAutospacing="0" w:line="360" w:lineRule="auto"/>
        <w:ind w:firstLine="420"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根据《中华人民共和国民法典》、《中华人民共和国建筑法》及有关法律、法规规定，遵循平等、自愿、公平和诚实信用的原则，双方就</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工程施工及有关事项协商一致，共同达成如下协议：</w:t>
      </w:r>
    </w:p>
    <w:p w14:paraId="4FEB6DD2">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68" w:name="_Toc532375573"/>
      <w:bookmarkStart w:id="669" w:name="_Toc351203481"/>
      <w:bookmarkStart w:id="670" w:name="_Toc532377166"/>
      <w:r>
        <w:rPr>
          <w:rFonts w:hint="eastAsia" w:ascii="宋体" w:hAnsi="宋体" w:eastAsia="宋体" w:cs="宋体"/>
          <w:color w:val="auto"/>
          <w:sz w:val="21"/>
          <w:szCs w:val="21"/>
          <w:highlight w:val="none"/>
        </w:rPr>
        <w:t>一、工程概况</w:t>
      </w:r>
      <w:bookmarkEnd w:id="668"/>
      <w:bookmarkEnd w:id="669"/>
      <w:bookmarkEnd w:id="670"/>
    </w:p>
    <w:p w14:paraId="51845876">
      <w:pPr>
        <w:wordWrap/>
        <w:snapToGrid w:val="0"/>
        <w:spacing w:beforeAutospacing="0" w:after="0" w:afterAutospacing="0"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1.工程名称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E070DB4">
      <w:pPr>
        <w:wordWrap/>
        <w:snapToGrid w:val="0"/>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006B1E9">
      <w:pPr>
        <w:wordWrap/>
        <w:snapToGrid w:val="0"/>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3.工程立项批准文号：</w:t>
      </w:r>
      <w:r>
        <w:rPr>
          <w:rFonts w:hint="eastAsia" w:ascii="宋体" w:hAnsi="宋体" w:eastAsia="宋体" w:cs="宋体"/>
          <w:color w:val="auto"/>
          <w:szCs w:val="21"/>
          <w:highlight w:val="none"/>
          <w:u w:val="single"/>
        </w:rPr>
        <w:t xml:space="preserve">                        </w:t>
      </w:r>
      <w:r>
        <w:rPr>
          <w:rFonts w:hint="eastAsia" w:ascii="宋体" w:hAnsi="宋体" w:eastAsia="宋体" w:cs="宋体"/>
          <w:bCs/>
          <w:color w:val="auto"/>
          <w:szCs w:val="21"/>
          <w:highlight w:val="none"/>
        </w:rPr>
        <w:t>。</w:t>
      </w:r>
    </w:p>
    <w:p w14:paraId="3EB17583">
      <w:pPr>
        <w:wordWrap/>
        <w:snapToGrid w:val="0"/>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ECC7DD7">
      <w:pPr>
        <w:wordWrap/>
        <w:snapToGrid w:val="0"/>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5.工程内容：</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00E1DE6">
      <w:pPr>
        <w:wordWrap/>
        <w:snapToGrid w:val="0"/>
        <w:spacing w:beforeAutospacing="0" w:after="0" w:afterAutospacing="0"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6.工程承包范围：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C0660F8">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71" w:name="_Toc532377167"/>
      <w:bookmarkStart w:id="672" w:name="_Toc351203482"/>
      <w:bookmarkStart w:id="673" w:name="_Toc532375574"/>
      <w:r>
        <w:rPr>
          <w:rFonts w:hint="eastAsia" w:ascii="宋体" w:hAnsi="宋体" w:eastAsia="宋体" w:cs="宋体"/>
          <w:color w:val="auto"/>
          <w:sz w:val="21"/>
          <w:szCs w:val="21"/>
          <w:highlight w:val="none"/>
        </w:rPr>
        <w:t>二、合同工期</w:t>
      </w:r>
      <w:bookmarkEnd w:id="671"/>
      <w:bookmarkEnd w:id="672"/>
      <w:bookmarkEnd w:id="673"/>
    </w:p>
    <w:p w14:paraId="40EACD24">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承包人投标函中承诺的工期：</w:t>
      </w:r>
      <w:r>
        <w:rPr>
          <w:rFonts w:hint="eastAsia" w:ascii="宋体" w:hAnsi="宋体" w:eastAsia="宋体" w:cs="宋体"/>
          <w:bCs/>
          <w:color w:val="auto"/>
          <w:szCs w:val="21"/>
          <w:highlight w:val="none"/>
          <w:u w:val="single"/>
        </w:rPr>
        <w:t>日历天</w:t>
      </w:r>
      <w:r>
        <w:rPr>
          <w:rFonts w:hint="eastAsia" w:ascii="宋体" w:hAnsi="宋体" w:eastAsia="宋体" w:cs="宋体"/>
          <w:bCs/>
          <w:color w:val="auto"/>
          <w:szCs w:val="21"/>
          <w:highlight w:val="none"/>
        </w:rPr>
        <w:t>。</w:t>
      </w:r>
    </w:p>
    <w:p w14:paraId="19348575">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计划开工日期：</w:t>
      </w:r>
      <w:r>
        <w:rPr>
          <w:rFonts w:hint="eastAsia" w:ascii="宋体" w:hAnsi="宋体" w:eastAsia="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日，实际开工日期以监理工程师签发的工程开工通知明确的开工日期为准。</w:t>
      </w:r>
    </w:p>
    <w:p w14:paraId="68B52EB5">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计划竣工日期：</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日，实际竣工日期以工程竣工验收合格之日为准。</w:t>
      </w:r>
    </w:p>
    <w:p w14:paraId="50F76E7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工期总日历天数</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rPr>
        <w:t>天。工期总日历天数与根据前述计划开竣工日期计算的工期天数不一</w:t>
      </w:r>
      <w:r>
        <w:rPr>
          <w:rFonts w:hint="eastAsia" w:ascii="宋体" w:hAnsi="宋体" w:eastAsia="宋体" w:cs="宋体"/>
          <w:color w:val="auto"/>
          <w:szCs w:val="21"/>
          <w:highlight w:val="none"/>
        </w:rPr>
        <w:t>致的，以工期总日历天数为准。</w:t>
      </w:r>
    </w:p>
    <w:p w14:paraId="21355B84">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74" w:name="_Toc532375575"/>
      <w:bookmarkStart w:id="675" w:name="_Toc532377168"/>
      <w:bookmarkStart w:id="676" w:name="_Toc351203483"/>
      <w:r>
        <w:rPr>
          <w:rFonts w:hint="eastAsia" w:ascii="宋体" w:hAnsi="宋体" w:eastAsia="宋体" w:cs="宋体"/>
          <w:color w:val="auto"/>
          <w:sz w:val="21"/>
          <w:szCs w:val="21"/>
          <w:highlight w:val="none"/>
        </w:rPr>
        <w:t>三、质量标准</w:t>
      </w:r>
      <w:bookmarkEnd w:id="674"/>
      <w:bookmarkEnd w:id="675"/>
      <w:bookmarkEnd w:id="676"/>
    </w:p>
    <w:p w14:paraId="0DD42D76">
      <w:pPr>
        <w:wordWrap/>
        <w:snapToGrid w:val="0"/>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工程质量符合强制性质量标准，</w:t>
      </w:r>
      <w:r>
        <w:rPr>
          <w:rFonts w:hint="eastAsia" w:ascii="宋体" w:hAnsi="宋体" w:eastAsia="宋体" w:cs="宋体"/>
          <w:color w:val="auto"/>
          <w:szCs w:val="21"/>
          <w:highlight w:val="none"/>
          <w:u w:val="single"/>
        </w:rPr>
        <w:t>符合国家和重庆市现行有关施工质量验收规范要求，并达到合格</w:t>
      </w:r>
      <w:r>
        <w:rPr>
          <w:rFonts w:hint="eastAsia" w:ascii="宋体" w:hAnsi="宋体" w:eastAsia="宋体" w:cs="宋体"/>
          <w:color w:val="auto"/>
          <w:szCs w:val="21"/>
          <w:highlight w:val="none"/>
        </w:rPr>
        <w:t>标准。</w:t>
      </w:r>
    </w:p>
    <w:p w14:paraId="71D96BD6">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77" w:name="_Toc532377169"/>
      <w:bookmarkStart w:id="678" w:name="_Toc532375576"/>
      <w:bookmarkStart w:id="679" w:name="_Toc351203484"/>
      <w:r>
        <w:rPr>
          <w:rFonts w:hint="eastAsia" w:ascii="宋体" w:hAnsi="宋体" w:eastAsia="宋体" w:cs="宋体"/>
          <w:color w:val="auto"/>
          <w:sz w:val="21"/>
          <w:szCs w:val="21"/>
          <w:highlight w:val="none"/>
        </w:rPr>
        <w:t>四、签约合同价与合同价格形式</w:t>
      </w:r>
      <w:bookmarkEnd w:id="677"/>
      <w:bookmarkEnd w:id="678"/>
      <w:bookmarkEnd w:id="679"/>
      <w:r>
        <w:rPr>
          <w:rFonts w:hint="eastAsia" w:ascii="宋体" w:hAnsi="宋体" w:eastAsia="宋体" w:cs="宋体"/>
          <w:color w:val="auto"/>
          <w:sz w:val="21"/>
          <w:szCs w:val="21"/>
          <w:highlight w:val="none"/>
        </w:rPr>
        <w:tab/>
      </w:r>
    </w:p>
    <w:p w14:paraId="7CD4CA4C">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1.承包人投标函中承诺的中标价为：</w:t>
      </w:r>
    </w:p>
    <w:p w14:paraId="2143DE00">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BB94718">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2.签约合同价为：</w:t>
      </w:r>
    </w:p>
    <w:p w14:paraId="155D1999">
      <w:pPr>
        <w:wordWrap/>
        <w:snapToGrid w:val="0"/>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34ABF504">
      <w:pPr>
        <w:wordWrap/>
        <w:snapToGrid w:val="0"/>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014DDBBB">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（1）安全文明施工费：</w:t>
      </w:r>
    </w:p>
    <w:p w14:paraId="24099D6F">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C726E1A">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（2）材料和工程设备暂估价金额：</w:t>
      </w:r>
    </w:p>
    <w:p w14:paraId="19B1293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33699879">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（3）专业工程暂估价金额：</w:t>
      </w:r>
    </w:p>
    <w:p w14:paraId="7EF02727">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4586BDF3">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（4）暂列金额：</w:t>
      </w:r>
    </w:p>
    <w:p w14:paraId="616BBA6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2D209FE2">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（5）人工费（工资款）</w:t>
      </w:r>
    </w:p>
    <w:p w14:paraId="7BF4E6E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该项目实行人工费（工资款）与其他工程款分账管理，发包人将应付工程款中的人工费（工资款），以不低于已完成合同价款的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，农民工工资单独支付至承包人设立的农民工工资专用账户。</w:t>
      </w:r>
    </w:p>
    <w:p w14:paraId="0F7FCB1F">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3.合同价格形式：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ACFE626">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80" w:name="_Toc351203485"/>
      <w:bookmarkStart w:id="681" w:name="_Toc532375577"/>
      <w:bookmarkStart w:id="682" w:name="_Toc532377170"/>
      <w:r>
        <w:rPr>
          <w:rFonts w:hint="eastAsia" w:ascii="宋体" w:hAnsi="宋体" w:eastAsia="宋体" w:cs="宋体"/>
          <w:color w:val="auto"/>
          <w:sz w:val="21"/>
          <w:szCs w:val="21"/>
          <w:highlight w:val="none"/>
        </w:rPr>
        <w:t>五、</w:t>
      </w:r>
      <w:bookmarkEnd w:id="680"/>
      <w:r>
        <w:rPr>
          <w:rFonts w:hint="eastAsia" w:ascii="宋体" w:hAnsi="宋体" w:eastAsia="宋体" w:cs="宋体"/>
          <w:color w:val="auto"/>
          <w:sz w:val="21"/>
          <w:szCs w:val="21"/>
          <w:highlight w:val="none"/>
        </w:rPr>
        <w:t>项目经理及技术负责人</w:t>
      </w:r>
      <w:bookmarkEnd w:id="681"/>
      <w:bookmarkEnd w:id="682"/>
    </w:p>
    <w:p w14:paraId="68C388CD">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承包人投标文件中承诺的项目经理：</w:t>
      </w:r>
    </w:p>
    <w:p w14:paraId="6C7F3D0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95D28D7">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5082F8F">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627DF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承包人投标文件中承诺的技术负责人：</w:t>
      </w:r>
    </w:p>
    <w:p w14:paraId="64F6F857">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DFC271">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6594D50">
      <w:pPr>
        <w:pStyle w:val="2"/>
        <w:wordWrap/>
        <w:spacing w:beforeAutospacing="0" w:after="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证书名称及号码：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BAC80B8">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83" w:name="_Toc351203486"/>
      <w:bookmarkStart w:id="684" w:name="_Toc532377171"/>
      <w:bookmarkStart w:id="685" w:name="_Toc532375578"/>
      <w:r>
        <w:rPr>
          <w:rFonts w:hint="eastAsia" w:ascii="宋体" w:hAnsi="宋体" w:eastAsia="宋体" w:cs="宋体"/>
          <w:color w:val="auto"/>
          <w:sz w:val="21"/>
          <w:szCs w:val="21"/>
          <w:highlight w:val="none"/>
        </w:rPr>
        <w:t>六、合同文件构成</w:t>
      </w:r>
      <w:bookmarkEnd w:id="683"/>
      <w:bookmarkEnd w:id="684"/>
      <w:bookmarkEnd w:id="685"/>
    </w:p>
    <w:p w14:paraId="1FA35B61">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合同由以下文件构成：</w:t>
      </w:r>
    </w:p>
    <w:p w14:paraId="6A5E516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（1）合同协议书；</w:t>
      </w:r>
    </w:p>
    <w:p w14:paraId="48B9C54A">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（2）中标通知书；</w:t>
      </w:r>
    </w:p>
    <w:p w14:paraId="0098EF4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（3）投标函及投标函附录；</w:t>
      </w:r>
    </w:p>
    <w:p w14:paraId="5A2F30AB">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（4）专用合同条款及其附件；</w:t>
      </w:r>
    </w:p>
    <w:p w14:paraId="1C41580E">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（5）通用合同条款；</w:t>
      </w:r>
    </w:p>
    <w:p w14:paraId="4A6D8ABB">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（6）投标文件（投标函及投标函附录除外）；</w:t>
      </w:r>
    </w:p>
    <w:p w14:paraId="23F6F39B">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（7）招标文件及修改文件；</w:t>
      </w:r>
    </w:p>
    <w:p w14:paraId="0B2FAEC6">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（8）技术标准和要求；</w:t>
      </w:r>
    </w:p>
    <w:p w14:paraId="3D254368">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（9）图纸；</w:t>
      </w:r>
    </w:p>
    <w:p w14:paraId="2898DF45">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（10）其他合同文件。</w:t>
      </w:r>
    </w:p>
    <w:p w14:paraId="20C83636">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在合同订立、履行过程中形成的与合同有关的书面形式的文件均构成合同文件组成部分。</w:t>
      </w:r>
    </w:p>
    <w:p w14:paraId="7A4FA478">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上述各项合同文件包括合同当事人就该项合同文件所作出的补充和修改，属于同一类内容的文件，应以最新签署的为准。专用合同条款及其附件须经合同当事人签名或盖章。</w:t>
      </w:r>
    </w:p>
    <w:p w14:paraId="591C110F">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86" w:name="_Toc532375579"/>
      <w:bookmarkStart w:id="687" w:name="_Toc532377172"/>
      <w:bookmarkStart w:id="688" w:name="_Toc351203487"/>
      <w:r>
        <w:rPr>
          <w:rFonts w:hint="eastAsia" w:ascii="宋体" w:hAnsi="宋体" w:eastAsia="宋体" w:cs="宋体"/>
          <w:color w:val="auto"/>
          <w:sz w:val="21"/>
          <w:szCs w:val="21"/>
          <w:highlight w:val="none"/>
        </w:rPr>
        <w:t>七、承诺</w:t>
      </w:r>
      <w:bookmarkEnd w:id="686"/>
      <w:bookmarkEnd w:id="687"/>
      <w:bookmarkEnd w:id="688"/>
    </w:p>
    <w:p w14:paraId="51DD6AE0">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14:paraId="60BF8182">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eastAsia="宋体" w:cs="宋体"/>
          <w:bCs/>
          <w:color w:val="auto"/>
          <w:szCs w:val="21"/>
          <w:highlight w:val="none"/>
        </w:rPr>
        <w:t>。</w:t>
      </w:r>
    </w:p>
    <w:p w14:paraId="1B0E568B">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14:paraId="6DF78B59">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89" w:name="_Toc532377173"/>
      <w:bookmarkStart w:id="690" w:name="_Toc351203488"/>
      <w:bookmarkStart w:id="691" w:name="_Toc532375580"/>
      <w:r>
        <w:rPr>
          <w:rFonts w:hint="eastAsia" w:ascii="宋体" w:hAnsi="宋体" w:eastAsia="宋体" w:cs="宋体"/>
          <w:color w:val="auto"/>
          <w:sz w:val="21"/>
          <w:szCs w:val="21"/>
          <w:highlight w:val="none"/>
        </w:rPr>
        <w:t>八、词语含义</w:t>
      </w:r>
      <w:bookmarkEnd w:id="689"/>
      <w:bookmarkEnd w:id="690"/>
      <w:bookmarkEnd w:id="691"/>
    </w:p>
    <w:p w14:paraId="74AD070F">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本协议书中词语含义与专用合同条款及通用合同条款中赋予的含义相同。</w:t>
      </w:r>
    </w:p>
    <w:p w14:paraId="1995748A">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92" w:name="_Toc532375581"/>
      <w:bookmarkStart w:id="693" w:name="_Toc532377174"/>
      <w:r>
        <w:rPr>
          <w:rFonts w:hint="eastAsia" w:ascii="宋体" w:hAnsi="宋体" w:eastAsia="宋体" w:cs="宋体"/>
          <w:color w:val="auto"/>
          <w:sz w:val="21"/>
          <w:szCs w:val="21"/>
          <w:highlight w:val="none"/>
        </w:rPr>
        <w:t>九、签订时间</w:t>
      </w:r>
      <w:bookmarkEnd w:id="692"/>
      <w:bookmarkEnd w:id="693"/>
    </w:p>
    <w:p w14:paraId="364FA0F0">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0A611AA5">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94" w:name="_Toc351203489"/>
      <w:bookmarkStart w:id="695" w:name="_Toc532377175"/>
      <w:bookmarkStart w:id="696" w:name="_Toc532375582"/>
      <w:r>
        <w:rPr>
          <w:rFonts w:hint="eastAsia" w:ascii="宋体" w:hAnsi="宋体" w:eastAsia="宋体" w:cs="宋体"/>
          <w:color w:val="auto"/>
          <w:sz w:val="21"/>
          <w:szCs w:val="21"/>
          <w:highlight w:val="none"/>
        </w:rPr>
        <w:t>十、</w:t>
      </w:r>
      <w:bookmarkEnd w:id="694"/>
      <w:bookmarkStart w:id="697" w:name="_Toc351203490"/>
      <w:r>
        <w:rPr>
          <w:rFonts w:hint="eastAsia" w:ascii="宋体" w:hAnsi="宋体" w:eastAsia="宋体" w:cs="宋体"/>
          <w:color w:val="auto"/>
          <w:sz w:val="21"/>
          <w:szCs w:val="21"/>
          <w:highlight w:val="none"/>
        </w:rPr>
        <w:t>签订地点</w:t>
      </w:r>
      <w:bookmarkEnd w:id="695"/>
      <w:bookmarkEnd w:id="696"/>
      <w:bookmarkEnd w:id="697"/>
    </w:p>
    <w:p w14:paraId="709900B1">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14:paraId="4F9A1876">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698" w:name="_Toc532375583"/>
      <w:bookmarkStart w:id="699" w:name="_Toc532377176"/>
      <w:bookmarkStart w:id="700" w:name="_Toc351203491"/>
      <w:r>
        <w:rPr>
          <w:rFonts w:hint="eastAsia" w:ascii="宋体" w:hAnsi="宋体" w:eastAsia="宋体" w:cs="宋体"/>
          <w:color w:val="auto"/>
          <w:sz w:val="21"/>
          <w:szCs w:val="21"/>
          <w:highlight w:val="none"/>
        </w:rPr>
        <w:t>十一、补充协议</w:t>
      </w:r>
      <w:bookmarkEnd w:id="698"/>
      <w:bookmarkEnd w:id="699"/>
      <w:bookmarkEnd w:id="700"/>
    </w:p>
    <w:p w14:paraId="1DD33CF1">
      <w:pPr>
        <w:wordWrap/>
        <w:spacing w:beforeAutospacing="0" w:after="0" w:afterAutospacing="0"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11F789E5">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701" w:name="_Toc351203492"/>
      <w:bookmarkStart w:id="702" w:name="_Toc532375584"/>
      <w:bookmarkStart w:id="703" w:name="_Toc532377177"/>
      <w:r>
        <w:rPr>
          <w:rFonts w:hint="eastAsia" w:ascii="宋体" w:hAnsi="宋体" w:eastAsia="宋体" w:cs="宋体"/>
          <w:color w:val="auto"/>
          <w:sz w:val="21"/>
          <w:szCs w:val="21"/>
          <w:highlight w:val="none"/>
        </w:rPr>
        <w:t>十二、合同生效</w:t>
      </w:r>
      <w:bookmarkEnd w:id="701"/>
      <w:bookmarkEnd w:id="702"/>
      <w:bookmarkEnd w:id="703"/>
    </w:p>
    <w:p w14:paraId="1AB90B0E">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合同在以下条件全部满足之后生效：</w:t>
      </w:r>
    </w:p>
    <w:p w14:paraId="1D23A43A">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1.合同</w:t>
      </w:r>
      <w:r>
        <w:rPr>
          <w:rFonts w:hint="eastAsia" w:ascii="宋体" w:hAnsi="宋体" w:eastAsia="宋体" w:cs="宋体"/>
          <w:color w:val="auto"/>
          <w:szCs w:val="21"/>
          <w:highlight w:val="none"/>
        </w:rPr>
        <w:t>经双方法定代表人或其委托代理人签名并加盖单位</w:t>
      </w:r>
      <w:r>
        <w:rPr>
          <w:rFonts w:hint="eastAsia" w:ascii="宋体" w:hAnsi="宋体" w:eastAsia="宋体" w:cs="宋体"/>
          <w:snapToGrid w:val="0"/>
          <w:color w:val="auto"/>
          <w:kern w:val="0"/>
          <w:szCs w:val="21"/>
          <w:highlight w:val="none"/>
        </w:rPr>
        <w:t>公章或合同专用章</w:t>
      </w:r>
      <w:r>
        <w:rPr>
          <w:rFonts w:hint="eastAsia" w:ascii="宋体" w:hAnsi="宋体" w:eastAsia="宋体" w:cs="宋体"/>
          <w:color w:val="auto"/>
          <w:szCs w:val="21"/>
          <w:highlight w:val="none"/>
        </w:rPr>
        <w:t>；</w:t>
      </w:r>
    </w:p>
    <w:p w14:paraId="48EB6861">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2.采用保函形式递交履约担保的，承包人按合同约定向发包人提交履约担保后；</w:t>
      </w:r>
    </w:p>
    <w:p w14:paraId="02D6D653">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C601AC7">
      <w:pPr>
        <w:pStyle w:val="6"/>
        <w:wordWrap/>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bookmarkStart w:id="704" w:name="_Toc351203493"/>
      <w:bookmarkStart w:id="705" w:name="_Toc532377178"/>
      <w:bookmarkStart w:id="706" w:name="_Toc532375585"/>
      <w:r>
        <w:rPr>
          <w:rFonts w:hint="eastAsia" w:ascii="宋体" w:hAnsi="宋体" w:eastAsia="宋体" w:cs="宋体"/>
          <w:color w:val="auto"/>
          <w:sz w:val="21"/>
          <w:szCs w:val="21"/>
          <w:highlight w:val="none"/>
        </w:rPr>
        <w:t>十三、合同份数</w:t>
      </w:r>
      <w:bookmarkEnd w:id="704"/>
      <w:bookmarkEnd w:id="705"/>
      <w:bookmarkEnd w:id="706"/>
    </w:p>
    <w:p w14:paraId="6B8449EA">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份，其中正本</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份，双方各持</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份，副本</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份，双方各执</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份。副本与正本不一致时，以正本为准。</w:t>
      </w:r>
    </w:p>
    <w:p w14:paraId="2BED36FF">
      <w:pPr>
        <w:wordWrap/>
        <w:spacing w:beforeAutospacing="0" w:after="0" w:afterAutospacing="0" w:line="360" w:lineRule="auto"/>
        <w:ind w:firstLine="420" w:firstLineChars="200"/>
        <w:textAlignment w:val="auto"/>
        <w:rPr>
          <w:rFonts w:hint="eastAsia" w:ascii="宋体" w:hAnsi="宋体" w:eastAsia="宋体" w:cs="宋体"/>
          <w:bCs/>
          <w:color w:val="auto"/>
          <w:szCs w:val="21"/>
          <w:highlight w:val="none"/>
        </w:rPr>
      </w:pPr>
    </w:p>
    <w:p w14:paraId="0D51B3C9">
      <w:pPr>
        <w:pStyle w:val="2"/>
        <w:rPr>
          <w:rFonts w:hint="eastAsia"/>
        </w:rPr>
      </w:pPr>
    </w:p>
    <w:p w14:paraId="21FBE69C">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（以下为签名盖章页）。</w:t>
      </w:r>
    </w:p>
    <w:p w14:paraId="43C110F3">
      <w:pPr>
        <w:wordWrap/>
        <w:adjustRightInd w:val="0"/>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bookmarkStart w:id="707" w:name="_Toc467689623"/>
      <w:r>
        <w:rPr>
          <w:rFonts w:hint="eastAsia" w:ascii="宋体" w:hAnsi="宋体" w:eastAsia="宋体" w:cs="宋体"/>
          <w:snapToGrid w:val="0"/>
          <w:color w:val="auto"/>
          <w:kern w:val="0"/>
          <w:szCs w:val="21"/>
          <w:highlight w:val="none"/>
        </w:rPr>
        <w:t>发包人：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（盖单位公章或合同专用章）</w:t>
      </w:r>
    </w:p>
    <w:p w14:paraId="0353E3EB">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（签名）</w:t>
      </w:r>
    </w:p>
    <w:p w14:paraId="440EA2DA">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统一社会信用代码：</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59B9E172">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纳税人识别号：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749C8FAF">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地    址：</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57D19D89">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电    话：</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3EA8B958">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开户银行：</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084156FA">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账    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4564AFE3">
      <w:pPr>
        <w:wordWrap/>
        <w:spacing w:beforeAutospacing="0" w:after="0" w:afterAutospacing="0" w:line="360" w:lineRule="auto"/>
        <w:textAlignment w:val="auto"/>
        <w:rPr>
          <w:rFonts w:hint="eastAsia" w:ascii="宋体" w:hAnsi="宋体" w:eastAsia="宋体" w:cs="宋体"/>
          <w:snapToGrid w:val="0"/>
          <w:color w:val="auto"/>
          <w:kern w:val="0"/>
          <w:szCs w:val="21"/>
          <w:highlight w:val="none"/>
        </w:rPr>
      </w:pPr>
    </w:p>
    <w:p w14:paraId="1E1154DD">
      <w:pPr>
        <w:wordWrap/>
        <w:spacing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承包人：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（盖单位公章或合同专用章）</w:t>
      </w:r>
    </w:p>
    <w:p w14:paraId="1F31CD0E">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rPr>
        <w:t>（签名）</w:t>
      </w:r>
    </w:p>
    <w:p w14:paraId="10647D14">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统一社会信用代码：</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38307927">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纳税人识别号：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0990E24F">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地    址：</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37260708">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电    话：</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57F6C1CA">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开户银行：</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5E065282">
      <w:pPr>
        <w:wordWrap/>
        <w:spacing w:beforeAutospacing="0" w:after="0" w:afterAutospacing="0" w:line="360" w:lineRule="auto"/>
        <w:ind w:firstLine="420" w:firstLineChars="200"/>
        <w:textAlignment w:val="auto"/>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账    号：</w:t>
      </w:r>
      <w:r>
        <w:rPr>
          <w:rFonts w:hint="eastAsia" w:ascii="宋体" w:hAnsi="宋体" w:eastAsia="宋体" w:cs="宋体"/>
          <w:snapToGrid w:val="0"/>
          <w:color w:val="auto"/>
          <w:w w:val="200"/>
          <w:kern w:val="0"/>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p>
    <w:p w14:paraId="224AACC9">
      <w:pPr>
        <w:pStyle w:val="2"/>
        <w:spacing w:after="0" w:afterAutospacing="0" w:line="360" w:lineRule="auto"/>
        <w:rPr>
          <w:rFonts w:hint="eastAsia" w:ascii="宋体" w:hAnsi="宋体" w:eastAsia="宋体" w:cs="宋体"/>
          <w:color w:val="auto"/>
          <w:szCs w:val="21"/>
          <w:highlight w:val="none"/>
        </w:rPr>
      </w:pPr>
    </w:p>
    <w:p w14:paraId="658D83C6">
      <w:pPr>
        <w:spacing w:after="0" w:afterAutospacing="0" w:line="360" w:lineRule="auto"/>
        <w:jc w:val="right"/>
        <w:rPr>
          <w:rFonts w:hint="eastAsia" w:ascii="宋体" w:hAnsi="宋体" w:eastAsia="宋体" w:cs="宋体"/>
          <w:snapToGrid w:val="0"/>
          <w:color w:val="auto"/>
          <w:kern w:val="0"/>
          <w:szCs w:val="21"/>
          <w:highlight w:val="none"/>
        </w:rPr>
      </w:pPr>
    </w:p>
    <w:p w14:paraId="3AD35AD8">
      <w:pPr>
        <w:spacing w:after="0" w:afterAutospacing="0" w:line="360" w:lineRule="auto"/>
        <w:jc w:val="right"/>
        <w:rPr>
          <w:rFonts w:hint="eastAsia" w:ascii="宋体" w:hAnsi="宋体" w:eastAsia="宋体" w:cs="宋体"/>
          <w:snapToGrid w:val="0"/>
          <w:color w:val="auto"/>
          <w:kern w:val="0"/>
          <w:szCs w:val="21"/>
          <w:highlight w:val="none"/>
        </w:rPr>
      </w:pPr>
    </w:p>
    <w:p w14:paraId="57E9AF32">
      <w:pPr>
        <w:spacing w:after="0" w:afterAutospacing="0" w:line="360" w:lineRule="auto"/>
        <w:jc w:val="righ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签约时间：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bookmarkEnd w:id="707"/>
    </w:p>
    <w:p w14:paraId="3D6EDE63">
      <w:pPr>
        <w:pStyle w:val="5"/>
        <w:spacing w:before="0" w:after="0" w:afterAutospacing="0"/>
        <w:jc w:val="center"/>
        <w:rPr>
          <w:rFonts w:hint="eastAsia" w:ascii="宋体" w:hAnsi="宋体" w:eastAsia="宋体" w:cs="宋体"/>
          <w:bCs/>
          <w:color w:val="auto"/>
          <w:sz w:val="21"/>
          <w:szCs w:val="21"/>
          <w:highlight w:val="none"/>
        </w:rPr>
      </w:pPr>
      <w:r>
        <w:rPr>
          <w:rFonts w:hint="eastAsia" w:ascii="宋体" w:hAnsi="宋体" w:eastAsia="宋体" w:cs="宋体"/>
          <w:snapToGrid w:val="0"/>
          <w:color w:val="auto"/>
          <w:sz w:val="21"/>
          <w:szCs w:val="21"/>
          <w:highlight w:val="none"/>
          <w:lang w:val="zh-CN"/>
        </w:rPr>
        <w:br w:type="page"/>
      </w:r>
      <w:bookmarkStart w:id="708" w:name="_Toc529388289"/>
      <w:bookmarkStart w:id="709" w:name="_Toc532377179"/>
      <w:bookmarkStart w:id="710" w:name="_Toc15976"/>
      <w:bookmarkStart w:id="711" w:name="_Toc532375586"/>
      <w:bookmarkStart w:id="712" w:name="_Toc18443"/>
      <w:r>
        <w:rPr>
          <w:rFonts w:hint="eastAsia" w:ascii="宋体" w:hAnsi="宋体" w:eastAsia="宋体" w:cs="宋体"/>
          <w:color w:val="auto"/>
          <w:sz w:val="44"/>
          <w:szCs w:val="44"/>
          <w:highlight w:val="none"/>
        </w:rPr>
        <w:t>第二部分 通用合同条款</w:t>
      </w:r>
      <w:bookmarkEnd w:id="708"/>
      <w:bookmarkEnd w:id="709"/>
      <w:bookmarkEnd w:id="710"/>
      <w:bookmarkEnd w:id="711"/>
      <w:bookmarkEnd w:id="712"/>
    </w:p>
    <w:p w14:paraId="6CA62A3C">
      <w:pPr>
        <w:spacing w:after="0" w:afterAutospacing="0"/>
        <w:ind w:firstLine="420"/>
      </w:pPr>
      <w:r>
        <w:rPr>
          <w:rFonts w:hint="eastAsia"/>
        </w:rPr>
        <w:t>通用合同条款直接采用中华人民共和国住房和城乡建设部与国家工商行政管理总局联合制定的《建设工程施工合同》（GF-2017-0201）示范文本《通用合同条款》。</w:t>
      </w:r>
    </w:p>
    <w:p w14:paraId="472E7CE0">
      <w:pPr>
        <w:keepNext/>
        <w:keepLines/>
        <w:snapToGrid w:val="0"/>
        <w:spacing w:after="0" w:afterAutospacing="0" w:line="360" w:lineRule="auto"/>
        <w:outlineLvl w:val="2"/>
        <w:rPr>
          <w:rFonts w:hint="eastAsia" w:ascii="宋体" w:hAnsi="宋体" w:eastAsia="宋体" w:cs="宋体"/>
          <w:b/>
          <w:bCs/>
          <w:color w:val="auto"/>
          <w:szCs w:val="21"/>
          <w:highlight w:val="none"/>
          <w:lang w:val="zh-CN"/>
        </w:rPr>
      </w:pPr>
    </w:p>
    <w:p w14:paraId="199D10C9">
      <w:pPr>
        <w:keepNext/>
        <w:keepLines/>
        <w:snapToGrid w:val="0"/>
        <w:spacing w:after="0" w:afterAutospacing="0" w:line="360" w:lineRule="auto"/>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66CF148A">
      <w:pPr>
        <w:pStyle w:val="5"/>
        <w:wordWrap/>
        <w:spacing w:before="0" w:beforeAutospacing="0" w:after="0" w:afterAutospacing="0" w:line="360" w:lineRule="auto"/>
        <w:jc w:val="center"/>
        <w:rPr>
          <w:rFonts w:hint="eastAsia" w:ascii="宋体" w:hAnsi="宋体" w:eastAsia="宋体" w:cs="宋体"/>
          <w:color w:val="auto"/>
          <w:sz w:val="44"/>
          <w:szCs w:val="44"/>
          <w:highlight w:val="none"/>
        </w:rPr>
      </w:pPr>
      <w:bookmarkStart w:id="713" w:name="_Toc11324"/>
      <w:bookmarkStart w:id="714" w:name="_Toc532377320"/>
      <w:bookmarkStart w:id="715" w:name="_Toc532375607"/>
      <w:bookmarkStart w:id="716" w:name="_Toc14862"/>
      <w:bookmarkStart w:id="717" w:name="_Toc529388290"/>
      <w:r>
        <w:rPr>
          <w:rFonts w:hint="eastAsia" w:ascii="宋体" w:hAnsi="宋体" w:eastAsia="宋体" w:cs="宋体"/>
          <w:color w:val="auto"/>
          <w:sz w:val="44"/>
          <w:szCs w:val="44"/>
          <w:highlight w:val="none"/>
        </w:rPr>
        <w:t>第三部分 专用合同条款</w:t>
      </w:r>
      <w:bookmarkEnd w:id="713"/>
      <w:bookmarkEnd w:id="714"/>
      <w:bookmarkEnd w:id="715"/>
      <w:bookmarkEnd w:id="716"/>
      <w:bookmarkEnd w:id="717"/>
    </w:p>
    <w:p w14:paraId="166E6E2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718" w:name="_Toc532375608"/>
      <w:bookmarkStart w:id="719" w:name="_Toc351203633"/>
      <w:bookmarkStart w:id="720" w:name="_Toc532377321"/>
      <w:bookmarkStart w:id="721" w:name="_Hlk528927191"/>
      <w:r>
        <w:rPr>
          <w:rFonts w:hint="eastAsia" w:ascii="宋体" w:hAnsi="宋体" w:eastAsia="宋体" w:cs="宋体"/>
          <w:color w:val="auto"/>
          <w:sz w:val="21"/>
          <w:szCs w:val="21"/>
          <w:highlight w:val="none"/>
        </w:rPr>
        <w:t>1</w:t>
      </w:r>
      <w:bookmarkStart w:id="722" w:name="_Toc296503156"/>
      <w:bookmarkStart w:id="723" w:name="_Toc296346657"/>
      <w:bookmarkStart w:id="724" w:name="_Toc296891196"/>
      <w:bookmarkStart w:id="725" w:name="_Toc297048342"/>
      <w:bookmarkStart w:id="726" w:name="_Toc292559866"/>
      <w:bookmarkStart w:id="727" w:name="_Toc296890984"/>
      <w:bookmarkStart w:id="728" w:name="_Toc297120456"/>
      <w:bookmarkStart w:id="729" w:name="_Toc292559361"/>
      <w:bookmarkStart w:id="730" w:name="_Toc296944495"/>
      <w:bookmarkStart w:id="731" w:name="_Toc296347155"/>
      <w:r>
        <w:rPr>
          <w:rFonts w:hint="eastAsia" w:ascii="宋体" w:hAnsi="宋体" w:eastAsia="宋体" w:cs="宋体"/>
          <w:color w:val="auto"/>
          <w:sz w:val="21"/>
          <w:szCs w:val="21"/>
          <w:highlight w:val="none"/>
        </w:rPr>
        <w:t>. 一般约定</w:t>
      </w:r>
      <w:bookmarkEnd w:id="718"/>
      <w:bookmarkEnd w:id="719"/>
      <w:bookmarkEnd w:id="720"/>
    </w:p>
    <w:bookmarkEnd w:id="722"/>
    <w:bookmarkEnd w:id="723"/>
    <w:bookmarkEnd w:id="724"/>
    <w:bookmarkEnd w:id="725"/>
    <w:bookmarkEnd w:id="726"/>
    <w:bookmarkEnd w:id="727"/>
    <w:bookmarkEnd w:id="728"/>
    <w:bookmarkEnd w:id="729"/>
    <w:bookmarkEnd w:id="730"/>
    <w:bookmarkEnd w:id="731"/>
    <w:p w14:paraId="5477939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2" w:name="_Toc532377322"/>
      <w:r>
        <w:rPr>
          <w:rFonts w:hint="eastAsia" w:ascii="宋体" w:hAnsi="宋体" w:eastAsia="宋体" w:cs="宋体"/>
          <w:color w:val="auto"/>
          <w:sz w:val="21"/>
          <w:szCs w:val="21"/>
          <w:highlight w:val="none"/>
        </w:rPr>
        <w:t>1.1词语定义与解释</w:t>
      </w:r>
      <w:bookmarkEnd w:id="732"/>
    </w:p>
    <w:p w14:paraId="67C9E27D">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合同</w:t>
      </w:r>
    </w:p>
    <w:p w14:paraId="58160E6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1.1.1.6技术标准和要求：</w:t>
      </w:r>
      <w:r>
        <w:rPr>
          <w:rFonts w:hint="eastAsia" w:ascii="宋体" w:hAnsi="宋体" w:eastAsia="宋体" w:cs="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eastAsia="宋体" w:cs="宋体"/>
          <w:color w:val="auto"/>
          <w:kern w:val="0"/>
          <w:szCs w:val="21"/>
          <w:highlight w:val="none"/>
        </w:rPr>
        <w:t>。</w:t>
      </w:r>
    </w:p>
    <w:p w14:paraId="5702425D">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1.1.1.8 已标价工程量清单：</w:t>
      </w:r>
      <w:r>
        <w:rPr>
          <w:rFonts w:hint="eastAsia" w:ascii="宋体" w:hAnsi="宋体" w:eastAsia="宋体" w:cs="宋体"/>
          <w:color w:val="auto"/>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eastAsia="宋体" w:cs="宋体"/>
          <w:color w:val="auto"/>
          <w:kern w:val="0"/>
          <w:szCs w:val="21"/>
          <w:highlight w:val="none"/>
        </w:rPr>
        <w:t>。</w:t>
      </w:r>
    </w:p>
    <w:p w14:paraId="307C516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1.1.1.10 其他合同文件包括：</w:t>
      </w:r>
      <w:r>
        <w:rPr>
          <w:rFonts w:hint="eastAsia" w:ascii="宋体" w:hAnsi="宋体" w:eastAsia="宋体" w:cs="宋体"/>
          <w:color w:val="auto"/>
          <w:szCs w:val="21"/>
          <w:highlight w:val="none"/>
          <w:u w:val="single"/>
        </w:rPr>
        <w:t>按照合同协议书</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第六条</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约定执行</w:t>
      </w:r>
      <w:r>
        <w:rPr>
          <w:rFonts w:hint="eastAsia" w:ascii="宋体" w:hAnsi="宋体" w:eastAsia="宋体" w:cs="宋体"/>
          <w:color w:val="auto"/>
          <w:szCs w:val="21"/>
          <w:highlight w:val="none"/>
        </w:rPr>
        <w:t>。</w:t>
      </w:r>
    </w:p>
    <w:p w14:paraId="6593617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本项补充1.1.1.11～1.1.1.16目：</w:t>
      </w:r>
    </w:p>
    <w:p w14:paraId="3B4E4F2B">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1.1.1.11 招标文件：</w:t>
      </w:r>
      <w:r>
        <w:rPr>
          <w:rFonts w:hint="eastAsia" w:ascii="宋体" w:hAnsi="宋体" w:eastAsia="宋体" w:cs="宋体"/>
          <w:color w:val="auto"/>
          <w:kern w:val="0"/>
          <w:szCs w:val="21"/>
          <w:highlight w:val="none"/>
          <w:u w:val="single"/>
        </w:rPr>
        <w:t>指本工程的招标文件、图纸、其他技术资料及</w:t>
      </w:r>
      <w:r>
        <w:rPr>
          <w:rFonts w:hint="eastAsia" w:ascii="宋体" w:hAnsi="宋体" w:cs="宋体"/>
          <w:color w:val="auto"/>
          <w:kern w:val="0"/>
          <w:szCs w:val="21"/>
          <w:highlight w:val="none"/>
          <w:u w:val="single"/>
          <w:lang w:eastAsia="zh-CN"/>
        </w:rPr>
        <w:t>比选人</w:t>
      </w:r>
      <w:r>
        <w:rPr>
          <w:rFonts w:hint="eastAsia" w:ascii="宋体" w:hAnsi="宋体" w:eastAsia="宋体" w:cs="宋体"/>
          <w:color w:val="auto"/>
          <w:kern w:val="0"/>
          <w:szCs w:val="21"/>
          <w:highlight w:val="none"/>
          <w:u w:val="single"/>
        </w:rPr>
        <w:t>发出的对招标文件所作的澄清、修改等资料</w:t>
      </w:r>
      <w:r>
        <w:rPr>
          <w:rFonts w:hint="eastAsia" w:ascii="宋体" w:hAnsi="宋体" w:eastAsia="宋体" w:cs="宋体"/>
          <w:color w:val="auto"/>
          <w:kern w:val="0"/>
          <w:szCs w:val="21"/>
          <w:highlight w:val="none"/>
        </w:rPr>
        <w:t>。</w:t>
      </w:r>
    </w:p>
    <w:p w14:paraId="2D912BA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1.1.1.12 工作：</w:t>
      </w:r>
      <w:r>
        <w:rPr>
          <w:rFonts w:hint="eastAsia" w:ascii="宋体" w:hAnsi="宋体" w:eastAsia="宋体" w:cs="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eastAsia="宋体" w:cs="宋体"/>
          <w:color w:val="auto"/>
          <w:kern w:val="0"/>
          <w:szCs w:val="21"/>
          <w:highlight w:val="none"/>
        </w:rPr>
        <w:t>。</w:t>
      </w:r>
    </w:p>
    <w:p w14:paraId="05A64C9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1.1.1.13 重大设计变更：按照规定需要重新报建设行政主管部门批准的设计变更。</w:t>
      </w:r>
    </w:p>
    <w:p w14:paraId="6170E86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1.1.1.14 公章：专指法定单位名称章。</w:t>
      </w:r>
    </w:p>
    <w:bookmarkEnd w:id="721"/>
    <w:p w14:paraId="0BB7145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1.1.1.15 到岗：指承包人按照到岗履职承诺安排满足办理施工许可手续相关要求的项目主要管理人员实际到施工现场就职履约的行为。</w:t>
      </w:r>
    </w:p>
    <w:p w14:paraId="725FE83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1.1.1.16 项目法人：指具有民事权利能力和民事行为能力，依法独立享有民事权利和承担民事义务，以建设项目为目的，从事项目管理的机构、单位或组织。</w:t>
      </w:r>
    </w:p>
    <w:p w14:paraId="41262BD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合同当事人及其他相关方</w:t>
      </w:r>
    </w:p>
    <w:p w14:paraId="446F2FD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1.1.2.2 发包人：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3BC27F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代建单位（若有）：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819F57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 监理人：</w:t>
      </w:r>
    </w:p>
    <w:p w14:paraId="4EC068E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3F580D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289EE3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050E1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1.1.2.5 设计人：</w:t>
      </w:r>
    </w:p>
    <w:p w14:paraId="7F971F0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CD0ED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38733D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302C81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工程和设备</w:t>
      </w:r>
    </w:p>
    <w:p w14:paraId="23C67D7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1.1.3.7 作为施工现场组成部分的其他场所包括：</w:t>
      </w:r>
      <w:r>
        <w:rPr>
          <w:rFonts w:hint="eastAsia" w:ascii="宋体" w:hAnsi="宋体" w:eastAsia="宋体" w:cs="宋体"/>
          <w:color w:val="auto"/>
          <w:kern w:val="0"/>
          <w:szCs w:val="21"/>
          <w:highlight w:val="none"/>
          <w:u w:val="single"/>
        </w:rPr>
        <w:t>永久占地、临时占地以及为修建临时工程而租用、占用的土地</w:t>
      </w:r>
      <w:r>
        <w:rPr>
          <w:rFonts w:hint="eastAsia" w:ascii="宋体" w:hAnsi="宋体" w:eastAsia="宋体" w:cs="宋体"/>
          <w:color w:val="auto"/>
          <w:szCs w:val="21"/>
          <w:highlight w:val="none"/>
        </w:rPr>
        <w:t>。</w:t>
      </w:r>
    </w:p>
    <w:p w14:paraId="20C50DF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kern w:val="0"/>
          <w:szCs w:val="21"/>
          <w:highlight w:val="none"/>
          <w:u w:val="single"/>
        </w:rPr>
        <w:t>为实施合同工程而需要的一切永久占用的土地，即合同工程</w:t>
      </w:r>
      <w:r>
        <w:rPr>
          <w:rFonts w:hint="eastAsia" w:ascii="宋体" w:hAnsi="宋体" w:eastAsia="宋体" w:cs="宋体"/>
          <w:color w:val="auto"/>
          <w:szCs w:val="21"/>
          <w:highlight w:val="none"/>
          <w:u w:val="single"/>
        </w:rPr>
        <w:t>用地红线范围内的土地</w:t>
      </w:r>
      <w:r>
        <w:rPr>
          <w:rFonts w:hint="eastAsia" w:ascii="宋体" w:hAnsi="宋体" w:eastAsia="宋体" w:cs="宋体"/>
          <w:color w:val="auto"/>
          <w:szCs w:val="21"/>
          <w:highlight w:val="none"/>
        </w:rPr>
        <w:t>。</w:t>
      </w:r>
    </w:p>
    <w:p w14:paraId="29DEF7F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1.1.3.10 临时占地包括：</w:t>
      </w:r>
      <w:r>
        <w:rPr>
          <w:rFonts w:hint="eastAsia" w:ascii="宋体" w:hAnsi="宋体" w:eastAsia="宋体" w:cs="宋体"/>
          <w:color w:val="auto"/>
          <w:szCs w:val="21"/>
          <w:highlight w:val="none"/>
          <w:u w:val="single"/>
        </w:rPr>
        <w:t>为实施合同工程而需要</w:t>
      </w:r>
      <w:r>
        <w:rPr>
          <w:rFonts w:hint="eastAsia" w:ascii="宋体" w:hAnsi="宋体" w:eastAsia="宋体" w:cs="宋体"/>
          <w:color w:val="auto"/>
          <w:kern w:val="0"/>
          <w:szCs w:val="21"/>
          <w:highlight w:val="none"/>
          <w:u w:val="single"/>
        </w:rPr>
        <w:t>的一切</w:t>
      </w:r>
      <w:r>
        <w:rPr>
          <w:rFonts w:hint="eastAsia" w:ascii="宋体" w:hAnsi="宋体" w:eastAsia="宋体" w:cs="宋体"/>
          <w:color w:val="auto"/>
          <w:szCs w:val="21"/>
          <w:highlight w:val="none"/>
          <w:u w:val="single"/>
        </w:rPr>
        <w:t>临时占用的土地，包括施工所用的临时便道等的临时出入道，以及生产（办公）、生活等临时设施用地</w:t>
      </w:r>
      <w:r>
        <w:rPr>
          <w:rFonts w:hint="eastAsia" w:ascii="宋体" w:hAnsi="宋体" w:eastAsia="宋体" w:cs="宋体"/>
          <w:color w:val="auto"/>
          <w:szCs w:val="21"/>
          <w:highlight w:val="none"/>
        </w:rPr>
        <w:t>。</w:t>
      </w:r>
    </w:p>
    <w:p w14:paraId="2F97A3F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 其他</w:t>
      </w:r>
    </w:p>
    <w:p w14:paraId="6B34C0B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733" w:name="_Hlk528927262"/>
      <w:r>
        <w:rPr>
          <w:rFonts w:hint="eastAsia" w:ascii="宋体" w:hAnsi="宋体" w:eastAsia="宋体" w:cs="宋体"/>
          <w:color w:val="auto"/>
          <w:szCs w:val="21"/>
          <w:highlight w:val="none"/>
        </w:rPr>
        <w:t>本项补充1.1.6.2～1.1.6.3目：</w:t>
      </w:r>
    </w:p>
    <w:p w14:paraId="781169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eastAsia="宋体" w:cs="宋体"/>
          <w:color w:val="auto"/>
          <w:kern w:val="0"/>
          <w:szCs w:val="21"/>
          <w:highlight w:val="none"/>
        </w:rPr>
        <w:t>违法行为</w:t>
      </w:r>
      <w:r>
        <w:rPr>
          <w:rFonts w:hint="eastAsia" w:ascii="宋体" w:hAnsi="宋体" w:eastAsia="宋体" w:cs="宋体"/>
          <w:color w:val="auto"/>
          <w:szCs w:val="21"/>
          <w:highlight w:val="none"/>
        </w:rPr>
        <w:t>。</w:t>
      </w:r>
    </w:p>
    <w:bookmarkEnd w:id="733"/>
    <w:p w14:paraId="709721A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4349532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4" w:name="_Toc532377323"/>
      <w:r>
        <w:rPr>
          <w:rFonts w:hint="eastAsia" w:ascii="宋体" w:hAnsi="宋体" w:eastAsia="宋体" w:cs="宋体"/>
          <w:color w:val="auto"/>
          <w:sz w:val="21"/>
          <w:szCs w:val="21"/>
          <w:highlight w:val="none"/>
        </w:rPr>
        <w:t>1.4 标准和规范</w:t>
      </w:r>
      <w:bookmarkEnd w:id="734"/>
    </w:p>
    <w:p w14:paraId="7AF4E86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适用于工程的标准规范包括：</w:t>
      </w:r>
    </w:p>
    <w:p w14:paraId="612691A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（1）施工图所涉及的技术标准、规范、规程、图集等；</w:t>
      </w:r>
    </w:p>
    <w:p w14:paraId="2916673E">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（2）国家、行业或重庆市与本工程有关的标准，以及相应的规范、规程等，当这些标准、规范、规程不一致时，以标准、规范、规程要求最高的为准。</w:t>
      </w:r>
    </w:p>
    <w:p w14:paraId="20D3741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02817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561E2B1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339FC70F">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5296AAC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发包人对工程的技术标准和功能要求的特殊要求：</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w:t>
      </w:r>
    </w:p>
    <w:p w14:paraId="30AA462A">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5" w:name="_Toc532377324"/>
      <w:r>
        <w:rPr>
          <w:rFonts w:hint="eastAsia" w:ascii="宋体" w:hAnsi="宋体" w:eastAsia="宋体" w:cs="宋体"/>
          <w:color w:val="auto"/>
          <w:sz w:val="21"/>
          <w:szCs w:val="21"/>
          <w:highlight w:val="none"/>
        </w:rPr>
        <w:t>1.5 合同文件的优先顺序</w:t>
      </w:r>
      <w:bookmarkEnd w:id="735"/>
    </w:p>
    <w:p w14:paraId="37E8FC8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合同文件组成及优先顺序为：</w:t>
      </w:r>
      <w:r>
        <w:rPr>
          <w:rFonts w:hint="eastAsia" w:ascii="宋体" w:hAnsi="宋体" w:eastAsia="宋体" w:cs="宋体"/>
          <w:color w:val="auto"/>
          <w:szCs w:val="21"/>
          <w:highlight w:val="none"/>
          <w:u w:val="single"/>
        </w:rPr>
        <w:t>按照合同协议书</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第六条</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约定执行</w:t>
      </w:r>
      <w:r>
        <w:rPr>
          <w:rFonts w:hint="eastAsia" w:ascii="宋体" w:hAnsi="宋体" w:eastAsia="宋体" w:cs="宋体"/>
          <w:color w:val="auto"/>
          <w:szCs w:val="21"/>
          <w:highlight w:val="none"/>
        </w:rPr>
        <w:t>。</w:t>
      </w:r>
    </w:p>
    <w:p w14:paraId="763DAEF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6" w:name="_Toc532377325"/>
      <w:r>
        <w:rPr>
          <w:rFonts w:hint="eastAsia" w:ascii="宋体" w:hAnsi="宋体" w:eastAsia="宋体" w:cs="宋体"/>
          <w:color w:val="auto"/>
          <w:sz w:val="21"/>
          <w:szCs w:val="21"/>
          <w:highlight w:val="none"/>
        </w:rPr>
        <w:t>1.6 图纸和承包人文件</w:t>
      </w:r>
      <w:bookmarkEnd w:id="736"/>
    </w:p>
    <w:p w14:paraId="3A79205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图纸的提供和交底</w:t>
      </w:r>
    </w:p>
    <w:p w14:paraId="76A8B46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通用合同条款第7.3.2款</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开工通知</w:t>
      </w:r>
      <w:r>
        <w:rPr>
          <w:rFonts w:hint="eastAsia" w:ascii="宋体" w:hAnsi="宋体" w:eastAsia="宋体" w:cs="宋体"/>
          <w:bCs/>
          <w:color w:val="auto"/>
          <w:szCs w:val="21"/>
          <w:highlight w:val="none"/>
          <w:u w:val="single"/>
        </w:rPr>
        <w:t>〕</w:t>
      </w:r>
      <w:r>
        <w:rPr>
          <w:rFonts w:hint="eastAsia" w:ascii="宋体" w:hAnsi="宋体" w:eastAsia="宋体" w:cs="宋体"/>
          <w:color w:val="auto"/>
          <w:szCs w:val="21"/>
          <w:highlight w:val="none"/>
          <w:u w:val="single"/>
        </w:rPr>
        <w:t>载明的开工日期前14天</w:t>
      </w:r>
      <w:r>
        <w:rPr>
          <w:rFonts w:hint="eastAsia" w:ascii="宋体" w:hAnsi="宋体" w:eastAsia="宋体" w:cs="宋体"/>
          <w:color w:val="auto"/>
          <w:szCs w:val="21"/>
          <w:highlight w:val="none"/>
        </w:rPr>
        <w:t>；</w:t>
      </w:r>
    </w:p>
    <w:p w14:paraId="3E2A2E9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 xml:space="preserve">  套</w:t>
      </w:r>
      <w:r>
        <w:rPr>
          <w:rFonts w:hint="eastAsia" w:ascii="宋体" w:hAnsi="宋体" w:eastAsia="宋体" w:cs="宋体"/>
          <w:color w:val="auto"/>
          <w:szCs w:val="21"/>
          <w:highlight w:val="none"/>
        </w:rPr>
        <w:t xml:space="preserve">； </w:t>
      </w:r>
    </w:p>
    <w:p w14:paraId="3C00754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工程承包范围内工程的施工图设计文件</w:t>
      </w:r>
      <w:r>
        <w:rPr>
          <w:rFonts w:hint="eastAsia" w:ascii="宋体" w:hAnsi="宋体" w:eastAsia="宋体" w:cs="宋体"/>
          <w:color w:val="auto"/>
          <w:szCs w:val="21"/>
          <w:highlight w:val="none"/>
        </w:rPr>
        <w:t>；</w:t>
      </w:r>
    </w:p>
    <w:p w14:paraId="550643B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发包人组织承包人、监理人和设计人进行图纸会审和设计交底的时间：</w:t>
      </w:r>
      <w:r>
        <w:rPr>
          <w:rFonts w:hint="eastAsia" w:ascii="宋体" w:hAnsi="宋体" w:eastAsia="宋体" w:cs="宋体"/>
          <w:color w:val="auto"/>
          <w:szCs w:val="21"/>
          <w:highlight w:val="none"/>
          <w:u w:val="single"/>
        </w:rPr>
        <w:t>提供施工图后7天内</w:t>
      </w:r>
      <w:r>
        <w:rPr>
          <w:rFonts w:hint="eastAsia" w:ascii="宋体" w:hAnsi="宋体" w:eastAsia="宋体" w:cs="宋体"/>
          <w:color w:val="auto"/>
          <w:szCs w:val="21"/>
          <w:highlight w:val="none"/>
        </w:rPr>
        <w:t>。</w:t>
      </w:r>
    </w:p>
    <w:p w14:paraId="5F1D93FC">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承包人可以书面方式通过监理人向发包人申请进行紧急的设计交底，发包人认为确有必要且条件许可时，应尽快组织实施承包人申请的设计交底。</w:t>
      </w:r>
    </w:p>
    <w:p w14:paraId="261F736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图纸的错误</w:t>
      </w:r>
    </w:p>
    <w:p w14:paraId="23B5D60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42EEA6D5">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承包人不得利用图纸的差错、遗漏或缺陷，从中获得不正当的利益。</w:t>
      </w:r>
    </w:p>
    <w:p w14:paraId="5008C83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7006FD8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需要由承包人提供的书面文件，包括：</w:t>
      </w:r>
      <w:r>
        <w:rPr>
          <w:rFonts w:hint="eastAsia" w:ascii="宋体" w:hAnsi="宋体" w:eastAsia="宋体" w:cs="宋体"/>
          <w:color w:val="auto"/>
          <w:szCs w:val="21"/>
          <w:highlight w:val="none"/>
          <w:u w:val="single"/>
        </w:rPr>
        <w:t>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w:t>
      </w:r>
      <w:r>
        <w:rPr>
          <w:rFonts w:hint="eastAsia" w:ascii="宋体" w:hAnsi="宋体" w:eastAsia="宋体" w:cs="宋体"/>
          <w:color w:val="auto"/>
          <w:szCs w:val="21"/>
          <w:highlight w:val="none"/>
        </w:rPr>
        <w:t>。</w:t>
      </w:r>
    </w:p>
    <w:p w14:paraId="7DA4408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承包人提供文件的期限、数量：</w:t>
      </w:r>
    </w:p>
    <w:p w14:paraId="3C5BF83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eastAsia="宋体" w:cs="宋体"/>
          <w:color w:val="auto"/>
          <w:szCs w:val="21"/>
          <w:highlight w:val="none"/>
        </w:rPr>
        <w:t>。</w:t>
      </w:r>
    </w:p>
    <w:p w14:paraId="5C5DBF4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每月  日前报送月工程进度完成报表</w:t>
      </w:r>
      <w:r>
        <w:rPr>
          <w:rFonts w:hint="eastAsia" w:ascii="宋体" w:hAnsi="宋体" w:eastAsia="宋体" w:cs="宋体"/>
          <w:color w:val="auto"/>
          <w:szCs w:val="21"/>
          <w:highlight w:val="none"/>
        </w:rPr>
        <w:t>。</w:t>
      </w:r>
    </w:p>
    <w:p w14:paraId="0324BB45">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（3）合同另有约定的，按照其约定。</w:t>
      </w:r>
    </w:p>
    <w:p w14:paraId="4342BF31">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eastAsia="宋体" w:cs="宋体"/>
          <w:color w:val="auto"/>
          <w:szCs w:val="21"/>
          <w:highlight w:val="none"/>
          <w:u w:val="single"/>
        </w:rPr>
        <w:t>收到施工组织设计和工程总体进度计划及当年年度施工进度计划后7天内；合同另有约定的，从其约定</w:t>
      </w:r>
      <w:r>
        <w:rPr>
          <w:rFonts w:hint="eastAsia" w:ascii="宋体" w:hAnsi="宋体" w:eastAsia="宋体" w:cs="宋体"/>
          <w:color w:val="auto"/>
          <w:szCs w:val="21"/>
          <w:highlight w:val="none"/>
        </w:rPr>
        <w:t>。</w:t>
      </w:r>
    </w:p>
    <w:p w14:paraId="1E305B3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承包人提供的文件的费用：</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Cs w:val="21"/>
          <w:highlight w:val="none"/>
        </w:rPr>
        <w:t>。</w:t>
      </w:r>
    </w:p>
    <w:p w14:paraId="610A73D2">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收到后14天内；合同另有约定的，从其约定</w:t>
      </w:r>
      <w:r>
        <w:rPr>
          <w:rFonts w:hint="eastAsia" w:ascii="宋体" w:hAnsi="宋体" w:eastAsia="宋体" w:cs="宋体"/>
          <w:color w:val="auto"/>
          <w:szCs w:val="21"/>
          <w:highlight w:val="none"/>
        </w:rPr>
        <w:t>。</w:t>
      </w:r>
    </w:p>
    <w:p w14:paraId="3B41A31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监理人、发包人的修改意见和审批，不免除或减轻承包人对该工作、工程、材料、工程设备等应承担的责任和义务</w:t>
      </w:r>
      <w:r>
        <w:rPr>
          <w:rFonts w:hint="eastAsia" w:ascii="宋体" w:hAnsi="宋体" w:eastAsia="宋体" w:cs="宋体"/>
          <w:color w:val="auto"/>
          <w:szCs w:val="21"/>
          <w:highlight w:val="none"/>
        </w:rPr>
        <w:t>。</w:t>
      </w:r>
    </w:p>
    <w:p w14:paraId="330D2063">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7" w:name="_Toc532377326"/>
      <w:r>
        <w:rPr>
          <w:rFonts w:hint="eastAsia" w:ascii="宋体" w:hAnsi="宋体" w:eastAsia="宋体" w:cs="宋体"/>
          <w:color w:val="auto"/>
          <w:sz w:val="21"/>
          <w:szCs w:val="21"/>
          <w:highlight w:val="none"/>
        </w:rPr>
        <w:t>1.7 联络</w:t>
      </w:r>
      <w:bookmarkEnd w:id="737"/>
    </w:p>
    <w:p w14:paraId="01B4BB1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发包人和承包人应当在</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天内将与合同有关的通知、批准、证明、证书、指示、指令、要求、请求、同意、意见、确定和决定等书面函件送达对方当事人，并办理书面签收手续。</w:t>
      </w:r>
    </w:p>
    <w:p w14:paraId="56821E09">
      <w:pPr>
        <w:tabs>
          <w:tab w:val="left" w:pos="7513"/>
        </w:tabs>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发包人接收文件地点：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915EE4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w:t>
      </w:r>
      <w:bookmarkStart w:id="738" w:name="_Hlk528493983"/>
      <w:bookmarkEnd w:id="738"/>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C31B241">
      <w:pPr>
        <w:tabs>
          <w:tab w:val="left" w:pos="7513"/>
        </w:tabs>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承包人接收文件地点：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D7DF667">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C92F654">
      <w:pPr>
        <w:tabs>
          <w:tab w:val="left" w:pos="7371"/>
        </w:tabs>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监理人接收文件地点：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E79CDC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监理人指定的接收人：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84EFB6E">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39" w:name="_Toc532377327"/>
      <w:r>
        <w:rPr>
          <w:rFonts w:hint="eastAsia" w:ascii="宋体" w:hAnsi="宋体" w:eastAsia="宋体" w:cs="宋体"/>
          <w:color w:val="auto"/>
          <w:sz w:val="21"/>
          <w:szCs w:val="21"/>
          <w:highlight w:val="none"/>
        </w:rPr>
        <w:t>1.8 严禁贿赂</w:t>
      </w:r>
      <w:bookmarkEnd w:id="739"/>
    </w:p>
    <w:p w14:paraId="7B6FC58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本款补充以下内容：</w:t>
      </w:r>
    </w:p>
    <w:p w14:paraId="1D501FC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在合同执行过程中，合同当事人应严格履行附件8《廉洁从业协议》。</w:t>
      </w:r>
    </w:p>
    <w:p w14:paraId="2719FE8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40" w:name="_Toc532377328"/>
      <w:r>
        <w:rPr>
          <w:rFonts w:hint="eastAsia" w:ascii="宋体" w:hAnsi="宋体" w:eastAsia="宋体" w:cs="宋体"/>
          <w:color w:val="auto"/>
          <w:sz w:val="21"/>
          <w:szCs w:val="21"/>
          <w:highlight w:val="none"/>
        </w:rPr>
        <w:t>1.10 交通运输</w:t>
      </w:r>
      <w:bookmarkEnd w:id="740"/>
    </w:p>
    <w:p w14:paraId="50FB17B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741" w:name="_Toc304295521"/>
      <w:bookmarkStart w:id="742" w:name="_Toc303539100"/>
      <w:bookmarkStart w:id="743" w:name="_Toc300934943"/>
      <w:bookmarkStart w:id="744" w:name="_Toc312677986"/>
      <w:bookmarkStart w:id="745" w:name="_Toc318581155"/>
      <w:r>
        <w:rPr>
          <w:rFonts w:hint="eastAsia" w:ascii="宋体" w:hAnsi="宋体" w:eastAsia="宋体" w:cs="宋体"/>
          <w:color w:val="auto"/>
          <w:szCs w:val="21"/>
          <w:highlight w:val="none"/>
        </w:rPr>
        <w:t>.10.1 出入现场的权利</w:t>
      </w:r>
    </w:p>
    <w:p w14:paraId="65BEE68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741"/>
    <w:bookmarkEnd w:id="742"/>
    <w:bookmarkEnd w:id="743"/>
    <w:bookmarkEnd w:id="744"/>
    <w:bookmarkEnd w:id="745"/>
    <w:p w14:paraId="7C8B8FA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 场外交通</w:t>
      </w:r>
    </w:p>
    <w:p w14:paraId="280FA1F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承包人应遵守有关交通法规，执行有关道路限速、限行、禁止超载的规定，并配合交通管理部门的监督和检查。场外交通以施工场地移交时的现状为准。</w:t>
      </w:r>
    </w:p>
    <w:p w14:paraId="7EA507D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746" w:name="_Toc300934944"/>
      <w:bookmarkStart w:id="747" w:name="_Toc318581156"/>
      <w:bookmarkStart w:id="748" w:name="_Toc303539101"/>
      <w:bookmarkStart w:id="749" w:name="_Toc304295522"/>
      <w:bookmarkStart w:id="750" w:name="_Toc312677987"/>
      <w:r>
        <w:rPr>
          <w:rFonts w:hint="eastAsia" w:ascii="宋体" w:hAnsi="宋体" w:eastAsia="宋体" w:cs="宋体"/>
          <w:color w:val="auto"/>
          <w:szCs w:val="21"/>
          <w:highlight w:val="none"/>
        </w:rPr>
        <w:t>.10.3 场内交通</w:t>
      </w:r>
    </w:p>
    <w:p w14:paraId="482B84D3">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Cs w:val="21"/>
          <w:highlight w:val="none"/>
        </w:rPr>
        <w:t>。</w:t>
      </w:r>
    </w:p>
    <w:p w14:paraId="34987E2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关于发包人向承包人免费提供满足工程施工需要的场内道路和交通设施的约定：</w:t>
      </w:r>
      <w:r>
        <w:rPr>
          <w:rFonts w:hint="eastAsia" w:ascii="宋体" w:hAnsi="宋体" w:eastAsia="宋体" w:cs="宋体"/>
          <w:color w:val="auto"/>
          <w:kern w:val="0"/>
          <w:szCs w:val="21"/>
          <w:highlight w:val="none"/>
          <w:u w:val="single"/>
        </w:rPr>
        <w:t>以施工场地移交时的现状为准</w:t>
      </w:r>
      <w:r>
        <w:rPr>
          <w:rFonts w:hint="eastAsia" w:ascii="宋体" w:hAnsi="宋体" w:eastAsia="宋体" w:cs="宋体"/>
          <w:color w:val="auto"/>
          <w:szCs w:val="21"/>
          <w:highlight w:val="none"/>
        </w:rPr>
        <w:t>。</w:t>
      </w:r>
    </w:p>
    <w:bookmarkEnd w:id="746"/>
    <w:bookmarkEnd w:id="747"/>
    <w:bookmarkEnd w:id="748"/>
    <w:bookmarkEnd w:id="749"/>
    <w:bookmarkEnd w:id="750"/>
    <w:p w14:paraId="6B34F8B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751" w:name="_Toc318581157"/>
      <w:r>
        <w:rPr>
          <w:rFonts w:hint="eastAsia" w:ascii="宋体" w:hAnsi="宋体" w:eastAsia="宋体" w:cs="宋体"/>
          <w:color w:val="auto"/>
          <w:szCs w:val="21"/>
          <w:highlight w:val="none"/>
        </w:rPr>
        <w:t>1.10.4 超大件和超重件的运输</w:t>
      </w:r>
    </w:p>
    <w:p w14:paraId="7F92B1B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发包人</w:t>
      </w:r>
      <w:r>
        <w:rPr>
          <w:rFonts w:hint="eastAsia" w:ascii="宋体" w:hAnsi="宋体" w:eastAsia="宋体" w:cs="宋体"/>
          <w:color w:val="auto"/>
          <w:szCs w:val="21"/>
          <w:highlight w:val="none"/>
        </w:rPr>
        <w:t>承担。</w:t>
      </w:r>
    </w:p>
    <w:bookmarkEnd w:id="751"/>
    <w:p w14:paraId="64CCD94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52" w:name="_Toc532377329"/>
      <w:r>
        <w:rPr>
          <w:rFonts w:hint="eastAsia" w:ascii="宋体" w:hAnsi="宋体" w:eastAsia="宋体" w:cs="宋体"/>
          <w:color w:val="auto"/>
          <w:sz w:val="21"/>
          <w:szCs w:val="21"/>
          <w:highlight w:val="none"/>
        </w:rPr>
        <w:t>1.11 知识产权</w:t>
      </w:r>
      <w:bookmarkEnd w:id="752"/>
    </w:p>
    <w:p w14:paraId="41124F7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属于发包人</w:t>
      </w:r>
      <w:r>
        <w:rPr>
          <w:rFonts w:hint="eastAsia" w:ascii="宋体" w:hAnsi="宋体" w:eastAsia="宋体" w:cs="宋体"/>
          <w:color w:val="auto"/>
          <w:szCs w:val="21"/>
          <w:highlight w:val="none"/>
        </w:rPr>
        <w:t>。</w:t>
      </w:r>
    </w:p>
    <w:p w14:paraId="5736BF8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按通用合同条款执行</w:t>
      </w:r>
      <w:r>
        <w:rPr>
          <w:rFonts w:hint="eastAsia" w:ascii="宋体" w:hAnsi="宋体" w:eastAsia="宋体" w:cs="宋体"/>
          <w:color w:val="auto"/>
          <w:szCs w:val="21"/>
          <w:highlight w:val="none"/>
        </w:rPr>
        <w:t>。</w:t>
      </w:r>
    </w:p>
    <w:p w14:paraId="1F25F20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41F051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53" w:name="_Toc532377330"/>
      <w:r>
        <w:rPr>
          <w:rFonts w:hint="eastAsia" w:ascii="宋体" w:hAnsi="宋体" w:eastAsia="宋体" w:cs="宋体"/>
          <w:color w:val="auto"/>
          <w:sz w:val="21"/>
          <w:szCs w:val="21"/>
          <w:highlight w:val="none"/>
        </w:rPr>
        <w:t>1.13工程量清单错误的修正</w:t>
      </w:r>
      <w:bookmarkEnd w:id="753"/>
    </w:p>
    <w:p w14:paraId="6CA78C2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出现工程量清单错误时，责任和权利划分：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FD04B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158EEB6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允许调整合同价格的工程量偏差范围：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3588021">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754" w:name="_Toc532375609"/>
      <w:bookmarkStart w:id="755" w:name="_Toc532377331"/>
      <w:bookmarkStart w:id="756" w:name="_Toc351203634"/>
      <w:r>
        <w:rPr>
          <w:rFonts w:hint="eastAsia" w:ascii="宋体" w:hAnsi="宋体" w:eastAsia="宋体" w:cs="宋体"/>
          <w:color w:val="auto"/>
          <w:sz w:val="21"/>
          <w:szCs w:val="21"/>
          <w:highlight w:val="none"/>
        </w:rPr>
        <w:t>2</w:t>
      </w:r>
      <w:bookmarkStart w:id="757" w:name="_Toc296347156"/>
      <w:bookmarkStart w:id="758" w:name="_Toc296890985"/>
      <w:bookmarkStart w:id="759" w:name="_Toc296503157"/>
      <w:bookmarkStart w:id="760" w:name="_Toc296346658"/>
      <w:bookmarkStart w:id="761" w:name="_Toc292559362"/>
      <w:bookmarkStart w:id="762" w:name="_Toc297120457"/>
      <w:bookmarkStart w:id="763" w:name="_Toc296944496"/>
      <w:bookmarkStart w:id="764" w:name="_Toc297048343"/>
      <w:bookmarkStart w:id="765" w:name="_Toc296891197"/>
      <w:bookmarkStart w:id="766" w:name="_Toc292559867"/>
      <w:r>
        <w:rPr>
          <w:rFonts w:hint="eastAsia" w:ascii="宋体" w:hAnsi="宋体" w:eastAsia="宋体" w:cs="宋体"/>
          <w:color w:val="auto"/>
          <w:sz w:val="21"/>
          <w:szCs w:val="21"/>
          <w:highlight w:val="none"/>
        </w:rPr>
        <w:t>. 发包人</w:t>
      </w:r>
      <w:bookmarkEnd w:id="754"/>
      <w:bookmarkEnd w:id="755"/>
      <w:bookmarkEnd w:id="756"/>
    </w:p>
    <w:bookmarkEnd w:id="757"/>
    <w:bookmarkEnd w:id="758"/>
    <w:bookmarkEnd w:id="759"/>
    <w:bookmarkEnd w:id="760"/>
    <w:bookmarkEnd w:id="761"/>
    <w:bookmarkEnd w:id="762"/>
    <w:bookmarkEnd w:id="763"/>
    <w:bookmarkEnd w:id="764"/>
    <w:bookmarkEnd w:id="765"/>
    <w:bookmarkEnd w:id="766"/>
    <w:p w14:paraId="1D2C234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发包人代表</w:t>
      </w:r>
    </w:p>
    <w:p w14:paraId="4CC7E69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076788F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AC37EE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6151AC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4753EA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B0F819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编：</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3EA414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eastAsia="宋体" w:cs="宋体"/>
          <w:color w:val="auto"/>
          <w:szCs w:val="21"/>
          <w:highlight w:val="none"/>
        </w:rPr>
        <w:t>。</w:t>
      </w:r>
    </w:p>
    <w:p w14:paraId="3854B9EE">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67" w:name="_Toc532377332"/>
      <w:r>
        <w:rPr>
          <w:rFonts w:hint="eastAsia" w:ascii="宋体" w:hAnsi="宋体" w:eastAsia="宋体" w:cs="宋体"/>
          <w:color w:val="auto"/>
          <w:sz w:val="21"/>
          <w:szCs w:val="21"/>
          <w:highlight w:val="none"/>
        </w:rPr>
        <w:t>2.4 施工现场、施工条件和基础资料的提供</w:t>
      </w:r>
      <w:bookmarkEnd w:id="767"/>
    </w:p>
    <w:p w14:paraId="56CB0C6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14:paraId="7A788F7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2.4.1.1 提供场地：</w:t>
      </w:r>
    </w:p>
    <w:p w14:paraId="102F1C1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施工场地的提供采用以下第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016BF1D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（1）一次提供全部施工场地：发包人于</w:t>
      </w:r>
      <w:r>
        <w:rPr>
          <w:rFonts w:hint="eastAsia" w:ascii="宋体" w:hAnsi="宋体" w:eastAsia="宋体" w:cs="宋体"/>
          <w:color w:val="auto"/>
          <w:szCs w:val="21"/>
          <w:highlight w:val="none"/>
          <w:u w:val="single"/>
        </w:rPr>
        <w:t>开工</w:t>
      </w:r>
      <w:r>
        <w:rPr>
          <w:rFonts w:hint="eastAsia" w:ascii="宋体" w:hAnsi="宋体" w:eastAsia="宋体" w:cs="宋体"/>
          <w:color w:val="auto"/>
          <w:szCs w:val="21"/>
          <w:highlight w:val="none"/>
        </w:rPr>
        <w:t>前向承包人提供合同工程用地红线范围内的施工场地。</w:t>
      </w:r>
    </w:p>
    <w:p w14:paraId="529F852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（2）分次提供全部施工场地：</w:t>
      </w:r>
      <w:r>
        <w:rPr>
          <w:rFonts w:hint="eastAsia" w:ascii="宋体" w:hAnsi="宋体" w:eastAsia="宋体" w:cs="宋体"/>
          <w:color w:val="auto"/>
          <w:szCs w:val="21"/>
          <w:highlight w:val="none"/>
          <w:u w:val="single"/>
        </w:rPr>
        <w:t>发包人按约定的时间分次向承包人提供合同工程用地红线范围内的施工场地</w:t>
      </w:r>
      <w:r>
        <w:rPr>
          <w:rFonts w:hint="eastAsia" w:ascii="宋体" w:hAnsi="宋体" w:eastAsia="宋体" w:cs="宋体"/>
          <w:color w:val="auto"/>
          <w:szCs w:val="21"/>
          <w:highlight w:val="none"/>
        </w:rPr>
        <w:t>。</w:t>
      </w:r>
    </w:p>
    <w:p w14:paraId="2480215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承包人编制的施工组织计划已充分考虑了施工场地提供的因素</w:t>
      </w:r>
      <w:r>
        <w:rPr>
          <w:rFonts w:hint="eastAsia" w:ascii="宋体" w:hAnsi="宋体" w:eastAsia="宋体" w:cs="宋体"/>
          <w:color w:val="auto"/>
          <w:szCs w:val="21"/>
          <w:highlight w:val="none"/>
        </w:rPr>
        <w:t>。</w:t>
      </w:r>
    </w:p>
    <w:p w14:paraId="1580DB0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eastAsia="宋体" w:cs="宋体"/>
          <w:color w:val="auto"/>
          <w:szCs w:val="21"/>
          <w:highlight w:val="none"/>
        </w:rPr>
        <w:t>。</w:t>
      </w:r>
    </w:p>
    <w:p w14:paraId="4666CE5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14:paraId="0DCCEDA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关于发包人应负责提供施工所需要的条件：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D5DE41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68" w:name="_Toc532377333"/>
      <w:r>
        <w:rPr>
          <w:rFonts w:hint="eastAsia" w:ascii="宋体" w:hAnsi="宋体" w:eastAsia="宋体" w:cs="宋体"/>
          <w:color w:val="auto"/>
          <w:sz w:val="21"/>
          <w:szCs w:val="21"/>
          <w:highlight w:val="none"/>
        </w:rPr>
        <w:t>2.5 资金来源证明及支付担保</w:t>
      </w:r>
      <w:bookmarkEnd w:id="768"/>
    </w:p>
    <w:p w14:paraId="0F10F29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不采用</w:t>
      </w:r>
      <w:r>
        <w:rPr>
          <w:rFonts w:hint="eastAsia" w:ascii="宋体" w:hAnsi="宋体" w:eastAsia="宋体" w:cs="宋体"/>
          <w:color w:val="auto"/>
          <w:szCs w:val="21"/>
          <w:highlight w:val="none"/>
        </w:rPr>
        <w:t>。</w:t>
      </w:r>
    </w:p>
    <w:p w14:paraId="30A9E02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提供</w:t>
      </w:r>
      <w:r>
        <w:rPr>
          <w:rFonts w:hint="eastAsia" w:ascii="宋体" w:hAnsi="宋体" w:eastAsia="宋体" w:cs="宋体"/>
          <w:color w:val="auto"/>
          <w:szCs w:val="21"/>
          <w:highlight w:val="none"/>
        </w:rPr>
        <w:t>。</w:t>
      </w:r>
    </w:p>
    <w:p w14:paraId="5E9E0DB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支付担保的形式：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72AC06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B9DB5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98825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E765FC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支付担保的退还时间：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06463E">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769" w:name="_Toc532375610"/>
      <w:bookmarkStart w:id="770" w:name="_Toc532377334"/>
      <w:bookmarkStart w:id="771" w:name="_Toc351203635"/>
      <w:r>
        <w:rPr>
          <w:rFonts w:hint="eastAsia" w:ascii="宋体" w:hAnsi="宋体" w:eastAsia="宋体" w:cs="宋体"/>
          <w:color w:val="auto"/>
          <w:sz w:val="21"/>
          <w:szCs w:val="21"/>
          <w:highlight w:val="none"/>
        </w:rPr>
        <w:t>3</w:t>
      </w:r>
      <w:bookmarkStart w:id="772" w:name="_Toc297120458"/>
      <w:bookmarkStart w:id="773" w:name="_Toc296346659"/>
      <w:bookmarkStart w:id="774" w:name="_Toc297048344"/>
      <w:bookmarkStart w:id="775" w:name="_Toc296347157"/>
      <w:bookmarkStart w:id="776" w:name="_Toc296944497"/>
      <w:bookmarkStart w:id="777" w:name="_Toc296891198"/>
      <w:bookmarkStart w:id="778" w:name="_Toc292559363"/>
      <w:bookmarkStart w:id="779" w:name="_Toc296503158"/>
      <w:bookmarkStart w:id="780" w:name="_Toc292559868"/>
      <w:bookmarkStart w:id="781" w:name="_Toc296890986"/>
      <w:r>
        <w:rPr>
          <w:rFonts w:hint="eastAsia" w:ascii="宋体" w:hAnsi="宋体" w:eastAsia="宋体" w:cs="宋体"/>
          <w:color w:val="auto"/>
          <w:sz w:val="21"/>
          <w:szCs w:val="21"/>
          <w:highlight w:val="none"/>
        </w:rPr>
        <w:t>. 承包人</w:t>
      </w:r>
      <w:bookmarkEnd w:id="769"/>
      <w:bookmarkEnd w:id="770"/>
      <w:bookmarkEnd w:id="771"/>
    </w:p>
    <w:bookmarkEnd w:id="772"/>
    <w:bookmarkEnd w:id="773"/>
    <w:bookmarkEnd w:id="774"/>
    <w:bookmarkEnd w:id="775"/>
    <w:bookmarkEnd w:id="776"/>
    <w:bookmarkEnd w:id="777"/>
    <w:bookmarkEnd w:id="778"/>
    <w:bookmarkEnd w:id="779"/>
    <w:bookmarkEnd w:id="780"/>
    <w:bookmarkEnd w:id="781"/>
    <w:p w14:paraId="778C84EB">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82" w:name="_Toc532377335"/>
      <w:r>
        <w:rPr>
          <w:rFonts w:hint="eastAsia" w:ascii="宋体" w:hAnsi="宋体" w:eastAsia="宋体" w:cs="宋体"/>
          <w:color w:val="auto"/>
          <w:sz w:val="21"/>
          <w:szCs w:val="21"/>
          <w:highlight w:val="none"/>
        </w:rPr>
        <w:t>3.1 承包人的一般义务</w:t>
      </w:r>
      <w:bookmarkEnd w:id="782"/>
    </w:p>
    <w:p w14:paraId="327AE08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本款细化为3.1.1～3.1.10项：</w:t>
      </w:r>
    </w:p>
    <w:p w14:paraId="17950E5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3D588E0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1E0D9B2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239FEC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7958AEC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E66306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3.1.6按照第6.3款〔环境保护〕约定负责施工场地及其周边环境与生态的保护工作。</w:t>
      </w:r>
    </w:p>
    <w:p w14:paraId="2F0FB3F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3.1.7按照第6.1款〔安全文明施工〕约定采取施工安全措施，确保工程及其人员、材料、设备和设施的安全，防止因工程施工造成的人身伤害和财产损失。</w:t>
      </w:r>
    </w:p>
    <w:p w14:paraId="031AD933">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3.1.8将发包人按合同约定支付的各项价款专用于合同工程，且应及时支付其雇用人员工资，并及时向分包人支付合同价款。</w:t>
      </w:r>
    </w:p>
    <w:p w14:paraId="7026EB47">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3.1.9承包人提交的竣工资料的内容：</w:t>
      </w:r>
      <w:r>
        <w:rPr>
          <w:rFonts w:hint="eastAsia" w:ascii="宋体" w:hAnsi="宋体" w:eastAsia="宋体" w:cs="宋体"/>
          <w:color w:val="auto"/>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eastAsia="宋体" w:cs="宋体"/>
          <w:color w:val="auto"/>
          <w:szCs w:val="21"/>
          <w:highlight w:val="none"/>
        </w:rPr>
        <w:t>。</w:t>
      </w:r>
    </w:p>
    <w:p w14:paraId="14E97904">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承包人需要提交的竣工资料套数：完整竣工资料一式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套（含电子文档）。</w:t>
      </w:r>
    </w:p>
    <w:p w14:paraId="61F2C07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Cs w:val="21"/>
          <w:highlight w:val="none"/>
        </w:rPr>
        <w:t>。</w:t>
      </w:r>
    </w:p>
    <w:p w14:paraId="4BFBA62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工程竣工验收合格后  个月内移交给发包人</w:t>
      </w:r>
      <w:r>
        <w:rPr>
          <w:rFonts w:hint="eastAsia" w:ascii="宋体" w:hAnsi="宋体" w:eastAsia="宋体" w:cs="宋体"/>
          <w:color w:val="auto"/>
          <w:szCs w:val="21"/>
          <w:highlight w:val="none"/>
        </w:rPr>
        <w:t>。</w:t>
      </w:r>
    </w:p>
    <w:p w14:paraId="2494089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完整的书面文件及电子文档</w:t>
      </w:r>
      <w:r>
        <w:rPr>
          <w:rFonts w:hint="eastAsia" w:ascii="宋体" w:hAnsi="宋体" w:eastAsia="宋体" w:cs="宋体"/>
          <w:color w:val="auto"/>
          <w:szCs w:val="21"/>
          <w:highlight w:val="none"/>
        </w:rPr>
        <w:t>。</w:t>
      </w:r>
    </w:p>
    <w:p w14:paraId="24EF0C3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3.1.10承包人应履行的其他义务：</w:t>
      </w:r>
    </w:p>
    <w:p w14:paraId="3602A09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3.1.10.1在开始施工之前，承包人应核查、复测本工程的各种基准标志。承包人应及时将上述基准标志中存在的错误、不完整或其他缺陷通知发包人，以便发包人核实后重新确认。</w:t>
      </w:r>
    </w:p>
    <w:p w14:paraId="004E89A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7EF8639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4ED8856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3.1.10.4承包人应服从发包人要求的管理模式、工作方式和工作要求，同时接受监理人、跟审单位的管理和全程监督，配合项目结、决算的办理。</w:t>
      </w:r>
    </w:p>
    <w:p w14:paraId="5A8F4F8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3.1.10.5</w:t>
      </w:r>
      <w:r>
        <w:rPr>
          <w:rFonts w:hint="eastAsia" w:ascii="宋体" w:hAnsi="宋体" w:eastAsia="宋体" w:cs="宋体"/>
          <w:color w:val="auto"/>
          <w:szCs w:val="21"/>
          <w:highlight w:val="none"/>
          <w:u w:val="single"/>
        </w:rPr>
        <w:t>承包人应为本工程开立专用账户，接受发包人的监管</w:t>
      </w:r>
      <w:r>
        <w:rPr>
          <w:rFonts w:hint="eastAsia" w:ascii="宋体" w:hAnsi="宋体" w:eastAsia="宋体" w:cs="宋体"/>
          <w:color w:val="auto"/>
          <w:szCs w:val="21"/>
          <w:highlight w:val="none"/>
        </w:rPr>
        <w:t>。</w:t>
      </w:r>
    </w:p>
    <w:p w14:paraId="25C95FD7">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3.1.10.6</w:t>
      </w:r>
      <w:r>
        <w:rPr>
          <w:rFonts w:hint="eastAsia" w:ascii="宋体" w:hAnsi="宋体" w:eastAsia="宋体" w:cs="宋体"/>
          <w:color w:val="auto"/>
          <w:szCs w:val="21"/>
          <w:highlight w:val="none"/>
          <w:u w:val="single"/>
        </w:rPr>
        <w:t xml:space="preserve">        。</w:t>
      </w:r>
    </w:p>
    <w:p w14:paraId="005B06F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83" w:name="_Toc532377336"/>
      <w:r>
        <w:rPr>
          <w:rFonts w:hint="eastAsia" w:ascii="宋体" w:hAnsi="宋体" w:eastAsia="宋体" w:cs="宋体"/>
          <w:color w:val="auto"/>
          <w:sz w:val="21"/>
          <w:szCs w:val="21"/>
          <w:highlight w:val="none"/>
        </w:rPr>
        <w:t>3.2 项目经理</w:t>
      </w:r>
      <w:bookmarkEnd w:id="783"/>
    </w:p>
    <w:p w14:paraId="77F57C5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14:paraId="3357B74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5051489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5F40A4B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34BE4A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56A6781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14:paraId="148C0B4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0D6325A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14:paraId="234294D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szCs w:val="21"/>
          <w:highlight w:val="none"/>
        </w:rPr>
        <w:t>。</w:t>
      </w:r>
    </w:p>
    <w:p w14:paraId="4B4EDEE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关于项目经理每月在施工现场的时间要求：</w:t>
      </w:r>
      <w:r>
        <w:rPr>
          <w:rFonts w:hint="eastAsia" w:ascii="宋体" w:hAnsi="宋体" w:eastAsia="宋体" w:cs="宋体"/>
          <w:color w:val="auto"/>
          <w:szCs w:val="21"/>
          <w:highlight w:val="none"/>
          <w:u w:val="single"/>
        </w:rPr>
        <w:t>不少于22天，由监理人负责项目经理的考勤</w:t>
      </w:r>
      <w:r>
        <w:rPr>
          <w:rFonts w:hint="eastAsia" w:ascii="宋体" w:hAnsi="宋体" w:eastAsia="宋体" w:cs="宋体"/>
          <w:color w:val="auto"/>
          <w:szCs w:val="21"/>
          <w:highlight w:val="none"/>
        </w:rPr>
        <w:t>。</w:t>
      </w:r>
    </w:p>
    <w:p w14:paraId="4E46DE0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eastAsia="宋体" w:cs="宋体"/>
          <w:color w:val="auto"/>
          <w:szCs w:val="21"/>
          <w:highlight w:val="none"/>
        </w:rPr>
        <w:t>。</w:t>
      </w:r>
    </w:p>
    <w:p w14:paraId="3801AD9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技术负责人</w:t>
      </w:r>
    </w:p>
    <w:p w14:paraId="7B0CE67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4135DA5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09EBF1C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4BE7DD2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r>
        <w:rPr>
          <w:rFonts w:hint="eastAsia" w:ascii="宋体" w:hAnsi="宋体" w:eastAsia="宋体" w:cs="宋体"/>
          <w:color w:val="auto"/>
          <w:szCs w:val="21"/>
          <w:highlight w:val="none"/>
          <w:u w:val="single"/>
        </w:rPr>
        <w:t xml:space="preserve">                           </w:t>
      </w:r>
      <w:r>
        <w:rPr>
          <w:rFonts w:hint="eastAsia" w:ascii="宋体" w:hAnsi="宋体" w:eastAsia="宋体" w:cs="宋体"/>
          <w:color w:val="auto"/>
          <w:szCs w:val="21"/>
          <w:highlight w:val="none"/>
        </w:rPr>
        <w:t>；</w:t>
      </w:r>
    </w:p>
    <w:p w14:paraId="1F104BA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证书名称及号码：</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46D9C8F2">
      <w:pPr>
        <w:pStyle w:val="2"/>
        <w:wordWrap/>
        <w:spacing w:beforeAutospacing="0" w:after="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09A390B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关于技</w:t>
      </w:r>
      <w:r>
        <w:rPr>
          <w:rFonts w:hint="eastAsia" w:ascii="宋体" w:hAnsi="宋体" w:eastAsia="宋体" w:cs="宋体"/>
          <w:color w:val="auto"/>
          <w:szCs w:val="21"/>
          <w:highlight w:val="none"/>
        </w:rPr>
        <w:t>术负责人每月在施工现场的时间要求：</w:t>
      </w:r>
      <w:r>
        <w:rPr>
          <w:rFonts w:hint="eastAsia" w:ascii="宋体" w:hAnsi="宋体" w:eastAsia="宋体" w:cs="宋体"/>
          <w:color w:val="auto"/>
          <w:szCs w:val="21"/>
          <w:highlight w:val="none"/>
          <w:u w:val="single"/>
        </w:rPr>
        <w:t>不少于22天，由监理人负责技术负责人的考勤</w:t>
      </w:r>
      <w:r>
        <w:rPr>
          <w:rFonts w:hint="eastAsia" w:ascii="宋体" w:hAnsi="宋体" w:eastAsia="宋体" w:cs="宋体"/>
          <w:color w:val="auto"/>
          <w:szCs w:val="21"/>
          <w:highlight w:val="none"/>
        </w:rPr>
        <w:t>。</w:t>
      </w:r>
    </w:p>
    <w:p w14:paraId="5E9B54B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eastAsia="宋体" w:cs="宋体"/>
          <w:color w:val="auto"/>
          <w:szCs w:val="21"/>
          <w:highlight w:val="none"/>
        </w:rPr>
        <w:t>。</w:t>
      </w:r>
      <w:bookmarkStart w:id="784" w:name="_Hlk528927599"/>
    </w:p>
    <w:bookmarkEnd w:id="784"/>
    <w:p w14:paraId="158ACFB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785" w:name="_Hlk528927718"/>
      <w:r>
        <w:rPr>
          <w:rFonts w:hint="eastAsia" w:ascii="宋体" w:hAnsi="宋体" w:eastAsia="宋体" w:cs="宋体"/>
          <w:color w:val="auto"/>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785"/>
    </w:p>
    <w:p w14:paraId="25F60E6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6A4A860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1、死亡；</w:t>
      </w:r>
    </w:p>
    <w:p w14:paraId="2062B51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2、非承包人原因导致工期延长，而致使项目经理和技术负责人达到法定退休年龄且确需退休；</w:t>
      </w:r>
    </w:p>
    <w:p w14:paraId="69909AD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3、按《职工非因工伤残或因病丧失劳动能力程度鉴定标准（试行）》规定鉴定为完全丧失劳动能力和大部分丧失劳动能力；</w:t>
      </w:r>
    </w:p>
    <w:p w14:paraId="090D13A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4、非承包人原因导致中标3个月不能开工；</w:t>
      </w:r>
    </w:p>
    <w:p w14:paraId="210B181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5、被公安或者司法机关限制人身自由；</w:t>
      </w:r>
    </w:p>
    <w:p w14:paraId="77BA025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6、被取消职称或者执业资格，不满足项目管理要求；</w:t>
      </w:r>
    </w:p>
    <w:p w14:paraId="05C1FF0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7、非承包人原因导致确需变更的其它情形。</w:t>
      </w:r>
    </w:p>
    <w:p w14:paraId="60897BD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本款补充3.2.6项</w:t>
      </w:r>
    </w:p>
    <w:p w14:paraId="45376FA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 国有资金投资项目其他主要人员变更参照《重庆市政府投资项目合同变更管理暂行办法》的规定。</w:t>
      </w:r>
    </w:p>
    <w:p w14:paraId="620F7C6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86" w:name="_Toc532377337"/>
      <w:r>
        <w:rPr>
          <w:rFonts w:hint="eastAsia" w:ascii="宋体" w:hAnsi="宋体" w:eastAsia="宋体" w:cs="宋体"/>
          <w:color w:val="auto"/>
          <w:sz w:val="21"/>
          <w:szCs w:val="21"/>
          <w:highlight w:val="none"/>
        </w:rPr>
        <w:t>3.3 承包人人员</w:t>
      </w:r>
      <w:bookmarkEnd w:id="786"/>
    </w:p>
    <w:p w14:paraId="22CFA3D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承包人应按建设行政主管部门现行规定配备现场施工从业人员，具体要求如下：</w:t>
      </w:r>
      <w:r>
        <w:rPr>
          <w:rFonts w:hint="eastAsia" w:ascii="宋体" w:hAnsi="宋体" w:eastAsia="宋体" w:cs="宋体"/>
          <w:color w:val="auto"/>
          <w:szCs w:val="21"/>
          <w:highlight w:val="none"/>
          <w:u w:val="single"/>
        </w:rPr>
        <w:t xml:space="preserve">        </w:t>
      </w:r>
    </w:p>
    <w:p w14:paraId="66D837F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5650EF8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540A74C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 承包人主要施工管理人员离开施工现场，指定的临时人员需满足：</w:t>
      </w:r>
      <w:r>
        <w:rPr>
          <w:rFonts w:hint="eastAsia" w:ascii="宋体" w:hAnsi="宋体" w:eastAsia="宋体" w:cs="宋体"/>
          <w:color w:val="auto"/>
          <w:szCs w:val="21"/>
          <w:highlight w:val="none"/>
          <w:u w:val="single"/>
        </w:rPr>
        <w:t>《重庆市房屋建筑与市政基础设施工程现场施工从业人员配备标准》（DBJ50-157-2013）的相应要求</w:t>
      </w:r>
      <w:r>
        <w:rPr>
          <w:rFonts w:hint="eastAsia" w:ascii="宋体" w:hAnsi="宋体" w:eastAsia="宋体" w:cs="宋体"/>
          <w:color w:val="auto"/>
          <w:szCs w:val="21"/>
          <w:highlight w:val="none"/>
        </w:rPr>
        <w:t>。</w:t>
      </w:r>
    </w:p>
    <w:p w14:paraId="48F53C26">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787" w:name="_Toc532377338"/>
      <w:r>
        <w:rPr>
          <w:rFonts w:hint="eastAsia" w:ascii="宋体" w:hAnsi="宋体" w:eastAsia="宋体" w:cs="宋体"/>
          <w:color w:val="auto"/>
          <w:sz w:val="21"/>
          <w:szCs w:val="21"/>
          <w:highlight w:val="none"/>
        </w:rPr>
        <w:t>3</w:t>
      </w:r>
      <w:bookmarkStart w:id="788" w:name="_Toc303539102"/>
      <w:bookmarkStart w:id="789" w:name="_Toc297048345"/>
      <w:bookmarkStart w:id="790" w:name="_Toc296890987"/>
      <w:bookmarkStart w:id="791" w:name="_Toc292559364"/>
      <w:bookmarkStart w:id="792" w:name="_Toc300934945"/>
      <w:bookmarkStart w:id="793" w:name="_Toc292559869"/>
      <w:bookmarkStart w:id="794" w:name="_Toc296347158"/>
      <w:bookmarkStart w:id="795" w:name="_Toc304295523"/>
      <w:bookmarkStart w:id="796" w:name="_Toc297120459"/>
      <w:bookmarkStart w:id="797" w:name="_Toc296346660"/>
      <w:bookmarkStart w:id="798" w:name="_Toc296891199"/>
      <w:bookmarkStart w:id="799" w:name="_Toc296503159"/>
      <w:bookmarkStart w:id="800" w:name="_Toc312677988"/>
      <w:bookmarkStart w:id="801" w:name="_Toc297123492"/>
      <w:bookmarkStart w:id="802" w:name="_Toc296944498"/>
      <w:bookmarkStart w:id="803" w:name="_Toc297216151"/>
      <w:r>
        <w:rPr>
          <w:rFonts w:hint="eastAsia" w:ascii="宋体" w:hAnsi="宋体" w:eastAsia="宋体" w:cs="宋体"/>
          <w:color w:val="auto"/>
          <w:sz w:val="21"/>
          <w:szCs w:val="21"/>
          <w:highlight w:val="none"/>
        </w:rPr>
        <w:t>.5 分包</w:t>
      </w:r>
      <w:bookmarkEnd w:id="787"/>
    </w:p>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14:paraId="67AFD61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804" w:name="_Toc312677989"/>
      <w:bookmarkStart w:id="805" w:name="_Toc297048346"/>
      <w:bookmarkStart w:id="806" w:name="_Toc296944499"/>
      <w:bookmarkStart w:id="807" w:name="_Toc318581158"/>
      <w:bookmarkStart w:id="808" w:name="_Toc292559870"/>
      <w:bookmarkStart w:id="809" w:name="_Toc297216152"/>
      <w:bookmarkStart w:id="810" w:name="_Toc296503160"/>
      <w:bookmarkStart w:id="811" w:name="_Toc296346661"/>
      <w:bookmarkStart w:id="812" w:name="_Toc297120460"/>
      <w:bookmarkStart w:id="813" w:name="_Toc300934946"/>
      <w:bookmarkStart w:id="814" w:name="_Toc296347159"/>
      <w:bookmarkStart w:id="815" w:name="_Toc296891200"/>
      <w:bookmarkStart w:id="816" w:name="_Toc303539103"/>
      <w:bookmarkStart w:id="817" w:name="_Toc296890988"/>
      <w:bookmarkStart w:id="818" w:name="_Toc297123493"/>
      <w:bookmarkStart w:id="819" w:name="_Toc292559365"/>
      <w:bookmarkStart w:id="820" w:name="_Toc304295524"/>
      <w:r>
        <w:rPr>
          <w:rFonts w:hint="eastAsia" w:ascii="宋体" w:hAnsi="宋体" w:eastAsia="宋体" w:cs="宋体"/>
          <w:color w:val="auto"/>
          <w:szCs w:val="21"/>
          <w:highlight w:val="none"/>
        </w:rPr>
        <w:t>.5.1 分包的一般约定</w:t>
      </w:r>
    </w:p>
    <w:p w14:paraId="22E743A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禁止分包的工程包括：主体结构、关键性工作等国家法律、法规禁止分包的工程。</w:t>
      </w:r>
    </w:p>
    <w:p w14:paraId="23DDEA1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主体结构、关键性工作的范围：国家法律、法规、规范、标准等所约束的范围。如房建工程主体结构指混凝土工程、砌体工程、钢结构工程（具体有基础、梁、板、柱、砼墙、楼梯工程等）</w:t>
      </w:r>
      <w:bookmarkStart w:id="821" w:name="_Toc296347160"/>
      <w:bookmarkStart w:id="822" w:name="_Toc296890989"/>
      <w:bookmarkStart w:id="823" w:name="_Toc297216153"/>
      <w:bookmarkStart w:id="824" w:name="_Toc296346662"/>
      <w:bookmarkStart w:id="825" w:name="_Toc304295525"/>
      <w:bookmarkStart w:id="826" w:name="_Toc303539104"/>
      <w:bookmarkStart w:id="827" w:name="_Toc297048347"/>
      <w:bookmarkStart w:id="828" w:name="_Toc300934947"/>
      <w:bookmarkStart w:id="829" w:name="_Toc296503161"/>
      <w:bookmarkStart w:id="830" w:name="_Toc297120461"/>
      <w:bookmarkStart w:id="831" w:name="_Toc297123494"/>
      <w:bookmarkStart w:id="832" w:name="_Toc296891201"/>
      <w:bookmarkStart w:id="833" w:name="_Toc296944500"/>
      <w:r>
        <w:rPr>
          <w:rFonts w:hint="eastAsia" w:ascii="宋体" w:hAnsi="宋体" w:eastAsia="宋体" w:cs="宋体"/>
          <w:color w:val="auto"/>
          <w:szCs w:val="21"/>
          <w:highlight w:val="none"/>
        </w:rPr>
        <w:t>；关键性工作指梁、板、柱等部位。</w:t>
      </w:r>
    </w:p>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14:paraId="0090918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081194F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834" w:name="_Toc318581159"/>
      <w:bookmarkStart w:id="835" w:name="_Toc312677990"/>
      <w:r>
        <w:rPr>
          <w:rFonts w:hint="eastAsia" w:ascii="宋体" w:hAnsi="宋体" w:eastAsia="宋体" w:cs="宋体"/>
          <w:color w:val="auto"/>
          <w:szCs w:val="21"/>
          <w:highlight w:val="none"/>
        </w:rPr>
        <w:t>.5.2分包的确定</w:t>
      </w:r>
    </w:p>
    <w:p w14:paraId="4C490113">
      <w:pPr>
        <w:wordWrap/>
        <w:spacing w:beforeAutospacing="0" w:after="0" w:afterAutospacing="0" w:line="380" w:lineRule="exact"/>
        <w:ind w:firstLine="420" w:firstLineChars="200"/>
        <w:jc w:val="left"/>
        <w:rPr>
          <w:rFonts w:hint="eastAsia" w:ascii="宋体" w:hAnsi="宋体" w:eastAsia="宋体" w:cs="宋体"/>
          <w:i/>
          <w:iCs/>
          <w:color w:val="auto"/>
          <w:szCs w:val="21"/>
          <w:highlight w:val="non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rPr>
        <w:t>[提示：符合《中华人民共和国建筑法》和《中华人民共和国招标投标法》的相关规定。]</w:t>
      </w:r>
    </w:p>
    <w:p w14:paraId="75A61CE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分包合同价款</w:t>
      </w:r>
    </w:p>
    <w:p w14:paraId="6462CE7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bookmarkEnd w:id="834"/>
      <w:bookmarkEnd w:id="835"/>
      <w:r>
        <w:rPr>
          <w:rFonts w:hint="eastAsia" w:ascii="宋体" w:hAnsi="宋体" w:eastAsia="宋体" w:cs="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eastAsia="宋体" w:cs="宋体"/>
          <w:color w:val="auto"/>
          <w:szCs w:val="21"/>
          <w:highlight w:val="none"/>
        </w:rPr>
        <w:t>。</w:t>
      </w:r>
    </w:p>
    <w:p w14:paraId="42BC493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本款补充3.5.6项：</w:t>
      </w:r>
    </w:p>
    <w:p w14:paraId="49DACF6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3.5.6严禁违法分包</w:t>
      </w:r>
    </w:p>
    <w:p w14:paraId="2872394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65C6F9E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36" w:name="_Toc532377339"/>
      <w:r>
        <w:rPr>
          <w:rFonts w:hint="eastAsia" w:ascii="宋体" w:hAnsi="宋体" w:eastAsia="宋体" w:cs="宋体"/>
          <w:color w:val="auto"/>
          <w:sz w:val="21"/>
          <w:szCs w:val="21"/>
          <w:highlight w:val="none"/>
        </w:rPr>
        <w:t>3.7 履约担保</w:t>
      </w:r>
      <w:bookmarkEnd w:id="836"/>
    </w:p>
    <w:p w14:paraId="1C534F7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3.7.1承包人是否提供履约担保：</w:t>
      </w:r>
      <w:r>
        <w:rPr>
          <w:rFonts w:hint="eastAsia" w:ascii="宋体" w:hAnsi="宋体" w:eastAsia="宋体" w:cs="宋体"/>
          <w:color w:val="auto"/>
          <w:szCs w:val="21"/>
          <w:highlight w:val="none"/>
          <w:u w:val="single"/>
        </w:rPr>
        <w:t>提供</w:t>
      </w:r>
      <w:r>
        <w:rPr>
          <w:rFonts w:hint="eastAsia" w:ascii="宋体" w:hAnsi="宋体" w:eastAsia="宋体" w:cs="宋体"/>
          <w:color w:val="auto"/>
          <w:szCs w:val="21"/>
          <w:highlight w:val="none"/>
        </w:rPr>
        <w:t>。</w:t>
      </w:r>
    </w:p>
    <w:p w14:paraId="6F2C551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3.7.2承包人提供履约担保的形式、金额及期限：</w:t>
      </w:r>
    </w:p>
    <w:p w14:paraId="35D74DB4">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（1）履约担保的形式：现金或履约保函或现金+履约保函的组合，</w:t>
      </w:r>
      <w:r>
        <w:rPr>
          <w:rFonts w:hint="eastAsia" w:ascii="宋体" w:hAnsi="宋体" w:eastAsia="宋体" w:cs="宋体"/>
          <w:color w:val="auto"/>
          <w:kern w:val="0"/>
          <w:szCs w:val="21"/>
          <w:highlight w:val="none"/>
        </w:rPr>
        <w:t>履约保函包括银行保函、保证保险和担保保函</w:t>
      </w:r>
      <w:r>
        <w:rPr>
          <w:rFonts w:hint="eastAsia" w:ascii="宋体" w:hAnsi="宋体" w:eastAsia="宋体" w:cs="宋体"/>
          <w:color w:val="auto"/>
          <w:szCs w:val="21"/>
          <w:highlight w:val="none"/>
        </w:rPr>
        <w:t>，其示范文本详见合同附件。</w:t>
      </w:r>
      <w:r>
        <w:rPr>
          <w:rFonts w:hint="eastAsia" w:ascii="宋体" w:hAnsi="宋体" w:eastAsia="宋体" w:cs="宋体"/>
          <w:color w:val="auto"/>
          <w:kern w:val="0"/>
          <w:szCs w:val="21"/>
          <w:highlight w:val="none"/>
        </w:rPr>
        <w:t>承包人提交的履约保函应严格执行其示范文本，不得对示范文本中的实质性内容进行修改。</w:t>
      </w:r>
      <w:r>
        <w:rPr>
          <w:rFonts w:hint="eastAsia" w:ascii="宋体" w:hAnsi="宋体" w:eastAsia="宋体" w:cs="宋体"/>
          <w:color w:val="auto"/>
          <w:szCs w:val="21"/>
          <w:highlight w:val="none"/>
        </w:rPr>
        <w:t>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0CDF1FB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7F0CD7E1">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（3）履约担保的金额：</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w:t>
      </w:r>
    </w:p>
    <w:p w14:paraId="08D13DC6">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（4）履约担保的提交时间：</w:t>
      </w:r>
      <w:r>
        <w:rPr>
          <w:rFonts w:hint="eastAsia" w:ascii="宋体" w:hAnsi="宋体" w:eastAsia="宋体" w:cs="宋体"/>
          <w:color w:val="auto"/>
          <w:szCs w:val="21"/>
          <w:highlight w:val="none"/>
          <w:u w:val="single"/>
        </w:rPr>
        <w:t>在合同签订前，承包人按担保金额向发包人提交履约担保</w:t>
      </w:r>
      <w:r>
        <w:rPr>
          <w:rFonts w:hint="eastAsia" w:ascii="宋体" w:hAnsi="宋体" w:eastAsia="宋体" w:cs="宋体"/>
          <w:color w:val="auto"/>
          <w:szCs w:val="21"/>
          <w:highlight w:val="none"/>
        </w:rPr>
        <w:t>。</w:t>
      </w:r>
    </w:p>
    <w:p w14:paraId="27C3E506">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（5）履约担保的期限：</w:t>
      </w:r>
      <w:r>
        <w:rPr>
          <w:rFonts w:hint="eastAsia" w:ascii="宋体" w:hAnsi="宋体" w:eastAsia="宋体" w:cs="宋体"/>
          <w:color w:val="auto"/>
          <w:szCs w:val="21"/>
          <w:highlight w:val="none"/>
          <w:u w:val="single"/>
        </w:rPr>
        <w:t>自我方法定代表人（或其委托代理人）签名并加盖单位公章之日起至你方签发或应签发工程接收证书之日止</w:t>
      </w:r>
      <w:r>
        <w:rPr>
          <w:rFonts w:hint="eastAsia" w:ascii="宋体" w:hAnsi="宋体" w:eastAsia="宋体" w:cs="宋体"/>
          <w:color w:val="auto"/>
          <w:szCs w:val="21"/>
          <w:highlight w:val="none"/>
        </w:rPr>
        <w:t>。</w:t>
      </w:r>
    </w:p>
    <w:p w14:paraId="635F1A49">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（6）履约担保的退还时间：</w:t>
      </w:r>
      <w:r>
        <w:rPr>
          <w:rFonts w:hint="eastAsia" w:ascii="宋体" w:hAnsi="宋体" w:eastAsia="宋体" w:cs="宋体"/>
          <w:color w:val="auto"/>
          <w:szCs w:val="21"/>
          <w:highlight w:val="none"/>
          <w:u w:val="single"/>
        </w:rPr>
        <w:t>采用现金担保的，工程竣工验收合格后14天内退还；采用履约保函的，工程竣工验收合格后14天内退还，或按工程实际情况约定分阶段退还，阶段划分按以下标准执行：</w:t>
      </w:r>
    </w:p>
    <w:p w14:paraId="268866EC">
      <w:pPr>
        <w:tabs>
          <w:tab w:val="left" w:pos="1134"/>
        </w:tabs>
        <w:wordWrap/>
        <w:spacing w:beforeAutospacing="0" w:after="0" w:afterAutospacing="0"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9FD91A">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837" w:name="_Toc532375611"/>
      <w:bookmarkStart w:id="838" w:name="_Toc351203636"/>
      <w:bookmarkStart w:id="839" w:name="_Toc532377340"/>
      <w:r>
        <w:rPr>
          <w:rFonts w:hint="eastAsia" w:ascii="宋体" w:hAnsi="宋体" w:eastAsia="宋体" w:cs="宋体"/>
          <w:color w:val="auto"/>
          <w:sz w:val="21"/>
          <w:szCs w:val="21"/>
          <w:highlight w:val="none"/>
        </w:rPr>
        <w:t>4</w:t>
      </w:r>
      <w:bookmarkStart w:id="840" w:name="_Toc297048348"/>
      <w:bookmarkStart w:id="841" w:name="_Toc296503162"/>
      <w:bookmarkStart w:id="842" w:name="_Toc296347161"/>
      <w:bookmarkStart w:id="843" w:name="_Toc297120462"/>
      <w:bookmarkStart w:id="844" w:name="_Toc296891202"/>
      <w:bookmarkStart w:id="845" w:name="_Toc296944501"/>
      <w:bookmarkStart w:id="846" w:name="_Toc292559366"/>
      <w:bookmarkStart w:id="847" w:name="_Toc296890990"/>
      <w:bookmarkStart w:id="848" w:name="_Toc292559871"/>
      <w:bookmarkStart w:id="849" w:name="_Toc267251413"/>
      <w:bookmarkStart w:id="850" w:name="_Toc296346663"/>
      <w:r>
        <w:rPr>
          <w:rFonts w:hint="eastAsia" w:ascii="宋体" w:hAnsi="宋体" w:eastAsia="宋体" w:cs="宋体"/>
          <w:color w:val="auto"/>
          <w:sz w:val="21"/>
          <w:szCs w:val="21"/>
          <w:highlight w:val="none"/>
        </w:rPr>
        <w:t>. 监</w:t>
      </w:r>
      <w:bookmarkEnd w:id="840"/>
      <w:bookmarkEnd w:id="841"/>
      <w:bookmarkEnd w:id="842"/>
      <w:bookmarkEnd w:id="843"/>
      <w:bookmarkEnd w:id="844"/>
      <w:bookmarkEnd w:id="845"/>
      <w:bookmarkEnd w:id="846"/>
      <w:bookmarkEnd w:id="847"/>
      <w:bookmarkEnd w:id="848"/>
      <w:bookmarkEnd w:id="849"/>
      <w:bookmarkEnd w:id="850"/>
      <w:r>
        <w:rPr>
          <w:rFonts w:hint="eastAsia" w:ascii="宋体" w:hAnsi="宋体" w:eastAsia="宋体" w:cs="宋体"/>
          <w:color w:val="auto"/>
          <w:sz w:val="21"/>
          <w:szCs w:val="21"/>
          <w:highlight w:val="none"/>
        </w:rPr>
        <w:t>理人</w:t>
      </w:r>
      <w:bookmarkEnd w:id="837"/>
      <w:bookmarkEnd w:id="838"/>
      <w:bookmarkEnd w:id="839"/>
    </w:p>
    <w:p w14:paraId="08AEC682">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51" w:name="_Toc532377341"/>
      <w:r>
        <w:rPr>
          <w:rFonts w:hint="eastAsia" w:ascii="宋体" w:hAnsi="宋体" w:eastAsia="宋体" w:cs="宋体"/>
          <w:color w:val="auto"/>
          <w:sz w:val="21"/>
          <w:szCs w:val="21"/>
          <w:highlight w:val="none"/>
        </w:rPr>
        <w:t>4.1 监理人的一般规定</w:t>
      </w:r>
      <w:bookmarkEnd w:id="851"/>
    </w:p>
    <w:p w14:paraId="28BBBD0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见发包人与监理人就本工程签订的监理合同</w:t>
      </w:r>
      <w:r>
        <w:rPr>
          <w:rFonts w:hint="eastAsia" w:ascii="宋体" w:hAnsi="宋体" w:eastAsia="宋体" w:cs="宋体"/>
          <w:color w:val="auto"/>
          <w:szCs w:val="21"/>
          <w:highlight w:val="none"/>
        </w:rPr>
        <w:t>。</w:t>
      </w:r>
    </w:p>
    <w:p w14:paraId="40EA17B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eastAsia="宋体" w:cs="宋体"/>
          <w:color w:val="auto"/>
          <w:szCs w:val="21"/>
          <w:highlight w:val="none"/>
        </w:rPr>
        <w:t>。</w:t>
      </w:r>
    </w:p>
    <w:p w14:paraId="2D2EAD4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3E7FE1D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52" w:name="_Toc532377342"/>
      <w:r>
        <w:rPr>
          <w:rFonts w:hint="eastAsia" w:ascii="宋体" w:hAnsi="宋体" w:eastAsia="宋体" w:cs="宋体"/>
          <w:color w:val="auto"/>
          <w:sz w:val="21"/>
          <w:szCs w:val="21"/>
          <w:highlight w:val="none"/>
        </w:rPr>
        <w:t>4.2 监理人员</w:t>
      </w:r>
      <w:bookmarkEnd w:id="852"/>
    </w:p>
    <w:p w14:paraId="3E06ECB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29E57CF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2923D77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283EA8D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633CDB3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7F35205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见发包人与监理人就本工程签订的监理合同</w:t>
      </w:r>
      <w:r>
        <w:rPr>
          <w:rFonts w:hint="eastAsia" w:ascii="宋体" w:hAnsi="宋体" w:eastAsia="宋体" w:cs="宋体"/>
          <w:color w:val="auto"/>
          <w:szCs w:val="21"/>
          <w:highlight w:val="none"/>
        </w:rPr>
        <w:t>。</w:t>
      </w:r>
    </w:p>
    <w:p w14:paraId="200170E6">
      <w:pPr>
        <w:pStyle w:val="7"/>
        <w:wordWrap/>
        <w:spacing w:before="0" w:beforeAutospacing="0" w:after="0" w:afterAutospacing="0" w:line="380" w:lineRule="exact"/>
        <w:ind w:firstLine="422" w:firstLineChars="200"/>
        <w:rPr>
          <w:rFonts w:hint="eastAsia" w:ascii="宋体" w:hAnsi="宋体" w:eastAsia="宋体" w:cs="宋体"/>
          <w:b/>
          <w:color w:val="auto"/>
          <w:sz w:val="21"/>
          <w:szCs w:val="21"/>
          <w:highlight w:val="none"/>
        </w:rPr>
      </w:pPr>
      <w:bookmarkStart w:id="853" w:name="_Toc532377343"/>
      <w:r>
        <w:rPr>
          <w:rFonts w:hint="eastAsia" w:ascii="宋体" w:hAnsi="宋体" w:eastAsia="宋体" w:cs="宋体"/>
          <w:color w:val="auto"/>
          <w:sz w:val="21"/>
          <w:szCs w:val="21"/>
          <w:highlight w:val="none"/>
        </w:rPr>
        <w:t>4.4 商定或确定</w:t>
      </w:r>
      <w:bookmarkEnd w:id="853"/>
    </w:p>
    <w:p w14:paraId="7B9AEED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854" w:name="_Toc267251418"/>
      <w:r>
        <w:rPr>
          <w:rFonts w:hint="eastAsia" w:ascii="宋体" w:hAnsi="宋体" w:eastAsia="宋体" w:cs="宋体"/>
          <w:color w:val="auto"/>
          <w:szCs w:val="21"/>
          <w:highlight w:val="none"/>
        </w:rPr>
        <w:t>在发包人和承包人不能通过协商达成一致意见时，发包人授权监理人对以下事项进行确定：</w:t>
      </w:r>
    </w:p>
    <w:p w14:paraId="031B95D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w:t>
      </w:r>
    </w:p>
    <w:p w14:paraId="67790824">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855" w:name="_Toc532375612"/>
      <w:bookmarkStart w:id="856" w:name="_Toc532377344"/>
      <w:bookmarkStart w:id="857" w:name="_Toc351203637"/>
      <w:r>
        <w:rPr>
          <w:rFonts w:hint="eastAsia" w:ascii="宋体" w:hAnsi="宋体" w:eastAsia="宋体" w:cs="宋体"/>
          <w:color w:val="auto"/>
          <w:sz w:val="21"/>
          <w:szCs w:val="21"/>
          <w:highlight w:val="none"/>
        </w:rPr>
        <w:t>5</w:t>
      </w:r>
      <w:bookmarkEnd w:id="854"/>
      <w:bookmarkStart w:id="858" w:name="_Toc296503163"/>
      <w:bookmarkStart w:id="859" w:name="_Toc296890991"/>
      <w:bookmarkStart w:id="860" w:name="_Toc296346664"/>
      <w:bookmarkStart w:id="861" w:name="_Toc296891203"/>
      <w:bookmarkStart w:id="862" w:name="_Toc296347162"/>
      <w:bookmarkStart w:id="863" w:name="_Toc297120463"/>
      <w:bookmarkStart w:id="864" w:name="_Toc297048349"/>
      <w:bookmarkStart w:id="865" w:name="_Toc292559367"/>
      <w:bookmarkStart w:id="866" w:name="_Toc296944502"/>
      <w:bookmarkStart w:id="867" w:name="_Toc292559872"/>
      <w:r>
        <w:rPr>
          <w:rFonts w:hint="eastAsia" w:ascii="宋体" w:hAnsi="宋体" w:eastAsia="宋体" w:cs="宋体"/>
          <w:color w:val="auto"/>
          <w:sz w:val="21"/>
          <w:szCs w:val="21"/>
          <w:highlight w:val="none"/>
        </w:rPr>
        <w:t>. 工程质量</w:t>
      </w:r>
      <w:bookmarkEnd w:id="855"/>
      <w:bookmarkEnd w:id="856"/>
      <w:bookmarkEnd w:id="857"/>
    </w:p>
    <w:p w14:paraId="3F5D875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68" w:name="_Toc532377345"/>
      <w:r>
        <w:rPr>
          <w:rFonts w:hint="eastAsia" w:ascii="宋体" w:hAnsi="宋体" w:eastAsia="宋体" w:cs="宋体"/>
          <w:color w:val="auto"/>
          <w:sz w:val="21"/>
          <w:szCs w:val="21"/>
          <w:highlight w:val="none"/>
        </w:rPr>
        <w:t>5.1 质量要求</w:t>
      </w:r>
      <w:bookmarkEnd w:id="868"/>
      <w:bookmarkStart w:id="869" w:name="_Hlk528909888"/>
      <w:bookmarkStart w:id="870" w:name="_Toc303539106"/>
      <w:bookmarkStart w:id="871" w:name="_Toc297216155"/>
      <w:bookmarkStart w:id="872" w:name="_Toc318581164"/>
      <w:bookmarkStart w:id="873" w:name="_Toc297123496"/>
      <w:bookmarkStart w:id="874" w:name="_Toc300934949"/>
      <w:bookmarkStart w:id="875" w:name="_Toc304295527"/>
      <w:bookmarkStart w:id="876" w:name="_Toc312677997"/>
    </w:p>
    <w:p w14:paraId="023FE7E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工程质量符合强制性质量标准，</w:t>
      </w:r>
      <w:r>
        <w:rPr>
          <w:rFonts w:hint="eastAsia" w:ascii="宋体" w:hAnsi="宋体" w:eastAsia="宋体" w:cs="宋体"/>
          <w:color w:val="auto"/>
          <w:szCs w:val="21"/>
          <w:highlight w:val="none"/>
          <w:u w:val="single"/>
        </w:rPr>
        <w:t>符合国家和重庆市现行有关施工质量验收规范要求，并达到合格标准</w:t>
      </w:r>
      <w:r>
        <w:rPr>
          <w:rFonts w:hint="eastAsia" w:ascii="宋体" w:hAnsi="宋体" w:eastAsia="宋体" w:cs="宋体"/>
          <w:color w:val="auto"/>
          <w:szCs w:val="21"/>
          <w:highlight w:val="none"/>
        </w:rPr>
        <w:t>。强制性质量标准有（包括但不限于）：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869"/>
    <w:p w14:paraId="041A0FA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77" w:name="_Toc532377346"/>
      <w:r>
        <w:rPr>
          <w:rFonts w:hint="eastAsia" w:ascii="宋体" w:hAnsi="宋体" w:eastAsia="宋体" w:cs="宋体"/>
          <w:color w:val="auto"/>
          <w:sz w:val="21"/>
          <w:szCs w:val="21"/>
          <w:highlight w:val="none"/>
        </w:rPr>
        <w:t>5.2 质量保证措施</w:t>
      </w:r>
      <w:bookmarkEnd w:id="877"/>
    </w:p>
    <w:p w14:paraId="54EF525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本款补充5.2.4项：</w:t>
      </w:r>
    </w:p>
    <w:p w14:paraId="303B024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5.2.4 在工程建设中，参建各方应严格执行以下规定（包括但不限于）：</w:t>
      </w:r>
    </w:p>
    <w:p w14:paraId="514D23A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《建筑工程施工质量验收统一标准》（GB50300-2013）</w:t>
      </w:r>
      <w:r>
        <w:rPr>
          <w:rFonts w:hint="eastAsia" w:ascii="宋体" w:hAnsi="宋体" w:eastAsia="宋体" w:cs="宋体"/>
          <w:color w:val="auto"/>
          <w:szCs w:val="21"/>
          <w:highlight w:val="none"/>
        </w:rPr>
        <w:t>；</w:t>
      </w:r>
    </w:p>
    <w:p w14:paraId="024D489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《住房城乡建设部关于印发工程质量安全提升行动方案的通知》（建质〔2017〕57号）</w:t>
      </w:r>
      <w:r>
        <w:rPr>
          <w:rFonts w:hint="eastAsia" w:ascii="宋体" w:hAnsi="宋体" w:eastAsia="宋体" w:cs="宋体"/>
          <w:color w:val="auto"/>
          <w:szCs w:val="21"/>
          <w:highlight w:val="none"/>
        </w:rPr>
        <w:t>；</w:t>
      </w:r>
    </w:p>
    <w:p w14:paraId="7C51C12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《房屋建筑和市政基础设施工程竣工验收规定》（建质〔2013〕171号）</w:t>
      </w:r>
      <w:r>
        <w:rPr>
          <w:rFonts w:hint="eastAsia" w:ascii="宋体" w:hAnsi="宋体" w:eastAsia="宋体" w:cs="宋体"/>
          <w:color w:val="auto"/>
          <w:szCs w:val="21"/>
          <w:highlight w:val="none"/>
        </w:rPr>
        <w:t>；</w:t>
      </w:r>
    </w:p>
    <w:p w14:paraId="7F55B50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《建设部关于贯彻执行建筑工程勘察设计及施工质量验收规范若干问题的通知》（建标〔2002〕212号）</w:t>
      </w:r>
      <w:r>
        <w:rPr>
          <w:rFonts w:hint="eastAsia" w:ascii="宋体" w:hAnsi="宋体" w:eastAsia="宋体" w:cs="宋体"/>
          <w:color w:val="auto"/>
          <w:szCs w:val="21"/>
          <w:highlight w:val="none"/>
        </w:rPr>
        <w:t>；</w:t>
      </w:r>
    </w:p>
    <w:p w14:paraId="288D5FB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eastAsia="宋体" w:cs="宋体"/>
          <w:color w:val="auto"/>
          <w:szCs w:val="21"/>
          <w:highlight w:val="none"/>
        </w:rPr>
        <w:t>；</w:t>
      </w:r>
    </w:p>
    <w:p w14:paraId="1E89C35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《关于印发&lt;重庆市房屋建筑和市政基础设施工程预拌商品砂浆应用推进工作方案&gt;的通知》（渝建〔2018〕375号）</w:t>
      </w:r>
      <w:r>
        <w:rPr>
          <w:rFonts w:hint="eastAsia" w:ascii="宋体" w:hAnsi="宋体" w:eastAsia="宋体" w:cs="宋体"/>
          <w:color w:val="auto"/>
          <w:szCs w:val="21"/>
          <w:highlight w:val="none"/>
        </w:rPr>
        <w:t>；</w:t>
      </w:r>
    </w:p>
    <w:p w14:paraId="0269602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u w:val="single"/>
        </w:rPr>
        <w:t>《重庆市城乡建设委员会关于印发2018年房屋建筑和市政基础设施工程质量要点的通知》（渝建〔2018〕94号）</w:t>
      </w:r>
      <w:r>
        <w:rPr>
          <w:rFonts w:hint="eastAsia" w:ascii="宋体" w:hAnsi="宋体" w:eastAsia="宋体" w:cs="宋体"/>
          <w:color w:val="auto"/>
          <w:szCs w:val="21"/>
          <w:highlight w:val="none"/>
        </w:rPr>
        <w:t>；</w:t>
      </w:r>
    </w:p>
    <w:p w14:paraId="08C8FA0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《重庆市城乡建设委员会关于进一步推广应用预拌商品砂浆的通知》（渝建〔2016〕318号）</w:t>
      </w:r>
      <w:r>
        <w:rPr>
          <w:rFonts w:hint="eastAsia" w:ascii="宋体" w:hAnsi="宋体" w:eastAsia="宋体" w:cs="宋体"/>
          <w:color w:val="auto"/>
          <w:szCs w:val="21"/>
          <w:highlight w:val="none"/>
        </w:rPr>
        <w:t>；</w:t>
      </w:r>
    </w:p>
    <w:p w14:paraId="57C02A6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eastAsia="宋体" w:cs="宋体"/>
          <w:color w:val="auto"/>
          <w:szCs w:val="21"/>
          <w:highlight w:val="none"/>
        </w:rPr>
        <w:t>；</w:t>
      </w:r>
    </w:p>
    <w:p w14:paraId="08A7917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u w:val="single"/>
        </w:rPr>
        <w:t>国家和本市现行有关建设工程质量验收标准、规范和要求</w:t>
      </w:r>
      <w:r>
        <w:rPr>
          <w:rFonts w:hint="eastAsia" w:ascii="宋体" w:hAnsi="宋体" w:eastAsia="宋体" w:cs="宋体"/>
          <w:color w:val="auto"/>
          <w:szCs w:val="21"/>
          <w:highlight w:val="none"/>
        </w:rPr>
        <w:t>；</w:t>
      </w:r>
    </w:p>
    <w:p w14:paraId="4152318C">
      <w:pPr>
        <w:pStyle w:val="2"/>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3AB790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承包人、监理人和发包人在工程建设中，应严格执行国家及重庆市现行标准，如上述标准及规范要求有出入则以较严格者为准。</w:t>
      </w:r>
    </w:p>
    <w:p w14:paraId="3E4ABD6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78" w:name="_Toc532377347"/>
      <w:bookmarkStart w:id="879" w:name="_Toc351203536"/>
      <w:bookmarkStart w:id="880" w:name="_Hlk528927873"/>
      <w:r>
        <w:rPr>
          <w:rFonts w:hint="eastAsia" w:ascii="宋体" w:hAnsi="宋体" w:eastAsia="宋体" w:cs="宋体"/>
          <w:color w:val="auto"/>
          <w:sz w:val="21"/>
          <w:szCs w:val="21"/>
          <w:highlight w:val="none"/>
        </w:rPr>
        <w:t>5.3隐蔽工程检查</w:t>
      </w:r>
    </w:p>
    <w:p w14:paraId="7246D2D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5.3.2检查程序</w:t>
      </w:r>
    </w:p>
    <w:p w14:paraId="3F3DDEC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工程隐蔽部位经承包人自检确认具备覆盖条件的，承包人应在共同检查前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小时书面通知监理人检查，通知中应载明隐蔽检查的内容、时间和地点，并应附有自检记录和必要的检查资料。</w:t>
      </w:r>
    </w:p>
    <w:p w14:paraId="497D1ADA">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881" w:name="_Toc337558762"/>
      <w:r>
        <w:rPr>
          <w:rFonts w:hint="eastAsia" w:ascii="宋体" w:hAnsi="宋体" w:eastAsia="宋体" w:cs="宋体"/>
          <w:color w:val="auto"/>
          <w:sz w:val="21"/>
          <w:szCs w:val="21"/>
          <w:highlight w:val="none"/>
        </w:rPr>
        <w:t>.4 不合格工程的处理</w:t>
      </w:r>
      <w:bookmarkEnd w:id="878"/>
      <w:bookmarkEnd w:id="879"/>
    </w:p>
    <w:bookmarkEnd w:id="881"/>
    <w:p w14:paraId="0E5416D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本款补充5.4.3项：</w:t>
      </w:r>
    </w:p>
    <w:p w14:paraId="7D5E3D6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5.4.3 承包人在收到监理人发出的《不合格分项报告》或监理通知单后，必须在监理人规定时间内按要求完成整改，未能在限定时间内完成整改的，须承担相应违约责任。</w:t>
      </w:r>
    </w:p>
    <w:p w14:paraId="7D10A54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本条补充5.6款：</w:t>
      </w:r>
    </w:p>
    <w:bookmarkEnd w:id="880"/>
    <w:p w14:paraId="3E91B97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82" w:name="_Toc532377348"/>
      <w:r>
        <w:rPr>
          <w:rFonts w:hint="eastAsia" w:ascii="宋体" w:hAnsi="宋体" w:eastAsia="宋体" w:cs="宋体"/>
          <w:color w:val="auto"/>
          <w:sz w:val="21"/>
          <w:szCs w:val="21"/>
          <w:highlight w:val="none"/>
        </w:rPr>
        <w:t>5.6 质量事故的处理</w:t>
      </w:r>
      <w:bookmarkEnd w:id="882"/>
    </w:p>
    <w:p w14:paraId="0E9E784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5.6.1 合同履行过程中，发生工程质量事故的调查处理按照国家及重庆市现行规定处理。</w:t>
      </w:r>
    </w:p>
    <w:p w14:paraId="6A66CA2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858"/>
    <w:bookmarkEnd w:id="859"/>
    <w:bookmarkEnd w:id="860"/>
    <w:bookmarkEnd w:id="861"/>
    <w:bookmarkEnd w:id="862"/>
    <w:bookmarkEnd w:id="863"/>
    <w:bookmarkEnd w:id="864"/>
    <w:bookmarkEnd w:id="865"/>
    <w:bookmarkEnd w:id="866"/>
    <w:bookmarkEnd w:id="867"/>
    <w:bookmarkEnd w:id="870"/>
    <w:bookmarkEnd w:id="871"/>
    <w:bookmarkEnd w:id="872"/>
    <w:bookmarkEnd w:id="873"/>
    <w:bookmarkEnd w:id="874"/>
    <w:bookmarkEnd w:id="875"/>
    <w:bookmarkEnd w:id="876"/>
    <w:p w14:paraId="13D7D8B7">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883" w:name="_Toc532377349"/>
      <w:bookmarkStart w:id="884" w:name="_Toc532375613"/>
      <w:bookmarkStart w:id="885" w:name="_Toc351203638"/>
      <w:bookmarkStart w:id="886" w:name="_Toc297048359"/>
      <w:bookmarkStart w:id="887" w:name="_Toc296503173"/>
      <w:bookmarkStart w:id="888" w:name="_Toc296347172"/>
      <w:bookmarkStart w:id="889" w:name="_Toc267251427"/>
      <w:bookmarkStart w:id="890" w:name="_Toc296346674"/>
      <w:bookmarkStart w:id="891" w:name="_Toc296891001"/>
      <w:bookmarkStart w:id="892" w:name="_Toc351203642"/>
      <w:bookmarkStart w:id="893" w:name="_Toc297120473"/>
      <w:bookmarkStart w:id="894" w:name="_Toc292559378"/>
      <w:bookmarkStart w:id="895" w:name="_Toc292559883"/>
      <w:bookmarkStart w:id="896" w:name="_Toc296891213"/>
      <w:bookmarkStart w:id="897" w:name="_Toc296944512"/>
      <w:bookmarkStart w:id="898" w:name="_Toc267251428"/>
      <w:r>
        <w:rPr>
          <w:rFonts w:hint="eastAsia" w:ascii="宋体" w:hAnsi="宋体" w:eastAsia="宋体" w:cs="宋体"/>
          <w:color w:val="auto"/>
          <w:sz w:val="21"/>
          <w:szCs w:val="21"/>
          <w:highlight w:val="none"/>
        </w:rPr>
        <w:t>6. 安全文明施工与环境保护</w:t>
      </w:r>
      <w:bookmarkEnd w:id="883"/>
      <w:bookmarkEnd w:id="884"/>
      <w:bookmarkEnd w:id="885"/>
    </w:p>
    <w:p w14:paraId="5F216F2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899" w:name="_Toc532377350"/>
      <w:bookmarkStart w:id="900" w:name="_Toc532375614"/>
      <w:r>
        <w:rPr>
          <w:rFonts w:hint="eastAsia" w:ascii="宋体" w:hAnsi="宋体" w:eastAsia="宋体" w:cs="宋体"/>
          <w:color w:val="auto"/>
          <w:sz w:val="21"/>
          <w:szCs w:val="21"/>
          <w:highlight w:val="none"/>
        </w:rPr>
        <w:t>6.1 安全文明施工</w:t>
      </w:r>
      <w:bookmarkEnd w:id="899"/>
      <w:bookmarkEnd w:id="900"/>
    </w:p>
    <w:p w14:paraId="507E9E2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324F6B4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7991841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color w:val="auto"/>
          <w:szCs w:val="21"/>
          <w:highlight w:val="none"/>
          <w:u w:val="single"/>
        </w:rPr>
        <w:t>达到《建筑施工安全检查标准》（JGJ59-2011）的要求</w:t>
      </w:r>
      <w:r>
        <w:rPr>
          <w:rFonts w:hint="eastAsia" w:ascii="宋体" w:hAnsi="宋体" w:eastAsia="宋体" w:cs="宋体"/>
          <w:color w:val="auto"/>
          <w:szCs w:val="21"/>
          <w:highlight w:val="none"/>
        </w:rPr>
        <w:t>。</w:t>
      </w:r>
    </w:p>
    <w:p w14:paraId="66846CD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（1）按现行安全文明施工费计取及使用管理的政策文件规定及发包人制订的安全管理制度执行</w:t>
      </w:r>
      <w:r>
        <w:rPr>
          <w:rFonts w:hint="eastAsia" w:ascii="宋体" w:hAnsi="宋体" w:eastAsia="宋体" w:cs="宋体"/>
          <w:color w:val="auto"/>
          <w:szCs w:val="21"/>
          <w:highlight w:val="none"/>
        </w:rPr>
        <w:t>。</w:t>
      </w:r>
    </w:p>
    <w:p w14:paraId="60D4D78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（2）承包人的原因造成事故，由此产生的法律责任和事故责任及费用由承包人全部承担</w:t>
      </w:r>
      <w:r>
        <w:rPr>
          <w:rFonts w:hint="eastAsia" w:ascii="宋体" w:hAnsi="宋体" w:eastAsia="宋体" w:cs="宋体"/>
          <w:color w:val="auto"/>
          <w:szCs w:val="21"/>
          <w:highlight w:val="none"/>
        </w:rPr>
        <w:t>。</w:t>
      </w:r>
    </w:p>
    <w:p w14:paraId="57A8EE7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（3）承包人向发包人做出安全承诺，并签订《安全生产目标责任书》和《安全承诺书》</w:t>
      </w:r>
      <w:r>
        <w:rPr>
          <w:rFonts w:hint="eastAsia" w:ascii="宋体" w:hAnsi="宋体" w:eastAsia="宋体" w:cs="宋体"/>
          <w:color w:val="auto"/>
          <w:szCs w:val="21"/>
          <w:highlight w:val="none"/>
        </w:rPr>
        <w:t>。</w:t>
      </w:r>
    </w:p>
    <w:p w14:paraId="58F48FF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（4）承包人在施工过程中，必须严格执行安全生产法的相关规定，制定切实可靠的安全技术措施</w:t>
      </w:r>
      <w:r>
        <w:rPr>
          <w:rFonts w:hint="eastAsia" w:ascii="宋体" w:hAnsi="宋体" w:eastAsia="宋体" w:cs="宋体"/>
          <w:color w:val="auto"/>
          <w:szCs w:val="21"/>
          <w:highlight w:val="none"/>
        </w:rPr>
        <w:t>。</w:t>
      </w:r>
    </w:p>
    <w:p w14:paraId="592D474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（5）接受发包人安全监督和管理，在施工中违反安全管理规定和操作规程、违章作业的，承担违约责任</w:t>
      </w:r>
      <w:r>
        <w:rPr>
          <w:rFonts w:hint="eastAsia" w:ascii="宋体" w:hAnsi="宋体" w:eastAsia="宋体" w:cs="宋体"/>
          <w:color w:val="auto"/>
          <w:szCs w:val="21"/>
          <w:highlight w:val="none"/>
        </w:rPr>
        <w:t>。</w:t>
      </w:r>
    </w:p>
    <w:p w14:paraId="5DACA15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rPr>
        <w:t>承包人负责组建施工现场治安管理机构或联防组织；承包人负责编制施工场地治安管理计划和突发治安事件紧急预案</w:t>
      </w:r>
      <w:r>
        <w:rPr>
          <w:rFonts w:hint="eastAsia" w:ascii="宋体" w:hAnsi="宋体" w:eastAsia="宋体" w:cs="宋体"/>
          <w:color w:val="auto"/>
          <w:szCs w:val="21"/>
          <w:highlight w:val="none"/>
        </w:rPr>
        <w:t>。</w:t>
      </w:r>
    </w:p>
    <w:p w14:paraId="633B3F03">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由承包人负责</w:t>
      </w:r>
      <w:r>
        <w:rPr>
          <w:rFonts w:hint="eastAsia" w:ascii="宋体" w:hAnsi="宋体" w:eastAsia="宋体" w:cs="宋体"/>
          <w:color w:val="auto"/>
          <w:szCs w:val="21"/>
          <w:highlight w:val="none"/>
        </w:rPr>
        <w:t>。</w:t>
      </w:r>
    </w:p>
    <w:p w14:paraId="5F69CF8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14:paraId="376C63F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eastAsia="宋体" w:cs="宋体"/>
          <w:color w:val="auto"/>
          <w:szCs w:val="21"/>
          <w:highlight w:val="none"/>
        </w:rPr>
        <w:t>。</w:t>
      </w:r>
    </w:p>
    <w:p w14:paraId="04EE5A6C">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eastAsia="宋体" w:cs="宋体"/>
          <w:color w:val="auto"/>
          <w:szCs w:val="21"/>
          <w:highlight w:val="none"/>
        </w:rPr>
        <w:t>。</w:t>
      </w:r>
    </w:p>
    <w:p w14:paraId="0C52BC5D">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6.1.6 关于安全文明施工费支付比例和支付期限的约定：按照行业主管部门相关规定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执行。</w:t>
      </w:r>
    </w:p>
    <w:p w14:paraId="0773498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安全文明施工费的要求与内容、提取支付方法以及违反约定造成损失的赔偿等条款，按照现行规范要求执行，做到专款专用</w:t>
      </w:r>
      <w:r>
        <w:rPr>
          <w:rFonts w:hint="eastAsia" w:ascii="宋体" w:hAnsi="宋体" w:eastAsia="宋体" w:cs="宋体"/>
          <w:color w:val="auto"/>
          <w:szCs w:val="21"/>
          <w:highlight w:val="none"/>
        </w:rPr>
        <w:t>。</w:t>
      </w:r>
    </w:p>
    <w:p w14:paraId="2883A279">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01" w:name="_Toc532375615"/>
      <w:bookmarkStart w:id="902" w:name="_Toc532377351"/>
      <w:r>
        <w:rPr>
          <w:rFonts w:hint="eastAsia" w:ascii="宋体" w:hAnsi="宋体" w:eastAsia="宋体" w:cs="宋体"/>
          <w:color w:val="auto"/>
          <w:sz w:val="21"/>
          <w:szCs w:val="21"/>
          <w:highlight w:val="none"/>
        </w:rPr>
        <w:t>6.3 环境保护</w:t>
      </w:r>
      <w:bookmarkEnd w:id="901"/>
      <w:bookmarkEnd w:id="902"/>
    </w:p>
    <w:p w14:paraId="241DEB74">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本款补充6.3.1～6.3.8项：</w:t>
      </w:r>
    </w:p>
    <w:p w14:paraId="67407A38">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66565E51">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558290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054860C7">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1BBDE34B">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6.3.5 承包人应重视大气污染物污染防治措施。施工期间，严格执行市政府“蓝天行动”方案等有关规定，通过洒水防尘，严格控制施工场地扬尘和运输扬尘污染。</w:t>
      </w:r>
    </w:p>
    <w:p w14:paraId="4A61C60F">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6.3.6 承包人应落实固体废物污染防治措施。施工期间，项目产生的弃方不可合理利用的，应运往指定的弃渣场内堆存；建筑垃圾运至指定的建筑垃圾消纳场处置；生活垃圾由当地环卫部门统一处置。</w:t>
      </w:r>
    </w:p>
    <w:p w14:paraId="7A8B193D">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6.3.7 承包人应认真落实噪声污染防治措施。施工期间，优选低噪声设备，合理安排施工时间，严格控制夜间施工，昼、夜施工场界需满足《建筑施工场界环境噪声排放标准》（GB12523-2011）。</w:t>
      </w:r>
    </w:p>
    <w:p w14:paraId="2211569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6.3.8 承包人自行负责办理有关施工场地交通、环卫和施工噪音管理等手续，并应按要求结合自身实际和重庆市相关规定，考虑不低于以上标准的此类工作。</w:t>
      </w:r>
    </w:p>
    <w:p w14:paraId="218C4AC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6.3.9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E4B7431">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903" w:name="_Toc532377352"/>
      <w:bookmarkStart w:id="904" w:name="_Toc532375616"/>
      <w:bookmarkStart w:id="905" w:name="_Toc351203639"/>
      <w:r>
        <w:rPr>
          <w:rFonts w:hint="eastAsia" w:ascii="宋体" w:hAnsi="宋体" w:eastAsia="宋体" w:cs="宋体"/>
          <w:color w:val="auto"/>
          <w:sz w:val="21"/>
          <w:szCs w:val="21"/>
          <w:highlight w:val="none"/>
        </w:rPr>
        <w:t>7. 工期和进度</w:t>
      </w:r>
      <w:bookmarkEnd w:id="903"/>
      <w:bookmarkEnd w:id="904"/>
      <w:bookmarkEnd w:id="905"/>
    </w:p>
    <w:p w14:paraId="43DBF576">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06" w:name="_Toc532377353"/>
      <w:bookmarkStart w:id="907" w:name="_Toc532375617"/>
      <w:r>
        <w:rPr>
          <w:rFonts w:hint="eastAsia" w:ascii="宋体" w:hAnsi="宋体" w:eastAsia="宋体" w:cs="宋体"/>
          <w:color w:val="auto"/>
          <w:sz w:val="21"/>
          <w:szCs w:val="21"/>
          <w:highlight w:val="none"/>
        </w:rPr>
        <w:t>7.1 施工组织设计</w:t>
      </w:r>
      <w:bookmarkEnd w:id="906"/>
      <w:bookmarkEnd w:id="907"/>
    </w:p>
    <w:p w14:paraId="6F362D4C">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7.1.1 合同当事人约定的施工组织设计应包括的其他内容：</w:t>
      </w:r>
      <w:r>
        <w:rPr>
          <w:rFonts w:hint="eastAsia" w:ascii="宋体" w:hAnsi="宋体" w:eastAsia="宋体" w:cs="宋体"/>
          <w:color w:val="auto"/>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eastAsia="宋体" w:cs="宋体"/>
          <w:color w:val="auto"/>
          <w:szCs w:val="21"/>
          <w:highlight w:val="none"/>
        </w:rPr>
        <w:t>。</w:t>
      </w:r>
    </w:p>
    <w:p w14:paraId="50B1756D">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7.1.2 施工组织设计的提交和修改</w:t>
      </w:r>
    </w:p>
    <w:p w14:paraId="00C75984">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承包人提交详细施工组织设计的期限的约定：</w:t>
      </w:r>
      <w:r>
        <w:rPr>
          <w:rFonts w:hint="eastAsia" w:ascii="宋体" w:hAnsi="宋体" w:eastAsia="宋体" w:cs="宋体"/>
          <w:color w:val="auto"/>
          <w:szCs w:val="21"/>
          <w:highlight w:val="none"/>
          <w:u w:val="single"/>
        </w:rPr>
        <w:t>合同签订后  天内，但最迟不得晚于开工通知载明的开工日期前7天</w:t>
      </w:r>
      <w:r>
        <w:rPr>
          <w:rFonts w:hint="eastAsia" w:ascii="宋体" w:hAnsi="宋体" w:eastAsia="宋体" w:cs="宋体"/>
          <w:color w:val="auto"/>
          <w:szCs w:val="21"/>
          <w:highlight w:val="none"/>
        </w:rPr>
        <w:t>。</w:t>
      </w:r>
    </w:p>
    <w:p w14:paraId="36CD36A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收到施工组织设计后  天内</w:t>
      </w:r>
      <w:r>
        <w:rPr>
          <w:rFonts w:hint="eastAsia" w:ascii="宋体" w:hAnsi="宋体" w:eastAsia="宋体" w:cs="宋体"/>
          <w:color w:val="auto"/>
          <w:szCs w:val="21"/>
          <w:highlight w:val="none"/>
        </w:rPr>
        <w:t>。</w:t>
      </w:r>
    </w:p>
    <w:p w14:paraId="674053BC">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08" w:name="_Toc532375618"/>
      <w:bookmarkStart w:id="909" w:name="_Toc532377354"/>
      <w:r>
        <w:rPr>
          <w:rFonts w:hint="eastAsia" w:ascii="宋体" w:hAnsi="宋体" w:eastAsia="宋体" w:cs="宋体"/>
          <w:color w:val="auto"/>
          <w:sz w:val="21"/>
          <w:szCs w:val="21"/>
          <w:highlight w:val="none"/>
        </w:rPr>
        <w:t>7.2 施工进度计划</w:t>
      </w:r>
      <w:bookmarkEnd w:id="908"/>
      <w:bookmarkEnd w:id="909"/>
    </w:p>
    <w:p w14:paraId="023FBBB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14:paraId="65185DC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发包人和监理人在收到修订的施工进度计划后确认或提出修改意见的期限：</w:t>
      </w:r>
      <w:r>
        <w:rPr>
          <w:rFonts w:hint="eastAsia" w:ascii="宋体" w:hAnsi="宋体" w:eastAsia="宋体" w:cs="宋体"/>
          <w:color w:val="auto"/>
          <w:szCs w:val="21"/>
          <w:highlight w:val="none"/>
          <w:u w:val="single"/>
        </w:rPr>
        <w:t>收到修订的施工进度计划后  天内</w:t>
      </w:r>
      <w:r>
        <w:rPr>
          <w:rFonts w:hint="eastAsia" w:ascii="宋体" w:hAnsi="宋体" w:eastAsia="宋体" w:cs="宋体"/>
          <w:color w:val="auto"/>
          <w:szCs w:val="21"/>
          <w:highlight w:val="none"/>
        </w:rPr>
        <w:t>。</w:t>
      </w:r>
    </w:p>
    <w:p w14:paraId="6EC57562">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10" w:name="_Toc532375619"/>
      <w:bookmarkStart w:id="911" w:name="_Toc532377355"/>
      <w:bookmarkStart w:id="912" w:name="_Toc304295541"/>
      <w:bookmarkStart w:id="913" w:name="_Toc312678005"/>
      <w:bookmarkStart w:id="914" w:name="_Toc303539123"/>
      <w:bookmarkStart w:id="915" w:name="_Toc297216173"/>
      <w:bookmarkStart w:id="916" w:name="_Toc297123514"/>
      <w:bookmarkStart w:id="917" w:name="_Toc300934966"/>
      <w:bookmarkStart w:id="918" w:name="_Toc312677479"/>
      <w:r>
        <w:rPr>
          <w:rFonts w:hint="eastAsia" w:ascii="宋体" w:hAnsi="宋体" w:eastAsia="宋体" w:cs="宋体"/>
          <w:color w:val="auto"/>
          <w:sz w:val="21"/>
          <w:szCs w:val="21"/>
          <w:highlight w:val="none"/>
        </w:rPr>
        <w:t>7.3 开工</w:t>
      </w:r>
      <w:bookmarkEnd w:id="910"/>
      <w:bookmarkEnd w:id="911"/>
    </w:p>
    <w:p w14:paraId="13336B9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14:paraId="5CD9B57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关于承包人提交工程开工报审表的期限：</w:t>
      </w:r>
      <w:r>
        <w:rPr>
          <w:rFonts w:hint="eastAsia" w:ascii="宋体" w:hAnsi="宋体" w:eastAsia="宋体" w:cs="宋体"/>
          <w:color w:val="auto"/>
          <w:szCs w:val="21"/>
          <w:highlight w:val="none"/>
          <w:u w:val="single"/>
        </w:rPr>
        <w:t>不晚于开工前  天</w:t>
      </w:r>
      <w:r>
        <w:rPr>
          <w:rFonts w:hint="eastAsia" w:ascii="宋体" w:hAnsi="宋体" w:eastAsia="宋体" w:cs="宋体"/>
          <w:color w:val="auto"/>
          <w:szCs w:val="21"/>
          <w:highlight w:val="none"/>
        </w:rPr>
        <w:t>。</w:t>
      </w:r>
    </w:p>
    <w:p w14:paraId="6D9C27D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不晚于开工前  天</w:t>
      </w:r>
      <w:r>
        <w:rPr>
          <w:rFonts w:hint="eastAsia" w:ascii="宋体" w:hAnsi="宋体" w:eastAsia="宋体" w:cs="宋体"/>
          <w:color w:val="auto"/>
          <w:szCs w:val="21"/>
          <w:highlight w:val="none"/>
        </w:rPr>
        <w:t>。</w:t>
      </w:r>
    </w:p>
    <w:p w14:paraId="73AA624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不晚于开工前  天</w:t>
      </w:r>
      <w:r>
        <w:rPr>
          <w:rFonts w:hint="eastAsia" w:ascii="宋体" w:hAnsi="宋体" w:eastAsia="宋体" w:cs="宋体"/>
          <w:color w:val="auto"/>
          <w:szCs w:val="21"/>
          <w:highlight w:val="none"/>
        </w:rPr>
        <w:t>。</w:t>
      </w:r>
    </w:p>
    <w:bookmarkEnd w:id="912"/>
    <w:bookmarkEnd w:id="913"/>
    <w:bookmarkEnd w:id="914"/>
    <w:bookmarkEnd w:id="915"/>
    <w:bookmarkEnd w:id="916"/>
    <w:bookmarkEnd w:id="917"/>
    <w:bookmarkEnd w:id="918"/>
    <w:p w14:paraId="0858F493">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19" w:name="_Toc532375620"/>
      <w:bookmarkStart w:id="920" w:name="_Toc532377356"/>
      <w:r>
        <w:rPr>
          <w:rFonts w:hint="eastAsia" w:ascii="宋体" w:hAnsi="宋体" w:eastAsia="宋体" w:cs="宋体"/>
          <w:color w:val="auto"/>
          <w:sz w:val="21"/>
          <w:szCs w:val="21"/>
          <w:highlight w:val="none"/>
        </w:rPr>
        <w:t>7.4 测量放线</w:t>
      </w:r>
      <w:bookmarkEnd w:id="919"/>
      <w:bookmarkEnd w:id="920"/>
    </w:p>
    <w:p w14:paraId="58A9F40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 发包人通过监理人向承包人提供测量基准点、基准线和水准点及其书面资料的期限：</w:t>
      </w:r>
      <w:r>
        <w:rPr>
          <w:rFonts w:hint="eastAsia" w:ascii="宋体" w:hAnsi="宋体" w:eastAsia="宋体" w:cs="宋体"/>
          <w:color w:val="auto"/>
          <w:szCs w:val="21"/>
          <w:highlight w:val="none"/>
          <w:u w:val="single"/>
        </w:rPr>
        <w:t>不晚于开工前  天</w:t>
      </w:r>
      <w:r>
        <w:rPr>
          <w:rFonts w:hint="eastAsia" w:ascii="宋体" w:hAnsi="宋体" w:eastAsia="宋体" w:cs="宋体"/>
          <w:color w:val="auto"/>
          <w:szCs w:val="21"/>
          <w:highlight w:val="none"/>
        </w:rPr>
        <w:t>。</w:t>
      </w:r>
    </w:p>
    <w:p w14:paraId="2F02495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承包人报监理人审批施工控制网资料的期限：</w:t>
      </w:r>
      <w:r>
        <w:rPr>
          <w:rFonts w:hint="eastAsia" w:ascii="宋体" w:hAnsi="宋体" w:eastAsia="宋体" w:cs="宋体"/>
          <w:color w:val="auto"/>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eastAsia="宋体" w:cs="宋体"/>
          <w:color w:val="auto"/>
          <w:szCs w:val="21"/>
          <w:highlight w:val="none"/>
        </w:rPr>
        <w:t>。</w:t>
      </w:r>
    </w:p>
    <w:p w14:paraId="1E8AF5F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21" w:name="_Toc532377357"/>
      <w:bookmarkStart w:id="922" w:name="_Toc532375621"/>
      <w:r>
        <w:rPr>
          <w:rFonts w:hint="eastAsia" w:ascii="宋体" w:hAnsi="宋体" w:eastAsia="宋体" w:cs="宋体"/>
          <w:color w:val="auto"/>
          <w:sz w:val="21"/>
          <w:szCs w:val="21"/>
          <w:highlight w:val="none"/>
        </w:rPr>
        <w:t>7</w:t>
      </w:r>
      <w:bookmarkStart w:id="923" w:name="_Toc297123516"/>
      <w:bookmarkStart w:id="924" w:name="_Toc312678010"/>
      <w:bookmarkStart w:id="925" w:name="_Toc297216175"/>
      <w:bookmarkStart w:id="926" w:name="_Toc312677484"/>
      <w:bookmarkStart w:id="927" w:name="_Toc303539125"/>
      <w:bookmarkStart w:id="928" w:name="_Toc300934968"/>
      <w:bookmarkStart w:id="929" w:name="_Toc304295546"/>
      <w:r>
        <w:rPr>
          <w:rFonts w:hint="eastAsia" w:ascii="宋体" w:hAnsi="宋体" w:eastAsia="宋体" w:cs="宋体"/>
          <w:color w:val="auto"/>
          <w:sz w:val="21"/>
          <w:szCs w:val="21"/>
          <w:highlight w:val="none"/>
        </w:rPr>
        <w:t>.5 工期延误</w:t>
      </w:r>
      <w:bookmarkEnd w:id="921"/>
      <w:bookmarkEnd w:id="922"/>
    </w:p>
    <w:bookmarkEnd w:id="923"/>
    <w:bookmarkEnd w:id="924"/>
    <w:bookmarkEnd w:id="925"/>
    <w:bookmarkEnd w:id="926"/>
    <w:bookmarkEnd w:id="927"/>
    <w:bookmarkEnd w:id="928"/>
    <w:bookmarkEnd w:id="929"/>
    <w:p w14:paraId="3B2DDC8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930" w:name="_Hlk528927940"/>
      <w:r>
        <w:rPr>
          <w:rFonts w:hint="eastAsia" w:ascii="宋体" w:hAnsi="宋体" w:eastAsia="宋体" w:cs="宋体"/>
          <w:color w:val="auto"/>
          <w:szCs w:val="21"/>
          <w:highlight w:val="none"/>
        </w:rPr>
        <w:t>7.5.1 因发包人原因导致工期延误：</w:t>
      </w:r>
    </w:p>
    <w:p w14:paraId="101D0A9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在合同履行过程中，除通用条款约定外，因下列情况导致工期延误和（或）费用增加的，由发包人承担由此延误的工期和（或）增加的费用：</w:t>
      </w:r>
    </w:p>
    <w:p w14:paraId="1285517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（1）发包人未能按合同约定提供施工场地，且该未提供开工条件直接影响项目关键线路的；</w:t>
      </w:r>
    </w:p>
    <w:p w14:paraId="766F15A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（2）发包人提供的测量基准点、基准线和水准点及其书面资料存在错误或疏漏，且该错误或疏漏直接影响项目关键线路的；</w:t>
      </w:r>
    </w:p>
    <w:p w14:paraId="5303590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（3）监理人未按合同约定发出指示、批准等文件，且该未按合同约定发出指示、批准直接影响项目关键线路的；</w:t>
      </w:r>
    </w:p>
    <w:p w14:paraId="0D9E934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（4）变更未及时审批，直接影响项目关键线路的；</w:t>
      </w:r>
    </w:p>
    <w:p w14:paraId="5D8AC63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（5）实施变更直接影响项目关键线路的；</w:t>
      </w:r>
    </w:p>
    <w:p w14:paraId="3945886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（6）因发包人原因导致工程暂停施工、停建、缓建的；</w:t>
      </w:r>
    </w:p>
    <w:p w14:paraId="1E6A3D9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（7）因征地拆迁、当地群众阻工等情形的；</w:t>
      </w:r>
    </w:p>
    <w:p w14:paraId="30A8A871">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合同约定的其他情形</w:t>
      </w:r>
      <w:r>
        <w:rPr>
          <w:rFonts w:hint="eastAsia" w:ascii="宋体" w:hAnsi="宋体" w:eastAsia="宋体" w:cs="宋体"/>
          <w:color w:val="auto"/>
          <w:szCs w:val="21"/>
          <w:highlight w:val="none"/>
        </w:rPr>
        <w:t>。</w:t>
      </w:r>
    </w:p>
    <w:p w14:paraId="669E1F0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eastAsia="宋体" w:cs="宋体"/>
          <w:color w:val="auto"/>
          <w:szCs w:val="21"/>
          <w:highlight w:val="none"/>
        </w:rPr>
        <w:t>。</w:t>
      </w:r>
    </w:p>
    <w:p w14:paraId="2FDCD1D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7.5.2 因承包人原因导致工期延误</w:t>
      </w:r>
    </w:p>
    <w:p w14:paraId="49C9756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因承包人原因造成工期延误，逾期竣工按16.2.2（6）目执行。</w:t>
      </w:r>
    </w:p>
    <w:bookmarkEnd w:id="930"/>
    <w:p w14:paraId="1EA2347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31" w:name="_Toc532377358"/>
      <w:bookmarkStart w:id="932" w:name="_Toc532375622"/>
      <w:bookmarkStart w:id="933" w:name="_Hlk528927997"/>
      <w:r>
        <w:rPr>
          <w:rFonts w:hint="eastAsia" w:ascii="宋体" w:hAnsi="宋体" w:eastAsia="宋体" w:cs="宋体"/>
          <w:color w:val="auto"/>
          <w:sz w:val="21"/>
          <w:szCs w:val="21"/>
          <w:highlight w:val="none"/>
        </w:rPr>
        <w:t>7</w:t>
      </w:r>
      <w:bookmarkStart w:id="934" w:name="_Toc297123519"/>
      <w:bookmarkStart w:id="935" w:name="_Toc303539128"/>
      <w:bookmarkStart w:id="936" w:name="_Toc300934971"/>
      <w:bookmarkStart w:id="937" w:name="_Toc304295549"/>
      <w:bookmarkStart w:id="938" w:name="_Toc297216178"/>
      <w:bookmarkStart w:id="939" w:name="_Toc312678015"/>
      <w:r>
        <w:rPr>
          <w:rFonts w:hint="eastAsia" w:ascii="宋体" w:hAnsi="宋体" w:eastAsia="宋体" w:cs="宋体"/>
          <w:color w:val="auto"/>
          <w:sz w:val="21"/>
          <w:szCs w:val="21"/>
          <w:highlight w:val="none"/>
        </w:rPr>
        <w:t>.6 不</w:t>
      </w:r>
      <w:bookmarkEnd w:id="934"/>
      <w:bookmarkEnd w:id="935"/>
      <w:bookmarkEnd w:id="936"/>
      <w:bookmarkEnd w:id="937"/>
      <w:bookmarkEnd w:id="938"/>
      <w:bookmarkEnd w:id="939"/>
      <w:r>
        <w:rPr>
          <w:rFonts w:hint="eastAsia" w:ascii="宋体" w:hAnsi="宋体" w:eastAsia="宋体" w:cs="宋体"/>
          <w:color w:val="auto"/>
          <w:sz w:val="21"/>
          <w:szCs w:val="21"/>
          <w:highlight w:val="none"/>
        </w:rPr>
        <w:t>利物质条件</w:t>
      </w:r>
      <w:bookmarkEnd w:id="931"/>
      <w:bookmarkEnd w:id="932"/>
    </w:p>
    <w:bookmarkEnd w:id="933"/>
    <w:p w14:paraId="3F52B225">
      <w:pPr>
        <w:wordWrap/>
        <w:spacing w:beforeAutospacing="0" w:after="0" w:afterAutospacing="0" w:line="380" w:lineRule="exact"/>
        <w:ind w:firstLine="420" w:firstLineChars="200"/>
        <w:jc w:val="left"/>
        <w:rPr>
          <w:rFonts w:hint="eastAsia" w:ascii="宋体" w:hAnsi="宋体" w:eastAsia="宋体" w:cs="宋体"/>
          <w:bCs/>
          <w:color w:val="auto"/>
          <w:szCs w:val="21"/>
          <w:highlight w:val="none"/>
        </w:rPr>
      </w:pPr>
      <w:bookmarkStart w:id="940" w:name="_Toc303539129"/>
      <w:bookmarkStart w:id="941" w:name="_Toc304295550"/>
      <w:bookmarkStart w:id="942" w:name="_Toc297123520"/>
      <w:bookmarkStart w:id="943" w:name="_Toc297216179"/>
      <w:bookmarkStart w:id="944" w:name="_Toc318581172"/>
      <w:bookmarkStart w:id="945" w:name="_Toc312678016"/>
      <w:bookmarkStart w:id="946" w:name="_Toc300934972"/>
      <w:r>
        <w:rPr>
          <w:rFonts w:hint="eastAsia" w:ascii="宋体" w:hAnsi="宋体" w:eastAsia="宋体" w:cs="宋体"/>
          <w:color w:val="auto"/>
          <w:szCs w:val="21"/>
          <w:highlight w:val="none"/>
        </w:rPr>
        <w:t>不利物质条件的其他情形和有关约定：</w:t>
      </w:r>
      <w:bookmarkStart w:id="947" w:name="_Hlk528910274"/>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940"/>
    <w:bookmarkEnd w:id="941"/>
    <w:bookmarkEnd w:id="942"/>
    <w:bookmarkEnd w:id="943"/>
    <w:bookmarkEnd w:id="944"/>
    <w:bookmarkEnd w:id="945"/>
    <w:bookmarkEnd w:id="946"/>
    <w:bookmarkEnd w:id="947"/>
    <w:p w14:paraId="1CEBD02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48" w:name="_Toc532375623"/>
      <w:bookmarkStart w:id="949" w:name="_Toc532377359"/>
      <w:r>
        <w:rPr>
          <w:rFonts w:hint="eastAsia" w:ascii="宋体" w:hAnsi="宋体" w:eastAsia="宋体" w:cs="宋体"/>
          <w:color w:val="auto"/>
          <w:sz w:val="21"/>
          <w:szCs w:val="21"/>
          <w:highlight w:val="none"/>
        </w:rPr>
        <w:t>7</w:t>
      </w:r>
      <w:bookmarkStart w:id="950" w:name="_Toc304295551"/>
      <w:bookmarkStart w:id="951" w:name="_Toc297216180"/>
      <w:bookmarkStart w:id="952" w:name="_Toc303539130"/>
      <w:bookmarkStart w:id="953" w:name="_Toc297123521"/>
      <w:bookmarkStart w:id="954" w:name="_Toc312678017"/>
      <w:bookmarkStart w:id="955" w:name="_Toc300934973"/>
      <w:r>
        <w:rPr>
          <w:rFonts w:hint="eastAsia" w:ascii="宋体" w:hAnsi="宋体" w:eastAsia="宋体" w:cs="宋体"/>
          <w:color w:val="auto"/>
          <w:sz w:val="21"/>
          <w:szCs w:val="21"/>
          <w:highlight w:val="none"/>
        </w:rPr>
        <w:t>.7异常恶劣的气候条件</w:t>
      </w:r>
      <w:bookmarkEnd w:id="948"/>
      <w:bookmarkEnd w:id="949"/>
    </w:p>
    <w:bookmarkEnd w:id="950"/>
    <w:bookmarkEnd w:id="951"/>
    <w:bookmarkEnd w:id="952"/>
    <w:bookmarkEnd w:id="953"/>
    <w:bookmarkEnd w:id="954"/>
    <w:bookmarkEnd w:id="955"/>
    <w:p w14:paraId="4E10DC5D">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发包人和承包人同意以下情形视为异常恶劣的气候条件：</w:t>
      </w:r>
      <w:r>
        <w:rPr>
          <w:rFonts w:hint="eastAsia" w:ascii="宋体" w:hAnsi="宋体" w:eastAsia="宋体" w:cs="宋体"/>
          <w:color w:val="auto"/>
          <w:szCs w:val="21"/>
          <w:highlight w:val="none"/>
          <w:u w:val="single"/>
        </w:rPr>
        <w:t xml:space="preserve">    （异常气候是指项目所在地50年以上一遇的罕见气候现象）</w:t>
      </w:r>
      <w:r>
        <w:rPr>
          <w:rFonts w:hint="eastAsia" w:ascii="宋体" w:hAnsi="宋体" w:eastAsia="宋体" w:cs="宋体"/>
          <w:color w:val="auto"/>
          <w:szCs w:val="21"/>
          <w:highlight w:val="none"/>
        </w:rPr>
        <w:t>。</w:t>
      </w:r>
    </w:p>
    <w:p w14:paraId="22A80839">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56" w:name="_Toc532377360"/>
      <w:bookmarkStart w:id="957" w:name="_Toc532375624"/>
      <w:r>
        <w:rPr>
          <w:rFonts w:hint="eastAsia" w:ascii="宋体" w:hAnsi="宋体" w:eastAsia="宋体" w:cs="宋体"/>
          <w:color w:val="auto"/>
          <w:sz w:val="21"/>
          <w:szCs w:val="21"/>
          <w:highlight w:val="none"/>
        </w:rPr>
        <w:t>7.9 提前竣工</w:t>
      </w:r>
      <w:bookmarkEnd w:id="956"/>
      <w:bookmarkEnd w:id="957"/>
    </w:p>
    <w:p w14:paraId="47EFBB2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7.9.1项细化为：</w:t>
      </w:r>
    </w:p>
    <w:p w14:paraId="7F61DBE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042558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（2）发包人不得随意要求承包人提前竣工，承包人也不得随意提出提前竣工的建议。如遇特殊情况，确需将工期提前的，发包人和承包人必须采取有效措施，确保工程质量。</w:t>
      </w:r>
    </w:p>
    <w:p w14:paraId="30E61DF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4DF3E35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 提前竣工的奖励：</w:t>
      </w:r>
      <w:r>
        <w:rPr>
          <w:rFonts w:hint="eastAsia" w:ascii="宋体" w:hAnsi="宋体" w:eastAsia="宋体" w:cs="宋体"/>
          <w:color w:val="auto"/>
          <w:szCs w:val="21"/>
          <w:highlight w:val="none"/>
          <w:u w:val="single"/>
        </w:rPr>
        <w:t xml:space="preserve">    元/天，不超过签约合同价的  %</w:t>
      </w:r>
      <w:r>
        <w:rPr>
          <w:rFonts w:hint="eastAsia" w:ascii="宋体" w:hAnsi="宋体" w:eastAsia="宋体" w:cs="宋体"/>
          <w:color w:val="auto"/>
          <w:szCs w:val="21"/>
          <w:highlight w:val="none"/>
        </w:rPr>
        <w:t>。</w:t>
      </w:r>
    </w:p>
    <w:p w14:paraId="5031BFAF">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958" w:name="_Toc351203640"/>
      <w:bookmarkStart w:id="959" w:name="_Toc532375625"/>
      <w:bookmarkStart w:id="960" w:name="_Toc532377361"/>
      <w:r>
        <w:rPr>
          <w:rFonts w:hint="eastAsia" w:ascii="宋体" w:hAnsi="宋体" w:eastAsia="宋体" w:cs="宋体"/>
          <w:color w:val="auto"/>
          <w:sz w:val="21"/>
          <w:szCs w:val="21"/>
          <w:highlight w:val="none"/>
        </w:rPr>
        <w:t>8. 材料与设备</w:t>
      </w:r>
      <w:bookmarkEnd w:id="958"/>
      <w:bookmarkEnd w:id="959"/>
      <w:bookmarkEnd w:id="960"/>
    </w:p>
    <w:p w14:paraId="26210B6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61" w:name="_Toc532377362"/>
      <w:bookmarkStart w:id="962" w:name="_Toc532375626"/>
      <w:r>
        <w:rPr>
          <w:rFonts w:hint="eastAsia" w:ascii="宋体" w:hAnsi="宋体" w:eastAsia="宋体" w:cs="宋体"/>
          <w:color w:val="auto"/>
          <w:sz w:val="21"/>
          <w:szCs w:val="21"/>
          <w:highlight w:val="none"/>
        </w:rPr>
        <w:t>8.1发包人供应材料与工程设备</w:t>
      </w:r>
      <w:bookmarkEnd w:id="961"/>
      <w:bookmarkEnd w:id="962"/>
    </w:p>
    <w:p w14:paraId="3A3ECE7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材料的名称、规格、数量和价格：</w:t>
      </w:r>
      <w:r>
        <w:rPr>
          <w:rFonts w:hint="eastAsia" w:ascii="宋体" w:hAnsi="宋体" w:eastAsia="宋体" w:cs="宋体"/>
          <w:color w:val="auto"/>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eastAsia="宋体" w:cs="宋体"/>
          <w:color w:val="auto"/>
          <w:szCs w:val="21"/>
          <w:highlight w:val="none"/>
        </w:rPr>
        <w:t>。</w:t>
      </w:r>
    </w:p>
    <w:p w14:paraId="749CD7E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eastAsia="宋体" w:cs="宋体"/>
          <w:color w:val="auto"/>
          <w:szCs w:val="21"/>
          <w:highlight w:val="none"/>
        </w:rPr>
        <w:t>。</w:t>
      </w:r>
    </w:p>
    <w:p w14:paraId="6A3BE92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63" w:name="_Toc532377363"/>
      <w:bookmarkStart w:id="964" w:name="_Toc351203554"/>
      <w:bookmarkStart w:id="965" w:name="_Toc532375627"/>
      <w:r>
        <w:rPr>
          <w:rFonts w:hint="eastAsia" w:ascii="宋体" w:hAnsi="宋体" w:eastAsia="宋体" w:cs="宋体"/>
          <w:color w:val="auto"/>
          <w:sz w:val="21"/>
          <w:szCs w:val="21"/>
          <w:highlight w:val="none"/>
        </w:rPr>
        <w:t>8</w:t>
      </w:r>
      <w:bookmarkStart w:id="966" w:name="_Toc296346561"/>
      <w:bookmarkStart w:id="967" w:name="_Toc296503060"/>
      <w:bookmarkStart w:id="968" w:name="_Toc337558778"/>
      <w:r>
        <w:rPr>
          <w:rFonts w:hint="eastAsia" w:ascii="宋体" w:hAnsi="宋体" w:eastAsia="宋体" w:cs="宋体"/>
          <w:color w:val="auto"/>
          <w:sz w:val="21"/>
          <w:szCs w:val="21"/>
          <w:highlight w:val="none"/>
        </w:rPr>
        <w:t>.2 承包人采购材料与工程设备</w:t>
      </w:r>
      <w:bookmarkEnd w:id="963"/>
      <w:bookmarkEnd w:id="964"/>
      <w:bookmarkEnd w:id="965"/>
    </w:p>
    <w:bookmarkEnd w:id="966"/>
    <w:bookmarkEnd w:id="967"/>
    <w:bookmarkEnd w:id="968"/>
    <w:p w14:paraId="6F4DFB3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8.2.1承包人负责采购、运输和保管的材料、工程设备：</w:t>
      </w:r>
      <w:r>
        <w:rPr>
          <w:rFonts w:hint="eastAsia" w:ascii="宋体" w:hAnsi="宋体" w:eastAsia="宋体" w:cs="宋体"/>
          <w:color w:val="auto"/>
          <w:szCs w:val="21"/>
          <w:highlight w:val="none"/>
          <w:u w:val="single"/>
        </w:rPr>
        <w:t>由承包人自行采购。承包人采购材料设备必须经监理人和发包人批准，结算时由监理人和发包人按招标文件规定审核的数量和合同约定价格计算</w:t>
      </w:r>
      <w:r>
        <w:rPr>
          <w:rFonts w:hint="eastAsia" w:ascii="宋体" w:hAnsi="宋体" w:eastAsia="宋体" w:cs="宋体"/>
          <w:color w:val="auto"/>
          <w:szCs w:val="21"/>
          <w:highlight w:val="none"/>
        </w:rPr>
        <w:t>。</w:t>
      </w:r>
    </w:p>
    <w:p w14:paraId="5594FA5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8.2.2承包人报送监理人审批的时间：</w:t>
      </w:r>
      <w:r>
        <w:rPr>
          <w:rFonts w:hint="eastAsia" w:ascii="宋体" w:hAnsi="宋体" w:eastAsia="宋体" w:cs="宋体"/>
          <w:color w:val="auto"/>
          <w:szCs w:val="21"/>
          <w:highlight w:val="none"/>
          <w:u w:val="single"/>
        </w:rPr>
        <w:t>按发包人及监理单位的相关规定执行</w:t>
      </w:r>
      <w:r>
        <w:rPr>
          <w:rFonts w:hint="eastAsia" w:ascii="宋体" w:hAnsi="宋体" w:eastAsia="宋体" w:cs="宋体"/>
          <w:color w:val="auto"/>
          <w:szCs w:val="21"/>
          <w:highlight w:val="none"/>
        </w:rPr>
        <w:t>。</w:t>
      </w:r>
    </w:p>
    <w:p w14:paraId="50EC856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8.2.3承包人选择的生产厂家或</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满足下列条件：</w:t>
      </w:r>
    </w:p>
    <w:p w14:paraId="558AEAA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A.承包人选择的混凝土</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应满足下列条件：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C240F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B.承包人选择的钢材</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应满足下列条件：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7467D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C.承包人选择的水泥</w:t>
      </w:r>
      <w:r>
        <w:rPr>
          <w:rFonts w:hint="eastAsia" w:ascii="宋体" w:hAnsi="宋体" w:cs="宋体"/>
          <w:color w:val="auto"/>
          <w:szCs w:val="21"/>
          <w:highlight w:val="none"/>
          <w:lang w:eastAsia="zh-CN"/>
        </w:rPr>
        <w:t>竞选人</w:t>
      </w:r>
      <w:r>
        <w:rPr>
          <w:rFonts w:hint="eastAsia" w:ascii="宋体" w:hAnsi="宋体" w:eastAsia="宋体" w:cs="宋体"/>
          <w:color w:val="auto"/>
          <w:szCs w:val="21"/>
          <w:highlight w:val="none"/>
        </w:rPr>
        <w:t>应满足下列条件：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23BA9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77CF1DD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E.承包人采购的材料在使用前，应按发包人和监理人的要求进行检验或试验，不合格的不得使用。</w:t>
      </w:r>
    </w:p>
    <w:p w14:paraId="52F9CE2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F.</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9E51B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969" w:name="_Toc532375628"/>
      <w:bookmarkStart w:id="970" w:name="_Toc532377364"/>
      <w:r>
        <w:rPr>
          <w:rFonts w:hint="eastAsia" w:ascii="宋体" w:hAnsi="宋体" w:eastAsia="宋体" w:cs="宋体"/>
          <w:color w:val="auto"/>
          <w:sz w:val="21"/>
          <w:szCs w:val="21"/>
          <w:highlight w:val="none"/>
        </w:rPr>
        <w:t>8</w:t>
      </w:r>
      <w:bookmarkStart w:id="971" w:name="_Toc296891207"/>
      <w:bookmarkStart w:id="972" w:name="_Toc280868654"/>
      <w:bookmarkStart w:id="973" w:name="_Toc303539136"/>
      <w:bookmarkStart w:id="974" w:name="_Toc292559877"/>
      <w:bookmarkStart w:id="975" w:name="_Toc297123527"/>
      <w:bookmarkStart w:id="976" w:name="_Toc297120467"/>
      <w:bookmarkStart w:id="977" w:name="_Toc296503167"/>
      <w:bookmarkStart w:id="978" w:name="_Toc296944506"/>
      <w:bookmarkStart w:id="979" w:name="_Toc296346668"/>
      <w:bookmarkStart w:id="980" w:name="_Toc296347166"/>
      <w:bookmarkStart w:id="981" w:name="_Toc296890995"/>
      <w:bookmarkStart w:id="982" w:name="_Toc312678019"/>
      <w:bookmarkStart w:id="983" w:name="_Toc292559372"/>
      <w:bookmarkStart w:id="984" w:name="_Toc304295556"/>
      <w:bookmarkStart w:id="985" w:name="_Toc312677493"/>
      <w:bookmarkStart w:id="986" w:name="_Toc297048353"/>
      <w:bookmarkStart w:id="987" w:name="_Toc300934979"/>
      <w:bookmarkStart w:id="988" w:name="_Toc297216186"/>
      <w:bookmarkStart w:id="989" w:name="_Toc280868655"/>
      <w:bookmarkStart w:id="990" w:name="_Toc280868656"/>
      <w:bookmarkStart w:id="991" w:name="_Toc267251424"/>
      <w:r>
        <w:rPr>
          <w:rFonts w:hint="eastAsia" w:ascii="宋体" w:hAnsi="宋体" w:eastAsia="宋体" w:cs="宋体"/>
          <w:color w:val="auto"/>
          <w:sz w:val="21"/>
          <w:szCs w:val="21"/>
          <w:highlight w:val="none"/>
        </w:rPr>
        <w:t>.4 材料与工程设备的保管与使用</w:t>
      </w:r>
      <w:bookmarkEnd w:id="969"/>
      <w:bookmarkEnd w:id="970"/>
    </w:p>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14:paraId="7A73717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992" w:name="_Toc292559878"/>
      <w:bookmarkStart w:id="993" w:name="_Toc292559373"/>
      <w:bookmarkStart w:id="994" w:name="_Toc296503168"/>
      <w:bookmarkStart w:id="995" w:name="_Toc303539137"/>
      <w:bookmarkStart w:id="996" w:name="_Toc312678020"/>
      <w:bookmarkStart w:id="997" w:name="_Toc296347167"/>
      <w:bookmarkStart w:id="998" w:name="_Toc297120468"/>
      <w:bookmarkStart w:id="999" w:name="_Toc296346669"/>
      <w:bookmarkStart w:id="1000" w:name="_Toc296891208"/>
      <w:bookmarkStart w:id="1001" w:name="_Toc297216187"/>
      <w:bookmarkStart w:id="1002" w:name="_Toc304295557"/>
      <w:bookmarkStart w:id="1003" w:name="_Toc300934980"/>
      <w:bookmarkStart w:id="1004" w:name="_Toc312677494"/>
      <w:bookmarkStart w:id="1005" w:name="_Toc297123528"/>
      <w:bookmarkStart w:id="1006" w:name="_Toc296890996"/>
      <w:bookmarkStart w:id="1007" w:name="_Toc296944507"/>
      <w:bookmarkStart w:id="1008" w:name="_Toc318581173"/>
      <w:bookmarkStart w:id="1009" w:name="_Toc297048354"/>
      <w:r>
        <w:rPr>
          <w:rFonts w:hint="eastAsia" w:ascii="宋体" w:hAnsi="宋体" w:eastAsia="宋体" w:cs="宋体"/>
          <w:color w:val="auto"/>
          <w:szCs w:val="21"/>
          <w:highlight w:val="none"/>
        </w:rPr>
        <w:t>.4.1 发包人供应的材料设备的保管费用的承担：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End w:id="992"/>
      <w:bookmarkEnd w:id="993"/>
    </w:p>
    <w:p w14:paraId="24E6E3F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010" w:name="_Toc532377365"/>
      <w:bookmarkStart w:id="1011" w:name="_Toc532375629"/>
      <w:r>
        <w:rPr>
          <w:rFonts w:hint="eastAsia" w:ascii="宋体" w:hAnsi="宋体" w:eastAsia="宋体" w:cs="宋体"/>
          <w:color w:val="auto"/>
          <w:sz w:val="21"/>
          <w:szCs w:val="21"/>
          <w:highlight w:val="none"/>
        </w:rPr>
        <w:t>8.6 样品</w:t>
      </w:r>
      <w:bookmarkEnd w:id="1010"/>
      <w:bookmarkEnd w:id="1011"/>
    </w:p>
    <w:p w14:paraId="595DF0E3">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8.6.1 样品的报送与封存</w:t>
      </w:r>
    </w:p>
    <w:p w14:paraId="674C5ED0">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7F3E76">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012" w:name="_Toc532375630"/>
      <w:bookmarkStart w:id="1013" w:name="_Toc532377366"/>
      <w:r>
        <w:rPr>
          <w:rFonts w:hint="eastAsia" w:ascii="宋体" w:hAnsi="宋体" w:eastAsia="宋体" w:cs="宋体"/>
          <w:color w:val="auto"/>
          <w:sz w:val="21"/>
          <w:szCs w:val="21"/>
          <w:highlight w:val="none"/>
        </w:rPr>
        <w:t>8.8 施工设备和临时设施</w:t>
      </w:r>
      <w:bookmarkEnd w:id="1012"/>
      <w:bookmarkEnd w:id="1013"/>
    </w:p>
    <w:p w14:paraId="405C2644">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 承包人提供的施工设备和临时设施</w:t>
      </w:r>
    </w:p>
    <w:p w14:paraId="1F1FCA6A">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关于修建临时设施费用承担的约定：</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Cs w:val="21"/>
          <w:highlight w:val="none"/>
        </w:rPr>
        <w:t>。</w:t>
      </w:r>
    </w:p>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14:paraId="4787756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014" w:name="_Toc532375631"/>
      <w:bookmarkStart w:id="1015" w:name="_Toc532377367"/>
      <w:bookmarkStart w:id="1016" w:name="_Toc351203641"/>
      <w:r>
        <w:rPr>
          <w:rFonts w:hint="eastAsia" w:ascii="宋体" w:hAnsi="宋体" w:eastAsia="宋体" w:cs="宋体"/>
          <w:color w:val="auto"/>
          <w:sz w:val="21"/>
          <w:szCs w:val="21"/>
          <w:highlight w:val="none"/>
        </w:rPr>
        <w:t>9</w:t>
      </w:r>
      <w:bookmarkEnd w:id="989"/>
      <w:bookmarkEnd w:id="990"/>
      <w:bookmarkEnd w:id="991"/>
      <w:bookmarkStart w:id="1017" w:name="_Toc312677495"/>
      <w:bookmarkStart w:id="1018" w:name="_Toc297216192"/>
      <w:bookmarkStart w:id="1019" w:name="_Toc300934982"/>
      <w:bookmarkStart w:id="1020" w:name="_Toc304295559"/>
      <w:bookmarkStart w:id="1021" w:name="_Toc297123533"/>
      <w:bookmarkStart w:id="1022" w:name="_Toc312678021"/>
      <w:bookmarkStart w:id="1023" w:name="_Toc303539139"/>
      <w:r>
        <w:rPr>
          <w:rFonts w:hint="eastAsia" w:ascii="宋体" w:hAnsi="宋体" w:eastAsia="宋体" w:cs="宋体"/>
          <w:color w:val="auto"/>
          <w:sz w:val="21"/>
          <w:szCs w:val="21"/>
          <w:highlight w:val="none"/>
        </w:rPr>
        <w:t>. 试验与检验</w:t>
      </w:r>
      <w:bookmarkEnd w:id="1014"/>
      <w:bookmarkEnd w:id="1015"/>
      <w:bookmarkEnd w:id="1016"/>
    </w:p>
    <w:bookmarkEnd w:id="1017"/>
    <w:bookmarkEnd w:id="1018"/>
    <w:bookmarkEnd w:id="1019"/>
    <w:bookmarkEnd w:id="1020"/>
    <w:bookmarkEnd w:id="1021"/>
    <w:bookmarkEnd w:id="1022"/>
    <w:bookmarkEnd w:id="1023"/>
    <w:p w14:paraId="426F64D9">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024" w:name="_Toc532375632"/>
      <w:bookmarkStart w:id="1025" w:name="_Toc532377368"/>
      <w:r>
        <w:rPr>
          <w:rFonts w:hint="eastAsia" w:ascii="宋体" w:hAnsi="宋体" w:eastAsia="宋体" w:cs="宋体"/>
          <w:color w:val="auto"/>
          <w:sz w:val="21"/>
          <w:szCs w:val="21"/>
          <w:highlight w:val="none"/>
        </w:rPr>
        <w:t>9</w:t>
      </w:r>
      <w:bookmarkStart w:id="1026" w:name="_Toc300934983"/>
      <w:bookmarkStart w:id="1027" w:name="_Toc312678022"/>
      <w:bookmarkStart w:id="1028" w:name="_Toc304295560"/>
      <w:bookmarkStart w:id="1029" w:name="_Toc297123534"/>
      <w:bookmarkStart w:id="1030" w:name="_Toc297216193"/>
      <w:bookmarkStart w:id="1031" w:name="_Toc312677496"/>
      <w:bookmarkStart w:id="1032" w:name="_Toc303539140"/>
      <w:r>
        <w:rPr>
          <w:rFonts w:hint="eastAsia" w:ascii="宋体" w:hAnsi="宋体" w:eastAsia="宋体" w:cs="宋体"/>
          <w:color w:val="auto"/>
          <w:sz w:val="21"/>
          <w:szCs w:val="21"/>
          <w:highlight w:val="none"/>
        </w:rPr>
        <w:t>.1 试验设备与试验人员</w:t>
      </w:r>
      <w:bookmarkEnd w:id="1024"/>
      <w:bookmarkEnd w:id="1025"/>
    </w:p>
    <w:bookmarkEnd w:id="1026"/>
    <w:bookmarkEnd w:id="1027"/>
    <w:bookmarkEnd w:id="1028"/>
    <w:bookmarkEnd w:id="1029"/>
    <w:bookmarkEnd w:id="1030"/>
    <w:bookmarkEnd w:id="1031"/>
    <w:bookmarkEnd w:id="1032"/>
    <w:p w14:paraId="2E98BA2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1033" w:name="_Toc297216194"/>
      <w:bookmarkStart w:id="1034" w:name="_Toc297123535"/>
      <w:bookmarkStart w:id="1035" w:name="_Toc312678023"/>
      <w:bookmarkStart w:id="1036" w:name="_Toc303539141"/>
      <w:bookmarkStart w:id="1037" w:name="_Toc312677497"/>
      <w:bookmarkStart w:id="1038" w:name="_Toc304295561"/>
      <w:bookmarkStart w:id="1039" w:name="_Toc300934984"/>
      <w:bookmarkStart w:id="1040" w:name="_Toc318581174"/>
      <w:r>
        <w:rPr>
          <w:rFonts w:hint="eastAsia" w:ascii="宋体" w:hAnsi="宋体" w:eastAsia="宋体" w:cs="宋体"/>
          <w:color w:val="auto"/>
          <w:szCs w:val="21"/>
          <w:highlight w:val="none"/>
        </w:rPr>
        <w:t>.1.2 试验设备</w:t>
      </w:r>
    </w:p>
    <w:p w14:paraId="6C985E3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施工现场需要配置的试验场所：</w:t>
      </w:r>
      <w:bookmarkEnd w:id="1033"/>
      <w:bookmarkEnd w:id="1034"/>
      <w:bookmarkEnd w:id="1035"/>
      <w:bookmarkEnd w:id="1036"/>
      <w:bookmarkEnd w:id="1037"/>
      <w:bookmarkEnd w:id="1038"/>
      <w:bookmarkEnd w:id="1039"/>
      <w:bookmarkStart w:id="1041" w:name="_Toc303539142"/>
      <w:bookmarkStart w:id="1042" w:name="_Toc312678024"/>
      <w:bookmarkStart w:id="1043" w:name="_Toc304295562"/>
      <w:bookmarkStart w:id="1044" w:name="_Toc297216195"/>
      <w:bookmarkStart w:id="1045" w:name="_Toc297123536"/>
      <w:bookmarkStart w:id="1046" w:name="_Toc300934985"/>
      <w:bookmarkStart w:id="1047" w:name="_Toc312677498"/>
      <w:r>
        <w:rPr>
          <w:rFonts w:hint="eastAsia" w:ascii="宋体" w:hAnsi="宋体" w:eastAsia="宋体" w:cs="宋体"/>
          <w:color w:val="auto"/>
          <w:szCs w:val="21"/>
          <w:highlight w:val="none"/>
          <w:u w:val="single"/>
        </w:rPr>
        <w:t>满足工程施工的需要</w:t>
      </w:r>
      <w:r>
        <w:rPr>
          <w:rFonts w:hint="eastAsia" w:ascii="宋体" w:hAnsi="宋体" w:eastAsia="宋体" w:cs="宋体"/>
          <w:color w:val="auto"/>
          <w:szCs w:val="21"/>
          <w:highlight w:val="none"/>
        </w:rPr>
        <w:t>。</w:t>
      </w:r>
    </w:p>
    <w:p w14:paraId="7A9DC4C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满足工程施工的需要</w:t>
      </w:r>
      <w:r>
        <w:rPr>
          <w:rFonts w:hint="eastAsia" w:ascii="宋体" w:hAnsi="宋体" w:eastAsia="宋体" w:cs="宋体"/>
          <w:color w:val="auto"/>
          <w:szCs w:val="21"/>
          <w:highlight w:val="none"/>
        </w:rPr>
        <w:t>。</w:t>
      </w:r>
    </w:p>
    <w:p w14:paraId="2FF974A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EAB8BA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048" w:name="_Toc532375633"/>
      <w:bookmarkStart w:id="1049" w:name="_Toc532377369"/>
      <w:r>
        <w:rPr>
          <w:rFonts w:hint="eastAsia" w:ascii="宋体" w:hAnsi="宋体" w:eastAsia="宋体" w:cs="宋体"/>
          <w:color w:val="auto"/>
          <w:sz w:val="21"/>
          <w:szCs w:val="21"/>
          <w:highlight w:val="none"/>
        </w:rPr>
        <w:t>9.4 现场工艺试验</w:t>
      </w:r>
      <w:bookmarkEnd w:id="1048"/>
      <w:bookmarkEnd w:id="1049"/>
    </w:p>
    <w:p w14:paraId="055CB86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本款补充9.4.1～9.4.5项：</w:t>
      </w:r>
    </w:p>
    <w:bookmarkEnd w:id="1040"/>
    <w:bookmarkEnd w:id="1041"/>
    <w:bookmarkEnd w:id="1042"/>
    <w:bookmarkEnd w:id="1043"/>
    <w:bookmarkEnd w:id="1044"/>
    <w:bookmarkEnd w:id="1045"/>
    <w:bookmarkEnd w:id="1046"/>
    <w:bookmarkEnd w:id="1047"/>
    <w:p w14:paraId="0A24D3D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9.4.1一般检验试验：</w:t>
      </w:r>
    </w:p>
    <w:p w14:paraId="178F6AC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397772F">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3107F91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9.4.2特殊检验试验：</w:t>
      </w:r>
    </w:p>
    <w:p w14:paraId="7D447B0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71960BD5">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发包人委托的第三方检测试验机构检测试验的试件所需的材料、取样、送检及相关配合工作由承包人负责完成并承担由此产生的所有相关费用。</w:t>
      </w:r>
    </w:p>
    <w:p w14:paraId="263FC1C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（2）施工措施的检测、试验：因施工措施需要而做的相关检测、试验由承包人负责实施，其费用由承包人承担。</w:t>
      </w:r>
    </w:p>
    <w:p w14:paraId="48B16858">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9.4.3专项检测：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33A9369">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9.4.4若因承包人取样、制样、送检及相关配合不及时而导致工程的工期和费用增加，影响的工期不予延长，增加费用由承包人承担。</w:t>
      </w:r>
    </w:p>
    <w:p w14:paraId="59551DE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9.4.5检测试验不合格的项目，其缺陷处理和复测费用由承包人承担，工期不予延长。</w:t>
      </w:r>
    </w:p>
    <w:bookmarkEnd w:id="886"/>
    <w:bookmarkEnd w:id="887"/>
    <w:bookmarkEnd w:id="888"/>
    <w:bookmarkEnd w:id="889"/>
    <w:bookmarkEnd w:id="890"/>
    <w:bookmarkEnd w:id="891"/>
    <w:bookmarkEnd w:id="892"/>
    <w:bookmarkEnd w:id="893"/>
    <w:bookmarkEnd w:id="894"/>
    <w:bookmarkEnd w:id="895"/>
    <w:bookmarkEnd w:id="896"/>
    <w:bookmarkEnd w:id="897"/>
    <w:bookmarkEnd w:id="898"/>
    <w:p w14:paraId="2B754ADB">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050" w:name="_Toc532377370"/>
      <w:bookmarkStart w:id="1051" w:name="_Toc532375634"/>
      <w:bookmarkStart w:id="1052" w:name="_Toc267251490"/>
      <w:bookmarkStart w:id="1053" w:name="_Toc267251484"/>
      <w:bookmarkStart w:id="1054" w:name="_Hlk524298112"/>
      <w:bookmarkStart w:id="1055" w:name="_Toc267251488"/>
      <w:bookmarkStart w:id="1056" w:name="_Toc267251489"/>
      <w:bookmarkStart w:id="1057" w:name="_Toc267251485"/>
      <w:bookmarkStart w:id="1058" w:name="_Toc267251486"/>
      <w:bookmarkStart w:id="1059" w:name="_Toc267251482"/>
      <w:bookmarkStart w:id="1060" w:name="_Toc267251498"/>
      <w:bookmarkStart w:id="1061" w:name="_Toc267251491"/>
      <w:bookmarkStart w:id="1062" w:name="_Toc267251503"/>
      <w:bookmarkStart w:id="1063" w:name="_Toc267251506"/>
      <w:bookmarkStart w:id="1064" w:name="_Toc267251496"/>
      <w:bookmarkStart w:id="1065" w:name="_Toc267251515"/>
      <w:bookmarkStart w:id="1066" w:name="_Toc267251501"/>
      <w:bookmarkStart w:id="1067" w:name="_Toc267251497"/>
      <w:bookmarkStart w:id="1068" w:name="_Toc267251510"/>
      <w:bookmarkStart w:id="1069" w:name="_Toc267251499"/>
      <w:bookmarkStart w:id="1070" w:name="_Toc267251493"/>
      <w:bookmarkStart w:id="1071" w:name="_Toc267251502"/>
      <w:bookmarkStart w:id="1072" w:name="_Toc267251511"/>
      <w:bookmarkStart w:id="1073" w:name="_Toc267251492"/>
      <w:bookmarkStart w:id="1074" w:name="_Toc267251509"/>
      <w:bookmarkStart w:id="1075" w:name="_Toc267251504"/>
      <w:bookmarkStart w:id="1076" w:name="_Toc267251495"/>
      <w:bookmarkStart w:id="1077" w:name="_Toc267251494"/>
      <w:bookmarkStart w:id="1078" w:name="_Toc267251508"/>
      <w:bookmarkStart w:id="1079" w:name="_Toc267251507"/>
      <w:bookmarkStart w:id="1080" w:name="_Toc267251514"/>
      <w:bookmarkStart w:id="1081" w:name="_Toc267251513"/>
      <w:r>
        <w:rPr>
          <w:rFonts w:hint="eastAsia" w:ascii="宋体" w:hAnsi="宋体" w:eastAsia="宋体" w:cs="宋体"/>
          <w:color w:val="auto"/>
          <w:sz w:val="21"/>
          <w:szCs w:val="21"/>
          <w:highlight w:val="none"/>
        </w:rPr>
        <w:t>1</w:t>
      </w:r>
      <w:bookmarkStart w:id="1082" w:name="_Toc304295566"/>
      <w:bookmarkStart w:id="1083" w:name="_Toc296891233"/>
      <w:bookmarkStart w:id="1084" w:name="_Toc296891021"/>
      <w:bookmarkStart w:id="1085" w:name="_Toc303539146"/>
      <w:bookmarkStart w:id="1086" w:name="_Toc292559903"/>
      <w:bookmarkStart w:id="1087" w:name="_Toc296503193"/>
      <w:bookmarkStart w:id="1088" w:name="_Toc296944532"/>
      <w:bookmarkStart w:id="1089" w:name="_Toc297123540"/>
      <w:bookmarkStart w:id="1090" w:name="_Toc297120493"/>
      <w:bookmarkStart w:id="1091" w:name="_Toc297216199"/>
      <w:bookmarkStart w:id="1092" w:name="_Toc292559398"/>
      <w:bookmarkStart w:id="1093" w:name="_Toc297048379"/>
      <w:bookmarkStart w:id="1094" w:name="_Toc296346694"/>
      <w:bookmarkStart w:id="1095" w:name="_Toc296347192"/>
      <w:bookmarkStart w:id="1096" w:name="_Toc300934989"/>
      <w:bookmarkStart w:id="1097" w:name="_Toc312677499"/>
      <w:bookmarkStart w:id="1098" w:name="_Toc312678025"/>
      <w:bookmarkStart w:id="1099" w:name="_Toc267251441"/>
      <w:bookmarkStart w:id="1100" w:name="_Toc267251437"/>
      <w:bookmarkStart w:id="1101" w:name="_Toc267251440"/>
      <w:bookmarkStart w:id="1102" w:name="_Toc267251439"/>
      <w:bookmarkStart w:id="1103" w:name="_Toc267251433"/>
      <w:bookmarkStart w:id="1104" w:name="_Toc267251435"/>
      <w:r>
        <w:rPr>
          <w:rFonts w:hint="eastAsia" w:ascii="宋体" w:hAnsi="宋体" w:eastAsia="宋体" w:cs="宋体"/>
          <w:color w:val="auto"/>
          <w:sz w:val="21"/>
          <w:szCs w:val="21"/>
          <w:highlight w:val="none"/>
        </w:rPr>
        <w:t>0. 变更</w:t>
      </w:r>
      <w:bookmarkEnd w:id="1050"/>
      <w:bookmarkEnd w:id="105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bookmarkEnd w:id="1097"/>
    <w:bookmarkEnd w:id="1098"/>
    <w:p w14:paraId="369D654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05" w:name="_Toc532377371"/>
      <w:bookmarkStart w:id="1106" w:name="_Toc532375635"/>
      <w:r>
        <w:rPr>
          <w:rFonts w:hint="eastAsia" w:ascii="宋体" w:hAnsi="宋体" w:eastAsia="宋体" w:cs="宋体"/>
          <w:color w:val="auto"/>
          <w:sz w:val="21"/>
          <w:szCs w:val="21"/>
          <w:highlight w:val="none"/>
        </w:rPr>
        <w:t>1</w:t>
      </w:r>
      <w:bookmarkStart w:id="1107" w:name="_Toc296347193"/>
      <w:bookmarkStart w:id="1108" w:name="_Toc297048380"/>
      <w:bookmarkStart w:id="1109" w:name="_Toc297123541"/>
      <w:bookmarkStart w:id="1110" w:name="_Toc312678026"/>
      <w:bookmarkStart w:id="1111" w:name="_Toc292559399"/>
      <w:bookmarkStart w:id="1112" w:name="_Toc297120494"/>
      <w:bookmarkStart w:id="1113" w:name="_Toc296503194"/>
      <w:bookmarkStart w:id="1114" w:name="_Toc296346695"/>
      <w:bookmarkStart w:id="1115" w:name="_Toc296891022"/>
      <w:bookmarkStart w:id="1116" w:name="_Toc312677500"/>
      <w:bookmarkStart w:id="1117" w:name="_Toc296891234"/>
      <w:bookmarkStart w:id="1118" w:name="_Toc303539147"/>
      <w:bookmarkStart w:id="1119" w:name="_Toc297216200"/>
      <w:bookmarkStart w:id="1120" w:name="_Toc292559904"/>
      <w:bookmarkStart w:id="1121" w:name="_Toc304295567"/>
      <w:bookmarkStart w:id="1122" w:name="_Toc300934990"/>
      <w:bookmarkStart w:id="1123" w:name="_Toc296944533"/>
      <w:r>
        <w:rPr>
          <w:rFonts w:hint="eastAsia" w:ascii="宋体" w:hAnsi="宋体" w:eastAsia="宋体" w:cs="宋体"/>
          <w:color w:val="auto"/>
          <w:sz w:val="21"/>
          <w:szCs w:val="21"/>
          <w:highlight w:val="none"/>
        </w:rPr>
        <w:t>0.1变更的范围</w:t>
      </w:r>
      <w:bookmarkEnd w:id="1105"/>
      <w:bookmarkEnd w:id="1106"/>
    </w:p>
    <w:p w14:paraId="4D887CB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关于变更范围的约定：</w:t>
      </w:r>
    </w:p>
    <w:p w14:paraId="6E1FD22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（1）增加或减少合同中任何工作，或追加额外的工作；</w:t>
      </w:r>
    </w:p>
    <w:p w14:paraId="33AB6E2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（2）取消合同中任何工作；</w:t>
      </w:r>
    </w:p>
    <w:p w14:paraId="6AE504B4">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（3）改变合同中任何工作的质量标准或其他特性；</w:t>
      </w:r>
    </w:p>
    <w:p w14:paraId="519BFBD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（4）改变工程的基线、标高、位置和尺寸；</w:t>
      </w:r>
    </w:p>
    <w:p w14:paraId="610E2FA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（5）适用于工程的标准和（或）规范变化导致需要对工程进行改变，且该改变导致工期和（或）费用变化的；</w:t>
      </w:r>
    </w:p>
    <w:p w14:paraId="3BAA957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（6）勘察设计变更；</w:t>
      </w:r>
    </w:p>
    <w:p w14:paraId="1F8B4B6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（7）实施内容变更，包括因设计变更和非设计变更引起的实施地点、投资规模、结构型式、采购数量、服务内容等进行的调整，以及因此导致的合同价格、工期变更；</w:t>
      </w:r>
    </w:p>
    <w:p w14:paraId="55670B0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（8）项目管理人员变更；</w:t>
      </w:r>
    </w:p>
    <w:p w14:paraId="38861F0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（9）因人工、原材料等价格变化导致的合同总价变更；</w:t>
      </w:r>
    </w:p>
    <w:p w14:paraId="4D075A4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（10）非实施内容变化导致的工期变更；</w:t>
      </w:r>
    </w:p>
    <w:p w14:paraId="3E1821D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DB3444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1E9FD90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承包人对其提供的材料、工程设备、施工、无负荷试车、热负荷试车及图纸参数存在的缺陷，自费修正、调整和完善，不属于变更。</w:t>
      </w:r>
    </w:p>
    <w:p w14:paraId="3F7CB8D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24" w:name="_Toc532375636"/>
      <w:bookmarkStart w:id="1125" w:name="_Toc532377372"/>
      <w:bookmarkStart w:id="1126" w:name="_Toc351203569"/>
      <w:r>
        <w:rPr>
          <w:rFonts w:hint="eastAsia" w:ascii="宋体" w:hAnsi="宋体" w:eastAsia="宋体" w:cs="宋体"/>
          <w:color w:val="auto"/>
          <w:sz w:val="21"/>
          <w:szCs w:val="21"/>
          <w:highlight w:val="none"/>
        </w:rPr>
        <w:t>1</w:t>
      </w:r>
      <w:bookmarkStart w:id="1127" w:name="_Toc296346586"/>
      <w:bookmarkStart w:id="1128" w:name="_Toc337558789"/>
      <w:bookmarkStart w:id="1129" w:name="_Toc296503085"/>
      <w:r>
        <w:rPr>
          <w:rFonts w:hint="eastAsia" w:ascii="宋体" w:hAnsi="宋体" w:eastAsia="宋体" w:cs="宋体"/>
          <w:color w:val="auto"/>
          <w:sz w:val="21"/>
          <w:szCs w:val="21"/>
          <w:highlight w:val="none"/>
        </w:rPr>
        <w:t>0.2变更权</w:t>
      </w:r>
      <w:bookmarkEnd w:id="1124"/>
      <w:bookmarkEnd w:id="1125"/>
      <w:bookmarkEnd w:id="1126"/>
    </w:p>
    <w:bookmarkEnd w:id="1127"/>
    <w:bookmarkEnd w:id="1128"/>
    <w:bookmarkEnd w:id="1129"/>
    <w:p w14:paraId="427542B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10.2.1发包人和监理人提出变更</w:t>
      </w:r>
    </w:p>
    <w:p w14:paraId="7B2EC78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74ED7ED7">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502EB4B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若出现重大设计变更，变更后的内容超出承包人资质或能力范围的，发包人将另行依法招标选择承包单位，无需征得承包人同意。</w:t>
      </w:r>
    </w:p>
    <w:p w14:paraId="12EB8CC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10.2.2 承包人提出变更建议</w:t>
      </w:r>
    </w:p>
    <w:p w14:paraId="3D2DC46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eastAsia="宋体" w:cs="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eastAsia="宋体" w:cs="宋体"/>
          <w:color w:val="auto"/>
          <w:szCs w:val="21"/>
          <w:highlight w:val="none"/>
        </w:rPr>
        <w:t>。</w:t>
      </w:r>
    </w:p>
    <w:p w14:paraId="5B494F06">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如果发包人对承包人已实施的施工项目在发出重大设计变更之前要求承包人提出一份建议，那么，承包人应尽快提出：</w:t>
      </w:r>
    </w:p>
    <w:p w14:paraId="5F225EDF">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（1）对所提方案和（或）待做工作及其实施计划的说明</w:t>
      </w:r>
      <w:r>
        <w:rPr>
          <w:rFonts w:hint="eastAsia" w:ascii="宋体" w:hAnsi="宋体" w:eastAsia="宋体" w:cs="宋体"/>
          <w:color w:val="auto"/>
          <w:szCs w:val="21"/>
          <w:highlight w:val="none"/>
        </w:rPr>
        <w:t>；</w:t>
      </w:r>
    </w:p>
    <w:p w14:paraId="474AE8C0">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（2）承包人按照对工程进度计划进行必要修改的建议</w:t>
      </w:r>
      <w:r>
        <w:rPr>
          <w:rFonts w:hint="eastAsia" w:ascii="宋体" w:hAnsi="宋体" w:eastAsia="宋体" w:cs="宋体"/>
          <w:color w:val="auto"/>
          <w:szCs w:val="21"/>
          <w:highlight w:val="none"/>
        </w:rPr>
        <w:t>；</w:t>
      </w:r>
    </w:p>
    <w:p w14:paraId="5F681CAB">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（3）承包人发生较大返工损失增加费用的建议</w:t>
      </w:r>
      <w:r>
        <w:rPr>
          <w:rFonts w:hint="eastAsia" w:ascii="宋体" w:hAnsi="宋体" w:eastAsia="宋体" w:cs="宋体"/>
          <w:color w:val="auto"/>
          <w:szCs w:val="21"/>
          <w:highlight w:val="none"/>
        </w:rPr>
        <w:t>。</w:t>
      </w:r>
    </w:p>
    <w:p w14:paraId="2C28708F">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发包人在收到上述建议书后，应尽快给予批准、否决或提出意见</w:t>
      </w:r>
      <w:r>
        <w:rPr>
          <w:rFonts w:hint="eastAsia" w:ascii="宋体" w:hAnsi="宋体" w:eastAsia="宋体" w:cs="宋体"/>
          <w:color w:val="auto"/>
          <w:szCs w:val="21"/>
          <w:highlight w:val="none"/>
        </w:rPr>
        <w:t>。</w:t>
      </w:r>
    </w:p>
    <w:p w14:paraId="2307069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30" w:name="_Toc532377373"/>
      <w:bookmarkStart w:id="1131" w:name="_Toc532375637"/>
      <w:bookmarkStart w:id="1132" w:name="_Hlk528928195"/>
      <w:bookmarkStart w:id="1133" w:name="_Toc351203570"/>
      <w:r>
        <w:rPr>
          <w:rFonts w:hint="eastAsia" w:ascii="宋体" w:hAnsi="宋体" w:eastAsia="宋体" w:cs="宋体"/>
          <w:color w:val="auto"/>
          <w:sz w:val="21"/>
          <w:szCs w:val="21"/>
          <w:highlight w:val="none"/>
        </w:rPr>
        <w:t>1</w:t>
      </w:r>
      <w:bookmarkStart w:id="1134" w:name="_Toc296503086"/>
      <w:bookmarkStart w:id="1135" w:name="_Toc337558790"/>
      <w:bookmarkStart w:id="1136" w:name="_Toc296346587"/>
      <w:r>
        <w:rPr>
          <w:rFonts w:hint="eastAsia" w:ascii="宋体" w:hAnsi="宋体" w:eastAsia="宋体" w:cs="宋体"/>
          <w:color w:val="auto"/>
          <w:sz w:val="21"/>
          <w:szCs w:val="21"/>
          <w:highlight w:val="none"/>
        </w:rPr>
        <w:t>0.3变更程序</w:t>
      </w:r>
      <w:bookmarkEnd w:id="1130"/>
      <w:bookmarkEnd w:id="1131"/>
    </w:p>
    <w:bookmarkEnd w:id="1134"/>
    <w:bookmarkEnd w:id="1135"/>
    <w:bookmarkEnd w:id="1136"/>
    <w:p w14:paraId="02707FD1">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137" w:name="_Hlk524353972"/>
      <w:r>
        <w:rPr>
          <w:rFonts w:hint="eastAsia" w:ascii="宋体" w:hAnsi="宋体" w:eastAsia="宋体" w:cs="宋体"/>
          <w:color w:val="auto"/>
          <w:szCs w:val="21"/>
          <w:highlight w:val="none"/>
        </w:rPr>
        <w:t>10.3.3 变更执行</w:t>
      </w:r>
    </w:p>
    <w:p w14:paraId="22B0F37D">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17F5B5C1">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重大设计变更：需经设计人、监理人和发包人（或代建单位）三方签名认可并报相关行业部门审查同意后实施。</w:t>
      </w:r>
    </w:p>
    <w:p w14:paraId="050B64B6">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10.3.3 项增加以下内容：</w:t>
      </w:r>
    </w:p>
    <w:p w14:paraId="70AC7D0F">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A846515">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项目的勘察设计、实施内容等作较大变更的，应当按照规定的程序报原审批部门审批；变更导致总投资超概的，应当报原投资概算核定部门核定。</w:t>
      </w:r>
    </w:p>
    <w:p w14:paraId="272C84CA">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65A4F1AE">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因人工、原材料市场价格发生大幅度变化导致的合同总价变更，由发包人（或代建单位）与承包人按照合同进行变更，并将变更信息推送给行业主管部门。</w:t>
      </w:r>
    </w:p>
    <w:p w14:paraId="55C2CACC">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项目实施内容无变更，因不可抗力导致的工期变更，由发包人（或代建单位）领导班子集体决策同意，并将变更信息推送给行业主管部门；因项目实施内容变更导致的工期变更，与项目实施内容变更一并办理。</w:t>
      </w:r>
    </w:p>
    <w:p w14:paraId="367CD8CB">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项目合同变更后，增加的实施内容达到依法必须招标的规模标准的，增加的部分应当依法通过招标选择承包单位。</w:t>
      </w:r>
    </w:p>
    <w:bookmarkEnd w:id="1132"/>
    <w:bookmarkEnd w:id="1133"/>
    <w:bookmarkEnd w:id="1137"/>
    <w:p w14:paraId="59C5BE6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38" w:name="_Toc532375638"/>
      <w:bookmarkStart w:id="1139" w:name="_Toc532377374"/>
      <w:r>
        <w:rPr>
          <w:rFonts w:hint="eastAsia" w:ascii="宋体" w:hAnsi="宋体" w:eastAsia="宋体" w:cs="宋体"/>
          <w:color w:val="auto"/>
          <w:sz w:val="21"/>
          <w:szCs w:val="21"/>
          <w:highlight w:val="none"/>
        </w:rPr>
        <w:t>10.4 变更估价</w:t>
      </w:r>
      <w:bookmarkEnd w:id="1138"/>
      <w:bookmarkEnd w:id="1139"/>
    </w:p>
    <w:p w14:paraId="5609355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140" w:name="_Hlk524296629"/>
      <w:r>
        <w:rPr>
          <w:rFonts w:hint="eastAsia" w:ascii="宋体" w:hAnsi="宋体" w:eastAsia="宋体" w:cs="宋体"/>
          <w:color w:val="auto"/>
          <w:szCs w:val="21"/>
          <w:highlight w:val="none"/>
        </w:rPr>
        <w:t>10.4.1 变更估价原则</w:t>
      </w:r>
    </w:p>
    <w:p w14:paraId="7316D346">
      <w:pPr>
        <w:pStyle w:val="2"/>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当发生工程变更时，工程量按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规定的计算规则及已标价工程量清单规定的工程量计算规则计量，按以下办法计价：</w:t>
      </w:r>
      <w:bookmarkStart w:id="1141" w:name="_Hlk524770102"/>
    </w:p>
    <w:bookmarkEnd w:id="1141"/>
    <w:p w14:paraId="4B05F68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10.4.1.1已标价工程量清单中有相同项目的，按照相同项目单价计算；</w:t>
      </w:r>
    </w:p>
    <w:p w14:paraId="11C45F0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10.4.1.2已标价工程量清单中有类似项目的，参考类似项目单价计算；</w:t>
      </w:r>
    </w:p>
    <w:p w14:paraId="740BF2E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10.4.1.3已标价工程量清单中无相同项目亦无类似项目的，按照以下原则执行：</w:t>
      </w:r>
    </w:p>
    <w:p w14:paraId="0EAB9FD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eastAsia="宋体" w:cs="宋体"/>
          <w:color w:val="auto"/>
          <w:szCs w:val="21"/>
          <w:highlight w:val="none"/>
        </w:rPr>
        <w:t>。</w:t>
      </w:r>
    </w:p>
    <w:p w14:paraId="6E6D88F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承包人报价浮动率按下列公式计算：承包人报价浮动率=（1-中标价/最高限价）×100%。</w:t>
      </w:r>
    </w:p>
    <w:p w14:paraId="0243C02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（1）人工单价：按开标当期《重庆工程造价信息》发布的项目所在地的人工单价执行。</w:t>
      </w:r>
    </w:p>
    <w:p w14:paraId="6C695D6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142" w:name="_Hlk529023896"/>
      <w:r>
        <w:rPr>
          <w:rFonts w:hint="eastAsia" w:ascii="宋体" w:hAnsi="宋体" w:eastAsia="宋体" w:cs="宋体"/>
          <w:color w:val="auto"/>
          <w:szCs w:val="21"/>
          <w:highlight w:val="none"/>
        </w:rPr>
        <w:t>（2）材料单价：</w:t>
      </w:r>
    </w:p>
    <w:p w14:paraId="6B073F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①按</w:t>
      </w:r>
      <w:bookmarkStart w:id="1143" w:name="_Hlk529023354"/>
      <w:r>
        <w:rPr>
          <w:rFonts w:hint="eastAsia" w:ascii="宋体" w:hAnsi="宋体" w:eastAsia="宋体" w:cs="宋体"/>
          <w:color w:val="auto"/>
          <w:szCs w:val="21"/>
          <w:highlight w:val="none"/>
        </w:rPr>
        <w:t>开标当期《重庆工程造价信息》发布的项目所在地的信息价</w:t>
      </w:r>
      <w:bookmarkEnd w:id="1143"/>
      <w:r>
        <w:rPr>
          <w:rFonts w:hint="eastAsia" w:ascii="宋体" w:hAnsi="宋体" w:eastAsia="宋体" w:cs="宋体"/>
          <w:color w:val="auto"/>
          <w:szCs w:val="21"/>
          <w:highlight w:val="none"/>
        </w:rPr>
        <w:t>执行；</w:t>
      </w:r>
    </w:p>
    <w:p w14:paraId="4C7D6CF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②开标当期《重庆工程造价信息》中没有的，承包人投标报价中有的，按承包人投标报价中相同材料单价的最低值执行；</w:t>
      </w:r>
    </w:p>
    <w:p w14:paraId="5EA470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③开标当期《重庆工程造价信息》和承包人投标报价没有的，由承包人申报、监理人会同跟审单位、代建单位（若有）、发包人根据市场行情认质核价确定。</w:t>
      </w:r>
    </w:p>
    <w:bookmarkEnd w:id="1142"/>
    <w:p w14:paraId="7572CB2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2513C029">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（4）规费：按《重庆市建设工程费用定额》（CQFYDE-2018）费用标准进行计算。</w:t>
      </w:r>
    </w:p>
    <w:p w14:paraId="6C6D19C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（5）税金：包含增值税、城市维护建设税、教育费附加、地方教育附加以及环境保护税。其中增值税按《重庆市建设工程费用定额》（CQFYDE-2018）规定及配套文件执行。</w:t>
      </w:r>
    </w:p>
    <w:p w14:paraId="2615CFF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代建单位（若有）共同询价确认的价格执行。</w:t>
      </w:r>
    </w:p>
    <w:p w14:paraId="0A4DE86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本款补充10.4.3项：</w:t>
      </w:r>
    </w:p>
    <w:p w14:paraId="0B8029D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4B7C9AB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eastAsia="宋体" w:cs="宋体"/>
          <w:color w:val="auto"/>
          <w:szCs w:val="21"/>
          <w:highlight w:val="none"/>
        </w:rPr>
        <w:t>；</w:t>
      </w:r>
    </w:p>
    <w:p w14:paraId="6137F7B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按照单价计算的措施项目费，应按照实际发生变化的措施项目，按照第10.4.1项〔变更估价原则〕约定执行</w:t>
      </w:r>
      <w:r>
        <w:rPr>
          <w:rFonts w:hint="eastAsia" w:ascii="宋体" w:hAnsi="宋体" w:eastAsia="宋体" w:cs="宋体"/>
          <w:color w:val="auto"/>
          <w:szCs w:val="21"/>
          <w:highlight w:val="none"/>
        </w:rPr>
        <w:t>；</w:t>
      </w:r>
    </w:p>
    <w:p w14:paraId="250F2CF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按总价（或系数）计算的措施项目费，应按照实际发生变化的措施项目费按承包人报价浮动率下浮后的金额计算</w:t>
      </w:r>
      <w:r>
        <w:rPr>
          <w:rFonts w:hint="eastAsia" w:ascii="宋体" w:hAnsi="宋体" w:eastAsia="宋体" w:cs="宋体"/>
          <w:color w:val="auto"/>
          <w:szCs w:val="21"/>
          <w:highlight w:val="none"/>
        </w:rPr>
        <w:t>；</w:t>
      </w:r>
    </w:p>
    <w:p w14:paraId="701B35DA">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eastAsia="宋体" w:cs="宋体"/>
          <w:color w:val="auto"/>
          <w:szCs w:val="21"/>
          <w:highlight w:val="none"/>
        </w:rPr>
        <w:t>。</w:t>
      </w:r>
    </w:p>
    <w:bookmarkEnd w:id="1140"/>
    <w:p w14:paraId="0C7C4DF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44" w:name="_Toc532375639"/>
      <w:bookmarkStart w:id="1145" w:name="_Toc532377375"/>
      <w:r>
        <w:rPr>
          <w:rFonts w:hint="eastAsia" w:ascii="宋体" w:hAnsi="宋体" w:eastAsia="宋体" w:cs="宋体"/>
          <w:color w:val="auto"/>
          <w:sz w:val="21"/>
          <w:szCs w:val="21"/>
          <w:highlight w:val="none"/>
        </w:rPr>
        <w:t>1</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Start w:id="1146" w:name="_Toc296891237"/>
      <w:bookmarkStart w:id="1147" w:name="_Toc303539150"/>
      <w:bookmarkStart w:id="1148" w:name="_Toc296346698"/>
      <w:bookmarkStart w:id="1149" w:name="_Toc297120497"/>
      <w:bookmarkStart w:id="1150" w:name="_Toc292559907"/>
      <w:bookmarkStart w:id="1151" w:name="_Toc296944536"/>
      <w:bookmarkStart w:id="1152" w:name="_Toc297216203"/>
      <w:bookmarkStart w:id="1153" w:name="_Toc300934993"/>
      <w:bookmarkStart w:id="1154" w:name="_Toc292559402"/>
      <w:bookmarkStart w:id="1155" w:name="_Toc296347196"/>
      <w:bookmarkStart w:id="1156" w:name="_Toc297048383"/>
      <w:bookmarkStart w:id="1157" w:name="_Toc296891025"/>
      <w:bookmarkStart w:id="1158" w:name="_Toc297123544"/>
      <w:bookmarkStart w:id="1159" w:name="_Toc296503197"/>
      <w:bookmarkStart w:id="1160" w:name="_Toc304295570"/>
      <w:bookmarkStart w:id="1161" w:name="_Toc312678029"/>
      <w:bookmarkStart w:id="1162" w:name="_Toc312677503"/>
      <w:r>
        <w:rPr>
          <w:rFonts w:hint="eastAsia" w:ascii="宋体" w:hAnsi="宋体" w:eastAsia="宋体" w:cs="宋体"/>
          <w:color w:val="auto"/>
          <w:sz w:val="21"/>
          <w:szCs w:val="21"/>
          <w:highlight w:val="none"/>
        </w:rPr>
        <w:t>0.5承</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Start w:id="1163" w:name="_Toc297216204"/>
      <w:bookmarkStart w:id="1164" w:name="_Toc296346704"/>
      <w:bookmarkStart w:id="1165" w:name="_Toc296944542"/>
      <w:bookmarkStart w:id="1166" w:name="_Toc292559913"/>
      <w:bookmarkStart w:id="1167" w:name="_Toc296347202"/>
      <w:bookmarkStart w:id="1168" w:name="_Toc296891243"/>
      <w:bookmarkStart w:id="1169" w:name="_Toc296891031"/>
      <w:bookmarkStart w:id="1170" w:name="_Toc297048389"/>
      <w:bookmarkStart w:id="1171" w:name="_Toc297123545"/>
      <w:bookmarkStart w:id="1172" w:name="_Toc296503203"/>
      <w:bookmarkStart w:id="1173" w:name="_Toc303539151"/>
      <w:bookmarkStart w:id="1174" w:name="_Toc300934994"/>
      <w:bookmarkStart w:id="1175" w:name="_Toc292559408"/>
      <w:bookmarkStart w:id="1176" w:name="_Toc297120503"/>
      <w:r>
        <w:rPr>
          <w:rFonts w:hint="eastAsia" w:ascii="宋体" w:hAnsi="宋体" w:eastAsia="宋体" w:cs="宋体"/>
          <w:color w:val="auto"/>
          <w:sz w:val="21"/>
          <w:szCs w:val="21"/>
          <w:highlight w:val="none"/>
        </w:rPr>
        <w:t>包人的合理化建议</w:t>
      </w:r>
      <w:bookmarkEnd w:id="1144"/>
      <w:bookmarkEnd w:id="1145"/>
    </w:p>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14:paraId="3BBFC32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承包人提出合理化建议的，应向监理人提交合理化建议说明，说明建议的内容和理由，以及实施该建议对合同价格和（或）工期和（或）工程经济效益的影响。</w:t>
      </w:r>
    </w:p>
    <w:p w14:paraId="4519106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不超过14天</w:t>
      </w:r>
      <w:r>
        <w:rPr>
          <w:rFonts w:hint="eastAsia" w:ascii="宋体" w:hAnsi="宋体" w:eastAsia="宋体" w:cs="宋体"/>
          <w:color w:val="auto"/>
          <w:szCs w:val="21"/>
          <w:highlight w:val="none"/>
        </w:rPr>
        <w:t>。</w:t>
      </w:r>
    </w:p>
    <w:p w14:paraId="162AB72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不超过14天</w:t>
      </w:r>
      <w:r>
        <w:rPr>
          <w:rFonts w:hint="eastAsia" w:ascii="宋体" w:hAnsi="宋体" w:eastAsia="宋体" w:cs="宋体"/>
          <w:color w:val="auto"/>
          <w:szCs w:val="21"/>
          <w:highlight w:val="none"/>
        </w:rPr>
        <w:t>。</w:t>
      </w:r>
    </w:p>
    <w:p w14:paraId="5E46D53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w:t>
      </w:r>
      <w:bookmarkStart w:id="1177" w:name="_Toc296347203"/>
      <w:bookmarkStart w:id="1178" w:name="_Toc312678030"/>
      <w:bookmarkStart w:id="1179" w:name="_Toc297216205"/>
      <w:bookmarkStart w:id="1180" w:name="_Toc297123546"/>
      <w:bookmarkStart w:id="1181" w:name="_Toc303539152"/>
      <w:bookmarkStart w:id="1182" w:name="_Toc297120504"/>
      <w:bookmarkStart w:id="1183" w:name="_Toc304295571"/>
      <w:bookmarkStart w:id="1184" w:name="_Toc296346705"/>
      <w:bookmarkStart w:id="1185" w:name="_Toc297048390"/>
      <w:bookmarkStart w:id="1186" w:name="_Toc300934995"/>
      <w:bookmarkStart w:id="1187" w:name="_Toc296944543"/>
      <w:bookmarkStart w:id="1188" w:name="_Toc296503204"/>
      <w:bookmarkStart w:id="1189" w:name="_Toc292559409"/>
      <w:bookmarkStart w:id="1190" w:name="_Toc292559914"/>
      <w:bookmarkStart w:id="1191" w:name="_Toc318581175"/>
      <w:bookmarkStart w:id="1192" w:name="_Toc312677504"/>
      <w:bookmarkStart w:id="1193" w:name="_Toc296891032"/>
      <w:bookmarkStart w:id="1194" w:name="_Toc296891244"/>
      <w:r>
        <w:rPr>
          <w:rFonts w:hint="eastAsia" w:ascii="宋体" w:hAnsi="宋体" w:eastAsia="宋体" w:cs="宋体"/>
          <w:color w:val="auto"/>
          <w:szCs w:val="21"/>
          <w:highlight w:val="none"/>
        </w:rPr>
        <w:t>包人提出的合理化建议降低了合同价格或缩短了工期或者提高了工程经济效益的奖励的方法和金额为：</w:t>
      </w:r>
      <w:r>
        <w:rPr>
          <w:rFonts w:hint="eastAsia" w:ascii="宋体" w:hAnsi="宋体" w:eastAsia="宋体" w:cs="宋体"/>
          <w:color w:val="auto"/>
          <w:szCs w:val="21"/>
          <w:highlight w:val="none"/>
          <w:u w:val="single"/>
        </w:rPr>
        <w:t>合理化建议带来经济效益的5～10 %</w:t>
      </w:r>
      <w:r>
        <w:rPr>
          <w:rFonts w:hint="eastAsia" w:ascii="宋体" w:hAnsi="宋体" w:eastAsia="宋体" w:cs="宋体"/>
          <w:color w:val="auto"/>
          <w:szCs w:val="21"/>
          <w:highlight w:val="none"/>
        </w:rPr>
        <w:t>。</w:t>
      </w:r>
    </w:p>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14:paraId="0857CE0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195" w:name="_Toc532377376"/>
      <w:bookmarkStart w:id="1196" w:name="_Toc532375640"/>
      <w:r>
        <w:rPr>
          <w:rFonts w:hint="eastAsia" w:ascii="宋体" w:hAnsi="宋体" w:eastAsia="宋体" w:cs="宋体"/>
          <w:color w:val="auto"/>
          <w:sz w:val="21"/>
          <w:szCs w:val="21"/>
          <w:highlight w:val="none"/>
        </w:rPr>
        <w:t>1</w:t>
      </w:r>
      <w:bookmarkStart w:id="1197" w:name="_Toc300934997"/>
      <w:bookmarkStart w:id="1198" w:name="_Toc296346700"/>
      <w:bookmarkStart w:id="1199" w:name="_Toc292559909"/>
      <w:bookmarkStart w:id="1200" w:name="_Toc296347198"/>
      <w:bookmarkStart w:id="1201" w:name="_Toc312678033"/>
      <w:bookmarkStart w:id="1202" w:name="_Toc296891239"/>
      <w:bookmarkStart w:id="1203" w:name="_Toc303539154"/>
      <w:bookmarkStart w:id="1204" w:name="_Toc297123548"/>
      <w:bookmarkStart w:id="1205" w:name="_Toc297120499"/>
      <w:bookmarkStart w:id="1206" w:name="_Toc292559404"/>
      <w:bookmarkStart w:id="1207" w:name="_Toc297048385"/>
      <w:bookmarkStart w:id="1208" w:name="_Toc304295574"/>
      <w:bookmarkStart w:id="1209" w:name="_Toc296944538"/>
      <w:bookmarkStart w:id="1210" w:name="_Toc296503199"/>
      <w:bookmarkStart w:id="1211" w:name="_Toc296891027"/>
      <w:bookmarkStart w:id="1212" w:name="_Toc312677507"/>
      <w:bookmarkStart w:id="1213" w:name="_Toc297216207"/>
      <w:r>
        <w:rPr>
          <w:rFonts w:hint="eastAsia" w:ascii="宋体" w:hAnsi="宋体" w:eastAsia="宋体" w:cs="宋体"/>
          <w:color w:val="auto"/>
          <w:sz w:val="21"/>
          <w:szCs w:val="21"/>
          <w:highlight w:val="none"/>
        </w:rPr>
        <w:t>0.7 暂估价</w:t>
      </w:r>
      <w:bookmarkEnd w:id="1195"/>
      <w:bookmarkEnd w:id="1196"/>
    </w:p>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14:paraId="27E42F0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专业工程暂估价：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p>
    <w:p w14:paraId="0AE4A1E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2E11BF7A">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单项合同暂估价在国家相关法律法规规定必须招标规模以上的，需依法必须招标的，由承包人、发包人共同招标确定。</w:t>
      </w:r>
    </w:p>
    <w:p w14:paraId="0FF9B85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14" w:name="_Toc532375641"/>
      <w:bookmarkStart w:id="1215" w:name="_Toc532377377"/>
      <w:r>
        <w:rPr>
          <w:rFonts w:hint="eastAsia" w:ascii="宋体" w:hAnsi="宋体" w:eastAsia="宋体" w:cs="宋体"/>
          <w:color w:val="auto"/>
          <w:sz w:val="21"/>
          <w:szCs w:val="21"/>
          <w:highlight w:val="none"/>
        </w:rPr>
        <w:t>10.8 暂列金额</w:t>
      </w:r>
      <w:bookmarkEnd w:id="1214"/>
      <w:bookmarkEnd w:id="1215"/>
    </w:p>
    <w:p w14:paraId="7E469215">
      <w:pPr>
        <w:wordWrap/>
        <w:autoSpaceDE w:val="0"/>
        <w:autoSpaceDN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合同当事人关于暂列金额使用的约定：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EB43B29">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216" w:name="_Toc351203643"/>
      <w:bookmarkStart w:id="1217" w:name="_Toc532375642"/>
      <w:bookmarkStart w:id="1218" w:name="_Toc532377378"/>
      <w:r>
        <w:rPr>
          <w:rFonts w:hint="eastAsia" w:ascii="宋体" w:hAnsi="宋体" w:eastAsia="宋体" w:cs="宋体"/>
          <w:color w:val="auto"/>
          <w:sz w:val="21"/>
          <w:szCs w:val="21"/>
          <w:highlight w:val="none"/>
        </w:rPr>
        <w:t>11. 价格调整</w:t>
      </w:r>
      <w:bookmarkEnd w:id="1216"/>
      <w:bookmarkEnd w:id="1217"/>
      <w:bookmarkEnd w:id="1218"/>
    </w:p>
    <w:p w14:paraId="30FE8103">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19" w:name="_Toc532377379"/>
      <w:bookmarkStart w:id="1220" w:name="_Toc532375643"/>
      <w:bookmarkStart w:id="1221" w:name="_Toc300935000"/>
      <w:bookmarkStart w:id="1222" w:name="_Toc303539157"/>
      <w:bookmarkStart w:id="1223" w:name="_Toc296944540"/>
      <w:bookmarkStart w:id="1224" w:name="_Toc292559911"/>
      <w:bookmarkStart w:id="1225" w:name="_Toc292559406"/>
      <w:bookmarkStart w:id="1226" w:name="_Toc296346702"/>
      <w:bookmarkStart w:id="1227" w:name="_Toc296503201"/>
      <w:bookmarkStart w:id="1228" w:name="_Toc297123550"/>
      <w:bookmarkStart w:id="1229" w:name="_Toc304295577"/>
      <w:bookmarkStart w:id="1230" w:name="_Toc297048387"/>
      <w:bookmarkStart w:id="1231" w:name="_Toc312678039"/>
      <w:bookmarkStart w:id="1232" w:name="_Toc296891241"/>
      <w:bookmarkStart w:id="1233" w:name="_Toc297120501"/>
      <w:bookmarkStart w:id="1234" w:name="_Toc296347200"/>
      <w:bookmarkStart w:id="1235" w:name="_Toc297216209"/>
      <w:bookmarkStart w:id="1236" w:name="_Toc296891029"/>
      <w:r>
        <w:rPr>
          <w:rFonts w:hint="eastAsia" w:ascii="宋体" w:hAnsi="宋体" w:eastAsia="宋体" w:cs="宋体"/>
          <w:color w:val="auto"/>
          <w:sz w:val="21"/>
          <w:szCs w:val="21"/>
          <w:highlight w:val="none"/>
        </w:rPr>
        <w:t>11.1 市场价格波动引起的调整</w:t>
      </w:r>
      <w:bookmarkEnd w:id="1219"/>
      <w:bookmarkEnd w:id="1220"/>
    </w:p>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p w14:paraId="52E7548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237" w:name="_Toc466913963"/>
      <w:bookmarkStart w:id="1238" w:name="_Toc466913513"/>
      <w:bookmarkStart w:id="1239" w:name="_Toc467689641"/>
      <w:bookmarkStart w:id="1240" w:name="_Toc466911545"/>
      <w:r>
        <w:rPr>
          <w:rFonts w:hint="eastAsia" w:ascii="宋体" w:hAnsi="宋体" w:eastAsia="宋体" w:cs="宋体"/>
          <w:color w:val="auto"/>
          <w:szCs w:val="21"/>
          <w:highlight w:val="none"/>
        </w:rPr>
        <w:t>市场价格波动是否调整合同价格的约定：</w:t>
      </w:r>
      <w:r>
        <w:rPr>
          <w:rFonts w:hint="eastAsia" w:ascii="宋体" w:hAnsi="宋体" w:eastAsia="宋体" w:cs="宋体"/>
          <w:color w:val="auto"/>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eastAsia="宋体" w:cs="宋体"/>
          <w:color w:val="auto"/>
          <w:szCs w:val="21"/>
          <w:highlight w:val="none"/>
        </w:rPr>
        <w:t>。</w:t>
      </w:r>
    </w:p>
    <w:p w14:paraId="41D78DC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因市场价格波动调整合同价格，采用以下</w:t>
      </w:r>
      <w:r>
        <w:rPr>
          <w:rFonts w:hint="eastAsia" w:ascii="宋体" w:hAnsi="宋体" w:eastAsia="宋体" w:cs="宋体"/>
          <w:color w:val="auto"/>
          <w:szCs w:val="21"/>
          <w:highlight w:val="none"/>
          <w:u w:val="single"/>
        </w:rPr>
        <w:t>第2种</w:t>
      </w:r>
      <w:r>
        <w:rPr>
          <w:rFonts w:hint="eastAsia" w:ascii="宋体" w:hAnsi="宋体" w:eastAsia="宋体" w:cs="宋体"/>
          <w:color w:val="auto"/>
          <w:szCs w:val="21"/>
          <w:highlight w:val="none"/>
        </w:rPr>
        <w:t>方式对合同价格进行调整：</w:t>
      </w:r>
    </w:p>
    <w:p w14:paraId="0649650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第1种方式：采用价格指数进行价格调整。</w:t>
      </w:r>
    </w:p>
    <w:p w14:paraId="494BA80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关于各可调因子、定值和变值权重，以及基本价格指数及其来源的约定：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01A3BC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第2种方式：采用造价信息进行价格调整，调整方法如下：</w:t>
      </w:r>
    </w:p>
    <w:p w14:paraId="619E642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241" w:name="_Hlk524296901"/>
      <w:r>
        <w:rPr>
          <w:rFonts w:hint="eastAsia" w:ascii="宋体" w:hAnsi="宋体" w:eastAsia="宋体" w:cs="宋体"/>
          <w:color w:val="auto"/>
          <w:szCs w:val="21"/>
          <w:highlight w:val="none"/>
        </w:rPr>
        <w:t>11.1.1人工费价差调整办法</w:t>
      </w:r>
      <w:bookmarkEnd w:id="1237"/>
      <w:bookmarkEnd w:id="1238"/>
      <w:bookmarkEnd w:id="1239"/>
      <w:bookmarkEnd w:id="1240"/>
    </w:p>
    <w:p w14:paraId="7D703996">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bookmarkStart w:id="1242" w:name="_Toc466913966"/>
      <w:bookmarkStart w:id="1243" w:name="_Toc467689644"/>
      <w:bookmarkStart w:id="1244" w:name="_Toc466911548"/>
      <w:bookmarkStart w:id="1245" w:name="_Toc466913516"/>
      <w:r>
        <w:rPr>
          <w:rFonts w:hint="eastAsia" w:ascii="宋体" w:hAnsi="宋体" w:eastAsia="宋体" w:cs="宋体"/>
          <w:color w:val="auto"/>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时，按以下约定调整：</w:t>
      </w:r>
    </w:p>
    <w:p w14:paraId="5C6FF09B">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调差。</w:t>
      </w:r>
    </w:p>
    <w:p w14:paraId="45A552B4">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调差。</w:t>
      </w:r>
    </w:p>
    <w:p w14:paraId="624CAEFC">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74E1B5B7">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1241"/>
    <w:p w14:paraId="334B5FA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246" w:name="_Hlk524297138"/>
      <w:r>
        <w:rPr>
          <w:rFonts w:hint="eastAsia" w:ascii="宋体" w:hAnsi="宋体" w:eastAsia="宋体" w:cs="宋体"/>
          <w:color w:val="auto"/>
          <w:szCs w:val="21"/>
          <w:highlight w:val="none"/>
        </w:rPr>
        <w:t>11.1.2 材料费价差调整</w:t>
      </w:r>
      <w:bookmarkEnd w:id="1242"/>
      <w:bookmarkEnd w:id="1243"/>
      <w:bookmarkEnd w:id="1244"/>
      <w:bookmarkEnd w:id="1245"/>
      <w:r>
        <w:rPr>
          <w:rFonts w:hint="eastAsia" w:ascii="宋体" w:hAnsi="宋体" w:eastAsia="宋体" w:cs="宋体"/>
          <w:color w:val="auto"/>
          <w:szCs w:val="21"/>
          <w:highlight w:val="none"/>
        </w:rPr>
        <w:t>办法</w:t>
      </w:r>
    </w:p>
    <w:p w14:paraId="259706EF">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可调价差材料：</w:t>
      </w:r>
      <w:r>
        <w:rPr>
          <w:rFonts w:hint="eastAsia" w:ascii="宋体" w:hAnsi="宋体" w:eastAsia="宋体" w:cs="宋体"/>
          <w:color w:val="auto"/>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eastAsia="宋体" w:cs="宋体"/>
          <w:color w:val="auto"/>
          <w:szCs w:val="21"/>
          <w:highlight w:val="none"/>
        </w:rPr>
        <w:t>。</w:t>
      </w:r>
    </w:p>
    <w:p w14:paraId="3687EB4C">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可调价差材料的价差调整办法如下：</w:t>
      </w:r>
    </w:p>
    <w:bookmarkEnd w:id="1099"/>
    <w:bookmarkEnd w:id="1100"/>
    <w:bookmarkEnd w:id="1101"/>
    <w:bookmarkEnd w:id="1102"/>
    <w:bookmarkEnd w:id="1103"/>
    <w:bookmarkEnd w:id="1104"/>
    <w:p w14:paraId="7B98F611">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bookmarkStart w:id="1247" w:name="_Toc296347204"/>
      <w:bookmarkStart w:id="1248" w:name="_Toc297120505"/>
      <w:bookmarkStart w:id="1249" w:name="_Toc296891245"/>
      <w:bookmarkStart w:id="1250" w:name="_Toc296346706"/>
      <w:bookmarkStart w:id="1251" w:name="_Toc296503205"/>
      <w:bookmarkStart w:id="1252" w:name="_Toc292559410"/>
      <w:bookmarkStart w:id="1253" w:name="_Toc296944544"/>
      <w:bookmarkStart w:id="1254" w:name="_Toc296891033"/>
      <w:bookmarkStart w:id="1255" w:name="_Toc292559915"/>
      <w:bookmarkStart w:id="1256" w:name="_Toc297048391"/>
      <w:bookmarkStart w:id="1257" w:name="_Toc351203644"/>
      <w:bookmarkStart w:id="1258" w:name="_Toc303539159"/>
      <w:bookmarkStart w:id="1259" w:name="_Toc300935002"/>
      <w:bookmarkStart w:id="1260" w:name="_Toc312678040"/>
      <w:bookmarkStart w:id="1261" w:name="_Toc297123552"/>
      <w:bookmarkStart w:id="1262" w:name="_Toc304295579"/>
      <w:bookmarkStart w:id="1263" w:name="_Toc297216211"/>
      <w:r>
        <w:rPr>
          <w:rFonts w:hint="eastAsia" w:ascii="宋体" w:hAnsi="宋体" w:eastAsia="宋体" w:cs="宋体"/>
          <w:color w:val="auto"/>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时，按以下约定调整：</w:t>
      </w:r>
    </w:p>
    <w:p w14:paraId="2E96E1F0">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调差。</w:t>
      </w:r>
    </w:p>
    <w:p w14:paraId="29593101">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rPr>
        <w:t>调差。</w:t>
      </w:r>
    </w:p>
    <w:p w14:paraId="03FA9A0E">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75F8EBDA">
      <w:pPr>
        <w:tabs>
          <w:tab w:val="left" w:pos="711"/>
          <w:tab w:val="left" w:pos="2580"/>
        </w:tabs>
        <w:wordWrap/>
        <w:spacing w:beforeAutospacing="0" w:after="0" w:afterAutospacing="0" w:line="38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1246"/>
    <w:p w14:paraId="7773AB9D">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第3种方式：其他价格调整方式：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25D38EB">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64" w:name="_Toc532377380"/>
      <w:bookmarkStart w:id="1265" w:name="_Toc532375644"/>
      <w:bookmarkStart w:id="1266" w:name="_Hlk528928232"/>
      <w:r>
        <w:rPr>
          <w:rFonts w:hint="eastAsia" w:ascii="宋体" w:hAnsi="宋体" w:eastAsia="宋体" w:cs="宋体"/>
          <w:color w:val="auto"/>
          <w:sz w:val="21"/>
          <w:szCs w:val="21"/>
          <w:highlight w:val="none"/>
        </w:rPr>
        <w:t>11.2 法律变化引起的调整</w:t>
      </w:r>
      <w:bookmarkEnd w:id="1264"/>
      <w:bookmarkEnd w:id="1265"/>
    </w:p>
    <w:p w14:paraId="33F0FBE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793DA1E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本条补充11.3款</w:t>
      </w:r>
    </w:p>
    <w:bookmarkEnd w:id="1266"/>
    <w:p w14:paraId="09BCC2C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67" w:name="_Toc532377381"/>
      <w:bookmarkStart w:id="1268" w:name="_Toc532375645"/>
      <w:r>
        <w:rPr>
          <w:rFonts w:hint="eastAsia" w:ascii="宋体" w:hAnsi="宋体" w:eastAsia="宋体" w:cs="宋体"/>
          <w:color w:val="auto"/>
          <w:sz w:val="21"/>
          <w:szCs w:val="21"/>
          <w:highlight w:val="none"/>
        </w:rPr>
        <w:t>11.3 严重不平衡报价引起的调整</w:t>
      </w:r>
      <w:bookmarkEnd w:id="1267"/>
      <w:bookmarkEnd w:id="1268"/>
    </w:p>
    <w:p w14:paraId="1D93055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eastAsia="宋体" w:cs="宋体"/>
          <w:color w:val="auto"/>
          <w:szCs w:val="21"/>
          <w:highlight w:val="none"/>
        </w:rPr>
        <w:t>。</w:t>
      </w:r>
    </w:p>
    <w:p w14:paraId="6563D65D">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eastAsia="宋体" w:cs="宋体"/>
          <w:color w:val="auto"/>
          <w:szCs w:val="21"/>
          <w:highlight w:val="none"/>
        </w:rPr>
        <w:t>。</w:t>
      </w:r>
    </w:p>
    <w:p w14:paraId="142519B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269" w:name="_Toc532377382"/>
      <w:bookmarkStart w:id="1270" w:name="_Toc532375646"/>
      <w:r>
        <w:rPr>
          <w:rFonts w:hint="eastAsia" w:ascii="宋体" w:hAnsi="宋体" w:eastAsia="宋体" w:cs="宋体"/>
          <w:color w:val="auto"/>
          <w:sz w:val="21"/>
          <w:szCs w:val="21"/>
          <w:highlight w:val="none"/>
        </w:rPr>
        <w:t xml:space="preserve">12. </w:t>
      </w:r>
      <w:bookmarkEnd w:id="1247"/>
      <w:bookmarkEnd w:id="1248"/>
      <w:bookmarkEnd w:id="1249"/>
      <w:bookmarkEnd w:id="1250"/>
      <w:bookmarkEnd w:id="1251"/>
      <w:bookmarkEnd w:id="1252"/>
      <w:bookmarkEnd w:id="1253"/>
      <w:bookmarkEnd w:id="1254"/>
      <w:bookmarkEnd w:id="1255"/>
      <w:bookmarkEnd w:id="1256"/>
      <w:r>
        <w:rPr>
          <w:rFonts w:hint="eastAsia" w:ascii="宋体" w:hAnsi="宋体" w:eastAsia="宋体" w:cs="宋体"/>
          <w:color w:val="auto"/>
          <w:sz w:val="21"/>
          <w:szCs w:val="21"/>
          <w:highlight w:val="none"/>
        </w:rPr>
        <w:t>合同价格、计量与支付</w:t>
      </w:r>
      <w:bookmarkEnd w:id="1257"/>
      <w:bookmarkEnd w:id="1269"/>
      <w:bookmarkEnd w:id="1270"/>
    </w:p>
    <w:bookmarkEnd w:id="1258"/>
    <w:bookmarkEnd w:id="1259"/>
    <w:bookmarkEnd w:id="1260"/>
    <w:bookmarkEnd w:id="1261"/>
    <w:bookmarkEnd w:id="1262"/>
    <w:bookmarkEnd w:id="1263"/>
    <w:p w14:paraId="1151B22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71" w:name="_Toc267251461"/>
      <w:bookmarkStart w:id="1272" w:name="_Toc292559411"/>
      <w:bookmarkStart w:id="1273" w:name="_Toc292559916"/>
      <w:bookmarkStart w:id="1274" w:name="_Toc296346707"/>
      <w:bookmarkStart w:id="1275" w:name="_Toc297048392"/>
      <w:bookmarkStart w:id="1276" w:name="_Toc296891246"/>
      <w:bookmarkStart w:id="1277" w:name="_Toc296944545"/>
      <w:bookmarkStart w:id="1278" w:name="_Toc296891034"/>
      <w:bookmarkStart w:id="1279" w:name="_Toc297120506"/>
      <w:bookmarkStart w:id="1280" w:name="_Toc296347205"/>
      <w:bookmarkStart w:id="1281" w:name="_Toc296503206"/>
      <w:bookmarkStart w:id="1282" w:name="_Toc532375647"/>
      <w:bookmarkStart w:id="1283" w:name="_Toc532377383"/>
      <w:bookmarkStart w:id="1284" w:name="_Toc300935003"/>
      <w:bookmarkStart w:id="1285" w:name="_Toc297216212"/>
      <w:bookmarkStart w:id="1286" w:name="_Toc304295580"/>
      <w:bookmarkStart w:id="1287" w:name="_Toc297123553"/>
      <w:bookmarkStart w:id="1288" w:name="_Toc303539160"/>
      <w:bookmarkStart w:id="1289" w:name="_Toc312678041"/>
      <w:r>
        <w:rPr>
          <w:rFonts w:hint="eastAsia" w:ascii="宋体" w:hAnsi="宋体" w:eastAsia="宋体" w:cs="宋体"/>
          <w:color w:val="auto"/>
          <w:sz w:val="21"/>
          <w:szCs w:val="21"/>
          <w:highlight w:val="none"/>
        </w:rPr>
        <w:t>12.1 合</w:t>
      </w:r>
      <w:bookmarkEnd w:id="1271"/>
      <w:bookmarkEnd w:id="1272"/>
      <w:bookmarkEnd w:id="1273"/>
      <w:r>
        <w:rPr>
          <w:rFonts w:hint="eastAsia" w:ascii="宋体" w:hAnsi="宋体" w:eastAsia="宋体" w:cs="宋体"/>
          <w:color w:val="auto"/>
          <w:sz w:val="21"/>
          <w:szCs w:val="21"/>
          <w:highlight w:val="none"/>
        </w:rPr>
        <w:t>同价</w:t>
      </w:r>
      <w:bookmarkEnd w:id="1274"/>
      <w:bookmarkEnd w:id="1275"/>
      <w:bookmarkEnd w:id="1276"/>
      <w:bookmarkEnd w:id="1277"/>
      <w:bookmarkEnd w:id="1278"/>
      <w:bookmarkEnd w:id="1279"/>
      <w:bookmarkEnd w:id="1280"/>
      <w:bookmarkEnd w:id="1281"/>
      <w:r>
        <w:rPr>
          <w:rFonts w:hint="eastAsia" w:ascii="宋体" w:hAnsi="宋体" w:eastAsia="宋体" w:cs="宋体"/>
          <w:color w:val="auto"/>
          <w:sz w:val="21"/>
          <w:szCs w:val="21"/>
          <w:highlight w:val="none"/>
        </w:rPr>
        <w:t>格形式</w:t>
      </w:r>
      <w:bookmarkEnd w:id="1282"/>
      <w:bookmarkEnd w:id="1283"/>
    </w:p>
    <w:bookmarkEnd w:id="1284"/>
    <w:bookmarkEnd w:id="1285"/>
    <w:bookmarkEnd w:id="1286"/>
    <w:bookmarkEnd w:id="1287"/>
    <w:bookmarkEnd w:id="1288"/>
    <w:bookmarkEnd w:id="1289"/>
    <w:p w14:paraId="1D251DC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w:t>
      </w:r>
    </w:p>
    <w:p w14:paraId="70DE3523">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综合单价包含的风险范围：</w:t>
      </w:r>
      <w:r>
        <w:rPr>
          <w:rFonts w:hint="eastAsia" w:ascii="宋体" w:hAnsi="宋体" w:eastAsia="宋体" w:cs="宋体"/>
          <w:color w:val="auto"/>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290" w:name="_Hlk528508096"/>
      <w:r>
        <w:rPr>
          <w:rFonts w:hint="eastAsia" w:ascii="宋体" w:hAnsi="宋体" w:eastAsia="宋体" w:cs="宋体"/>
          <w:color w:val="auto"/>
          <w:szCs w:val="21"/>
          <w:highlight w:val="none"/>
          <w:u w:val="single"/>
        </w:rPr>
        <w:t>第11.1款〔市场价格波动引起的调整〕约定范围内的市场价格波动风险、政策性文件规定的各项应有费用、</w:t>
      </w:r>
      <w:bookmarkEnd w:id="1290"/>
      <w:r>
        <w:rPr>
          <w:rFonts w:hint="eastAsia" w:ascii="宋体" w:hAnsi="宋体" w:eastAsia="宋体" w:cs="宋体"/>
          <w:color w:val="auto"/>
          <w:szCs w:val="21"/>
          <w:highlight w:val="none"/>
          <w:u w:val="single"/>
        </w:rPr>
        <w:t>招标文件和合同明示或暗示的应由承包人承担的所有责任、义务和风险等所需的费用</w:t>
      </w:r>
      <w:r>
        <w:rPr>
          <w:rFonts w:hint="eastAsia" w:ascii="宋体" w:hAnsi="宋体" w:eastAsia="宋体" w:cs="宋体"/>
          <w:color w:val="auto"/>
          <w:szCs w:val="21"/>
          <w:highlight w:val="none"/>
        </w:rPr>
        <w:t>。</w:t>
      </w:r>
    </w:p>
    <w:p w14:paraId="7527F81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由承包人自行考虑并计入签约合同价格中，包干使用</w:t>
      </w:r>
      <w:r>
        <w:rPr>
          <w:rFonts w:hint="eastAsia" w:ascii="宋体" w:hAnsi="宋体" w:eastAsia="宋体" w:cs="宋体"/>
          <w:color w:val="auto"/>
          <w:szCs w:val="21"/>
          <w:highlight w:val="none"/>
        </w:rPr>
        <w:t>。</w:t>
      </w:r>
    </w:p>
    <w:p w14:paraId="31E8B37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按照合同相关条款约定执行</w:t>
      </w:r>
      <w:r>
        <w:rPr>
          <w:rFonts w:hint="eastAsia" w:ascii="宋体" w:hAnsi="宋体" w:eastAsia="宋体" w:cs="宋体"/>
          <w:color w:val="auto"/>
          <w:szCs w:val="21"/>
          <w:highlight w:val="none"/>
        </w:rPr>
        <w:t>。</w:t>
      </w:r>
    </w:p>
    <w:p w14:paraId="70C9418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w:t>
      </w:r>
    </w:p>
    <w:p w14:paraId="533C89F8">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总价包含的风险范围：</w:t>
      </w:r>
      <w:r>
        <w:rPr>
          <w:rFonts w:hint="eastAsia" w:ascii="宋体" w:hAnsi="宋体" w:eastAsia="宋体" w:cs="宋体"/>
          <w:color w:val="auto"/>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eastAsia="宋体" w:cs="宋体"/>
          <w:color w:val="auto"/>
          <w:szCs w:val="21"/>
          <w:highlight w:val="none"/>
        </w:rPr>
        <w:t>。</w:t>
      </w:r>
    </w:p>
    <w:p w14:paraId="58CF702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由承包人自行考虑并计入签约合同价格中，包干使用</w:t>
      </w:r>
      <w:r>
        <w:rPr>
          <w:rFonts w:hint="eastAsia" w:ascii="宋体" w:hAnsi="宋体" w:eastAsia="宋体" w:cs="宋体"/>
          <w:color w:val="auto"/>
          <w:szCs w:val="21"/>
          <w:highlight w:val="none"/>
        </w:rPr>
        <w:t>。</w:t>
      </w:r>
    </w:p>
    <w:p w14:paraId="0F26120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按照合同相关条款约定执行</w:t>
      </w:r>
      <w:r>
        <w:rPr>
          <w:rFonts w:hint="eastAsia" w:ascii="宋体" w:hAnsi="宋体" w:eastAsia="宋体" w:cs="宋体"/>
          <w:color w:val="auto"/>
          <w:szCs w:val="21"/>
          <w:highlight w:val="none"/>
        </w:rPr>
        <w:t>。</w:t>
      </w:r>
    </w:p>
    <w:p w14:paraId="42D7F56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3、其他价格方式：</w:t>
      </w:r>
      <w:r>
        <w:rPr>
          <w:rFonts w:hint="eastAsia" w:ascii="宋体" w:hAnsi="宋体" w:eastAsia="宋体" w:cs="宋体"/>
          <w:color w:val="auto"/>
          <w:szCs w:val="21"/>
          <w:highlight w:val="none"/>
          <w:u w:val="single"/>
        </w:rPr>
        <w:t>不采用</w:t>
      </w:r>
      <w:r>
        <w:rPr>
          <w:rFonts w:hint="eastAsia" w:ascii="宋体" w:hAnsi="宋体" w:eastAsia="宋体" w:cs="宋体"/>
          <w:color w:val="auto"/>
          <w:szCs w:val="21"/>
          <w:highlight w:val="none"/>
        </w:rPr>
        <w:t>。</w:t>
      </w:r>
    </w:p>
    <w:p w14:paraId="5BE26D22">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291" w:name="_Toc532375648"/>
      <w:bookmarkStart w:id="1292" w:name="_Toc532377384"/>
      <w:bookmarkStart w:id="1293" w:name="_Toc297216213"/>
      <w:bookmarkStart w:id="1294" w:name="_Toc300935004"/>
      <w:bookmarkStart w:id="1295" w:name="_Toc303539161"/>
      <w:bookmarkStart w:id="1296" w:name="_Toc297123554"/>
      <w:bookmarkStart w:id="1297" w:name="_Toc304295581"/>
      <w:bookmarkStart w:id="1298" w:name="_Toc312678042"/>
      <w:bookmarkStart w:id="1299" w:name="_Toc296346708"/>
      <w:bookmarkStart w:id="1300" w:name="_Toc292559412"/>
      <w:bookmarkStart w:id="1301" w:name="_Toc296944546"/>
      <w:bookmarkStart w:id="1302" w:name="_Toc297048393"/>
      <w:bookmarkStart w:id="1303" w:name="_Toc296891247"/>
      <w:bookmarkStart w:id="1304" w:name="_Toc296503207"/>
      <w:bookmarkStart w:id="1305" w:name="_Toc296891035"/>
      <w:bookmarkStart w:id="1306" w:name="_Toc292559917"/>
      <w:bookmarkStart w:id="1307" w:name="_Toc297120507"/>
      <w:bookmarkStart w:id="1308" w:name="_Toc296347206"/>
      <w:r>
        <w:rPr>
          <w:rFonts w:hint="eastAsia" w:ascii="宋体" w:hAnsi="宋体" w:eastAsia="宋体" w:cs="宋体"/>
          <w:color w:val="auto"/>
          <w:sz w:val="21"/>
          <w:szCs w:val="21"/>
          <w:highlight w:val="none"/>
        </w:rPr>
        <w:t>12.2 预付款</w:t>
      </w:r>
      <w:bookmarkEnd w:id="1291"/>
      <w:bookmarkEnd w:id="1292"/>
    </w:p>
    <w:bookmarkEnd w:id="1293"/>
    <w:bookmarkEnd w:id="1294"/>
    <w:bookmarkEnd w:id="1295"/>
    <w:bookmarkEnd w:id="1296"/>
    <w:bookmarkEnd w:id="1297"/>
    <w:bookmarkEnd w:id="1298"/>
    <w:p w14:paraId="6E63624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14:paraId="257D136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auto"/>
          <w:szCs w:val="21"/>
          <w:highlight w:val="none"/>
          <w:u w:val="single"/>
        </w:rPr>
        <w:t xml:space="preserve">    （10%~30%）</w:t>
      </w:r>
      <w:r>
        <w:rPr>
          <w:rFonts w:hint="eastAsia" w:ascii="宋体" w:hAnsi="宋体" w:eastAsia="宋体" w:cs="宋体"/>
          <w:color w:val="auto"/>
          <w:szCs w:val="21"/>
          <w:highlight w:val="none"/>
        </w:rPr>
        <w:t>。</w:t>
      </w:r>
    </w:p>
    <w:p w14:paraId="408B54E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预付款支付期限：</w:t>
      </w:r>
      <w:r>
        <w:rPr>
          <w:rFonts w:hint="eastAsia" w:ascii="宋体" w:hAnsi="宋体" w:eastAsia="宋体" w:cs="宋体"/>
          <w:color w:val="auto"/>
          <w:szCs w:val="21"/>
          <w:highlight w:val="none"/>
          <w:u w:val="single"/>
        </w:rPr>
        <w:t>预付款担保提交后7天内</w:t>
      </w:r>
      <w:r>
        <w:rPr>
          <w:rFonts w:hint="eastAsia" w:ascii="宋体" w:hAnsi="宋体" w:eastAsia="宋体" w:cs="宋体"/>
          <w:color w:val="auto"/>
          <w:szCs w:val="21"/>
          <w:highlight w:val="none"/>
        </w:rPr>
        <w:t>。</w:t>
      </w:r>
    </w:p>
    <w:p w14:paraId="21AAAE5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预付款扣回的方式：</w:t>
      </w:r>
      <w:r>
        <w:rPr>
          <w:rFonts w:hint="eastAsia" w:ascii="宋体" w:hAnsi="宋体" w:eastAsia="宋体" w:cs="宋体"/>
          <w:color w:val="auto"/>
          <w:szCs w:val="21"/>
          <w:highlight w:val="none"/>
          <w:u w:val="single"/>
        </w:rPr>
        <w:t>承包人完成累计金额达到签约合同金额的30%后，在合同约定的每个计量周期按审核确认的进度款金额的    （为预付款支付比例的2倍）进行扣回，直至预付款全额扣回</w:t>
      </w:r>
      <w:r>
        <w:rPr>
          <w:rFonts w:hint="eastAsia" w:ascii="宋体" w:hAnsi="宋体" w:eastAsia="宋体" w:cs="宋体"/>
          <w:color w:val="auto"/>
          <w:szCs w:val="21"/>
          <w:highlight w:val="none"/>
        </w:rPr>
        <w:t>。</w:t>
      </w:r>
    </w:p>
    <w:p w14:paraId="69B3547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14:paraId="511F639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合同签订后7天内</w:t>
      </w:r>
      <w:r>
        <w:rPr>
          <w:rFonts w:hint="eastAsia" w:ascii="宋体" w:hAnsi="宋体" w:eastAsia="宋体" w:cs="宋体"/>
          <w:color w:val="auto"/>
          <w:szCs w:val="21"/>
          <w:highlight w:val="none"/>
        </w:rPr>
        <w:t>。</w:t>
      </w:r>
    </w:p>
    <w:p w14:paraId="12E289A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银行保函</w:t>
      </w:r>
      <w:r>
        <w:rPr>
          <w:rFonts w:hint="eastAsia" w:ascii="宋体" w:hAnsi="宋体" w:eastAsia="宋体" w:cs="宋体"/>
          <w:color w:val="auto"/>
          <w:szCs w:val="21"/>
          <w:highlight w:val="none"/>
        </w:rPr>
        <w:t>。</w:t>
      </w:r>
    </w:p>
    <w:p w14:paraId="3063434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94C017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2197E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536A49F">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预付款担保的退还时间：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bookmarkEnd w:id="1299"/>
    <w:bookmarkEnd w:id="1300"/>
    <w:bookmarkEnd w:id="1301"/>
    <w:bookmarkEnd w:id="1302"/>
    <w:bookmarkEnd w:id="1303"/>
    <w:bookmarkEnd w:id="1304"/>
    <w:bookmarkEnd w:id="1305"/>
    <w:bookmarkEnd w:id="1306"/>
    <w:bookmarkEnd w:id="1307"/>
    <w:bookmarkEnd w:id="1308"/>
    <w:p w14:paraId="6A74BC4D">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09" w:name="_Toc532375649"/>
      <w:bookmarkStart w:id="1310" w:name="_Toc532377385"/>
      <w:r>
        <w:rPr>
          <w:rFonts w:hint="eastAsia" w:ascii="宋体" w:hAnsi="宋体" w:eastAsia="宋体" w:cs="宋体"/>
          <w:color w:val="auto"/>
          <w:sz w:val="21"/>
          <w:szCs w:val="21"/>
          <w:highlight w:val="none"/>
        </w:rPr>
        <w:t>12.3 计量</w:t>
      </w:r>
      <w:bookmarkEnd w:id="1309"/>
      <w:bookmarkEnd w:id="1310"/>
    </w:p>
    <w:p w14:paraId="710CBA8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bookmarkStart w:id="1311" w:name="_Hlk528928260"/>
      <w:r>
        <w:rPr>
          <w:rFonts w:hint="eastAsia" w:ascii="宋体" w:hAnsi="宋体" w:eastAsia="宋体" w:cs="宋体"/>
          <w:color w:val="auto"/>
          <w:szCs w:val="21"/>
          <w:highlight w:val="none"/>
        </w:rPr>
        <w:t>12.3.1 计量原则</w:t>
      </w:r>
    </w:p>
    <w:p w14:paraId="64E91ECF">
      <w:pPr>
        <w:tabs>
          <w:tab w:val="left" w:pos="1134"/>
        </w:tabs>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311"/>
    <w:p w14:paraId="07A4E49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14:paraId="740C8EE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eastAsia="宋体" w:cs="宋体"/>
          <w:color w:val="auto"/>
          <w:szCs w:val="21"/>
          <w:highlight w:val="none"/>
        </w:rPr>
        <w:t>。</w:t>
      </w:r>
    </w:p>
    <w:p w14:paraId="323B7C4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 单价合同的计量</w:t>
      </w:r>
    </w:p>
    <w:p w14:paraId="68E3183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p>
    <w:p w14:paraId="5B08859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bookmarkStart w:id="1312" w:name="_Hlk528926162"/>
      <w:r>
        <w:rPr>
          <w:rFonts w:hint="eastAsia" w:ascii="宋体" w:hAnsi="宋体" w:eastAsia="宋体" w:cs="宋体"/>
          <w:color w:val="auto"/>
          <w:szCs w:val="21"/>
          <w:highlight w:val="none"/>
          <w:u w:val="single"/>
        </w:rPr>
        <w:t>（1）承包人应于当月  日前向监理人报送上月已完成的工程量，并附进度付款申请单、已完成工程量报表和其他有关资料</w:t>
      </w:r>
      <w:r>
        <w:rPr>
          <w:rFonts w:hint="eastAsia" w:ascii="宋体" w:hAnsi="宋体" w:eastAsia="宋体" w:cs="宋体"/>
          <w:color w:val="auto"/>
          <w:szCs w:val="21"/>
          <w:highlight w:val="none"/>
        </w:rPr>
        <w:t>。</w:t>
      </w:r>
    </w:p>
    <w:bookmarkEnd w:id="1312"/>
    <w:p w14:paraId="285358EF">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eastAsia="宋体" w:cs="宋体"/>
          <w:color w:val="auto"/>
          <w:szCs w:val="21"/>
          <w:highlight w:val="none"/>
        </w:rPr>
        <w:t>。</w:t>
      </w:r>
    </w:p>
    <w:p w14:paraId="7E71CBFF">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宋体"/>
          <w:color w:val="auto"/>
          <w:szCs w:val="21"/>
          <w:highlight w:val="none"/>
        </w:rPr>
        <w:t>。</w:t>
      </w:r>
    </w:p>
    <w:p w14:paraId="7DD82B2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eastAsia="宋体" w:cs="宋体"/>
          <w:color w:val="auto"/>
          <w:szCs w:val="21"/>
          <w:highlight w:val="none"/>
        </w:rPr>
        <w:t>。</w:t>
      </w:r>
    </w:p>
    <w:p w14:paraId="5351A27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14:paraId="7F6649B7">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w:t>
      </w:r>
      <w:r>
        <w:rPr>
          <w:rFonts w:hint="eastAsia" w:ascii="宋体" w:hAnsi="宋体" w:eastAsia="宋体" w:cs="宋体"/>
          <w:color w:val="auto"/>
          <w:szCs w:val="21"/>
          <w:highlight w:val="none"/>
          <w:u w:val="single"/>
        </w:rPr>
        <w:t>按形象进度比例支付</w:t>
      </w:r>
      <w:r>
        <w:rPr>
          <w:rFonts w:hint="eastAsia" w:ascii="宋体" w:hAnsi="宋体" w:eastAsia="宋体" w:cs="宋体"/>
          <w:color w:val="auto"/>
          <w:szCs w:val="21"/>
          <w:highlight w:val="none"/>
        </w:rPr>
        <w:t>。</w:t>
      </w:r>
    </w:p>
    <w:p w14:paraId="1EE27EA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12.3.5总价合同采用支付分解表计量支付的，是否适用第12.3.4项〔总价合同的计量〕约定进行计量：</w:t>
      </w:r>
      <w:r>
        <w:rPr>
          <w:rFonts w:hint="eastAsia" w:ascii="宋体" w:hAnsi="宋体" w:eastAsia="宋体" w:cs="宋体"/>
          <w:color w:val="auto"/>
          <w:szCs w:val="21"/>
          <w:highlight w:val="none"/>
          <w:u w:val="single"/>
        </w:rPr>
        <w:t>适用</w:t>
      </w:r>
      <w:r>
        <w:rPr>
          <w:rFonts w:hint="eastAsia" w:ascii="宋体" w:hAnsi="宋体" w:eastAsia="宋体" w:cs="宋体"/>
          <w:color w:val="auto"/>
          <w:szCs w:val="21"/>
          <w:highlight w:val="none"/>
        </w:rPr>
        <w:t>。</w:t>
      </w:r>
    </w:p>
    <w:p w14:paraId="18E7F97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14:paraId="6B3A9A4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不采用</w:t>
      </w:r>
      <w:r>
        <w:rPr>
          <w:rFonts w:hint="eastAsia" w:ascii="宋体" w:hAnsi="宋体" w:eastAsia="宋体" w:cs="宋体"/>
          <w:color w:val="auto"/>
          <w:szCs w:val="21"/>
          <w:highlight w:val="none"/>
        </w:rPr>
        <w:t>。</w:t>
      </w:r>
    </w:p>
    <w:p w14:paraId="73D8E73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13" w:name="_Toc532377386"/>
      <w:bookmarkStart w:id="1314" w:name="_Toc532375650"/>
      <w:bookmarkStart w:id="1315" w:name="_Hlk528928289"/>
      <w:r>
        <w:rPr>
          <w:rFonts w:hint="eastAsia" w:ascii="宋体" w:hAnsi="宋体" w:eastAsia="宋体" w:cs="宋体"/>
          <w:color w:val="auto"/>
          <w:sz w:val="21"/>
          <w:szCs w:val="21"/>
          <w:highlight w:val="none"/>
        </w:rPr>
        <w:t>12.4 工程进度款支付</w:t>
      </w:r>
      <w:bookmarkEnd w:id="1313"/>
      <w:bookmarkEnd w:id="1314"/>
    </w:p>
    <w:bookmarkEnd w:id="1315"/>
    <w:p w14:paraId="1905176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12.4.1 付款周期</w:t>
      </w:r>
    </w:p>
    <w:p w14:paraId="196DD28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关于付款周期的约定：</w:t>
      </w:r>
      <w:r>
        <w:rPr>
          <w:rFonts w:hint="eastAsia" w:ascii="宋体" w:hAnsi="宋体" w:eastAsia="宋体" w:cs="宋体"/>
          <w:color w:val="auto"/>
          <w:szCs w:val="21"/>
          <w:highlight w:val="none"/>
          <w:u w:val="single"/>
        </w:rPr>
        <w:t>按月计量支付进度款（按进度、按节点计量支付进度款的参考按月计量支付进度款原则执行）</w:t>
      </w:r>
      <w:r>
        <w:rPr>
          <w:rFonts w:hint="eastAsia" w:ascii="宋体" w:hAnsi="宋体" w:eastAsia="宋体" w:cs="宋体"/>
          <w:color w:val="auto"/>
          <w:szCs w:val="21"/>
          <w:highlight w:val="none"/>
        </w:rPr>
        <w:t>。</w:t>
      </w:r>
    </w:p>
    <w:p w14:paraId="176E59CA">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1E07FC1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进度付款申请单应包括下列内容：</w:t>
      </w:r>
    </w:p>
    <w:p w14:paraId="170B73C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（1）截至本次付款周期已完成工作对应的金额</w:t>
      </w:r>
      <w:r>
        <w:rPr>
          <w:rFonts w:hint="eastAsia" w:ascii="宋体" w:hAnsi="宋体" w:eastAsia="宋体" w:cs="宋体"/>
          <w:color w:val="auto"/>
          <w:szCs w:val="21"/>
          <w:highlight w:val="none"/>
        </w:rPr>
        <w:t>；</w:t>
      </w:r>
    </w:p>
    <w:p w14:paraId="0D28B7D5">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（2）根据第10条〔变更〕应增加和扣减的已审定变更金额</w:t>
      </w:r>
      <w:r>
        <w:rPr>
          <w:rFonts w:hint="eastAsia" w:ascii="宋体" w:hAnsi="宋体" w:eastAsia="宋体" w:cs="宋体"/>
          <w:color w:val="auto"/>
          <w:szCs w:val="21"/>
          <w:highlight w:val="none"/>
        </w:rPr>
        <w:t>；</w:t>
      </w:r>
    </w:p>
    <w:p w14:paraId="2AB12C9C">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（3）根据第12.2款〔预付款〕约定应支付的预付款和扣减的返还预付款</w:t>
      </w:r>
      <w:r>
        <w:rPr>
          <w:rFonts w:hint="eastAsia" w:ascii="宋体" w:hAnsi="宋体" w:eastAsia="宋体" w:cs="宋体"/>
          <w:color w:val="auto"/>
          <w:szCs w:val="21"/>
          <w:highlight w:val="none"/>
        </w:rPr>
        <w:t>；</w:t>
      </w:r>
    </w:p>
    <w:p w14:paraId="4C4FB38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（4）根据第15.3款〔质量保证金〕约定应扣减的质量保证金</w:t>
      </w:r>
      <w:r>
        <w:rPr>
          <w:rFonts w:hint="eastAsia" w:ascii="宋体" w:hAnsi="宋体" w:eastAsia="宋体" w:cs="宋体"/>
          <w:color w:val="auto"/>
          <w:szCs w:val="21"/>
          <w:highlight w:val="none"/>
        </w:rPr>
        <w:t>；</w:t>
      </w:r>
    </w:p>
    <w:p w14:paraId="033689B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（5）根据第19条〔索赔〕应增加和扣减的已审定索赔金额</w:t>
      </w:r>
      <w:r>
        <w:rPr>
          <w:rFonts w:hint="eastAsia" w:ascii="宋体" w:hAnsi="宋体" w:eastAsia="宋体" w:cs="宋体"/>
          <w:color w:val="auto"/>
          <w:szCs w:val="21"/>
          <w:highlight w:val="none"/>
        </w:rPr>
        <w:t>；</w:t>
      </w:r>
    </w:p>
    <w:p w14:paraId="7133AE7B">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（6）根据第11条〔价格调整〕应增加和扣减的价格调整金额</w:t>
      </w:r>
      <w:r>
        <w:rPr>
          <w:rFonts w:hint="eastAsia" w:ascii="宋体" w:hAnsi="宋体" w:eastAsia="宋体" w:cs="宋体"/>
          <w:color w:val="auto"/>
          <w:szCs w:val="21"/>
          <w:highlight w:val="none"/>
        </w:rPr>
        <w:t>；</w:t>
      </w:r>
    </w:p>
    <w:p w14:paraId="36F93843">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（7）对已签发的进度款支付证书中出现错误的修正，应在本次进度付款中支付或扣除的金额</w:t>
      </w:r>
      <w:r>
        <w:rPr>
          <w:rFonts w:hint="eastAsia" w:ascii="宋体" w:hAnsi="宋体" w:eastAsia="宋体" w:cs="宋体"/>
          <w:color w:val="auto"/>
          <w:szCs w:val="21"/>
          <w:highlight w:val="none"/>
        </w:rPr>
        <w:t>；</w:t>
      </w:r>
    </w:p>
    <w:p w14:paraId="1DAD33A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（8）根据合同约定承包人应向发包人支付的违约金</w:t>
      </w:r>
      <w:r>
        <w:rPr>
          <w:rFonts w:hint="eastAsia" w:ascii="宋体" w:hAnsi="宋体" w:eastAsia="宋体" w:cs="宋体"/>
          <w:color w:val="auto"/>
          <w:szCs w:val="21"/>
          <w:highlight w:val="none"/>
        </w:rPr>
        <w:t>；</w:t>
      </w:r>
    </w:p>
    <w:p w14:paraId="26585396">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（9）根据合同约定发包人应向承包人支付的违约金和（或）奖励</w:t>
      </w:r>
      <w:r>
        <w:rPr>
          <w:rFonts w:hint="eastAsia" w:ascii="宋体" w:hAnsi="宋体" w:eastAsia="宋体" w:cs="宋体"/>
          <w:color w:val="auto"/>
          <w:szCs w:val="21"/>
          <w:highlight w:val="none"/>
        </w:rPr>
        <w:t>；</w:t>
      </w:r>
    </w:p>
    <w:p w14:paraId="1D9DDFE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（10）根据合同约定应增加和扣减的其他金额</w:t>
      </w:r>
      <w:r>
        <w:rPr>
          <w:rFonts w:hint="eastAsia" w:ascii="宋体" w:hAnsi="宋体" w:eastAsia="宋体" w:cs="宋体"/>
          <w:color w:val="auto"/>
          <w:szCs w:val="21"/>
          <w:highlight w:val="none"/>
        </w:rPr>
        <w:t>；</w:t>
      </w:r>
    </w:p>
    <w:p w14:paraId="659D114A">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（11）当月应支付的人工费（工资款）金额</w:t>
      </w:r>
      <w:r>
        <w:rPr>
          <w:rFonts w:hint="eastAsia" w:ascii="宋体" w:hAnsi="宋体" w:eastAsia="宋体" w:cs="宋体"/>
          <w:color w:val="auto"/>
          <w:szCs w:val="21"/>
          <w:highlight w:val="none"/>
        </w:rPr>
        <w:t>。</w:t>
      </w:r>
    </w:p>
    <w:p w14:paraId="2687DD28">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12.4.3 进度付款申请单的提交</w:t>
      </w:r>
    </w:p>
    <w:p w14:paraId="53FAFAC0">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color w:val="auto"/>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eastAsia="宋体" w:cs="宋体"/>
          <w:color w:val="auto"/>
          <w:szCs w:val="21"/>
          <w:highlight w:val="none"/>
        </w:rPr>
        <w:t>。</w:t>
      </w:r>
    </w:p>
    <w:p w14:paraId="2A62EDFD">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eastAsia="宋体" w:cs="宋体"/>
          <w:color w:val="auto"/>
          <w:szCs w:val="21"/>
          <w:highlight w:val="none"/>
        </w:rPr>
        <w:t>。</w:t>
      </w:r>
    </w:p>
    <w:p w14:paraId="264D1676">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不采用</w:t>
      </w:r>
      <w:r>
        <w:rPr>
          <w:rFonts w:hint="eastAsia" w:ascii="宋体" w:hAnsi="宋体" w:eastAsia="宋体" w:cs="宋体"/>
          <w:color w:val="auto"/>
          <w:szCs w:val="21"/>
          <w:highlight w:val="none"/>
        </w:rPr>
        <w:t>。</w:t>
      </w:r>
    </w:p>
    <w:p w14:paraId="142F33C2">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3DF6BA0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收到完整资料后7天内</w:t>
      </w:r>
      <w:r>
        <w:rPr>
          <w:rFonts w:hint="eastAsia" w:ascii="宋体" w:hAnsi="宋体" w:eastAsia="宋体" w:cs="宋体"/>
          <w:color w:val="auto"/>
          <w:szCs w:val="21"/>
          <w:highlight w:val="none"/>
        </w:rPr>
        <w:t>。</w:t>
      </w:r>
    </w:p>
    <w:p w14:paraId="6B0326FB">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color w:val="auto"/>
          <w:szCs w:val="21"/>
          <w:highlight w:val="none"/>
          <w:u w:val="single"/>
        </w:rPr>
        <w:t>发包人收到监理人报送资料后7天内完成审批并签发进度款支付证书</w:t>
      </w:r>
      <w:r>
        <w:rPr>
          <w:rFonts w:hint="eastAsia" w:ascii="宋体" w:hAnsi="宋体" w:eastAsia="宋体" w:cs="宋体"/>
          <w:color w:val="auto"/>
          <w:szCs w:val="21"/>
          <w:highlight w:val="none"/>
        </w:rPr>
        <w:t>。</w:t>
      </w:r>
    </w:p>
    <w:p w14:paraId="16FB7345">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18744E57">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发包人签发进度款支付证书或临时进度款支付证书，不表明发包人已同意、批准或接受了承包人完成的相应部分的工作。</w:t>
      </w:r>
    </w:p>
    <w:p w14:paraId="2DFAC1E0">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（2）进度款支付：</w:t>
      </w:r>
    </w:p>
    <w:p w14:paraId="76F6ED29">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①发包人将上月农民工工资支付凭证作为当月进度款支付的前置条件。</w:t>
      </w:r>
    </w:p>
    <w:p w14:paraId="193903D3">
      <w:pPr>
        <w:wordWrap/>
        <w:spacing w:beforeAutospacing="0" w:after="0" w:afterAutospacing="0"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②安全文明施工费：</w:t>
      </w:r>
      <w:r>
        <w:rPr>
          <w:rFonts w:hint="eastAsia" w:ascii="宋体" w:hAnsi="宋体" w:eastAsia="宋体" w:cs="宋体"/>
          <w:color w:val="auto"/>
          <w:szCs w:val="21"/>
          <w:highlight w:val="none"/>
          <w:u w:val="single"/>
        </w:rPr>
        <w:t>合同签订后，发包人在开工前按签约合同价中安全文明施工费的50％支付承包人，用于现场安全文明施工建设，余下安全文明施工费按施工进度支付</w:t>
      </w:r>
      <w:r>
        <w:rPr>
          <w:rFonts w:hint="eastAsia" w:ascii="宋体" w:hAnsi="宋体" w:eastAsia="宋体" w:cs="宋体"/>
          <w:color w:val="auto"/>
          <w:szCs w:val="21"/>
          <w:highlight w:val="none"/>
        </w:rPr>
        <w:t>。</w:t>
      </w:r>
    </w:p>
    <w:p w14:paraId="1658B885">
      <w:pPr>
        <w:wordWrap/>
        <w:spacing w:beforeAutospacing="0" w:after="0" w:afterAutospacing="0" w:line="380" w:lineRule="exact"/>
        <w:ind w:firstLine="420" w:firstLineChars="200"/>
        <w:jc w:val="left"/>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③</w:t>
      </w:r>
      <w:r>
        <w:rPr>
          <w:rFonts w:hint="eastAsia" w:ascii="宋体" w:hAnsi="宋体" w:eastAsia="宋体" w:cs="宋体"/>
          <w:color w:val="auto"/>
          <w:szCs w:val="21"/>
          <w:highlight w:val="yellow"/>
          <w:lang w:eastAsia="zh-CN"/>
        </w:rPr>
        <w:t>承包人</w:t>
      </w:r>
      <w:r>
        <w:rPr>
          <w:rFonts w:hint="eastAsia" w:ascii="宋体" w:hAnsi="宋体" w:eastAsia="宋体" w:cs="宋体"/>
          <w:color w:val="auto"/>
          <w:szCs w:val="21"/>
          <w:highlight w:val="yellow"/>
        </w:rPr>
        <w:t>在所计量工程质量合格、技术资料齐全前提下，</w:t>
      </w:r>
      <w:r>
        <w:rPr>
          <w:rFonts w:hint="eastAsia" w:ascii="宋体" w:hAnsi="宋体" w:eastAsia="宋体" w:cs="宋体"/>
          <w:color w:val="auto"/>
          <w:szCs w:val="21"/>
          <w:highlight w:val="yellow"/>
          <w:lang w:eastAsia="zh-CN"/>
        </w:rPr>
        <w:t>完成合同约定工程量的</w:t>
      </w:r>
      <w:r>
        <w:rPr>
          <w:rFonts w:hint="eastAsia" w:ascii="宋体" w:hAnsi="宋体" w:eastAsia="宋体" w:cs="宋体"/>
          <w:color w:val="auto"/>
          <w:szCs w:val="21"/>
          <w:highlight w:val="yellow"/>
          <w:lang w:val="en-US" w:eastAsia="zh-CN"/>
        </w:rPr>
        <w:t>30%，支付至已完成工程量的70%；</w:t>
      </w:r>
      <w:r>
        <w:rPr>
          <w:rFonts w:hint="eastAsia" w:ascii="宋体" w:hAnsi="宋体" w:eastAsia="宋体" w:cs="宋体"/>
          <w:color w:val="auto"/>
          <w:szCs w:val="21"/>
          <w:highlight w:val="yellow"/>
          <w:lang w:eastAsia="zh-CN"/>
        </w:rPr>
        <w:t>完成合同约定工程量的</w:t>
      </w:r>
      <w:r>
        <w:rPr>
          <w:rFonts w:hint="eastAsia" w:ascii="宋体" w:hAnsi="宋体" w:eastAsia="宋体" w:cs="宋体"/>
          <w:color w:val="auto"/>
          <w:szCs w:val="21"/>
          <w:highlight w:val="yellow"/>
          <w:lang w:val="en-US" w:eastAsia="zh-CN"/>
        </w:rPr>
        <w:t>60%，支付至已完成工程量的70%；完成合同约定工程量的90%，支付至已完成工程量的80%，承包人</w:t>
      </w:r>
      <w:r>
        <w:rPr>
          <w:rFonts w:hint="eastAsia" w:ascii="宋体" w:hAnsi="宋体" w:eastAsia="宋体" w:cs="宋体"/>
          <w:color w:val="auto"/>
          <w:szCs w:val="21"/>
          <w:highlight w:val="yellow"/>
        </w:rPr>
        <w:t>向发包人现场代表送交工程量报表，经审核</w:t>
      </w:r>
      <w:r>
        <w:rPr>
          <w:rFonts w:hint="eastAsia" w:ascii="宋体" w:hAnsi="宋体" w:cs="宋体"/>
          <w:color w:val="auto"/>
          <w:szCs w:val="21"/>
          <w:highlight w:val="yellow"/>
          <w:lang w:eastAsia="zh-CN"/>
        </w:rPr>
        <w:t>后</w:t>
      </w:r>
      <w:r>
        <w:rPr>
          <w:rFonts w:hint="eastAsia" w:ascii="宋体" w:hAnsi="宋体" w:eastAsia="宋体" w:cs="宋体"/>
          <w:color w:val="auto"/>
          <w:szCs w:val="21"/>
          <w:highlight w:val="yellow"/>
        </w:rPr>
        <w:t>报发包人审批后</w:t>
      </w:r>
      <w:r>
        <w:rPr>
          <w:rFonts w:hint="eastAsia" w:ascii="宋体" w:hAnsi="宋体" w:eastAsia="宋体" w:cs="宋体"/>
          <w:color w:val="auto"/>
          <w:szCs w:val="21"/>
          <w:highlight w:val="yellow"/>
          <w:lang w:eastAsia="zh-CN"/>
        </w:rPr>
        <w:t>支付</w:t>
      </w:r>
      <w:r>
        <w:rPr>
          <w:rFonts w:hint="eastAsia" w:ascii="宋体" w:hAnsi="宋体" w:eastAsia="宋体" w:cs="宋体"/>
          <w:color w:val="auto"/>
          <w:szCs w:val="21"/>
          <w:highlight w:val="yellow"/>
        </w:rPr>
        <w:t>。</w:t>
      </w:r>
    </w:p>
    <w:p w14:paraId="0215E794">
      <w:pPr>
        <w:wordWrap/>
        <w:spacing w:beforeAutospacing="0" w:after="0" w:afterAutospacing="0" w:line="380" w:lineRule="exact"/>
        <w:ind w:firstLine="420" w:firstLineChars="200"/>
        <w:jc w:val="left"/>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工程竣工验收合格后，</w:t>
      </w:r>
      <w:r>
        <w:rPr>
          <w:rFonts w:hint="eastAsia" w:ascii="宋体" w:hAnsi="宋体" w:eastAsia="宋体" w:cs="宋体"/>
          <w:color w:val="auto"/>
          <w:szCs w:val="21"/>
          <w:highlight w:val="yellow"/>
          <w:lang w:eastAsia="zh-CN"/>
        </w:rPr>
        <w:t>承包人在提供</w:t>
      </w:r>
      <w:r>
        <w:rPr>
          <w:rFonts w:hint="eastAsia" w:ascii="宋体" w:hAnsi="宋体" w:eastAsia="宋体" w:cs="宋体"/>
          <w:color w:val="auto"/>
          <w:szCs w:val="21"/>
          <w:highlight w:val="yellow"/>
        </w:rPr>
        <w:t>农民工工资银行支付凭证齐全的</w:t>
      </w:r>
      <w:r>
        <w:rPr>
          <w:rFonts w:hint="eastAsia" w:ascii="宋体" w:hAnsi="宋体" w:eastAsia="宋体" w:cs="宋体"/>
          <w:color w:val="auto"/>
          <w:szCs w:val="21"/>
          <w:highlight w:val="yellow"/>
          <w:lang w:eastAsia="zh-CN"/>
        </w:rPr>
        <w:t>前提下，发包人向</w:t>
      </w:r>
      <w:r>
        <w:rPr>
          <w:rFonts w:hint="eastAsia" w:ascii="宋体" w:hAnsi="宋体" w:eastAsia="宋体" w:cs="宋体"/>
          <w:color w:val="auto"/>
          <w:szCs w:val="21"/>
          <w:highlight w:val="yellow"/>
        </w:rPr>
        <w:t>承包人</w:t>
      </w:r>
      <w:r>
        <w:rPr>
          <w:rFonts w:hint="eastAsia" w:ascii="宋体" w:hAnsi="宋体" w:eastAsia="宋体" w:cs="宋体"/>
          <w:color w:val="auto"/>
          <w:szCs w:val="21"/>
          <w:highlight w:val="yellow"/>
          <w:lang w:eastAsia="zh-CN"/>
        </w:rPr>
        <w:t>支付至合同价的</w:t>
      </w:r>
      <w:r>
        <w:rPr>
          <w:rFonts w:hint="eastAsia" w:ascii="宋体" w:hAnsi="宋体" w:eastAsia="宋体" w:cs="宋体"/>
          <w:color w:val="auto"/>
          <w:szCs w:val="21"/>
          <w:highlight w:val="yellow"/>
          <w:lang w:val="en-US" w:eastAsia="zh-CN"/>
        </w:rPr>
        <w:t>90%；承包人</w:t>
      </w:r>
      <w:r>
        <w:rPr>
          <w:rFonts w:hint="eastAsia" w:ascii="宋体" w:hAnsi="宋体" w:eastAsia="宋体" w:cs="宋体"/>
          <w:color w:val="auto"/>
          <w:szCs w:val="21"/>
          <w:highlight w:val="yellow"/>
        </w:rPr>
        <w:t>向发包人送交完整的工程竣工图和工程结算资料，</w:t>
      </w:r>
      <w:r>
        <w:rPr>
          <w:rFonts w:hint="eastAsia" w:ascii="宋体" w:hAnsi="宋体" w:eastAsia="宋体" w:cs="宋体"/>
          <w:color w:val="auto"/>
          <w:szCs w:val="21"/>
          <w:highlight w:val="yellow"/>
          <w:lang w:eastAsia="zh-CN"/>
        </w:rPr>
        <w:t>并经发包人委托的机构结算审核</w:t>
      </w:r>
      <w:r>
        <w:rPr>
          <w:rFonts w:hint="eastAsia" w:ascii="宋体" w:hAnsi="宋体" w:eastAsia="宋体" w:cs="宋体"/>
          <w:color w:val="auto"/>
          <w:szCs w:val="21"/>
          <w:highlight w:val="yellow"/>
        </w:rPr>
        <w:t>且签字认可作为竣工结算金额。承包人向发包人缴纳竣工结算金额3%的工程质量保证金，发包人支付到竣工结算金额的100%。发包人支付前应当收到农民工工资银行支付凭证及农民工工资已经全部结清的书面说明。</w:t>
      </w:r>
    </w:p>
    <w:p w14:paraId="4EFEB6E5">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16" w:name="_Toc532377387"/>
      <w:bookmarkStart w:id="1317" w:name="_Toc351203585"/>
      <w:r>
        <w:rPr>
          <w:rFonts w:hint="eastAsia" w:ascii="宋体" w:hAnsi="宋体" w:eastAsia="宋体" w:cs="宋体"/>
          <w:color w:val="auto"/>
          <w:sz w:val="21"/>
          <w:szCs w:val="21"/>
          <w:highlight w:val="none"/>
        </w:rPr>
        <w:t>12.5支付账户</w:t>
      </w:r>
      <w:bookmarkEnd w:id="1316"/>
      <w:bookmarkEnd w:id="1317"/>
    </w:p>
    <w:p w14:paraId="70C90F61">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发包人应将合同价款支付至如下承包人指定的开户银行及银行账户：</w:t>
      </w:r>
    </w:p>
    <w:p w14:paraId="4E6B88F4">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收款单位名称：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C218BBE">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收款账号：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D4497D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收款开户银行：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5B764C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发包人应按行业主管部门的相关规定将人工费（工资款）支付至承包人指定的农民工工资专用账户。</w:t>
      </w:r>
    </w:p>
    <w:p w14:paraId="218D526E">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318" w:name="_Toc351203645"/>
      <w:bookmarkStart w:id="1319" w:name="_Toc532375651"/>
      <w:bookmarkStart w:id="1320" w:name="_Toc532377388"/>
      <w:bookmarkStart w:id="1321" w:name="_Toc296346720"/>
      <w:bookmarkStart w:id="1322" w:name="_Toc296891047"/>
      <w:bookmarkStart w:id="1323" w:name="_Toc297216223"/>
      <w:bookmarkStart w:id="1324" w:name="_Toc297120519"/>
      <w:bookmarkStart w:id="1325" w:name="_Toc312678053"/>
      <w:bookmarkStart w:id="1326" w:name="_Toc292559929"/>
      <w:bookmarkStart w:id="1327" w:name="_Toc296347218"/>
      <w:bookmarkStart w:id="1328" w:name="_Toc304295593"/>
      <w:bookmarkStart w:id="1329" w:name="_Toc297048405"/>
      <w:bookmarkStart w:id="1330" w:name="_Toc296891259"/>
      <w:bookmarkStart w:id="1331" w:name="_Toc296503219"/>
      <w:bookmarkStart w:id="1332" w:name="_Toc292559424"/>
      <w:bookmarkStart w:id="1333" w:name="_Toc296944558"/>
      <w:bookmarkStart w:id="1334" w:name="_Toc297123564"/>
      <w:bookmarkStart w:id="1335" w:name="_Toc300935015"/>
      <w:bookmarkStart w:id="1336" w:name="_Toc303539172"/>
      <w:r>
        <w:rPr>
          <w:rFonts w:hint="eastAsia" w:ascii="宋体" w:hAnsi="宋体" w:eastAsia="宋体" w:cs="宋体"/>
          <w:color w:val="auto"/>
          <w:sz w:val="21"/>
          <w:szCs w:val="21"/>
          <w:highlight w:val="none"/>
        </w:rPr>
        <w:t>13. 验收和工程试车</w:t>
      </w:r>
      <w:bookmarkEnd w:id="1318"/>
      <w:bookmarkEnd w:id="1319"/>
      <w:bookmarkEnd w:id="1320"/>
    </w:p>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14:paraId="40C063D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37" w:name="_Toc532375652"/>
      <w:bookmarkStart w:id="1338" w:name="_Toc532377389"/>
      <w:bookmarkStart w:id="1339" w:name="_Toc280868704"/>
      <w:bookmarkStart w:id="1340" w:name="_Toc280868705"/>
      <w:bookmarkStart w:id="1341" w:name="_Toc280868706"/>
      <w:bookmarkStart w:id="1342" w:name="_Toc280868707"/>
      <w:bookmarkStart w:id="1343" w:name="_Toc280868708"/>
      <w:bookmarkStart w:id="1344" w:name="_Toc267251470"/>
      <w:bookmarkStart w:id="1345" w:name="_Toc267251473"/>
      <w:bookmarkStart w:id="1346" w:name="_Toc267251472"/>
      <w:bookmarkStart w:id="1347" w:name="_Toc280868709"/>
      <w:bookmarkStart w:id="1348" w:name="_Toc267251476"/>
      <w:bookmarkStart w:id="1349" w:name="_Toc267251474"/>
      <w:bookmarkStart w:id="1350" w:name="_Toc267251475"/>
      <w:bookmarkStart w:id="1351" w:name="_Toc267251471"/>
      <w:r>
        <w:rPr>
          <w:rFonts w:hint="eastAsia" w:ascii="宋体" w:hAnsi="宋体" w:eastAsia="宋体" w:cs="宋体"/>
          <w:color w:val="auto"/>
          <w:sz w:val="21"/>
          <w:szCs w:val="21"/>
          <w:highlight w:val="none"/>
        </w:rPr>
        <w:t>13.1 分部分项工程验收</w:t>
      </w:r>
      <w:bookmarkEnd w:id="1337"/>
      <w:bookmarkEnd w:id="1338"/>
    </w:p>
    <w:p w14:paraId="65B0240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 监理人不能按时进行验收时，应提前</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小时提交书面延期要求。</w:t>
      </w:r>
    </w:p>
    <w:p w14:paraId="3F585D3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48</w:t>
      </w:r>
      <w:r>
        <w:rPr>
          <w:rFonts w:hint="eastAsia" w:ascii="宋体" w:hAnsi="宋体" w:eastAsia="宋体" w:cs="宋体"/>
          <w:color w:val="auto"/>
          <w:szCs w:val="21"/>
          <w:highlight w:val="none"/>
        </w:rPr>
        <w:t>小时。</w:t>
      </w:r>
    </w:p>
    <w:p w14:paraId="165CC68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52" w:name="_Toc532375653"/>
      <w:bookmarkStart w:id="1353" w:name="_Toc532377390"/>
      <w:bookmarkStart w:id="1354" w:name="_Toc296944562"/>
      <w:bookmarkStart w:id="1355" w:name="_Toc297216224"/>
      <w:bookmarkStart w:id="1356" w:name="_Toc292559933"/>
      <w:bookmarkStart w:id="1357" w:name="_Toc296347222"/>
      <w:bookmarkStart w:id="1358" w:name="_Toc297048409"/>
      <w:bookmarkStart w:id="1359" w:name="_Toc296503223"/>
      <w:bookmarkStart w:id="1360" w:name="_Toc312678056"/>
      <w:bookmarkStart w:id="1361" w:name="_Toc296891051"/>
      <w:bookmarkStart w:id="1362" w:name="_Toc297123565"/>
      <w:bookmarkStart w:id="1363" w:name="_Toc296346724"/>
      <w:bookmarkStart w:id="1364" w:name="_Toc303539173"/>
      <w:bookmarkStart w:id="1365" w:name="_Toc297120523"/>
      <w:bookmarkStart w:id="1366" w:name="_Toc300935016"/>
      <w:bookmarkStart w:id="1367" w:name="_Toc296891263"/>
      <w:bookmarkStart w:id="1368" w:name="_Toc304295596"/>
      <w:bookmarkStart w:id="1369" w:name="_Toc292559428"/>
      <w:r>
        <w:rPr>
          <w:rFonts w:hint="eastAsia" w:ascii="宋体" w:hAnsi="宋体" w:eastAsia="宋体" w:cs="宋体"/>
          <w:color w:val="auto"/>
          <w:sz w:val="21"/>
          <w:szCs w:val="21"/>
          <w:highlight w:val="none"/>
        </w:rPr>
        <w:t>13.2 竣工验收</w:t>
      </w:r>
      <w:bookmarkEnd w:id="1352"/>
      <w:bookmarkEnd w:id="1353"/>
    </w:p>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p w14:paraId="4C5D172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13.2.2竣工验收程序</w:t>
      </w:r>
    </w:p>
    <w:bookmarkEnd w:id="1339"/>
    <w:p w14:paraId="1382EB1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关于竣工验收程序的约定：工程完工且符合下列条件时，承包人可向发包人提供竣工报告，并要求验收：</w:t>
      </w:r>
    </w:p>
    <w:p w14:paraId="259497C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（1）除发包人同意的甩项工作和缺陷修补工作外，合同范围内的全部工程以及有关工作，包括合同要求的试验、试运行以及检验均已完成，并符合合同要求；</w:t>
      </w:r>
    </w:p>
    <w:p w14:paraId="2F85B61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（2）已按合同约定编制了甩项工作和缺陷修补工作清单以及相应的施工计划；</w:t>
      </w:r>
    </w:p>
    <w:p w14:paraId="0AB69EF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（3）已按合同约定的内容和份数备齐竣工资料。</w:t>
      </w:r>
    </w:p>
    <w:p w14:paraId="15E73B0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EB4711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工程竣工及竣工资料：</w:t>
      </w:r>
    </w:p>
    <w:p w14:paraId="24C1F42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eastAsia="宋体" w:cs="宋体"/>
          <w:color w:val="auto"/>
          <w:szCs w:val="21"/>
          <w:highlight w:val="none"/>
        </w:rPr>
        <w:t>。</w:t>
      </w:r>
    </w:p>
    <w:p w14:paraId="6584064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eastAsia="宋体" w:cs="宋体"/>
          <w:color w:val="auto"/>
          <w:szCs w:val="21"/>
          <w:highlight w:val="none"/>
        </w:rPr>
        <w:t>。</w:t>
      </w:r>
    </w:p>
    <w:p w14:paraId="0FFDF16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（3）承包人提供竣工资料的约定：</w:t>
      </w:r>
      <w:r>
        <w:rPr>
          <w:rFonts w:hint="eastAsia" w:ascii="宋体" w:hAnsi="宋体" w:eastAsia="宋体" w:cs="宋体"/>
          <w:color w:val="auto"/>
          <w:szCs w:val="21"/>
          <w:highlight w:val="none"/>
          <w:u w:val="single"/>
        </w:rPr>
        <w:t>承包人提供纸质版竣工图三套，电子版竣工图二套（刻光盘）</w:t>
      </w:r>
      <w:r>
        <w:rPr>
          <w:rFonts w:hint="eastAsia" w:ascii="宋体" w:hAnsi="宋体" w:eastAsia="宋体" w:cs="宋体"/>
          <w:color w:val="auto"/>
          <w:szCs w:val="21"/>
          <w:highlight w:val="none"/>
        </w:rPr>
        <w:t>。</w:t>
      </w:r>
    </w:p>
    <w:bookmarkEnd w:id="1340"/>
    <w:p w14:paraId="0555BD4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 移交、接收全部与部分工程</w:t>
      </w:r>
    </w:p>
    <w:bookmarkEnd w:id="1341"/>
    <w:p w14:paraId="339CD47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承包人向发包人移交工程的期限：</w:t>
      </w:r>
      <w:r>
        <w:rPr>
          <w:rFonts w:hint="eastAsia" w:ascii="宋体" w:hAnsi="宋体" w:eastAsia="宋体" w:cs="宋体"/>
          <w:color w:val="auto"/>
          <w:szCs w:val="21"/>
          <w:highlight w:val="none"/>
          <w:u w:val="single"/>
        </w:rPr>
        <w:t>颁发工程接收证书后7天内完成工程的移交</w:t>
      </w:r>
      <w:r>
        <w:rPr>
          <w:rFonts w:hint="eastAsia" w:ascii="宋体" w:hAnsi="宋体" w:eastAsia="宋体" w:cs="宋体"/>
          <w:color w:val="auto"/>
          <w:szCs w:val="21"/>
          <w:highlight w:val="none"/>
        </w:rPr>
        <w:t>。</w:t>
      </w:r>
    </w:p>
    <w:p w14:paraId="084B156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发包人未按合同约定接收全部或部分工程的，违约金的计算方法为：发包人自应当接收工程之日起承担工程照管、成品保护、保管等与工程有关的各项费用。</w:t>
      </w:r>
    </w:p>
    <w:bookmarkEnd w:id="1342"/>
    <w:p w14:paraId="1CF8D0A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因承包人自身原因未按时移交工程的，违约金的计算方法为：</w:t>
      </w:r>
      <w:r>
        <w:rPr>
          <w:rFonts w:hint="eastAsia" w:ascii="宋体" w:hAnsi="宋体" w:eastAsia="宋体" w:cs="宋体"/>
          <w:color w:val="auto"/>
          <w:szCs w:val="21"/>
          <w:highlight w:val="none"/>
          <w:u w:val="single"/>
        </w:rPr>
        <w:t>承包人应承担工程照管、成品保护、保管等与工程有关的各项费用，并按经审定结算金额的0.5‰/天支付违约金</w:t>
      </w:r>
      <w:r>
        <w:rPr>
          <w:rFonts w:hint="eastAsia" w:ascii="宋体" w:hAnsi="宋体" w:eastAsia="宋体" w:cs="宋体"/>
          <w:color w:val="auto"/>
          <w:szCs w:val="21"/>
          <w:highlight w:val="none"/>
        </w:rPr>
        <w:t>。</w:t>
      </w:r>
    </w:p>
    <w:p w14:paraId="7EC2FC66">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70" w:name="_Toc532377391"/>
      <w:bookmarkStart w:id="1371" w:name="_Toc532375654"/>
      <w:r>
        <w:rPr>
          <w:rFonts w:hint="eastAsia" w:ascii="宋体" w:hAnsi="宋体" w:eastAsia="宋体" w:cs="宋体"/>
          <w:color w:val="auto"/>
          <w:sz w:val="21"/>
          <w:szCs w:val="21"/>
          <w:highlight w:val="none"/>
        </w:rPr>
        <w:t>13.3 工程试车</w:t>
      </w:r>
      <w:bookmarkEnd w:id="1370"/>
      <w:bookmarkEnd w:id="1371"/>
    </w:p>
    <w:p w14:paraId="00B759F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13.3.1 试车程序</w:t>
      </w:r>
    </w:p>
    <w:p w14:paraId="0F45342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工程试车内容：</w:t>
      </w:r>
      <w:r>
        <w:rPr>
          <w:rFonts w:hint="eastAsia" w:ascii="宋体" w:hAnsi="宋体" w:eastAsia="宋体" w:cs="宋体"/>
          <w:color w:val="auto"/>
          <w:szCs w:val="21"/>
          <w:highlight w:val="none"/>
          <w:u w:val="single"/>
        </w:rPr>
        <w:t>按通用合同条款执行</w:t>
      </w:r>
      <w:r>
        <w:rPr>
          <w:rFonts w:hint="eastAsia" w:ascii="宋体" w:hAnsi="宋体" w:eastAsia="宋体" w:cs="宋体"/>
          <w:color w:val="auto"/>
          <w:szCs w:val="21"/>
          <w:highlight w:val="none"/>
        </w:rPr>
        <w:t>。</w:t>
      </w:r>
    </w:p>
    <w:p w14:paraId="2FA2124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（1）单机无负荷试车费用由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rPr>
        <w:t>承担；</w:t>
      </w:r>
    </w:p>
    <w:p w14:paraId="3E81615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（2）无负荷联动试车费用由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rPr>
        <w:t>承担。</w:t>
      </w:r>
    </w:p>
    <w:p w14:paraId="4E58742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72" w:name="_Toc532375655"/>
      <w:bookmarkStart w:id="1373" w:name="_Toc532377392"/>
      <w:r>
        <w:rPr>
          <w:rFonts w:hint="eastAsia" w:ascii="宋体" w:hAnsi="宋体" w:eastAsia="宋体" w:cs="宋体"/>
          <w:color w:val="auto"/>
          <w:sz w:val="21"/>
          <w:szCs w:val="21"/>
          <w:highlight w:val="none"/>
        </w:rPr>
        <w:t>13.6 竣工退场</w:t>
      </w:r>
      <w:bookmarkEnd w:id="1372"/>
      <w:bookmarkEnd w:id="1373"/>
    </w:p>
    <w:p w14:paraId="62AA20F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13.6.1 竣工退场</w:t>
      </w:r>
    </w:p>
    <w:p w14:paraId="0A59CA3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承包人完成竣工退场的期限：</w:t>
      </w:r>
      <w:r>
        <w:rPr>
          <w:rFonts w:hint="eastAsia" w:ascii="宋体" w:hAnsi="宋体" w:eastAsia="宋体" w:cs="宋体"/>
          <w:color w:val="auto"/>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eastAsia="宋体" w:cs="宋体"/>
          <w:color w:val="auto"/>
          <w:szCs w:val="21"/>
          <w:highlight w:val="none"/>
        </w:rPr>
        <w:t>。</w:t>
      </w:r>
    </w:p>
    <w:bookmarkEnd w:id="1343"/>
    <w:p w14:paraId="73BE9042">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374" w:name="_Toc532377393"/>
      <w:bookmarkStart w:id="1375" w:name="_Toc532375656"/>
      <w:bookmarkStart w:id="1376" w:name="_Toc351203646"/>
      <w:r>
        <w:rPr>
          <w:rFonts w:hint="eastAsia" w:ascii="宋体" w:hAnsi="宋体" w:eastAsia="宋体" w:cs="宋体"/>
          <w:color w:val="auto"/>
          <w:sz w:val="21"/>
          <w:szCs w:val="21"/>
          <w:highlight w:val="none"/>
        </w:rPr>
        <w:t>14. 竣工结算</w:t>
      </w:r>
      <w:bookmarkEnd w:id="1374"/>
      <w:bookmarkEnd w:id="1375"/>
      <w:bookmarkEnd w:id="1376"/>
    </w:p>
    <w:p w14:paraId="13A87662">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77" w:name="_Toc532375657"/>
      <w:bookmarkStart w:id="1378" w:name="_Toc532377394"/>
      <w:r>
        <w:rPr>
          <w:rFonts w:hint="eastAsia" w:ascii="宋体" w:hAnsi="宋体" w:eastAsia="宋体" w:cs="宋体"/>
          <w:color w:val="auto"/>
          <w:sz w:val="21"/>
          <w:szCs w:val="21"/>
          <w:highlight w:val="none"/>
        </w:rPr>
        <w:t>14.1 竣工结算申请</w:t>
      </w:r>
      <w:bookmarkEnd w:id="1377"/>
      <w:bookmarkEnd w:id="1378"/>
    </w:p>
    <w:p w14:paraId="191C019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承包人提交竣工结算申请单的期限：</w:t>
      </w:r>
      <w:r>
        <w:rPr>
          <w:rFonts w:hint="eastAsia" w:ascii="宋体" w:hAnsi="宋体" w:eastAsia="宋体" w:cs="宋体"/>
          <w:color w:val="auto"/>
          <w:szCs w:val="21"/>
          <w:highlight w:val="none"/>
          <w:u w:val="single"/>
        </w:rPr>
        <w:t>承包人应在工程竣工验收合格且报送完整工程竣工资料之日起28天内向监理人、发包人提交竣工结算申请单，并向发包人报送完整的工程竣工资料及经监理人初审确认的完整的竣工结算资料</w:t>
      </w:r>
      <w:bookmarkStart w:id="1379" w:name="_Hlk524297994"/>
      <w:r>
        <w:rPr>
          <w:rFonts w:hint="eastAsia" w:ascii="宋体" w:hAnsi="宋体" w:eastAsia="宋体" w:cs="宋体"/>
          <w:color w:val="auto"/>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5D7BA34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竣工结算申请单包括但不限于以下内容：</w:t>
      </w:r>
    </w:p>
    <w:p w14:paraId="383294F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（1）竣工结算合同价格；</w:t>
      </w:r>
    </w:p>
    <w:p w14:paraId="3C5DB27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（2）变更增减金额；</w:t>
      </w:r>
    </w:p>
    <w:p w14:paraId="62B0B4F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（3）现场签证增减金额；</w:t>
      </w:r>
    </w:p>
    <w:p w14:paraId="3118040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（4）索赔增减金额；</w:t>
      </w:r>
    </w:p>
    <w:p w14:paraId="0594A98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（5）奖励、罚金及违约金；</w:t>
      </w:r>
    </w:p>
    <w:p w14:paraId="6E3A2BB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（6）发包人已支付承包人的款项；</w:t>
      </w:r>
    </w:p>
    <w:p w14:paraId="15B6845F">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（7）应扣留的质量保证金；</w:t>
      </w:r>
    </w:p>
    <w:p w14:paraId="23F1688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（8）发包人应支付承包人的合同价款。</w:t>
      </w:r>
      <w:bookmarkEnd w:id="1379"/>
    </w:p>
    <w:p w14:paraId="630AD58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211373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80" w:name="_Toc532375658"/>
      <w:bookmarkStart w:id="1381" w:name="_Toc532377395"/>
      <w:r>
        <w:rPr>
          <w:rFonts w:hint="eastAsia" w:ascii="宋体" w:hAnsi="宋体" w:eastAsia="宋体" w:cs="宋体"/>
          <w:color w:val="auto"/>
          <w:sz w:val="21"/>
          <w:szCs w:val="21"/>
          <w:highlight w:val="none"/>
        </w:rPr>
        <w:t>14.2 竣工结算审核</w:t>
      </w:r>
      <w:bookmarkEnd w:id="1380"/>
      <w:bookmarkEnd w:id="1381"/>
    </w:p>
    <w:p w14:paraId="1533E49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 竣工结算办法</w:t>
      </w:r>
    </w:p>
    <w:p w14:paraId="628906F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14.2.1.1计量原则</w:t>
      </w:r>
    </w:p>
    <w:p w14:paraId="643C53F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按照第12.3.1项〔计量原则〕约定执行。</w:t>
      </w:r>
    </w:p>
    <w:p w14:paraId="44860CB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14.2.1.2计价原则</w:t>
      </w:r>
    </w:p>
    <w:p w14:paraId="006A70D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eastAsia="宋体" w:cs="宋体"/>
          <w:color w:val="auto"/>
          <w:szCs w:val="21"/>
          <w:highlight w:val="none"/>
        </w:rPr>
        <w:t>。</w:t>
      </w:r>
    </w:p>
    <w:p w14:paraId="0265848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具体结算办法如下：</w:t>
      </w:r>
    </w:p>
    <w:p w14:paraId="24DB209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（1）分部分项工程：</w:t>
      </w:r>
    </w:p>
    <w:p w14:paraId="382B797E">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eastAsia="宋体" w:cs="宋体"/>
          <w:color w:val="auto"/>
          <w:szCs w:val="21"/>
          <w:highlight w:val="none"/>
        </w:rPr>
        <w:t>；</w:t>
      </w:r>
    </w:p>
    <w:p w14:paraId="442011CE">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eastAsia="宋体" w:cs="宋体"/>
          <w:color w:val="auto"/>
          <w:szCs w:val="21"/>
          <w:highlight w:val="none"/>
        </w:rPr>
        <w:t>；</w:t>
      </w:r>
    </w:p>
    <w:p w14:paraId="3999A99B">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eastAsia="宋体" w:cs="宋体"/>
          <w:color w:val="auto"/>
          <w:szCs w:val="21"/>
          <w:highlight w:val="none"/>
        </w:rPr>
        <w:t>；</w:t>
      </w:r>
    </w:p>
    <w:p w14:paraId="266762D1">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④合同、已标价工程量清单和招标文件另有约定的，按照其约定执行</w:t>
      </w:r>
      <w:r>
        <w:rPr>
          <w:rFonts w:hint="eastAsia" w:ascii="宋体" w:hAnsi="宋体" w:eastAsia="宋体" w:cs="宋体"/>
          <w:color w:val="auto"/>
          <w:szCs w:val="21"/>
          <w:highlight w:val="none"/>
        </w:rPr>
        <w:t>。</w:t>
      </w:r>
    </w:p>
    <w:p w14:paraId="6E9F4407">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（2）措施项目：</w:t>
      </w:r>
    </w:p>
    <w:p w14:paraId="40D89367">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eastAsia="宋体" w:cs="宋体"/>
          <w:color w:val="auto"/>
          <w:szCs w:val="21"/>
          <w:highlight w:val="none"/>
        </w:rPr>
        <w:t>。</w:t>
      </w:r>
    </w:p>
    <w:p w14:paraId="0335019A">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②工程变更引起施工方案改变使措施项目发生变化的，经监理人、发包人确定后可对按第10.4.3项约定执行</w:t>
      </w:r>
      <w:r>
        <w:rPr>
          <w:rFonts w:hint="eastAsia" w:ascii="宋体" w:hAnsi="宋体" w:eastAsia="宋体" w:cs="宋体"/>
          <w:color w:val="auto"/>
          <w:szCs w:val="21"/>
          <w:highlight w:val="none"/>
        </w:rPr>
        <w:t>。</w:t>
      </w:r>
    </w:p>
    <w:p w14:paraId="595A321C">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安全文明施工费按照《重庆市住房和城乡建设委员会关于修订发布&lt;重庆市建设工程安全文明施工费计取及使用管理规定&gt;的通知》（渝建管〔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eastAsia="宋体" w:cs="宋体"/>
          <w:color w:val="auto"/>
          <w:szCs w:val="21"/>
          <w:highlight w:val="none"/>
        </w:rPr>
        <w:t>。</w:t>
      </w:r>
    </w:p>
    <w:p w14:paraId="44987E1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（3）其他项目：</w:t>
      </w:r>
    </w:p>
    <w:p w14:paraId="30DA03A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①材料（工程设备）暂估价：</w:t>
      </w:r>
      <w:r>
        <w:rPr>
          <w:rFonts w:hint="eastAsia" w:ascii="宋体" w:hAnsi="宋体" w:eastAsia="宋体" w:cs="宋体"/>
          <w:color w:val="auto"/>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eastAsia="宋体" w:cs="宋体"/>
          <w:color w:val="auto"/>
          <w:szCs w:val="21"/>
          <w:highlight w:val="none"/>
        </w:rPr>
        <w:t>。</w:t>
      </w:r>
    </w:p>
    <w:p w14:paraId="788B6FD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②专业工程暂估价：</w:t>
      </w:r>
    </w:p>
    <w:p w14:paraId="17C32A4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1）对于不属于依法必须招标的暂估价项目：按发包人审定的价格进行结算</w:t>
      </w:r>
      <w:r>
        <w:rPr>
          <w:rFonts w:hint="eastAsia" w:ascii="宋体" w:hAnsi="宋体" w:eastAsia="宋体" w:cs="宋体"/>
          <w:color w:val="auto"/>
          <w:szCs w:val="21"/>
          <w:highlight w:val="none"/>
        </w:rPr>
        <w:t>。</w:t>
      </w:r>
    </w:p>
    <w:p w14:paraId="51E9023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eastAsia="宋体" w:cs="宋体"/>
          <w:color w:val="auto"/>
          <w:szCs w:val="21"/>
          <w:highlight w:val="none"/>
        </w:rPr>
        <w:t>。</w:t>
      </w:r>
    </w:p>
    <w:p w14:paraId="23B27BF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3）总承包服务费：总承包服务费包干使用，结算时不作调整</w:t>
      </w:r>
      <w:r>
        <w:rPr>
          <w:rFonts w:hint="eastAsia" w:ascii="宋体" w:hAnsi="宋体" w:eastAsia="宋体" w:cs="宋体"/>
          <w:color w:val="auto"/>
          <w:szCs w:val="21"/>
          <w:highlight w:val="none"/>
        </w:rPr>
        <w:t>。</w:t>
      </w:r>
    </w:p>
    <w:p w14:paraId="7ED2AF82">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（4）价格调整：</w:t>
      </w:r>
      <w:r>
        <w:rPr>
          <w:rFonts w:hint="eastAsia" w:ascii="宋体" w:hAnsi="宋体" w:eastAsia="宋体" w:cs="宋体"/>
          <w:color w:val="auto"/>
          <w:szCs w:val="21"/>
          <w:highlight w:val="none"/>
          <w:u w:val="single"/>
        </w:rPr>
        <w:t>按照第11条〔价格调整〕约定约定执行</w:t>
      </w:r>
      <w:r>
        <w:rPr>
          <w:rFonts w:hint="eastAsia" w:ascii="宋体" w:hAnsi="宋体" w:eastAsia="宋体" w:cs="宋体"/>
          <w:color w:val="auto"/>
          <w:szCs w:val="21"/>
          <w:highlight w:val="none"/>
        </w:rPr>
        <w:t>。</w:t>
      </w:r>
    </w:p>
    <w:p w14:paraId="6C9A2C52">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（5）工程变更、索赔与现场签证：</w:t>
      </w:r>
    </w:p>
    <w:p w14:paraId="52B3796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578219F6">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2）索赔：按照第10.4.1项〔变更估价原则〕和第14.2.1项〔竣工结算办法〕约定执行。</w:t>
      </w:r>
    </w:p>
    <w:p w14:paraId="047351BC">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3）现场签证：按照第10.4.1项〔变更估价原则〕和第14.2.1项〔竣工结算办法〕约定执行。</w:t>
      </w:r>
    </w:p>
    <w:p w14:paraId="6A82E7C4">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（6）奖励、罚金、违约金及其他费用：</w:t>
      </w:r>
      <w:r>
        <w:rPr>
          <w:rFonts w:hint="eastAsia" w:ascii="宋体" w:hAnsi="宋体" w:eastAsia="宋体" w:cs="宋体"/>
          <w:color w:val="auto"/>
          <w:szCs w:val="21"/>
          <w:highlight w:val="none"/>
          <w:u w:val="single"/>
        </w:rPr>
        <w:t>按实进行结算</w:t>
      </w:r>
      <w:r>
        <w:rPr>
          <w:rFonts w:hint="eastAsia" w:ascii="宋体" w:hAnsi="宋体" w:eastAsia="宋体" w:cs="宋体"/>
          <w:color w:val="auto"/>
          <w:szCs w:val="21"/>
          <w:highlight w:val="none"/>
        </w:rPr>
        <w:t>。</w:t>
      </w:r>
    </w:p>
    <w:p w14:paraId="00F17196">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（7）规费：已标价工程量清单中规费费用按《重庆市建设工程费用定额》（CQFYDE-2018）执行。</w:t>
      </w:r>
    </w:p>
    <w:p w14:paraId="41EFF749">
      <w:pPr>
        <w:tabs>
          <w:tab w:val="left" w:pos="711"/>
          <w:tab w:val="left" w:pos="2580"/>
        </w:tabs>
        <w:wordWrap/>
        <w:spacing w:beforeAutospacing="0" w:after="0" w:afterAutospacing="0" w:line="380" w:lineRule="exact"/>
        <w:ind w:right="105" w:rightChars="50" w:firstLine="420" w:firstLineChars="200"/>
        <w:jc w:val="left"/>
        <w:textAlignment w:val="baseline"/>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14F83E7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14.2.1.3竣工结算价</w:t>
      </w:r>
    </w:p>
    <w:p w14:paraId="74931098">
      <w:pPr>
        <w:spacing w:line="360" w:lineRule="auto"/>
        <w:ind w:firstLine="420" w:firstLineChars="200"/>
        <w:jc w:val="left"/>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yellow"/>
          <w:u w:val="single"/>
        </w:rPr>
        <w:t>以发包人会同跟审单位、监理人、承包人根据有效资料共同确的定竣工结算金额作为合同竣工结算价，如发包人与承包人就最终结算价无法达成一致意见，双方同意以发包人委托的工程造价咨询服务单位出具的造价结论为准。承包人上报的结算工程量要求准确，不得高估冒算，根据工程结算审核结果，若审减金额超过报审金额的5%，则由承包人承担全部基本审计费和审减金额效益费。竣工结算金额不得超过合同金额的110%，若超过合同金额的110%则以合同金额的110%作为竣工结算金额。如果竣工结算金额低于110%的据实结算。</w:t>
      </w:r>
    </w:p>
    <w:p w14:paraId="4AB416F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14.2.2 竣工结算审核期限</w:t>
      </w:r>
    </w:p>
    <w:p w14:paraId="3D417DE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监理人审核竣工付款申请单的期限：</w:t>
      </w:r>
      <w:r>
        <w:rPr>
          <w:rFonts w:hint="eastAsia" w:ascii="宋体" w:hAnsi="宋体" w:eastAsia="宋体" w:cs="宋体"/>
          <w:color w:val="auto"/>
          <w:szCs w:val="21"/>
          <w:highlight w:val="none"/>
          <w:u w:val="single"/>
        </w:rPr>
        <w:t>不超过  日</w:t>
      </w:r>
      <w:r>
        <w:rPr>
          <w:rFonts w:hint="eastAsia" w:ascii="宋体" w:hAnsi="宋体" w:eastAsia="宋体" w:cs="宋体"/>
          <w:color w:val="auto"/>
          <w:szCs w:val="21"/>
          <w:highlight w:val="none"/>
        </w:rPr>
        <w:t>。</w:t>
      </w:r>
    </w:p>
    <w:p w14:paraId="3FAE007F">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发包人（或代建单位）审核竣工付款申请单的期限：</w:t>
      </w:r>
      <w:r>
        <w:rPr>
          <w:rFonts w:hint="eastAsia" w:ascii="宋体" w:hAnsi="宋体" w:eastAsia="宋体" w:cs="宋体"/>
          <w:color w:val="auto"/>
          <w:szCs w:val="21"/>
          <w:highlight w:val="none"/>
          <w:u w:val="single"/>
        </w:rPr>
        <w:t>不超过  日</w:t>
      </w:r>
      <w:r>
        <w:rPr>
          <w:rFonts w:hint="eastAsia" w:ascii="宋体" w:hAnsi="宋体" w:eastAsia="宋体" w:cs="宋体"/>
          <w:color w:val="auto"/>
          <w:szCs w:val="21"/>
          <w:highlight w:val="none"/>
        </w:rPr>
        <w:t>。</w:t>
      </w:r>
    </w:p>
    <w:p w14:paraId="3BA2243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完成竣工付款申请单审核后  天内</w:t>
      </w:r>
      <w:r>
        <w:rPr>
          <w:rFonts w:hint="eastAsia" w:ascii="宋体" w:hAnsi="宋体" w:eastAsia="宋体" w:cs="宋体"/>
          <w:color w:val="auto"/>
          <w:szCs w:val="21"/>
          <w:highlight w:val="none"/>
        </w:rPr>
        <w:t>。</w:t>
      </w:r>
    </w:p>
    <w:p w14:paraId="1E06CD3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关于竣工付款证书异议部分复核的方式和程序： 按照第20条〔争议解决〕约定处理。</w:t>
      </w:r>
    </w:p>
    <w:p w14:paraId="65476E9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82" w:name="_Toc532377396"/>
      <w:bookmarkStart w:id="1383" w:name="_Toc532375659"/>
      <w:r>
        <w:rPr>
          <w:rFonts w:hint="eastAsia" w:ascii="宋体" w:hAnsi="宋体" w:eastAsia="宋体" w:cs="宋体"/>
          <w:color w:val="auto"/>
          <w:sz w:val="21"/>
          <w:szCs w:val="21"/>
          <w:highlight w:val="none"/>
        </w:rPr>
        <w:t>14.4 最终结清</w:t>
      </w:r>
      <w:bookmarkEnd w:id="1382"/>
      <w:bookmarkEnd w:id="1383"/>
    </w:p>
    <w:p w14:paraId="71E2CDB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14.4.1 最终结清申请单</w:t>
      </w:r>
    </w:p>
    <w:p w14:paraId="3313525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承包人提交最终结清申请单的份数：</w:t>
      </w:r>
      <w:r>
        <w:rPr>
          <w:rFonts w:hint="eastAsia" w:ascii="宋体" w:hAnsi="宋体" w:eastAsia="宋体" w:cs="宋体"/>
          <w:color w:val="auto"/>
          <w:szCs w:val="21"/>
          <w:highlight w:val="none"/>
          <w:u w:val="single"/>
        </w:rPr>
        <w:t>3份</w:t>
      </w:r>
      <w:r>
        <w:rPr>
          <w:rFonts w:hint="eastAsia" w:ascii="宋体" w:hAnsi="宋体" w:eastAsia="宋体" w:cs="宋体"/>
          <w:color w:val="auto"/>
          <w:szCs w:val="21"/>
          <w:highlight w:val="none"/>
        </w:rPr>
        <w:t>。</w:t>
      </w:r>
    </w:p>
    <w:p w14:paraId="3A64CC4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承包人提交最终结算申请单的期限：</w:t>
      </w:r>
      <w:r>
        <w:rPr>
          <w:rFonts w:hint="eastAsia" w:ascii="宋体" w:hAnsi="宋体" w:eastAsia="宋体" w:cs="宋体"/>
          <w:color w:val="auto"/>
          <w:szCs w:val="21"/>
          <w:highlight w:val="none"/>
          <w:u w:val="single"/>
        </w:rPr>
        <w:t>缺陷责任期终止证书颁发后14天内</w:t>
      </w:r>
      <w:r>
        <w:rPr>
          <w:rFonts w:hint="eastAsia" w:ascii="宋体" w:hAnsi="宋体" w:eastAsia="宋体" w:cs="宋体"/>
          <w:color w:val="auto"/>
          <w:szCs w:val="21"/>
          <w:highlight w:val="none"/>
        </w:rPr>
        <w:t>。</w:t>
      </w:r>
    </w:p>
    <w:p w14:paraId="31C82E0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p w14:paraId="6C7B814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发包人收到完整资料后14天内完成审批并颁发最终结清证书</w:t>
      </w:r>
      <w:r>
        <w:rPr>
          <w:rFonts w:hint="eastAsia" w:ascii="宋体" w:hAnsi="宋体" w:eastAsia="宋体" w:cs="宋体"/>
          <w:color w:val="auto"/>
          <w:szCs w:val="21"/>
          <w:highlight w:val="none"/>
        </w:rPr>
        <w:t>。</w:t>
      </w:r>
    </w:p>
    <w:p w14:paraId="7ABED10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颁发最终结清证书的14天内</w:t>
      </w:r>
      <w:r>
        <w:rPr>
          <w:rFonts w:hint="eastAsia" w:ascii="宋体" w:hAnsi="宋体" w:eastAsia="宋体" w:cs="宋体"/>
          <w:color w:val="auto"/>
          <w:szCs w:val="21"/>
          <w:highlight w:val="none"/>
        </w:rPr>
        <w:t>。</w:t>
      </w:r>
    </w:p>
    <w:p w14:paraId="707338E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本条补充14.5款：</w:t>
      </w:r>
    </w:p>
    <w:bookmarkEnd w:id="1344"/>
    <w:bookmarkEnd w:id="1345"/>
    <w:bookmarkEnd w:id="1346"/>
    <w:bookmarkEnd w:id="1347"/>
    <w:bookmarkEnd w:id="1348"/>
    <w:bookmarkEnd w:id="1349"/>
    <w:bookmarkEnd w:id="1350"/>
    <w:bookmarkEnd w:id="1351"/>
    <w:p w14:paraId="1378353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84" w:name="_Toc532375660"/>
      <w:bookmarkStart w:id="1385" w:name="_Toc532377397"/>
      <w:r>
        <w:rPr>
          <w:rFonts w:hint="eastAsia" w:ascii="宋体" w:hAnsi="宋体" w:eastAsia="宋体" w:cs="宋体"/>
          <w:color w:val="auto"/>
          <w:sz w:val="21"/>
          <w:szCs w:val="21"/>
          <w:highlight w:val="none"/>
        </w:rPr>
        <w:t>14.5 逾期办理或不配合办理竣工结算的处理</w:t>
      </w:r>
      <w:bookmarkEnd w:id="1384"/>
      <w:bookmarkEnd w:id="1385"/>
    </w:p>
    <w:p w14:paraId="1F38706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有下列情形之一的，视为承包人放弃与发包人共同办理竣工结算的权利，发包人有权会同跟审单位、监理人根据有效资料共同确定竣工结算金额。</w:t>
      </w:r>
    </w:p>
    <w:p w14:paraId="04CEF3B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（1）承包人逾期未报送竣工结算资料，亦未获得发包人批准延期报送，经发包人两</w:t>
      </w:r>
      <w:bookmarkStart w:id="1386" w:name="_Hlk529133622"/>
      <w:r>
        <w:rPr>
          <w:rFonts w:hint="eastAsia" w:ascii="宋体" w:hAnsi="宋体" w:eastAsia="宋体" w:cs="宋体"/>
          <w:color w:val="auto"/>
          <w:szCs w:val="21"/>
          <w:highlight w:val="none"/>
        </w:rPr>
        <w:t>次书面催告仍未在限期内报送的</w:t>
      </w:r>
      <w:bookmarkEnd w:id="1386"/>
      <w:r>
        <w:rPr>
          <w:rFonts w:hint="eastAsia" w:ascii="宋体" w:hAnsi="宋体" w:eastAsia="宋体" w:cs="宋体"/>
          <w:color w:val="auto"/>
          <w:szCs w:val="21"/>
          <w:highlight w:val="none"/>
        </w:rPr>
        <w:t>；</w:t>
      </w:r>
    </w:p>
    <w:p w14:paraId="0FE3636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34E0693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（3）承包人不配合发包人、跟审单位、监理人、发包人委托的工程造价咨询服务单位办理竣工结算的，经发包人两次书面函告仍未改正的。</w:t>
      </w:r>
    </w:p>
    <w:p w14:paraId="0799614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44684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eastAsia="宋体" w:cs="宋体"/>
          <w:color w:val="auto"/>
          <w:szCs w:val="21"/>
          <w:highlight w:val="none"/>
        </w:rPr>
        <w:t>。</w:t>
      </w:r>
    </w:p>
    <w:bookmarkEnd w:id="1052"/>
    <w:bookmarkEnd w:id="1053"/>
    <w:bookmarkEnd w:id="1054"/>
    <w:bookmarkEnd w:id="1055"/>
    <w:bookmarkEnd w:id="1056"/>
    <w:bookmarkEnd w:id="1057"/>
    <w:bookmarkEnd w:id="1058"/>
    <w:bookmarkEnd w:id="1059"/>
    <w:p w14:paraId="6F016FC1">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387" w:name="_Toc532377398"/>
      <w:bookmarkStart w:id="1388" w:name="_Toc351203647"/>
      <w:bookmarkStart w:id="1389" w:name="_Toc532375661"/>
      <w:bookmarkStart w:id="1390" w:name="_Toc267251483"/>
      <w:bookmarkStart w:id="1391" w:name="_Toc280868717"/>
      <w:bookmarkStart w:id="1392" w:name="_Toc280868718"/>
      <w:r>
        <w:rPr>
          <w:rFonts w:hint="eastAsia" w:ascii="宋体" w:hAnsi="宋体" w:eastAsia="宋体" w:cs="宋体"/>
          <w:color w:val="auto"/>
          <w:sz w:val="21"/>
          <w:szCs w:val="21"/>
          <w:highlight w:val="none"/>
        </w:rPr>
        <w:t>15. 缺陷责任期与保修</w:t>
      </w:r>
      <w:bookmarkEnd w:id="1387"/>
      <w:bookmarkEnd w:id="1388"/>
      <w:bookmarkEnd w:id="1389"/>
    </w:p>
    <w:bookmarkEnd w:id="1390"/>
    <w:p w14:paraId="61E4671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93" w:name="_Toc532375662"/>
      <w:bookmarkStart w:id="1394" w:name="_Toc532377399"/>
      <w:r>
        <w:rPr>
          <w:rFonts w:hint="eastAsia" w:ascii="宋体" w:hAnsi="宋体" w:eastAsia="宋体" w:cs="宋体"/>
          <w:color w:val="auto"/>
          <w:sz w:val="21"/>
          <w:szCs w:val="21"/>
          <w:highlight w:val="none"/>
        </w:rPr>
        <w:t>15.3 质量保证金</w:t>
      </w:r>
      <w:bookmarkEnd w:id="1393"/>
      <w:bookmarkEnd w:id="1394"/>
    </w:p>
    <w:p w14:paraId="423A5F4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承包人提供质量保证金的方式</w:t>
      </w:r>
    </w:p>
    <w:p w14:paraId="09A2DB0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60D2B1C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（1）质量保证金保函</w:t>
      </w:r>
    </w:p>
    <w:p w14:paraId="7898043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1）缴纳形式：</w:t>
      </w:r>
      <w:r>
        <w:rPr>
          <w:rFonts w:hint="eastAsia" w:ascii="宋体" w:hAnsi="宋体" w:eastAsia="宋体" w:cs="宋体"/>
          <w:color w:val="auto"/>
          <w:kern w:val="0"/>
          <w:szCs w:val="21"/>
          <w:highlight w:val="none"/>
        </w:rPr>
        <w:t>质量保证金保函包括银行保函、保证保险和担保保函</w:t>
      </w:r>
      <w:r>
        <w:rPr>
          <w:rFonts w:hint="eastAsia" w:ascii="宋体" w:hAnsi="宋体" w:eastAsia="宋体" w:cs="宋体"/>
          <w:color w:val="auto"/>
          <w:szCs w:val="21"/>
          <w:highlight w:val="none"/>
        </w:rPr>
        <w:t>，其示范文本详见合同附件。</w:t>
      </w:r>
      <w:r>
        <w:rPr>
          <w:rFonts w:hint="eastAsia" w:ascii="宋体" w:hAnsi="宋体" w:eastAsia="宋体" w:cs="宋体"/>
          <w:color w:val="auto"/>
          <w:kern w:val="0"/>
          <w:szCs w:val="21"/>
          <w:highlight w:val="none"/>
        </w:rPr>
        <w:t>承包人提交的质量保证金保函应严格执行其示范文本，不得对示范文本中的实质性内容进行修改</w:t>
      </w:r>
      <w:r>
        <w:rPr>
          <w:rFonts w:hint="eastAsia" w:ascii="宋体" w:hAnsi="宋体" w:eastAsia="宋体" w:cs="宋体"/>
          <w:color w:val="auto"/>
          <w:szCs w:val="21"/>
          <w:highlight w:val="none"/>
        </w:rPr>
        <w:t>。</w:t>
      </w:r>
    </w:p>
    <w:p w14:paraId="07A98B8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2）具体要求：</w:t>
      </w:r>
      <w:r>
        <w:rPr>
          <w:rFonts w:hint="eastAsia" w:ascii="宋体" w:hAnsi="宋体" w:eastAsia="宋体" w:cs="宋体"/>
          <w:color w:val="auto"/>
          <w:kern w:val="0"/>
          <w:szCs w:val="21"/>
          <w:highlight w:val="none"/>
        </w:rPr>
        <w:t>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招标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26C7BE1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3）保函金额为：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E7281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4）提交时间：</w:t>
      </w:r>
      <w:r>
        <w:rPr>
          <w:rFonts w:hint="eastAsia" w:ascii="宋体" w:hAnsi="宋体" w:eastAsia="宋体" w:cs="宋体"/>
          <w:color w:val="auto"/>
          <w:szCs w:val="21"/>
          <w:highlight w:val="none"/>
          <w:u w:val="single"/>
        </w:rPr>
        <w:t>工程竣工验收合格后14天内</w:t>
      </w:r>
      <w:r>
        <w:rPr>
          <w:rFonts w:hint="eastAsia" w:ascii="宋体" w:hAnsi="宋体" w:eastAsia="宋体" w:cs="宋体"/>
          <w:color w:val="auto"/>
          <w:szCs w:val="21"/>
          <w:highlight w:val="none"/>
        </w:rPr>
        <w:t>。</w:t>
      </w:r>
    </w:p>
    <w:p w14:paraId="5E97381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承包人提交质量保证金保函的，发包人应同时退还（若有）扣留的作为质量保证金的工程价款、履约担保；保函金额不得超过工程价款结算总额的3%</w:t>
      </w:r>
      <w:r>
        <w:rPr>
          <w:rFonts w:hint="eastAsia" w:ascii="宋体" w:hAnsi="宋体" w:eastAsia="宋体" w:cs="宋体"/>
          <w:color w:val="auto"/>
          <w:szCs w:val="21"/>
          <w:highlight w:val="none"/>
        </w:rPr>
        <w:t>。</w:t>
      </w:r>
    </w:p>
    <w:p w14:paraId="4C0A03B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（2）竣工结算价的</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w:t>
      </w:r>
    </w:p>
    <w:p w14:paraId="7CEA89D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B7D2A6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 质量保证金的扣留</w:t>
      </w:r>
    </w:p>
    <w:p w14:paraId="13CF3FA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38CC57B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（1）在支付工程进度款时逐次扣留，在此情形下，质量保证金的计算基数不包括预付款的支付、扣回以及价格调整的金额；</w:t>
      </w:r>
    </w:p>
    <w:p w14:paraId="7A85FB3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（2）工程竣工结算时一次性扣留质量保证金；</w:t>
      </w:r>
    </w:p>
    <w:p w14:paraId="7A9536DF">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 xml:space="preserve">其他扣留方式：        </w:t>
      </w:r>
      <w:r>
        <w:rPr>
          <w:rFonts w:hint="eastAsia" w:ascii="宋体" w:hAnsi="宋体" w:eastAsia="宋体" w:cs="宋体"/>
          <w:color w:val="auto"/>
          <w:szCs w:val="21"/>
          <w:highlight w:val="none"/>
        </w:rPr>
        <w:t>。</w:t>
      </w:r>
    </w:p>
    <w:p w14:paraId="2BBA70F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15.3.3质量保证金的退还</w:t>
      </w:r>
    </w:p>
    <w:p w14:paraId="0D149BE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（1）在发包人颁发缺陷责任期终止证书之日起14天内退还。</w:t>
      </w:r>
    </w:p>
    <w:p w14:paraId="49C2E3A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（2）缺陷责任期内，承包人认真履行合同约定的责任，到期后，承包人可向发包人申请返还质量保证金。</w:t>
      </w:r>
    </w:p>
    <w:p w14:paraId="28B8CB7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（3）质量保证金是否支付利息采取以下</w:t>
      </w:r>
      <w:r>
        <w:rPr>
          <w:rFonts w:hint="eastAsia" w:ascii="宋体" w:hAnsi="宋体" w:eastAsia="宋体" w:cs="宋体"/>
          <w:color w:val="auto"/>
          <w:szCs w:val="21"/>
          <w:highlight w:val="none"/>
          <w:u w:val="single"/>
        </w:rPr>
        <w:t>第②种</w:t>
      </w:r>
      <w:r>
        <w:rPr>
          <w:rFonts w:hint="eastAsia" w:ascii="宋体" w:hAnsi="宋体" w:eastAsia="宋体" w:cs="宋体"/>
          <w:color w:val="auto"/>
          <w:szCs w:val="21"/>
          <w:highlight w:val="none"/>
        </w:rPr>
        <w:t>方式：</w:t>
      </w:r>
    </w:p>
    <w:p w14:paraId="76A0FEA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①按照中国人民银行  年  月公布的5年期贷款市场报价利率支付利息</w:t>
      </w:r>
      <w:r>
        <w:rPr>
          <w:rFonts w:hint="eastAsia" w:ascii="宋体" w:hAnsi="宋体" w:eastAsia="宋体" w:cs="宋体"/>
          <w:color w:val="auto"/>
          <w:szCs w:val="21"/>
          <w:highlight w:val="none"/>
        </w:rPr>
        <w:t>。</w:t>
      </w:r>
    </w:p>
    <w:p w14:paraId="4BCB8BD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②不采用</w:t>
      </w:r>
      <w:r>
        <w:rPr>
          <w:rFonts w:hint="eastAsia" w:ascii="宋体" w:hAnsi="宋体" w:eastAsia="宋体" w:cs="宋体"/>
          <w:color w:val="auto"/>
          <w:szCs w:val="21"/>
          <w:highlight w:val="none"/>
        </w:rPr>
        <w:t>。</w:t>
      </w:r>
    </w:p>
    <w:p w14:paraId="67A8296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395" w:name="_Toc532377400"/>
      <w:bookmarkStart w:id="1396" w:name="_Toc532375663"/>
      <w:r>
        <w:rPr>
          <w:rFonts w:hint="eastAsia" w:ascii="宋体" w:hAnsi="宋体" w:eastAsia="宋体" w:cs="宋体"/>
          <w:color w:val="auto"/>
          <w:sz w:val="21"/>
          <w:szCs w:val="21"/>
          <w:highlight w:val="none"/>
        </w:rPr>
        <w:t>15.4 保修</w:t>
      </w:r>
      <w:bookmarkEnd w:id="1395"/>
      <w:bookmarkEnd w:id="1396"/>
    </w:p>
    <w:p w14:paraId="1B03175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14:paraId="6415A52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工程保修期为：</w:t>
      </w:r>
      <w:bookmarkStart w:id="1397" w:name="_Hlk524381274"/>
      <w:r>
        <w:rPr>
          <w:rFonts w:hint="eastAsia" w:ascii="宋体" w:hAnsi="宋体" w:eastAsia="宋体" w:cs="宋体"/>
          <w:color w:val="auto"/>
          <w:szCs w:val="21"/>
          <w:highlight w:val="none"/>
        </w:rPr>
        <w:t>按照附件1《工程质量保修书》的规定执行。</w:t>
      </w:r>
      <w:bookmarkEnd w:id="1397"/>
    </w:p>
    <w:p w14:paraId="6E1A45A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14:paraId="6FD8B8D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承包人收到保修通知并到达工程现场的合理时间：</w:t>
      </w:r>
      <w:r>
        <w:rPr>
          <w:rFonts w:hint="eastAsia" w:ascii="宋体" w:hAnsi="宋体" w:eastAsia="宋体" w:cs="宋体"/>
          <w:color w:val="auto"/>
          <w:szCs w:val="21"/>
          <w:highlight w:val="none"/>
          <w:u w:val="single"/>
        </w:rPr>
        <w:t xml:space="preserve">  小时内，最长不能超过  小时</w:t>
      </w:r>
      <w:r>
        <w:rPr>
          <w:rFonts w:hint="eastAsia" w:ascii="宋体" w:hAnsi="宋体" w:eastAsia="宋体" w:cs="宋体"/>
          <w:color w:val="auto"/>
          <w:szCs w:val="21"/>
          <w:highlight w:val="none"/>
        </w:rPr>
        <w:t>。</w:t>
      </w:r>
    </w:p>
    <w:p w14:paraId="4F3F0BF6">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398" w:name="_Toc351203648"/>
      <w:bookmarkStart w:id="1399" w:name="_Toc532375664"/>
      <w:bookmarkStart w:id="1400" w:name="_Toc532377401"/>
      <w:r>
        <w:rPr>
          <w:rFonts w:hint="eastAsia" w:ascii="宋体" w:hAnsi="宋体" w:eastAsia="宋体" w:cs="宋体"/>
          <w:color w:val="auto"/>
          <w:sz w:val="21"/>
          <w:szCs w:val="21"/>
          <w:highlight w:val="none"/>
        </w:rPr>
        <w:t>16. 违约</w:t>
      </w:r>
      <w:bookmarkEnd w:id="1398"/>
      <w:bookmarkEnd w:id="1399"/>
      <w:bookmarkEnd w:id="1400"/>
    </w:p>
    <w:p w14:paraId="09D74A2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01" w:name="_Toc532377402"/>
      <w:r>
        <w:rPr>
          <w:rFonts w:hint="eastAsia" w:ascii="宋体" w:hAnsi="宋体" w:eastAsia="宋体" w:cs="宋体"/>
          <w:color w:val="auto"/>
          <w:sz w:val="21"/>
          <w:szCs w:val="21"/>
          <w:highlight w:val="none"/>
        </w:rPr>
        <w:t>16.1 发包人违约</w:t>
      </w:r>
      <w:bookmarkEnd w:id="1401"/>
    </w:p>
    <w:p w14:paraId="371E009D">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 发包人违约的情形</w:t>
      </w:r>
    </w:p>
    <w:p w14:paraId="64A18744">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除通用合同条款约定外，发包人违约的其他情形：</w:t>
      </w:r>
    </w:p>
    <w:p w14:paraId="6C7DAD81">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（1）根据专用合同条款7.5.1项因发包人原因导致工期延误的；</w:t>
      </w:r>
    </w:p>
    <w:p w14:paraId="40F5099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（2）因发包人原因未能及时办理完毕合同约定的许可、批准或备案的；</w:t>
      </w:r>
    </w:p>
    <w:p w14:paraId="6CF0BBC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（3）因监理人未能按合同约定发出指示、指示延误或发出了错误指示而导致承包人费用增加和（或）工期延误的；</w:t>
      </w:r>
    </w:p>
    <w:p w14:paraId="1D8555F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（4）根据5.3.3发包人或监理人要求重新检查的，经检查证明工程质量符合合同要求的，并由此产生增加的费用和（或）延误的工期的；</w:t>
      </w:r>
    </w:p>
    <w:p w14:paraId="2E2B454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（5）因发包人原因造成工程质量未达到合同约定标准的；</w:t>
      </w:r>
    </w:p>
    <w:p w14:paraId="40EB790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（6）由于发包人原因对承包人造成的人员人身伤亡和财产损失的；</w:t>
      </w:r>
    </w:p>
    <w:p w14:paraId="028F7588">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（7）因发包人原因导致工程无法按期办理竣工验收或竣工结算的；</w:t>
      </w:r>
    </w:p>
    <w:p w14:paraId="34A6199A">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（8）发包人无正当理由未按约定退还履约担保、预付款担保或质量保证金的；</w:t>
      </w:r>
    </w:p>
    <w:p w14:paraId="55BBBBC9">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（9）发包人不当提取履约担保或质量保证金的；</w:t>
      </w:r>
    </w:p>
    <w:p w14:paraId="5195FA2A">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（10）发包人未按合同约定接收全部或部分工作的；</w:t>
      </w:r>
    </w:p>
    <w:p w14:paraId="63BE59C9">
      <w:pPr>
        <w:pStyle w:val="66"/>
        <w:wordWrap/>
        <w:spacing w:beforeAutospacing="0" w:after="0" w:afterAutospacing="0" w:line="380" w:lineRule="exact"/>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（11）发包人未按合同约定办理保险的；</w:t>
      </w:r>
    </w:p>
    <w:p w14:paraId="11F5C8B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（12）其他：        </w:t>
      </w:r>
      <w:r>
        <w:rPr>
          <w:rFonts w:hint="eastAsia" w:ascii="宋体" w:hAnsi="宋体" w:eastAsia="宋体" w:cs="宋体"/>
          <w:color w:val="auto"/>
          <w:kern w:val="0"/>
          <w:szCs w:val="21"/>
          <w:highlight w:val="none"/>
        </w:rPr>
        <w:t>。</w:t>
      </w:r>
    </w:p>
    <w:p w14:paraId="5DAEC967">
      <w:pPr>
        <w:pStyle w:val="66"/>
        <w:wordWrap/>
        <w:spacing w:beforeAutospacing="0" w:after="0" w:afterAutospacing="0"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16.1.2发包人违约的责任</w:t>
      </w:r>
    </w:p>
    <w:p w14:paraId="13D1DDD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7BA1A5C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0BA56AB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（3）因发包人原因导致工期延误的违约责任：由发包人承担由此增加的费用和（或）顺延工期，并支付合理利润，具体索赔程序按照第19条〔索赔〕约定执行。</w:t>
      </w:r>
    </w:p>
    <w:p w14:paraId="496EDF0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3A0C2A2A">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2FD47ED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eastAsia="宋体" w:cs="宋体"/>
          <w:color w:val="auto"/>
          <w:kern w:val="0"/>
          <w:szCs w:val="21"/>
          <w:highlight w:val="none"/>
          <w:u w:val="single"/>
        </w:rPr>
        <w:t>违约金=应付未付金额×中国人民银行  年  月公布的5年期贷款市场报价利率/360天×逾期天数</w:t>
      </w:r>
      <w:r>
        <w:rPr>
          <w:rFonts w:hint="eastAsia" w:ascii="宋体" w:hAnsi="宋体" w:eastAsia="宋体" w:cs="宋体"/>
          <w:color w:val="auto"/>
          <w:szCs w:val="21"/>
          <w:highlight w:val="none"/>
          <w:u w:val="single"/>
        </w:rPr>
        <w:t>（自第29天起计算）</w:t>
      </w:r>
      <w:r>
        <w:rPr>
          <w:rFonts w:hint="eastAsia" w:ascii="宋体" w:hAnsi="宋体" w:eastAsia="宋体" w:cs="宋体"/>
          <w:color w:val="auto"/>
          <w:kern w:val="0"/>
          <w:szCs w:val="21"/>
          <w:highlight w:val="none"/>
          <w:u w:val="single"/>
        </w:rPr>
        <w:t>；逾期天数超过56天的，超过部分天数按上述利率的两倍计算并支付违约金</w:t>
      </w:r>
      <w:r>
        <w:rPr>
          <w:rFonts w:hint="eastAsia" w:ascii="宋体" w:hAnsi="宋体" w:eastAsia="宋体" w:cs="宋体"/>
          <w:color w:val="auto"/>
          <w:kern w:val="0"/>
          <w:szCs w:val="21"/>
          <w:highlight w:val="none"/>
        </w:rPr>
        <w:t>。</w:t>
      </w:r>
    </w:p>
    <w:p w14:paraId="780CC72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14:paraId="56ECC49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055E78B4">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（9）因发包人原因造成工程质量未达到合同约定标准的，由发包人承担由此增加的费用和（或）延误的工期，并支付合理利润。</w:t>
      </w:r>
    </w:p>
    <w:p w14:paraId="45ABB94F">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（10）因发包人违反合同约定造成暂停施工的违约责任：由发包人承担由此增加的费用和（或）顺延工期，并支付合理利润，具体索赔程序按照第19条〔索赔〕约定执行。</w:t>
      </w:r>
    </w:p>
    <w:p w14:paraId="041AA24A">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7AB79469">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63366B5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（13）</w:t>
      </w:r>
      <w:r>
        <w:rPr>
          <w:rFonts w:hint="eastAsia" w:ascii="宋体" w:hAnsi="宋体" w:eastAsia="宋体" w:cs="宋体"/>
          <w:color w:val="auto"/>
          <w:kern w:val="0"/>
          <w:szCs w:val="21"/>
          <w:highlight w:val="none"/>
        </w:rPr>
        <w:t>发包人无正当理由未按约定退还履约担保、预付款担保或质量保证金的违约责任：发包人应向承包人支付违约金，自应当退还之日起28天后开始计算违约金，</w:t>
      </w:r>
      <w:r>
        <w:rPr>
          <w:rFonts w:hint="eastAsia" w:ascii="宋体" w:hAnsi="宋体" w:eastAsia="宋体" w:cs="宋体"/>
          <w:color w:val="auto"/>
          <w:kern w:val="0"/>
          <w:szCs w:val="21"/>
          <w:highlight w:val="none"/>
          <w:u w:val="single"/>
        </w:rPr>
        <w:t>计算公式：违约金=应退未退担保金额×中国人民银行  年  月公布的5年期贷款市场报价利率/360天×逾期天数</w:t>
      </w:r>
      <w:r>
        <w:rPr>
          <w:rFonts w:hint="eastAsia" w:ascii="宋体" w:hAnsi="宋体" w:eastAsia="宋体" w:cs="宋体"/>
          <w:color w:val="auto"/>
          <w:szCs w:val="21"/>
          <w:highlight w:val="none"/>
          <w:u w:val="single"/>
        </w:rPr>
        <w:t>（自第29天起计算）</w:t>
      </w:r>
      <w:r>
        <w:rPr>
          <w:rFonts w:hint="eastAsia" w:ascii="宋体" w:hAnsi="宋体" w:eastAsia="宋体" w:cs="宋体"/>
          <w:color w:val="auto"/>
          <w:kern w:val="0"/>
          <w:szCs w:val="21"/>
          <w:highlight w:val="none"/>
        </w:rPr>
        <w:t>。</w:t>
      </w:r>
    </w:p>
    <w:p w14:paraId="4E69A21C">
      <w:pPr>
        <w:pStyle w:val="2"/>
        <w:wordWrap/>
        <w:spacing w:beforeAutospacing="0" w:after="0" w:afterAutospacing="0"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szCs w:val="21"/>
          <w:highlight w:val="none"/>
        </w:rPr>
        <w:t>发包人不当提取履约担保、预付款担保或质量保证金的，应及时予以退还，若不当提取超过28天的，应承担违约责任：发包人应向承包人支付违约金，</w:t>
      </w:r>
      <w:r>
        <w:rPr>
          <w:rFonts w:hint="eastAsia" w:ascii="宋体" w:hAnsi="宋体" w:eastAsia="宋体" w:cs="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eastAsia="宋体" w:cs="宋体"/>
          <w:color w:val="auto"/>
          <w:szCs w:val="21"/>
          <w:highlight w:val="none"/>
        </w:rPr>
        <w:t>。</w:t>
      </w:r>
    </w:p>
    <w:p w14:paraId="20EFAEB1">
      <w:pPr>
        <w:pStyle w:val="2"/>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14:paraId="6C86F97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（16）由于发包人原因对承包人造成的人员人身伤亡和财产损失的，由发包人负责赔偿，并承担由此增加的费用和（或）延误的工期，并支付合理利润。</w:t>
      </w:r>
    </w:p>
    <w:p w14:paraId="7ABEDC94">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（17）发包人未按合同约定办理保险的违约责任：除按18.6.1项约定执行外，每延迟1天，按</w:t>
      </w:r>
      <w:r>
        <w:rPr>
          <w:rFonts w:hint="eastAsia" w:ascii="宋体" w:hAnsi="宋体" w:eastAsia="宋体" w:cs="宋体"/>
          <w:color w:val="auto"/>
          <w:kern w:val="0"/>
          <w:szCs w:val="21"/>
          <w:highlight w:val="none"/>
          <w:u w:val="single"/>
        </w:rPr>
        <w:t>500元/天</w:t>
      </w:r>
      <w:r>
        <w:rPr>
          <w:rFonts w:hint="eastAsia" w:ascii="宋体" w:hAnsi="宋体" w:eastAsia="宋体" w:cs="宋体"/>
          <w:color w:val="auto"/>
          <w:kern w:val="0"/>
          <w:szCs w:val="21"/>
          <w:highlight w:val="none"/>
        </w:rPr>
        <w:t>支付违约金。</w:t>
      </w:r>
    </w:p>
    <w:p w14:paraId="6FE7E095">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F259D40">
      <w:pPr>
        <w:wordWrap/>
        <w:autoSpaceDE w:val="0"/>
        <w:autoSpaceDN w:val="0"/>
        <w:adjustRightIn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79FD51DA">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14:paraId="56CD8C2A">
      <w:pPr>
        <w:wordWrap/>
        <w:autoSpaceDE w:val="0"/>
        <w:autoSpaceDN w:val="0"/>
        <w:adjustRightIn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因发包人违约并致使合同目的不能实现的，承包人有权解除合同：</w:t>
      </w:r>
    </w:p>
    <w:p w14:paraId="10A46B32">
      <w:pPr>
        <w:wordWrap/>
        <w:autoSpaceDE w:val="0"/>
        <w:autoSpaceDN w:val="0"/>
        <w:adjustRightIn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（1）因发包人原因延迟支付合同价款超过180天的；</w:t>
      </w:r>
    </w:p>
    <w:p w14:paraId="6E4387BE">
      <w:pPr>
        <w:wordWrap/>
        <w:autoSpaceDE w:val="0"/>
        <w:autoSpaceDN w:val="0"/>
        <w:adjustRightIn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（2）因发包人原因导致工期延误超过90天的；</w:t>
      </w:r>
    </w:p>
    <w:p w14:paraId="22C2A48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（3）因发包人第16.1.2（5）违约情形导致暂停施工满56天，且发包人仍未纠正其违约行为的；</w:t>
      </w:r>
    </w:p>
    <w:p w14:paraId="7FBB0EA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（4）其他未履行合同项下的义务构成对合同的实质性违约，并且在收到承包人要求说明其违约并予以补救的通知后56天内仍未补救该实质性违约的；</w:t>
      </w:r>
    </w:p>
    <w:p w14:paraId="534FDDF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u w:val="single"/>
        </w:rPr>
        <w:t>合同约定的承包人有权解除合同的其他情形</w:t>
      </w:r>
      <w:r>
        <w:rPr>
          <w:rFonts w:hint="eastAsia" w:ascii="宋体" w:hAnsi="宋体" w:eastAsia="宋体" w:cs="宋体"/>
          <w:color w:val="auto"/>
          <w:kern w:val="0"/>
          <w:szCs w:val="21"/>
          <w:highlight w:val="none"/>
        </w:rPr>
        <w:t>。</w:t>
      </w:r>
    </w:p>
    <w:p w14:paraId="3A0B76D4">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16.1.4 因发包人违约解除合同后的付款</w:t>
      </w:r>
    </w:p>
    <w:p w14:paraId="5DD5FEA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承包人按照本款约定解除合同的，发包人应在解除合同后28天内支付下列款项，并解除履约担保、预付款担保：</w:t>
      </w:r>
    </w:p>
    <w:p w14:paraId="562B04D1">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（1）合同解除前所完成工作的价款；</w:t>
      </w:r>
    </w:p>
    <w:p w14:paraId="3DEC6027">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（2）承包人为工程施工订购并已付款的材料、工程设备和其他物品的价款；</w:t>
      </w:r>
    </w:p>
    <w:p w14:paraId="14C26BD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（3）承包人撤离施工现场以及遣散承包人人员的款项；</w:t>
      </w:r>
    </w:p>
    <w:p w14:paraId="09A18B2B">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（4）按照合同约定在合同解除前应支付的违约金；</w:t>
      </w:r>
    </w:p>
    <w:p w14:paraId="0600103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（5）按照合同约定应当支付给承包人的其他款项；</w:t>
      </w:r>
    </w:p>
    <w:p w14:paraId="7DC8CB3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（6）按照合同约定应退还的质量保证金；</w:t>
      </w:r>
    </w:p>
    <w:p w14:paraId="10DB2A3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（7）因解除合同给承包人造成的损失；</w:t>
      </w:r>
    </w:p>
    <w:p w14:paraId="481EC2E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u w:val="single"/>
        </w:rPr>
        <w:t xml:space="preserve">        。</w:t>
      </w:r>
    </w:p>
    <w:p w14:paraId="23A119E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合同当事人未能就解除合同后的结清达成一致的，按照第20条〔争议解决〕的约定处理。</w:t>
      </w:r>
    </w:p>
    <w:p w14:paraId="7CAA513E">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67BB760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02" w:name="_Toc532377403"/>
      <w:r>
        <w:rPr>
          <w:rFonts w:hint="eastAsia" w:ascii="宋体" w:hAnsi="宋体" w:eastAsia="宋体" w:cs="宋体"/>
          <w:color w:val="auto"/>
          <w:sz w:val="21"/>
          <w:szCs w:val="21"/>
          <w:highlight w:val="none"/>
        </w:rPr>
        <w:t>16.2 承包人违约</w:t>
      </w:r>
      <w:bookmarkEnd w:id="1402"/>
    </w:p>
    <w:p w14:paraId="2E16D605">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bookmarkStart w:id="1403" w:name="_Hlk524380579"/>
      <w:r>
        <w:rPr>
          <w:rFonts w:hint="eastAsia" w:ascii="宋体" w:hAnsi="宋体" w:eastAsia="宋体" w:cs="宋体"/>
          <w:color w:val="auto"/>
          <w:kern w:val="0"/>
          <w:szCs w:val="21"/>
          <w:highlight w:val="none"/>
        </w:rPr>
        <w:t>16.2.1 承包人违约的情形</w:t>
      </w:r>
    </w:p>
    <w:p w14:paraId="48EA12DD">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除通用合同条款约定外，承包人违约的其他情形：</w:t>
      </w:r>
    </w:p>
    <w:p w14:paraId="4463B63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（1）承包人未按合同约定提交履约担保或质量保证金的；</w:t>
      </w:r>
    </w:p>
    <w:p w14:paraId="26208D35">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（2）承包人未能按期开工的；</w:t>
      </w:r>
    </w:p>
    <w:p w14:paraId="1049B47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（3）承包人未按投标文件或监理人的要求及时配备称职的主要管理人员，或承包人未按经审定的施工组织设计配备或更换关键施工设备的；</w:t>
      </w:r>
    </w:p>
    <w:p w14:paraId="00096D5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（4）承包人有安全问题或有违反安全管理规章制度情况的；</w:t>
      </w:r>
    </w:p>
    <w:p w14:paraId="30BF1E1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（5）承包人在缺陷责任期及保修期内，未能在合理期限对工程缺陷进行修复，或拒绝按发包人要求进行修复的；</w:t>
      </w:r>
    </w:p>
    <w:p w14:paraId="7807E56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（6）承包人拖欠其工人或所雇人员工资或报酬，导致其工人或所雇人员向有关部门投诉、控告、检举或以聚集等方式讨要工资或报酬的；</w:t>
      </w:r>
    </w:p>
    <w:p w14:paraId="5845C841">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（7）承包人不配合发包人、监理人及发包人委托的工程造价咨询服务单位结算审核或承包人其他原因导致未按期完成工程竣工结算的；</w:t>
      </w:r>
    </w:p>
    <w:p w14:paraId="19DEC03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（8）承包人违反合同约定进行转包或违法分包的；</w:t>
      </w:r>
    </w:p>
    <w:p w14:paraId="3CF5FBC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（9）承包人未按合同约定移交全部或部分工作的；</w:t>
      </w:r>
    </w:p>
    <w:p w14:paraId="224FA66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（10）承包人未按合同约定购买保险的；</w:t>
      </w:r>
    </w:p>
    <w:p w14:paraId="0540F160">
      <w:pPr>
        <w:wordWrap/>
        <w:snapToGrid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（11）项目经理若有以下情形，属于承包人违约：</w:t>
      </w:r>
    </w:p>
    <w:p w14:paraId="4831BE33">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1）项目经理不按承诺到岗的；</w:t>
      </w:r>
    </w:p>
    <w:p w14:paraId="57BD02C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2）每月在施工现场的天数少于约定天数的；</w:t>
      </w:r>
    </w:p>
    <w:p w14:paraId="6E31CB8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3）承包人未提交项目经理劳动合同和社会保险证明的；</w:t>
      </w:r>
    </w:p>
    <w:p w14:paraId="7313E601">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4）未经批准，擅自离开施工现场（超过约定时间）的；</w:t>
      </w:r>
    </w:p>
    <w:p w14:paraId="76A045D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5）未经批准，擅自变更项目经理的；</w:t>
      </w:r>
    </w:p>
    <w:p w14:paraId="2BBD2F7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6）按照渝建发〔2015〕35号文的要求，施工期间，项目经理因在一个记分周期内累计记分达到12分，被建设行政主管部门依法责令停止执业的；</w:t>
      </w:r>
    </w:p>
    <w:p w14:paraId="3425131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7）发包人有正当理由认为项目经理不称职/不履职，且承包人在约定时间内不予更换的；</w:t>
      </w:r>
    </w:p>
    <w:p w14:paraId="0EE7648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8）其他双方约定的情形：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A57FA3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（12）技术负责人若有以下情形，属于承包人违约：</w:t>
      </w:r>
    </w:p>
    <w:p w14:paraId="695C786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1）每月在施工现场的天数少于约定天数的；</w:t>
      </w:r>
    </w:p>
    <w:p w14:paraId="5973B89D">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2）承包人未提交技术负责人劳动合同和社会保险证明的；</w:t>
      </w:r>
    </w:p>
    <w:p w14:paraId="097231B5">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3）未经批准，擅自离开施工现场（超过约定时间）的；</w:t>
      </w:r>
    </w:p>
    <w:p w14:paraId="1788A13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4）未经批准，擅自变更技术负责人的；</w:t>
      </w:r>
    </w:p>
    <w:p w14:paraId="5ED6863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5）发包人有正当理由认为技术负责人不称职/不履职，且承包人在约定时间内不予更换的；</w:t>
      </w:r>
    </w:p>
    <w:p w14:paraId="409852B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6）其他双方约定的情形：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7746F0E">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（13）主要施工管理人员若有以下情形，属于承包人违约：</w:t>
      </w:r>
    </w:p>
    <w:p w14:paraId="6D42EB1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1）承包人未提交主要管理人员劳动合同和社会保险证明的；</w:t>
      </w:r>
    </w:p>
    <w:p w14:paraId="5230EFDB">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2）未经批准，擅自离开施工现场（超过约定时间）的；</w:t>
      </w:r>
    </w:p>
    <w:p w14:paraId="03D71F7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3）未经批准，擅自变更主要施工管理人员的；</w:t>
      </w:r>
    </w:p>
    <w:p w14:paraId="5100D66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4）发包人有正当理由认为主要施工管理人员不称职/不履职，且承包人在约定时间内不予更换的；</w:t>
      </w:r>
    </w:p>
    <w:p w14:paraId="2D30009D">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5）其他双方约定的情形：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ACE0C2C">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r>
        <w:rPr>
          <w:rFonts w:hint="eastAsia" w:ascii="宋体" w:hAnsi="宋体" w:eastAsia="宋体" w:cs="宋体"/>
          <w:color w:val="auto"/>
          <w:kern w:val="0"/>
          <w:szCs w:val="21"/>
          <w:highlight w:val="none"/>
          <w:u w:val="single"/>
        </w:rPr>
        <w:t xml:space="preserve">        。</w:t>
      </w:r>
    </w:p>
    <w:bookmarkEnd w:id="1403"/>
    <w:p w14:paraId="0A0F9BCD">
      <w:pPr>
        <w:wordWrap/>
        <w:adjustRightInd w:val="0"/>
        <w:snapToGrid w:val="0"/>
        <w:spacing w:beforeAutospacing="0" w:after="0" w:afterAutospacing="0"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 承包人违约的责任</w:t>
      </w:r>
    </w:p>
    <w:p w14:paraId="6683612A">
      <w:pPr>
        <w:wordWrap/>
        <w:adjustRightInd w:val="0"/>
        <w:snapToGrid w:val="0"/>
        <w:spacing w:beforeAutospacing="0" w:after="0" w:afterAutospacing="0"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承包人违约责任的承担方式和计算方法：</w:t>
      </w:r>
    </w:p>
    <w:p w14:paraId="726399DE">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（1）承包人未按合同约定提交履约担保、质量保证金的违约责任：承包人应支付违约金，</w:t>
      </w:r>
      <w:r>
        <w:rPr>
          <w:rFonts w:hint="eastAsia" w:ascii="宋体" w:hAnsi="宋体" w:eastAsia="宋体" w:cs="宋体"/>
          <w:color w:val="auto"/>
          <w:szCs w:val="21"/>
          <w:highlight w:val="none"/>
        </w:rPr>
        <w:t>违约金的计算方法：</w:t>
      </w:r>
      <w:r>
        <w:rPr>
          <w:rFonts w:hint="eastAsia" w:ascii="宋体" w:hAnsi="宋体" w:eastAsia="宋体" w:cs="宋体"/>
          <w:color w:val="auto"/>
          <w:kern w:val="0"/>
          <w:szCs w:val="21"/>
          <w:highlight w:val="none"/>
        </w:rPr>
        <w:t>每延误1天，承包人按</w:t>
      </w:r>
      <w:r>
        <w:rPr>
          <w:rFonts w:hint="eastAsia" w:ascii="宋体" w:hAnsi="宋体" w:eastAsia="宋体" w:cs="宋体"/>
          <w:color w:val="auto"/>
          <w:kern w:val="0"/>
          <w:szCs w:val="21"/>
          <w:highlight w:val="none"/>
          <w:u w:val="single"/>
        </w:rPr>
        <w:t xml:space="preserve">  （5000～50000）元/天</w:t>
      </w:r>
      <w:r>
        <w:rPr>
          <w:rFonts w:hint="eastAsia" w:ascii="宋体" w:hAnsi="宋体" w:eastAsia="宋体" w:cs="宋体"/>
          <w:color w:val="auto"/>
          <w:kern w:val="0"/>
          <w:szCs w:val="21"/>
          <w:highlight w:val="none"/>
        </w:rPr>
        <w:t>计算违约金，累计违约金上限：</w:t>
      </w:r>
      <w:r>
        <w:rPr>
          <w:rFonts w:hint="eastAsia" w:ascii="宋体" w:hAnsi="宋体" w:eastAsia="宋体" w:cs="宋体"/>
          <w:color w:val="auto"/>
          <w:kern w:val="0"/>
          <w:szCs w:val="21"/>
          <w:highlight w:val="none"/>
          <w:u w:val="single"/>
        </w:rPr>
        <w:t xml:space="preserve">  万元（不超过签约合同价的3%）</w:t>
      </w:r>
      <w:r>
        <w:rPr>
          <w:rFonts w:hint="eastAsia" w:ascii="宋体" w:hAnsi="宋体" w:eastAsia="宋体" w:cs="宋体"/>
          <w:color w:val="auto"/>
          <w:kern w:val="0"/>
          <w:szCs w:val="21"/>
          <w:highlight w:val="none"/>
          <w:lang w:val="zh-CN"/>
        </w:rPr>
        <w:t>。</w:t>
      </w:r>
    </w:p>
    <w:p w14:paraId="5682C69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支付违约金，违法转/分包商应在7天内撤离出场。</w:t>
      </w:r>
    </w:p>
    <w:p w14:paraId="38EB1B26">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w:t>
      </w:r>
    </w:p>
    <w:p w14:paraId="69F2599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w:t>
      </w:r>
    </w:p>
    <w:p w14:paraId="7F5DD13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Cs w:val="21"/>
          <w:highlight w:val="none"/>
          <w:u w:val="single"/>
        </w:rPr>
        <w:t xml:space="preserve">  （1～5）%</w:t>
      </w:r>
      <w:r>
        <w:rPr>
          <w:rFonts w:hint="eastAsia" w:ascii="宋体" w:hAnsi="宋体" w:eastAsia="宋体" w:cs="宋体"/>
          <w:color w:val="auto"/>
          <w:kern w:val="0"/>
          <w:szCs w:val="21"/>
          <w:highlight w:val="none"/>
        </w:rPr>
        <w:t>支付违约金。</w:t>
      </w:r>
    </w:p>
    <w:p w14:paraId="7F3E134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（6）因承包人原因造成工期延误的违约承担方式和计算方法：由承包人承担由此增加的费用，</w:t>
      </w:r>
      <w:r>
        <w:rPr>
          <w:rFonts w:hint="eastAsia" w:ascii="宋体" w:hAnsi="宋体" w:eastAsia="宋体" w:cs="宋体"/>
          <w:color w:val="auto"/>
          <w:szCs w:val="21"/>
          <w:highlight w:val="none"/>
        </w:rPr>
        <w:t>由此导致工期延误的，工期不予顺延；逾期竣工违约金的计算方法：</w:t>
      </w:r>
      <w:r>
        <w:rPr>
          <w:rFonts w:hint="eastAsia" w:ascii="宋体" w:hAnsi="宋体" w:eastAsia="宋体" w:cs="宋体"/>
          <w:color w:val="auto"/>
          <w:kern w:val="0"/>
          <w:szCs w:val="21"/>
          <w:highlight w:val="none"/>
        </w:rPr>
        <w:t>每延误1天，承包人按</w:t>
      </w:r>
      <w:r>
        <w:rPr>
          <w:rFonts w:hint="eastAsia" w:ascii="宋体" w:hAnsi="宋体" w:eastAsia="宋体" w:cs="宋体"/>
          <w:color w:val="auto"/>
          <w:kern w:val="0"/>
          <w:szCs w:val="21"/>
          <w:highlight w:val="none"/>
          <w:u w:val="single"/>
        </w:rPr>
        <w:t xml:space="preserve">  （5000～50000）元/天</w:t>
      </w:r>
      <w:r>
        <w:rPr>
          <w:rFonts w:hint="eastAsia" w:ascii="宋体" w:hAnsi="宋体" w:eastAsia="宋体" w:cs="宋体"/>
          <w:color w:val="auto"/>
          <w:kern w:val="0"/>
          <w:szCs w:val="21"/>
          <w:highlight w:val="none"/>
        </w:rPr>
        <w:t>计算逾期竣工违约金，累计违约金上限：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万元（不超过签约合同价的3%）</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承包人支付逾期竣工违约金后，不免除承包人继续完成工程及修补缺陷的义务。</w:t>
      </w:r>
    </w:p>
    <w:p w14:paraId="32A2C5AA">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Cs w:val="21"/>
          <w:highlight w:val="none"/>
          <w:u w:val="single"/>
        </w:rPr>
        <w:t xml:space="preserve">  （0.5～2）%</w:t>
      </w:r>
      <w:r>
        <w:rPr>
          <w:rFonts w:hint="eastAsia" w:ascii="宋体" w:hAnsi="宋体" w:eastAsia="宋体" w:cs="宋体"/>
          <w:color w:val="auto"/>
          <w:kern w:val="0"/>
          <w:szCs w:val="21"/>
          <w:highlight w:val="none"/>
        </w:rPr>
        <w:t>支付违约金。</w:t>
      </w:r>
    </w:p>
    <w:p w14:paraId="5703B5DD">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（8）承包人明确表示或者以其行为表明不履行合同主要义务的违约责任：按签约合同价的</w:t>
      </w:r>
      <w:r>
        <w:rPr>
          <w:rFonts w:hint="eastAsia" w:ascii="宋体" w:hAnsi="宋体" w:eastAsia="宋体" w:cs="宋体"/>
          <w:color w:val="auto"/>
          <w:kern w:val="0"/>
          <w:szCs w:val="21"/>
          <w:highlight w:val="none"/>
          <w:u w:val="single"/>
        </w:rPr>
        <w:t xml:space="preserve">  （5～10）%</w:t>
      </w:r>
      <w:r>
        <w:rPr>
          <w:rFonts w:hint="eastAsia" w:ascii="宋体" w:hAnsi="宋体" w:eastAsia="宋体" w:cs="宋体"/>
          <w:color w:val="auto"/>
          <w:kern w:val="0"/>
          <w:szCs w:val="21"/>
          <w:highlight w:val="none"/>
        </w:rPr>
        <w:t>支付违约金。</w:t>
      </w:r>
    </w:p>
    <w:p w14:paraId="1E46131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（9）承包人未能按照合同约定履行其他义务的违约责任：按</w:t>
      </w:r>
      <w:r>
        <w:rPr>
          <w:rFonts w:hint="eastAsia" w:ascii="宋体" w:hAnsi="宋体" w:eastAsia="宋体" w:cs="宋体"/>
          <w:color w:val="auto"/>
          <w:kern w:val="0"/>
          <w:szCs w:val="21"/>
          <w:highlight w:val="none"/>
          <w:u w:val="single"/>
        </w:rPr>
        <w:t>（500～5000）元/次</w:t>
      </w:r>
      <w:r>
        <w:rPr>
          <w:rFonts w:hint="eastAsia" w:ascii="宋体" w:hAnsi="宋体" w:eastAsia="宋体" w:cs="宋体"/>
          <w:color w:val="auto"/>
          <w:kern w:val="0"/>
          <w:szCs w:val="21"/>
          <w:highlight w:val="none"/>
        </w:rPr>
        <w:t>支付违约金。</w:t>
      </w:r>
    </w:p>
    <w:p w14:paraId="60D9ABF0">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（10）承包人未能按期开工的违约责任：按合同价</w:t>
      </w:r>
      <w:r>
        <w:rPr>
          <w:rFonts w:hint="eastAsia" w:ascii="宋体" w:hAnsi="宋体" w:eastAsia="宋体" w:cs="宋体"/>
          <w:color w:val="auto"/>
          <w:kern w:val="0"/>
          <w:szCs w:val="21"/>
          <w:highlight w:val="none"/>
          <w:u w:val="single"/>
        </w:rPr>
        <w:t>0.2‰/天</w:t>
      </w:r>
      <w:r>
        <w:rPr>
          <w:rFonts w:hint="eastAsia" w:ascii="宋体" w:hAnsi="宋体" w:eastAsia="宋体" w:cs="宋体"/>
          <w:color w:val="auto"/>
          <w:kern w:val="0"/>
          <w:szCs w:val="21"/>
          <w:highlight w:val="none"/>
        </w:rPr>
        <w:t>支付违约金，本项违约金累计限额为签约合同价的</w:t>
      </w:r>
      <w:r>
        <w:rPr>
          <w:rFonts w:hint="eastAsia" w:ascii="宋体" w:hAnsi="宋体" w:eastAsia="宋体" w:cs="宋体"/>
          <w:color w:val="auto"/>
          <w:kern w:val="0"/>
          <w:szCs w:val="21"/>
          <w:highlight w:val="none"/>
          <w:u w:val="single"/>
        </w:rPr>
        <w:t xml:space="preserve"> 1 %</w:t>
      </w:r>
      <w:r>
        <w:rPr>
          <w:rFonts w:hint="eastAsia" w:ascii="宋体" w:hAnsi="宋体" w:eastAsia="宋体" w:cs="宋体"/>
          <w:color w:val="auto"/>
          <w:kern w:val="0"/>
          <w:szCs w:val="21"/>
          <w:highlight w:val="none"/>
        </w:rPr>
        <w:t>。</w:t>
      </w:r>
    </w:p>
    <w:p w14:paraId="0D119489">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（11）承包人未按经审定的施工组织设计配备或更换关键施工设备的违约责任：按</w:t>
      </w:r>
      <w:r>
        <w:rPr>
          <w:rFonts w:hint="eastAsia" w:ascii="宋体" w:hAnsi="宋体" w:eastAsia="宋体" w:cs="宋体"/>
          <w:color w:val="auto"/>
          <w:kern w:val="0"/>
          <w:szCs w:val="21"/>
          <w:highlight w:val="none"/>
          <w:u w:val="single"/>
        </w:rPr>
        <w:t xml:space="preserve">  （5000～50000）元/台·次</w:t>
      </w:r>
      <w:r>
        <w:rPr>
          <w:rFonts w:hint="eastAsia" w:ascii="宋体" w:hAnsi="宋体" w:eastAsia="宋体" w:cs="宋体"/>
          <w:color w:val="auto"/>
          <w:kern w:val="0"/>
          <w:szCs w:val="21"/>
          <w:highlight w:val="none"/>
        </w:rPr>
        <w:t>支付违约金。</w:t>
      </w:r>
    </w:p>
    <w:p w14:paraId="57BEF3A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（12）承包人有安全问题或有违反安全管理规章制度情况的违约责任：根据具体情节，按签约合同价的</w:t>
      </w:r>
      <w:r>
        <w:rPr>
          <w:rFonts w:hint="eastAsia" w:ascii="宋体" w:hAnsi="宋体" w:eastAsia="宋体" w:cs="宋体"/>
          <w:color w:val="auto"/>
          <w:kern w:val="0"/>
          <w:szCs w:val="21"/>
          <w:highlight w:val="none"/>
          <w:u w:val="single"/>
        </w:rPr>
        <w:t>0.5‰～4‰/次</w:t>
      </w:r>
      <w:r>
        <w:rPr>
          <w:rFonts w:hint="eastAsia" w:ascii="宋体" w:hAnsi="宋体" w:eastAsia="宋体" w:cs="宋体"/>
          <w:color w:val="auto"/>
          <w:kern w:val="0"/>
          <w:szCs w:val="21"/>
          <w:highlight w:val="none"/>
        </w:rPr>
        <w:t>支付违约金（累计不超过签约合同价的1%，详见附件9安全管理协议）。</w:t>
      </w:r>
    </w:p>
    <w:p w14:paraId="5BCE1C4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Cs w:val="21"/>
          <w:highlight w:val="none"/>
          <w:u w:val="single"/>
        </w:rPr>
        <w:t xml:space="preserve">  （50000～200000）元/次</w:t>
      </w:r>
      <w:r>
        <w:rPr>
          <w:rFonts w:hint="eastAsia" w:ascii="宋体" w:hAnsi="宋体" w:eastAsia="宋体" w:cs="宋体"/>
          <w:color w:val="auto"/>
          <w:kern w:val="0"/>
          <w:szCs w:val="21"/>
          <w:highlight w:val="none"/>
        </w:rPr>
        <w:t>支付违约金。</w:t>
      </w:r>
    </w:p>
    <w:p w14:paraId="320FD2A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（14）承包人不配合发包人、监理人及发包人委托的工程造价咨询服务单位结算审核的违约责任：根据具体情节，按</w:t>
      </w:r>
      <w:r>
        <w:rPr>
          <w:rFonts w:hint="eastAsia" w:ascii="宋体" w:hAnsi="宋体" w:eastAsia="宋体" w:cs="宋体"/>
          <w:color w:val="auto"/>
          <w:kern w:val="0"/>
          <w:szCs w:val="21"/>
          <w:highlight w:val="none"/>
          <w:u w:val="single"/>
        </w:rPr>
        <w:t xml:space="preserve">  （10000～100000）元/次</w:t>
      </w:r>
      <w:r>
        <w:rPr>
          <w:rFonts w:hint="eastAsia" w:ascii="宋体" w:hAnsi="宋体" w:eastAsia="宋体" w:cs="宋体"/>
          <w:color w:val="auto"/>
          <w:kern w:val="0"/>
          <w:szCs w:val="21"/>
          <w:highlight w:val="none"/>
        </w:rPr>
        <w:t>支付违约金。</w:t>
      </w:r>
    </w:p>
    <w:p w14:paraId="002FEA8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Cs w:val="21"/>
          <w:highlight w:val="none"/>
          <w:u w:val="single"/>
        </w:rPr>
        <w:t>0.5～1‰</w:t>
      </w:r>
      <w:r>
        <w:rPr>
          <w:rFonts w:hint="eastAsia" w:ascii="宋体" w:hAnsi="宋体" w:eastAsia="宋体" w:cs="宋体"/>
          <w:color w:val="auto"/>
          <w:kern w:val="0"/>
          <w:szCs w:val="21"/>
          <w:highlight w:val="none"/>
        </w:rPr>
        <w:t>支付违约金。</w:t>
      </w:r>
    </w:p>
    <w:p w14:paraId="64F7795E">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（16）承包人未按合同约定购买保险的违约责任：除按18.6.2项约定执行外，每延迟1天，按</w:t>
      </w:r>
      <w:r>
        <w:rPr>
          <w:rFonts w:hint="eastAsia" w:ascii="宋体" w:hAnsi="宋体" w:eastAsia="宋体" w:cs="宋体"/>
          <w:color w:val="auto"/>
          <w:szCs w:val="21"/>
          <w:highlight w:val="none"/>
          <w:u w:val="single"/>
        </w:rPr>
        <w:t>500元/天</w:t>
      </w:r>
      <w:r>
        <w:rPr>
          <w:rFonts w:hint="eastAsia" w:ascii="宋体" w:hAnsi="宋体" w:eastAsia="宋体" w:cs="宋体"/>
          <w:color w:val="auto"/>
          <w:szCs w:val="21"/>
          <w:highlight w:val="none"/>
        </w:rPr>
        <w:t>支付违约金。</w:t>
      </w:r>
    </w:p>
    <w:p w14:paraId="206A95A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（17）发生第16.2.1项（11）目、16.2.1项（12）目、16.2.1项（13）目违约情形的违约责任：除承担由此增加的费用和工期延误的责任，承包人应向发包人支付违约金：</w:t>
      </w:r>
    </w:p>
    <w:p w14:paraId="76B6FC31">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1）项目经理违约承担方式和计算方法：对于第16.2.1项（11）目的情形，每发现一次，根据具体情节，按</w:t>
      </w:r>
      <w:r>
        <w:rPr>
          <w:rFonts w:hint="eastAsia" w:ascii="宋体" w:hAnsi="宋体" w:eastAsia="宋体" w:cs="宋体"/>
          <w:color w:val="auto"/>
          <w:kern w:val="0"/>
          <w:szCs w:val="21"/>
          <w:highlight w:val="none"/>
          <w:u w:val="single"/>
        </w:rPr>
        <w:t>1000～30000元/天·次</w:t>
      </w:r>
      <w:r>
        <w:rPr>
          <w:rFonts w:hint="eastAsia" w:ascii="宋体" w:hAnsi="宋体" w:eastAsia="宋体" w:cs="宋体"/>
          <w:color w:val="auto"/>
          <w:kern w:val="0"/>
          <w:szCs w:val="21"/>
          <w:highlight w:val="none"/>
        </w:rPr>
        <w:t>计算违约金；项目经理不按承诺到岗的（3.2.3项约定的情形除外），按履约保证金的</w:t>
      </w:r>
      <w:r>
        <w:rPr>
          <w:rFonts w:hint="eastAsia" w:ascii="宋体" w:hAnsi="宋体" w:eastAsia="宋体" w:cs="宋体"/>
          <w:color w:val="auto"/>
          <w:kern w:val="0"/>
          <w:szCs w:val="21"/>
          <w:highlight w:val="none"/>
          <w:u w:val="single"/>
        </w:rPr>
        <w:t>（50～100）%</w:t>
      </w:r>
      <w:r>
        <w:rPr>
          <w:rFonts w:hint="eastAsia" w:ascii="宋体" w:hAnsi="宋体" w:eastAsia="宋体" w:cs="宋体"/>
          <w:color w:val="auto"/>
          <w:kern w:val="0"/>
          <w:szCs w:val="21"/>
          <w:highlight w:val="none"/>
        </w:rPr>
        <w:t>支付违约金，并解除合同；擅自更换项目经理的，按签约合同价的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w:t>
      </w:r>
      <w:r>
        <w:rPr>
          <w:rFonts w:hint="eastAsia" w:ascii="宋体" w:hAnsi="宋体" w:eastAsia="宋体" w:cs="宋体"/>
          <w:color w:val="auto"/>
          <w:kern w:val="0"/>
          <w:szCs w:val="21"/>
          <w:highlight w:val="none"/>
          <w:u w:val="single"/>
        </w:rPr>
        <w:t>20万</w:t>
      </w:r>
      <w:r>
        <w:rPr>
          <w:rFonts w:hint="eastAsia" w:ascii="宋体" w:hAnsi="宋体" w:eastAsia="宋体" w:cs="宋体"/>
          <w:color w:val="auto"/>
          <w:kern w:val="0"/>
          <w:szCs w:val="21"/>
          <w:highlight w:val="none"/>
        </w:rPr>
        <w:t>，累计不超过</w:t>
      </w:r>
      <w:r>
        <w:rPr>
          <w:rFonts w:hint="eastAsia" w:ascii="宋体" w:hAnsi="宋体" w:eastAsia="宋体" w:cs="宋体"/>
          <w:color w:val="auto"/>
          <w:kern w:val="0"/>
          <w:szCs w:val="21"/>
          <w:highlight w:val="none"/>
          <w:u w:val="single"/>
        </w:rPr>
        <w:t>200万</w:t>
      </w:r>
      <w:r>
        <w:rPr>
          <w:rFonts w:hint="eastAsia" w:ascii="宋体" w:hAnsi="宋体" w:eastAsia="宋体" w:cs="宋体"/>
          <w:color w:val="auto"/>
          <w:kern w:val="0"/>
          <w:szCs w:val="21"/>
          <w:highlight w:val="none"/>
        </w:rPr>
        <w:t>；项目经理被责令停止执业的，按签约合同价的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w:t>
      </w:r>
      <w:r>
        <w:rPr>
          <w:rFonts w:hint="eastAsia" w:ascii="宋体" w:hAnsi="宋体" w:eastAsia="宋体" w:cs="宋体"/>
          <w:color w:val="auto"/>
          <w:kern w:val="0"/>
          <w:szCs w:val="21"/>
          <w:highlight w:val="none"/>
          <w:u w:val="single"/>
        </w:rPr>
        <w:t>20万</w:t>
      </w:r>
      <w:r>
        <w:rPr>
          <w:rFonts w:hint="eastAsia" w:ascii="宋体" w:hAnsi="宋体" w:eastAsia="宋体" w:cs="宋体"/>
          <w:color w:val="auto"/>
          <w:kern w:val="0"/>
          <w:szCs w:val="21"/>
          <w:highlight w:val="none"/>
        </w:rPr>
        <w:t>，累计不超过</w:t>
      </w:r>
      <w:r>
        <w:rPr>
          <w:rFonts w:hint="eastAsia" w:ascii="宋体" w:hAnsi="宋体" w:eastAsia="宋体" w:cs="宋体"/>
          <w:color w:val="auto"/>
          <w:kern w:val="0"/>
          <w:szCs w:val="21"/>
          <w:highlight w:val="none"/>
          <w:u w:val="single"/>
        </w:rPr>
        <w:t>200万</w:t>
      </w:r>
      <w:r>
        <w:rPr>
          <w:rFonts w:hint="eastAsia" w:ascii="宋体" w:hAnsi="宋体" w:eastAsia="宋体" w:cs="宋体"/>
          <w:color w:val="auto"/>
          <w:kern w:val="0"/>
          <w:szCs w:val="21"/>
          <w:highlight w:val="none"/>
        </w:rPr>
        <w:t>；项目经理被责令停止执业的，按签约合同价的</w:t>
      </w:r>
      <w:r>
        <w:rPr>
          <w:rFonts w:hint="eastAsia" w:ascii="宋体" w:hAnsi="宋体" w:eastAsia="宋体" w:cs="宋体"/>
          <w:color w:val="auto"/>
          <w:kern w:val="0"/>
          <w:szCs w:val="21"/>
          <w:highlight w:val="none"/>
          <w:u w:val="single"/>
        </w:rPr>
        <w:t>（0.5～3）%/人•次</w:t>
      </w:r>
      <w:r>
        <w:rPr>
          <w:rFonts w:hint="eastAsia" w:ascii="宋体" w:hAnsi="宋体" w:eastAsia="宋体" w:cs="宋体"/>
          <w:color w:val="auto"/>
          <w:kern w:val="0"/>
          <w:szCs w:val="21"/>
          <w:highlight w:val="none"/>
        </w:rPr>
        <w:t>支付违约金，每次不低于</w:t>
      </w:r>
      <w:r>
        <w:rPr>
          <w:rFonts w:hint="eastAsia" w:ascii="宋体" w:hAnsi="宋体" w:eastAsia="宋体" w:cs="宋体"/>
          <w:color w:val="auto"/>
          <w:kern w:val="0"/>
          <w:szCs w:val="21"/>
          <w:highlight w:val="none"/>
          <w:u w:val="single"/>
        </w:rPr>
        <w:t>20</w:t>
      </w:r>
      <w:r>
        <w:rPr>
          <w:rFonts w:hint="eastAsia" w:ascii="宋体" w:hAnsi="宋体" w:eastAsia="宋体" w:cs="宋体"/>
          <w:color w:val="auto"/>
          <w:kern w:val="0"/>
          <w:szCs w:val="21"/>
          <w:highlight w:val="none"/>
        </w:rPr>
        <w:t>万，累计不超过</w:t>
      </w:r>
      <w:r>
        <w:rPr>
          <w:rFonts w:hint="eastAsia" w:ascii="宋体" w:hAnsi="宋体" w:eastAsia="宋体" w:cs="宋体"/>
          <w:color w:val="auto"/>
          <w:kern w:val="0"/>
          <w:szCs w:val="21"/>
          <w:highlight w:val="none"/>
          <w:u w:val="single"/>
        </w:rPr>
        <w:t>200</w:t>
      </w:r>
      <w:r>
        <w:rPr>
          <w:rFonts w:hint="eastAsia" w:ascii="宋体" w:hAnsi="宋体" w:eastAsia="宋体" w:cs="宋体"/>
          <w:color w:val="auto"/>
          <w:kern w:val="0"/>
          <w:szCs w:val="21"/>
          <w:highlight w:val="none"/>
        </w:rPr>
        <w:t>万。</w:t>
      </w:r>
    </w:p>
    <w:p w14:paraId="132DED6B">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2）主要技术负责人违约承担方式和计算方法：对于第16.2.1项（12）目的六种情形，每发现一次，根据具体情节，按</w:t>
      </w:r>
      <w:r>
        <w:rPr>
          <w:rFonts w:hint="eastAsia" w:ascii="宋体" w:hAnsi="宋体" w:eastAsia="宋体" w:cs="宋体"/>
          <w:color w:val="auto"/>
          <w:kern w:val="0"/>
          <w:szCs w:val="21"/>
          <w:highlight w:val="none"/>
          <w:u w:val="single"/>
        </w:rPr>
        <w:t>1000～30000元/天·次</w:t>
      </w:r>
      <w:r>
        <w:rPr>
          <w:rFonts w:hint="eastAsia" w:ascii="宋体" w:hAnsi="宋体" w:eastAsia="宋体" w:cs="宋体"/>
          <w:color w:val="auto"/>
          <w:kern w:val="0"/>
          <w:szCs w:val="21"/>
          <w:highlight w:val="none"/>
        </w:rPr>
        <w:t>计算违约金；擅自更换主要技术负责人的，按签约合同价的</w:t>
      </w:r>
      <w:r>
        <w:rPr>
          <w:rFonts w:hint="eastAsia" w:ascii="宋体" w:hAnsi="宋体" w:eastAsia="宋体" w:cs="宋体"/>
          <w:color w:val="auto"/>
          <w:kern w:val="0"/>
          <w:szCs w:val="21"/>
          <w:highlight w:val="none"/>
          <w:u w:val="single"/>
        </w:rPr>
        <w:t>（0.5～2）%/人·次</w:t>
      </w:r>
      <w:r>
        <w:rPr>
          <w:rFonts w:hint="eastAsia" w:ascii="宋体" w:hAnsi="宋体" w:eastAsia="宋体" w:cs="宋体"/>
          <w:color w:val="auto"/>
          <w:kern w:val="0"/>
          <w:szCs w:val="21"/>
          <w:highlight w:val="none"/>
        </w:rPr>
        <w:t>支付违约金，每次不低于</w:t>
      </w:r>
      <w:r>
        <w:rPr>
          <w:rFonts w:hint="eastAsia" w:ascii="宋体" w:hAnsi="宋体" w:eastAsia="宋体" w:cs="宋体"/>
          <w:color w:val="auto"/>
          <w:kern w:val="0"/>
          <w:szCs w:val="21"/>
          <w:highlight w:val="none"/>
          <w:u w:val="single"/>
        </w:rPr>
        <w:t>10万</w:t>
      </w:r>
      <w:r>
        <w:rPr>
          <w:rFonts w:hint="eastAsia" w:ascii="宋体" w:hAnsi="宋体" w:eastAsia="宋体" w:cs="宋体"/>
          <w:color w:val="auto"/>
          <w:kern w:val="0"/>
          <w:szCs w:val="21"/>
          <w:highlight w:val="none"/>
        </w:rPr>
        <w:t>，累计不超过</w:t>
      </w:r>
      <w:r>
        <w:rPr>
          <w:rFonts w:hint="eastAsia" w:ascii="宋体" w:hAnsi="宋体" w:eastAsia="宋体" w:cs="宋体"/>
          <w:color w:val="auto"/>
          <w:kern w:val="0"/>
          <w:szCs w:val="21"/>
          <w:highlight w:val="none"/>
          <w:u w:val="single"/>
        </w:rPr>
        <w:t>100万</w:t>
      </w:r>
      <w:r>
        <w:rPr>
          <w:rFonts w:hint="eastAsia" w:ascii="宋体" w:hAnsi="宋体" w:eastAsia="宋体" w:cs="宋体"/>
          <w:color w:val="auto"/>
          <w:kern w:val="0"/>
          <w:szCs w:val="21"/>
          <w:highlight w:val="none"/>
        </w:rPr>
        <w:t>。</w:t>
      </w:r>
    </w:p>
    <w:p w14:paraId="3B094A6B">
      <w:pPr>
        <w:wordWrap/>
        <w:snapToGrid w:val="0"/>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3）主要施工管理人员违约承担方式和计算方法：对于第16.2.1项（13）目的五种情形，每发现一次，根据具体情节，按</w:t>
      </w:r>
      <w:r>
        <w:rPr>
          <w:rFonts w:hint="eastAsia" w:ascii="宋体" w:hAnsi="宋体" w:eastAsia="宋体" w:cs="宋体"/>
          <w:color w:val="auto"/>
          <w:kern w:val="0"/>
          <w:szCs w:val="21"/>
          <w:highlight w:val="none"/>
          <w:u w:val="single"/>
        </w:rPr>
        <w:t>500～10000元/天·次</w:t>
      </w:r>
      <w:r>
        <w:rPr>
          <w:rFonts w:hint="eastAsia" w:ascii="宋体" w:hAnsi="宋体" w:eastAsia="宋体" w:cs="宋体"/>
          <w:color w:val="auto"/>
          <w:kern w:val="0"/>
          <w:szCs w:val="21"/>
          <w:highlight w:val="none"/>
        </w:rPr>
        <w:t>计算违约金。</w:t>
      </w:r>
    </w:p>
    <w:p w14:paraId="434A248F">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bookmarkStart w:id="1404" w:name="_Hlk524380347"/>
    </w:p>
    <w:p w14:paraId="73E11EE4">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eastAsia="宋体" w:cs="宋体"/>
          <w:color w:val="auto"/>
          <w:kern w:val="0"/>
          <w:szCs w:val="21"/>
          <w:highlight w:val="none"/>
        </w:rPr>
        <w:t>16.2.2项第（1）目承担违约责任</w:t>
      </w:r>
      <w:r>
        <w:rPr>
          <w:rFonts w:hint="eastAsia" w:ascii="宋体" w:hAnsi="宋体" w:eastAsia="宋体" w:cs="宋体"/>
          <w:color w:val="auto"/>
          <w:szCs w:val="21"/>
          <w:highlight w:val="none"/>
        </w:rPr>
        <w:t>，并从应付或到期应付给承包人的任何款项中或采用其他方法，扣除该违约金。</w:t>
      </w:r>
    </w:p>
    <w:p w14:paraId="54918C42">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eastAsia="宋体" w:cs="宋体"/>
          <w:color w:val="auto"/>
          <w:kern w:val="0"/>
          <w:szCs w:val="21"/>
          <w:highlight w:val="none"/>
        </w:rPr>
        <w:t>，承担由此给</w:t>
      </w:r>
      <w:r>
        <w:rPr>
          <w:rFonts w:hint="eastAsia" w:ascii="宋体" w:hAnsi="宋体" w:eastAsia="宋体" w:cs="宋体"/>
          <w:color w:val="auto"/>
          <w:szCs w:val="21"/>
          <w:highlight w:val="none"/>
        </w:rPr>
        <w:t>发包人造成的经济损失。</w:t>
      </w:r>
    </w:p>
    <w:p w14:paraId="24D8C118">
      <w:pPr>
        <w:wordWrap/>
        <w:snapToGrid w:val="0"/>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承包人承担承包范围的工程质量、安全、环保责任，因承包人原因引起的质量、安全、环保等事故由承包人承担相应的法律后果。</w:t>
      </w:r>
    </w:p>
    <w:bookmarkEnd w:id="1404"/>
    <w:p w14:paraId="15598BA6">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16.2.3 因承包人违约解除合同</w:t>
      </w:r>
    </w:p>
    <w:p w14:paraId="5ABDAF32">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因承包人违约并致使合同目的不能实现的，发包人有权解除合同：</w:t>
      </w:r>
    </w:p>
    <w:p w14:paraId="770EA01D">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（1）未按合同约定延迟提供履约担保、质量保证金超过14天的；</w:t>
      </w:r>
    </w:p>
    <w:p w14:paraId="6F5BF7F2">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（2）未按合同约定购买保险且经催告后超过56天的；</w:t>
      </w:r>
    </w:p>
    <w:p w14:paraId="7E2593B9">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（3）因承包人原因导致开工时间累计延误超过56天的；</w:t>
      </w:r>
    </w:p>
    <w:p w14:paraId="2172F077">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（4）因承包人原因导致工期延误超过90天的；</w:t>
      </w:r>
    </w:p>
    <w:p w14:paraId="1959E495">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（5）发生第21.2款〔退出机制〕约定的情形的；</w:t>
      </w:r>
    </w:p>
    <w:p w14:paraId="1EC0A658">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（6）监理人发出整改通知后，承包人在监理人限定的期限内仍不纠正违约行为的；</w:t>
      </w:r>
    </w:p>
    <w:p w14:paraId="6816CB45">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（7）承包人进入清算或者严重资不抵债且无法履行合同的；</w:t>
      </w:r>
    </w:p>
    <w:p w14:paraId="0175183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（8）违反适用法律而被相关政府部门依法吊销营业执照、责令停业、清算或宣布破产、责令关闭的；</w:t>
      </w:r>
    </w:p>
    <w:p w14:paraId="2B15C51C">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（9）承包人未履行合同项下的义务构成对合同的实质性违约，并且在收到发包人要求说明其违约并予以补救的通知后56天内仍未能补救该实质性违约的；</w:t>
      </w:r>
    </w:p>
    <w:p w14:paraId="2EE95F18">
      <w:pPr>
        <w:pStyle w:val="66"/>
        <w:wordWrap/>
        <w:spacing w:beforeAutospacing="0" w:after="0" w:afterAutospacing="0" w:line="38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u w:val="single"/>
        </w:rPr>
        <w:t>合同约定的发包人有权解除合同的其他情形</w:t>
      </w:r>
      <w:r>
        <w:rPr>
          <w:rFonts w:hint="eastAsia" w:ascii="宋体" w:hAnsi="宋体" w:eastAsia="宋体" w:cs="宋体"/>
          <w:color w:val="auto"/>
          <w:kern w:val="0"/>
          <w:sz w:val="21"/>
          <w:szCs w:val="21"/>
          <w:highlight w:val="none"/>
        </w:rPr>
        <w:t>。</w:t>
      </w:r>
    </w:p>
    <w:p w14:paraId="43272658">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16.2.4因承包人违约解除合同后的处理</w:t>
      </w:r>
    </w:p>
    <w:p w14:paraId="5776296D">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因承包人违约导致合同解除的，合同当事人应在合同解除后56天内完成估价、付款和清算，并按以下约定执行：</w:t>
      </w:r>
    </w:p>
    <w:p w14:paraId="56AF5181">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（1）合同解除后，按第14.2款结算审定方式确定承包人实际完成工作对应的合同价款，以及承包人已提供的材料、工程设备、施工设备和临时工程等的价值；</w:t>
      </w:r>
    </w:p>
    <w:p w14:paraId="34D4A25F">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（2）合同解除后，承包人应支付违约金；</w:t>
      </w:r>
    </w:p>
    <w:p w14:paraId="079B7C0E">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（3）合同解除后，赔偿因解除合同给发包人造成的损失；</w:t>
      </w:r>
    </w:p>
    <w:p w14:paraId="03706D5B">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（4）合同解除后，承包人应按照发包人要求和监理人的指示完成现场的清理和撤离。</w:t>
      </w:r>
    </w:p>
    <w:p w14:paraId="1A84298E">
      <w:pPr>
        <w:wordWrap/>
        <w:spacing w:beforeAutospacing="0" w:after="0" w:afterAutospacing="0"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423513A">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30E28320">
      <w:pPr>
        <w:wordWrap/>
        <w:spacing w:beforeAutospacing="0" w:after="0" w:afterAutospacing="0"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391"/>
    <w:bookmarkEnd w:id="1392"/>
    <w:p w14:paraId="5E42779E">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05" w:name="_Toc351203649"/>
      <w:bookmarkStart w:id="1406" w:name="_Toc532377404"/>
      <w:bookmarkStart w:id="1407" w:name="_Toc532375665"/>
      <w:bookmarkStart w:id="1408" w:name="_Hlk528928440"/>
      <w:r>
        <w:rPr>
          <w:rFonts w:hint="eastAsia" w:ascii="宋体" w:hAnsi="宋体" w:eastAsia="宋体" w:cs="宋体"/>
          <w:color w:val="auto"/>
          <w:sz w:val="21"/>
          <w:szCs w:val="21"/>
          <w:highlight w:val="none"/>
        </w:rPr>
        <w:t>17. 不可抗力</w:t>
      </w:r>
      <w:bookmarkEnd w:id="1405"/>
      <w:bookmarkEnd w:id="1406"/>
      <w:bookmarkEnd w:id="1407"/>
    </w:p>
    <w:p w14:paraId="39083C91">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09" w:name="_Toc532377405"/>
      <w:bookmarkStart w:id="1410" w:name="_Toc532375666"/>
      <w:r>
        <w:rPr>
          <w:rFonts w:hint="eastAsia" w:ascii="宋体" w:hAnsi="宋体" w:eastAsia="宋体" w:cs="宋体"/>
          <w:color w:val="auto"/>
          <w:sz w:val="21"/>
          <w:szCs w:val="21"/>
          <w:highlight w:val="none"/>
        </w:rPr>
        <w:t>17.1 不可抗力的确认</w:t>
      </w:r>
      <w:bookmarkEnd w:id="1409"/>
      <w:bookmarkEnd w:id="1410"/>
    </w:p>
    <w:p w14:paraId="2050A4A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除通用合同条款约定的不可抗力事件之外，视为不可抗力的其他情形：</w:t>
      </w:r>
      <w:bookmarkStart w:id="1411" w:name="_Hlk524379638"/>
    </w:p>
    <w:p w14:paraId="1B4F33F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（1）洪水、火山爆发、山崩、山体滑坡、泥石流、龙卷风、隧道内不可预测的突发性地质灾害等自然灾害；</w:t>
      </w:r>
    </w:p>
    <w:p w14:paraId="756A2FF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（2）骚乱、戒严、封锁、禁运、恐怖行为、等社会行为，但承包人或其分包人派遣与雇佣的人员由于合同工程施工原因引起的除外；</w:t>
      </w:r>
    </w:p>
    <w:p w14:paraId="750E1B6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（3）不能合理预见的重大交通阻滞、停运、交通事故，非双方责任引起的火灾、爆炸、船舶撞击等情形；</w:t>
      </w:r>
    </w:p>
    <w:p w14:paraId="1217C79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（4）化学或放射性污染或核辐射；</w:t>
      </w:r>
    </w:p>
    <w:p w14:paraId="3042339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（5）环保治理等政府行为导致项目停工的。</w:t>
      </w:r>
      <w:bookmarkEnd w:id="1411"/>
    </w:p>
    <w:p w14:paraId="74636BE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FDEF8E">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12" w:name="_Toc351203610"/>
      <w:bookmarkStart w:id="1413" w:name="_Toc532375667"/>
      <w:bookmarkStart w:id="1414" w:name="_Toc532377406"/>
      <w:bookmarkStart w:id="1415" w:name="_Toc296503119"/>
      <w:bookmarkStart w:id="1416" w:name="_Toc337558826"/>
      <w:bookmarkStart w:id="1417" w:name="_Toc296346620"/>
      <w:r>
        <w:rPr>
          <w:rFonts w:hint="eastAsia" w:ascii="宋体" w:hAnsi="宋体" w:eastAsia="宋体" w:cs="宋体"/>
          <w:color w:val="auto"/>
          <w:sz w:val="21"/>
          <w:szCs w:val="21"/>
          <w:highlight w:val="none"/>
        </w:rPr>
        <w:t>17.3 不可抗力后果的承担</w:t>
      </w:r>
      <w:bookmarkEnd w:id="1412"/>
      <w:bookmarkEnd w:id="1413"/>
      <w:bookmarkEnd w:id="1414"/>
    </w:p>
    <w:bookmarkEnd w:id="1415"/>
    <w:bookmarkEnd w:id="1416"/>
    <w:bookmarkEnd w:id="1417"/>
    <w:p w14:paraId="698CEAB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17.3.1 不可抗力引起的后果及造成的损失由合同当事人按照法律规定及合同约定各自承担。不可抗力发生前已完成的工程应当按照合同约定进行计量支付。</w:t>
      </w:r>
    </w:p>
    <w:p w14:paraId="705F758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17.3.2 不可抗力导致的人员伤亡、财产损失、费用增加和（或）工期延误等后果，由合同当事人按以下原则承担：</w:t>
      </w:r>
    </w:p>
    <w:p w14:paraId="1AD95F0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（1）永久工程、已运至施工现场的施工材料和工程设备的损坏，以及因工程损坏造成的第三方人员伤亡和财产损失由发包人承担；</w:t>
      </w:r>
    </w:p>
    <w:p w14:paraId="3F63660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（2）承包人施工设备的损坏由承包人承担；</w:t>
      </w:r>
    </w:p>
    <w:p w14:paraId="45DCC95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（3）发包人和承包人承担各自人员伤亡和财产的损失；</w:t>
      </w:r>
    </w:p>
    <w:p w14:paraId="1EFC2ED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（4）因不可抗力影响承包人履行合同约定的义务，已经引起或将引起工期延误的，应当顺延工期，由此导致承包人停工的费用损失由发包人和承包人合理共担；</w:t>
      </w:r>
    </w:p>
    <w:p w14:paraId="46F8D33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（5）因不可抗力引起或将引起工期延误，发包人要求赶工的，由此增加的赶工费用由发包人承担；</w:t>
      </w:r>
    </w:p>
    <w:p w14:paraId="04E8C78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（6）承包人在停工期间按照发包人要求照管、清理和修复工程的费用由发包人承担；</w:t>
      </w:r>
    </w:p>
    <w:p w14:paraId="06262DF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（7）不可抗力事件发生后，合同当事人均应采取措施尽量避免和减少损失的扩大，任何一方当事人没有采取有效措施导致损失扩大的，应对扩大的损失承担责任。</w:t>
      </w:r>
    </w:p>
    <w:p w14:paraId="0FB981D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E6286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18" w:name="_Toc532375668"/>
      <w:bookmarkStart w:id="1419" w:name="_Toc532377407"/>
      <w:r>
        <w:rPr>
          <w:rFonts w:hint="eastAsia" w:ascii="宋体" w:hAnsi="宋体" w:eastAsia="宋体" w:cs="宋体"/>
          <w:color w:val="auto"/>
          <w:sz w:val="21"/>
          <w:szCs w:val="21"/>
          <w:highlight w:val="none"/>
        </w:rPr>
        <w:t>17.4 因不可抗力解除合同</w:t>
      </w:r>
      <w:bookmarkEnd w:id="1418"/>
      <w:bookmarkEnd w:id="1419"/>
    </w:p>
    <w:p w14:paraId="39B0C916">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28</w:t>
      </w:r>
      <w:r>
        <w:rPr>
          <w:rFonts w:hint="eastAsia" w:ascii="宋体" w:hAnsi="宋体" w:eastAsia="宋体" w:cs="宋体"/>
          <w:color w:val="auto"/>
          <w:szCs w:val="21"/>
          <w:highlight w:val="none"/>
        </w:rPr>
        <w:t>天内完成款项的支付。</w:t>
      </w:r>
    </w:p>
    <w:p w14:paraId="6B7F51E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20" w:name="_Toc351203650"/>
      <w:bookmarkStart w:id="1421" w:name="_Toc532375669"/>
      <w:bookmarkStart w:id="1422" w:name="_Toc532377408"/>
      <w:r>
        <w:rPr>
          <w:rFonts w:hint="eastAsia" w:ascii="宋体" w:hAnsi="宋体" w:eastAsia="宋体" w:cs="宋体"/>
          <w:color w:val="auto"/>
          <w:sz w:val="21"/>
          <w:szCs w:val="21"/>
          <w:highlight w:val="none"/>
        </w:rPr>
        <w:t>18. 保险</w:t>
      </w:r>
      <w:bookmarkEnd w:id="1420"/>
      <w:bookmarkEnd w:id="1421"/>
      <w:bookmarkEnd w:id="1422"/>
    </w:p>
    <w:p w14:paraId="4D798C0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23" w:name="_Toc532375670"/>
      <w:bookmarkStart w:id="1424" w:name="_Toc532377409"/>
      <w:r>
        <w:rPr>
          <w:rFonts w:hint="eastAsia" w:ascii="宋体" w:hAnsi="宋体" w:eastAsia="宋体" w:cs="宋体"/>
          <w:color w:val="auto"/>
          <w:sz w:val="21"/>
          <w:szCs w:val="21"/>
          <w:highlight w:val="none"/>
        </w:rPr>
        <w:t>18.1 工程保险</w:t>
      </w:r>
      <w:bookmarkEnd w:id="1423"/>
      <w:bookmarkEnd w:id="1424"/>
    </w:p>
    <w:p w14:paraId="121DBAE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关于工程保险的特别约定：发包人应投保</w:t>
      </w:r>
      <w:r>
        <w:rPr>
          <w:rFonts w:hint="eastAsia" w:ascii="宋体" w:hAnsi="宋体" w:eastAsia="宋体" w:cs="宋体"/>
          <w:color w:val="auto"/>
          <w:szCs w:val="21"/>
          <w:highlight w:val="none"/>
          <w:u w:val="single"/>
        </w:rPr>
        <w:t>建筑工程一切险或安装工程一切险</w:t>
      </w:r>
      <w:r>
        <w:rPr>
          <w:rFonts w:hint="eastAsia" w:ascii="宋体" w:hAnsi="宋体" w:eastAsia="宋体" w:cs="宋体"/>
          <w:color w:val="auto"/>
          <w:szCs w:val="21"/>
          <w:highlight w:val="none"/>
        </w:rPr>
        <w:t>；发包人委托承包人投保的，因投保产生的保险费和其他相关费用由发包人承担。</w:t>
      </w:r>
    </w:p>
    <w:p w14:paraId="1608F1BA">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25" w:name="_Toc532375671"/>
      <w:bookmarkStart w:id="1426" w:name="_Toc532377410"/>
      <w:r>
        <w:rPr>
          <w:rFonts w:hint="eastAsia" w:ascii="宋体" w:hAnsi="宋体" w:eastAsia="宋体" w:cs="宋体"/>
          <w:color w:val="auto"/>
          <w:sz w:val="21"/>
          <w:szCs w:val="21"/>
          <w:highlight w:val="none"/>
        </w:rPr>
        <w:t>18.3 其他保险</w:t>
      </w:r>
      <w:bookmarkEnd w:id="1425"/>
      <w:bookmarkEnd w:id="1426"/>
    </w:p>
    <w:p w14:paraId="71D29307">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781E75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E1645FE">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安全生产责任险：</w:t>
      </w:r>
      <w:r>
        <w:rPr>
          <w:rFonts w:hint="eastAsia" w:ascii="宋体" w:hAnsi="宋体" w:eastAsia="宋体" w:cs="宋体"/>
          <w:color w:val="auto"/>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eastAsia="宋体" w:cs="宋体"/>
          <w:color w:val="auto"/>
          <w:szCs w:val="21"/>
          <w:highlight w:val="none"/>
        </w:rPr>
        <w:t>。</w:t>
      </w:r>
    </w:p>
    <w:p w14:paraId="26F71A9A">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27" w:name="_Toc532377411"/>
      <w:bookmarkStart w:id="1428" w:name="_Toc532375672"/>
      <w:r>
        <w:rPr>
          <w:rFonts w:hint="eastAsia" w:ascii="宋体" w:hAnsi="宋体" w:eastAsia="宋体" w:cs="宋体"/>
          <w:color w:val="auto"/>
          <w:sz w:val="21"/>
          <w:szCs w:val="21"/>
          <w:highlight w:val="none"/>
        </w:rPr>
        <w:t>18.7 通知义务</w:t>
      </w:r>
      <w:bookmarkEnd w:id="1427"/>
      <w:bookmarkEnd w:id="1428"/>
    </w:p>
    <w:p w14:paraId="41E5DD4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关于变更保险合同时的通知义务的约定：</w:t>
      </w:r>
      <w:r>
        <w:rPr>
          <w:rFonts w:hint="eastAsia" w:ascii="宋体" w:hAnsi="宋体" w:eastAsia="宋体" w:cs="宋体"/>
          <w:color w:val="auto"/>
          <w:szCs w:val="21"/>
          <w:highlight w:val="none"/>
          <w:u w:val="single"/>
        </w:rPr>
        <w:t>按通用合同条款执行</w:t>
      </w:r>
      <w:r>
        <w:rPr>
          <w:rFonts w:hint="eastAsia" w:ascii="宋体" w:hAnsi="宋体" w:eastAsia="宋体" w:cs="宋体"/>
          <w:color w:val="auto"/>
          <w:szCs w:val="21"/>
          <w:highlight w:val="none"/>
        </w:rPr>
        <w:t>。</w:t>
      </w:r>
    </w:p>
    <w:p w14:paraId="742DED0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29" w:name="_Toc532375673"/>
      <w:bookmarkStart w:id="1430" w:name="_Toc532377412"/>
      <w:r>
        <w:rPr>
          <w:rFonts w:hint="eastAsia" w:ascii="宋体" w:hAnsi="宋体" w:eastAsia="宋体" w:cs="宋体"/>
          <w:color w:val="auto"/>
          <w:sz w:val="21"/>
          <w:szCs w:val="21"/>
          <w:highlight w:val="none"/>
        </w:rPr>
        <w:t>18.8 其他</w:t>
      </w:r>
      <w:bookmarkEnd w:id="1429"/>
      <w:bookmarkEnd w:id="1430"/>
    </w:p>
    <w:p w14:paraId="233B0E8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18.8.1 工程开工日前，承包人向发包人提交各项生效的保险证据和保险单副本。未按本项约定提交的，每延后1天，承包人按500元/天支付违约金。</w:t>
      </w:r>
    </w:p>
    <w:p w14:paraId="5B57589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18.8.2 承包人保险赔偿金不足以补偿发包人损失时，</w:t>
      </w:r>
      <w:bookmarkStart w:id="1431" w:name="_Hlk524378346"/>
      <w:r>
        <w:rPr>
          <w:rFonts w:hint="eastAsia" w:ascii="宋体" w:hAnsi="宋体" w:eastAsia="宋体" w:cs="宋体"/>
          <w:color w:val="auto"/>
          <w:szCs w:val="21"/>
          <w:highlight w:val="none"/>
        </w:rPr>
        <w:t>差额由承包人负责补足</w:t>
      </w:r>
      <w:bookmarkEnd w:id="1431"/>
      <w:r>
        <w:rPr>
          <w:rFonts w:hint="eastAsia" w:ascii="宋体" w:hAnsi="宋体" w:eastAsia="宋体" w:cs="宋体"/>
          <w:color w:val="auto"/>
          <w:szCs w:val="21"/>
          <w:highlight w:val="none"/>
        </w:rPr>
        <w:t>。</w:t>
      </w:r>
    </w:p>
    <w:p w14:paraId="29CA19B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32" w:name="_Toc532377413"/>
      <w:bookmarkStart w:id="1433" w:name="_Toc532375674"/>
      <w:bookmarkStart w:id="1434" w:name="_Toc351203620"/>
      <w:bookmarkStart w:id="1435" w:name="_Toc337558835"/>
      <w:bookmarkStart w:id="1436" w:name="_Toc296503140"/>
      <w:bookmarkStart w:id="1437" w:name="_Toc296346641"/>
      <w:r>
        <w:rPr>
          <w:rFonts w:hint="eastAsia" w:ascii="宋体" w:hAnsi="宋体" w:eastAsia="宋体" w:cs="宋体"/>
          <w:color w:val="auto"/>
          <w:sz w:val="21"/>
          <w:szCs w:val="21"/>
          <w:highlight w:val="none"/>
        </w:rPr>
        <w:t>19. 索赔</w:t>
      </w:r>
      <w:bookmarkEnd w:id="1432"/>
      <w:bookmarkEnd w:id="1433"/>
      <w:bookmarkEnd w:id="1434"/>
    </w:p>
    <w:bookmarkEnd w:id="1435"/>
    <w:bookmarkEnd w:id="1436"/>
    <w:bookmarkEnd w:id="1437"/>
    <w:p w14:paraId="1996E79E">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38" w:name="_Toc532375675"/>
      <w:bookmarkStart w:id="1439" w:name="_Toc532377414"/>
      <w:bookmarkStart w:id="1440" w:name="_Toc296503141"/>
      <w:bookmarkStart w:id="1441" w:name="_Toc351203621"/>
      <w:bookmarkStart w:id="1442" w:name="_Toc337558836"/>
      <w:bookmarkStart w:id="1443" w:name="_Toc296346642"/>
      <w:r>
        <w:rPr>
          <w:rFonts w:hint="eastAsia" w:ascii="宋体" w:hAnsi="宋体" w:eastAsia="宋体" w:cs="宋体"/>
          <w:color w:val="auto"/>
          <w:sz w:val="21"/>
          <w:szCs w:val="21"/>
          <w:highlight w:val="none"/>
        </w:rPr>
        <w:t>19.1 承包人的索赔</w:t>
      </w:r>
      <w:bookmarkEnd w:id="1438"/>
      <w:bookmarkEnd w:id="1439"/>
    </w:p>
    <w:p w14:paraId="2488F273">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根据合同约定，承包人认为有权得到追加付款和（或）延长工期的，应按以下程序向发包人提出索赔：</w:t>
      </w:r>
    </w:p>
    <w:p w14:paraId="1C2B0314">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12DE90BC">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6743D4C4">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（3）索赔事件具有持续影响的，承包人应按监理人要求的合理时间间隔继续递交延续索赔通知，说明持续影响的实际情况和记录，列出累计的追加付款金额和（或）工期延长天数；</w:t>
      </w:r>
    </w:p>
    <w:p w14:paraId="65F33B28">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（4）在索赔事件影响结束后28天内，承包人应向监理人递交最终索赔报告，说明最终要求索赔的追加付款金额和（或）延长的工期，并附必要的记录和证明材料。</w:t>
      </w:r>
    </w:p>
    <w:p w14:paraId="55D5DEE2">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22F32A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44" w:name="_Toc532377415"/>
      <w:bookmarkStart w:id="1445" w:name="_Toc532375676"/>
      <w:r>
        <w:rPr>
          <w:rFonts w:hint="eastAsia" w:ascii="宋体" w:hAnsi="宋体" w:eastAsia="宋体" w:cs="宋体"/>
          <w:color w:val="auto"/>
          <w:sz w:val="21"/>
          <w:szCs w:val="21"/>
          <w:highlight w:val="none"/>
        </w:rPr>
        <w:t>19.2 对承包人索赔的处理</w:t>
      </w:r>
      <w:bookmarkEnd w:id="1444"/>
      <w:bookmarkEnd w:id="1445"/>
    </w:p>
    <w:p w14:paraId="2E681CD5">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对承包人索赔的处理如下：</w:t>
      </w:r>
    </w:p>
    <w:p w14:paraId="0E37187A">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eastAsia="宋体" w:cs="宋体"/>
          <w:color w:val="auto"/>
          <w:szCs w:val="21"/>
          <w:highlight w:val="none"/>
        </w:rPr>
        <w:t>；</w:t>
      </w:r>
    </w:p>
    <w:p w14:paraId="0B66EA25">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eastAsia="宋体" w:cs="宋体"/>
          <w:color w:val="auto"/>
          <w:szCs w:val="21"/>
          <w:highlight w:val="none"/>
        </w:rPr>
        <w:t>；</w:t>
      </w:r>
    </w:p>
    <w:p w14:paraId="50756907">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（3）承包人接受索赔处理结果的，索赔款项在当期进度款中进行支付；承包人不接受索赔处理结果的，按照第20条〔争议解决〕约定处理</w:t>
      </w:r>
      <w:r>
        <w:rPr>
          <w:rFonts w:hint="eastAsia" w:ascii="宋体" w:hAnsi="宋体" w:eastAsia="宋体" w:cs="宋体"/>
          <w:color w:val="auto"/>
          <w:szCs w:val="21"/>
          <w:highlight w:val="none"/>
        </w:rPr>
        <w:t>；</w:t>
      </w:r>
    </w:p>
    <w:p w14:paraId="1125B98F">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（4）工期延误的关键线路按照经监理人、发包人审批同意的施工组织设计计算</w:t>
      </w:r>
      <w:r>
        <w:rPr>
          <w:rFonts w:hint="eastAsia" w:ascii="宋体" w:hAnsi="宋体" w:eastAsia="宋体" w:cs="宋体"/>
          <w:color w:val="auto"/>
          <w:szCs w:val="21"/>
          <w:highlight w:val="none"/>
        </w:rPr>
        <w:t>。</w:t>
      </w:r>
    </w:p>
    <w:p w14:paraId="462205E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46" w:name="_Toc532375677"/>
      <w:bookmarkStart w:id="1447" w:name="_Toc532377416"/>
      <w:r>
        <w:rPr>
          <w:rFonts w:hint="eastAsia" w:ascii="宋体" w:hAnsi="宋体" w:eastAsia="宋体" w:cs="宋体"/>
          <w:color w:val="auto"/>
          <w:sz w:val="21"/>
          <w:szCs w:val="21"/>
          <w:highlight w:val="none"/>
        </w:rPr>
        <w:t>19.3发包人的索赔</w:t>
      </w:r>
      <w:bookmarkEnd w:id="1446"/>
      <w:bookmarkEnd w:id="1447"/>
    </w:p>
    <w:p w14:paraId="290667AB">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根据合同约定，发包人认为有权得到赔付金额和（或）延长缺陷责任期的，监理人应向承包人发出通知并附有详细的证明。</w:t>
      </w:r>
    </w:p>
    <w:p w14:paraId="62DCCCDB">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448" w:name="_Hlk528652769"/>
      <w:r>
        <w:rPr>
          <w:rFonts w:hint="eastAsia" w:ascii="宋体" w:hAnsi="宋体" w:eastAsia="宋体" w:cs="宋体"/>
          <w:color w:val="auto"/>
          <w:szCs w:val="21"/>
          <w:highlight w:val="none"/>
        </w:rPr>
        <w:t>通过监理人向承包人正式递交最终索赔报告</w:t>
      </w:r>
      <w:bookmarkEnd w:id="1448"/>
      <w:r>
        <w:rPr>
          <w:rFonts w:hint="eastAsia" w:ascii="宋体" w:hAnsi="宋体" w:eastAsia="宋体" w:cs="宋体"/>
          <w:color w:val="auto"/>
          <w:szCs w:val="21"/>
          <w:highlight w:val="none"/>
        </w:rPr>
        <w:t>。</w:t>
      </w:r>
    </w:p>
    <w:p w14:paraId="2316C5C8">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49" w:name="_Toc532377417"/>
      <w:bookmarkStart w:id="1450" w:name="_Toc532375678"/>
      <w:r>
        <w:rPr>
          <w:rFonts w:hint="eastAsia" w:ascii="宋体" w:hAnsi="宋体" w:eastAsia="宋体" w:cs="宋体"/>
          <w:color w:val="auto"/>
          <w:sz w:val="21"/>
          <w:szCs w:val="21"/>
          <w:highlight w:val="none"/>
        </w:rPr>
        <w:t>19.4 对发包人索赔的处理</w:t>
      </w:r>
      <w:bookmarkEnd w:id="1449"/>
      <w:bookmarkEnd w:id="1450"/>
    </w:p>
    <w:p w14:paraId="28A38A35">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对发包人索赔的处理如下：</w:t>
      </w:r>
    </w:p>
    <w:p w14:paraId="46388D3B">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（1）承包人收到发包人提交的索赔报告后，应及时审查索赔报告的内容、查验发包人证明材料；</w:t>
      </w:r>
    </w:p>
    <w:p w14:paraId="24A3ADD3">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0B128C4">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0DDB8229">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51" w:name="_Toc532377418"/>
      <w:bookmarkStart w:id="1452" w:name="_Toc532375679"/>
      <w:bookmarkStart w:id="1453" w:name="_Hlk528928420"/>
      <w:r>
        <w:rPr>
          <w:rFonts w:hint="eastAsia" w:ascii="宋体" w:hAnsi="宋体" w:eastAsia="宋体" w:cs="宋体"/>
          <w:color w:val="auto"/>
          <w:sz w:val="21"/>
          <w:szCs w:val="21"/>
          <w:highlight w:val="none"/>
        </w:rPr>
        <w:t>19.5 提出索赔的期限</w:t>
      </w:r>
      <w:bookmarkEnd w:id="1451"/>
      <w:bookmarkEnd w:id="1452"/>
    </w:p>
    <w:p w14:paraId="42CFBFB7">
      <w:pPr>
        <w:wordWrap/>
        <w:autoSpaceDE w:val="0"/>
        <w:autoSpaceDN w:val="0"/>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bookmarkStart w:id="1454" w:name="_Hlk524298376"/>
      <w:r>
        <w:rPr>
          <w:rFonts w:hint="eastAsia" w:ascii="宋体" w:hAnsi="宋体" w:eastAsia="宋体" w:cs="宋体"/>
          <w:color w:val="auto"/>
          <w:szCs w:val="21"/>
          <w:highlight w:val="none"/>
        </w:rPr>
        <w:t>任一索赔事件发生后28天内，承包人/发包人未向对方发出索赔意向通知书的，视为其已放弃索赔权，无权再就该索赔事项提出任何索赔。</w:t>
      </w:r>
    </w:p>
    <w:bookmarkEnd w:id="1440"/>
    <w:bookmarkEnd w:id="1441"/>
    <w:bookmarkEnd w:id="1442"/>
    <w:bookmarkEnd w:id="1443"/>
    <w:bookmarkEnd w:id="1453"/>
    <w:bookmarkEnd w:id="1454"/>
    <w:p w14:paraId="4ABF4625">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55" w:name="_Toc351203651"/>
      <w:bookmarkStart w:id="1456" w:name="_Toc532375680"/>
      <w:bookmarkStart w:id="1457" w:name="_Toc532377419"/>
      <w:r>
        <w:rPr>
          <w:rFonts w:hint="eastAsia" w:ascii="宋体" w:hAnsi="宋体" w:eastAsia="宋体" w:cs="宋体"/>
          <w:color w:val="auto"/>
          <w:sz w:val="21"/>
          <w:szCs w:val="21"/>
          <w:highlight w:val="none"/>
        </w:rPr>
        <w:t>20. 争议解决</w:t>
      </w:r>
      <w:bookmarkEnd w:id="1455"/>
      <w:bookmarkEnd w:id="1456"/>
      <w:bookmarkEnd w:id="1457"/>
    </w:p>
    <w:p w14:paraId="25EC3054">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58" w:name="_Toc532375681"/>
      <w:bookmarkStart w:id="1459" w:name="_Toc532377420"/>
      <w:r>
        <w:rPr>
          <w:rFonts w:hint="eastAsia" w:ascii="宋体" w:hAnsi="宋体" w:eastAsia="宋体" w:cs="宋体"/>
          <w:color w:val="auto"/>
          <w:sz w:val="21"/>
          <w:szCs w:val="21"/>
          <w:highlight w:val="none"/>
        </w:rPr>
        <w:t>20.3 争议评审</w:t>
      </w:r>
      <w:bookmarkEnd w:id="1458"/>
      <w:bookmarkEnd w:id="1459"/>
    </w:p>
    <w:p w14:paraId="017E5EF3">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C3E8FF">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60" w:name="_Toc532375682"/>
      <w:bookmarkStart w:id="1461" w:name="_Toc532377421"/>
      <w:r>
        <w:rPr>
          <w:rFonts w:hint="eastAsia" w:ascii="宋体" w:hAnsi="宋体" w:eastAsia="宋体" w:cs="宋体"/>
          <w:color w:val="auto"/>
          <w:sz w:val="21"/>
          <w:szCs w:val="21"/>
          <w:highlight w:val="none"/>
        </w:rPr>
        <w:t>20.4 仲裁或诉讼</w:t>
      </w:r>
      <w:bookmarkEnd w:id="1460"/>
      <w:bookmarkEnd w:id="1461"/>
    </w:p>
    <w:p w14:paraId="2369533A">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56647221">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77F1D505">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51CF03FA">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62" w:name="_Toc532377422"/>
      <w:bookmarkStart w:id="1463" w:name="_Toc532375683"/>
      <w:r>
        <w:rPr>
          <w:rFonts w:hint="eastAsia" w:ascii="宋体" w:hAnsi="宋体" w:eastAsia="宋体" w:cs="宋体"/>
          <w:color w:val="auto"/>
          <w:sz w:val="21"/>
          <w:szCs w:val="21"/>
          <w:highlight w:val="none"/>
        </w:rPr>
        <w:t>21. 补充条款</w:t>
      </w:r>
      <w:bookmarkEnd w:id="1462"/>
      <w:bookmarkEnd w:id="1463"/>
    </w:p>
    <w:p w14:paraId="6C68C1D7">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64" w:name="_Toc532377423"/>
      <w:bookmarkStart w:id="1465" w:name="_Toc532375684"/>
      <w:r>
        <w:rPr>
          <w:rFonts w:hint="eastAsia" w:ascii="宋体" w:hAnsi="宋体" w:eastAsia="宋体" w:cs="宋体"/>
          <w:color w:val="auto"/>
          <w:sz w:val="21"/>
          <w:szCs w:val="21"/>
          <w:highlight w:val="none"/>
        </w:rPr>
        <w:t>21.1 退出机制</w:t>
      </w:r>
      <w:bookmarkEnd w:id="1464"/>
      <w:bookmarkEnd w:id="1465"/>
    </w:p>
    <w:p w14:paraId="15E6809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21.1.1有下列情形之一的，发包人有权解除合同，亦有权兑付履约担保，并对承包人做清退出场处理</w:t>
      </w:r>
      <w:r>
        <w:rPr>
          <w:rFonts w:hint="eastAsia" w:ascii="宋体" w:hAnsi="宋体" w:eastAsia="宋体" w:cs="宋体"/>
          <w:color w:val="auto"/>
          <w:kern w:val="0"/>
          <w:szCs w:val="21"/>
          <w:highlight w:val="none"/>
        </w:rPr>
        <w:t>：</w:t>
      </w:r>
    </w:p>
    <w:p w14:paraId="4FBD27A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（1）因承包人原因造成较大及以上等级生产安全事故或工程质量事故的；</w:t>
      </w:r>
    </w:p>
    <w:p w14:paraId="23375986">
      <w:pPr>
        <w:wordWrap/>
        <w:spacing w:beforeAutospacing="0" w:after="0" w:afterAutospacing="0" w:line="380" w:lineRule="exact"/>
        <w:ind w:right="105" w:rightChars="5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（2）因承包人债权债务纠纷或其他纠纷导致工程无法正常施工的。</w:t>
      </w:r>
    </w:p>
    <w:p w14:paraId="3247684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F103394">
      <w:pPr>
        <w:pStyle w:val="2"/>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21.1.2有下列情形之一的，承包人有权解除合同，并按16.1.4约定执行：</w:t>
      </w:r>
    </w:p>
    <w:p w14:paraId="332A75DE">
      <w:pPr>
        <w:pStyle w:val="2"/>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（1）因发包人征地、拆迁、补偿、审批手续等原因致使本工程延期开工超过90天的。</w:t>
      </w:r>
    </w:p>
    <w:p w14:paraId="1BB4865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F3D2320">
      <w:pPr>
        <w:pStyle w:val="7"/>
        <w:wordWrap/>
        <w:spacing w:before="0" w:beforeAutospacing="0" w:after="0" w:afterAutospacing="0" w:line="380" w:lineRule="exact"/>
        <w:ind w:firstLine="422" w:firstLineChars="200"/>
        <w:rPr>
          <w:rFonts w:hint="eastAsia" w:ascii="宋体" w:hAnsi="宋体" w:eastAsia="宋体" w:cs="宋体"/>
          <w:color w:val="auto"/>
          <w:sz w:val="21"/>
          <w:szCs w:val="21"/>
          <w:highlight w:val="none"/>
        </w:rPr>
      </w:pPr>
      <w:bookmarkStart w:id="1466" w:name="_Toc532375685"/>
      <w:bookmarkStart w:id="1467" w:name="_Toc532377424"/>
      <w:r>
        <w:rPr>
          <w:rFonts w:hint="eastAsia" w:ascii="宋体" w:hAnsi="宋体" w:eastAsia="宋体" w:cs="宋体"/>
          <w:color w:val="auto"/>
          <w:sz w:val="21"/>
          <w:szCs w:val="21"/>
          <w:highlight w:val="none"/>
        </w:rPr>
        <w:t>21.2智慧工地</w:t>
      </w:r>
      <w:bookmarkEnd w:id="1466"/>
      <w:bookmarkEnd w:id="1467"/>
    </w:p>
    <w:p w14:paraId="00B657C4">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工地建设可参照重庆市城乡建设委员会《关于印发“智慧工地”建设工作方案的通知》（渝建〔2017〕414号）的相关要求建设。</w:t>
      </w:r>
      <w:bookmarkEnd w:id="1408"/>
    </w:p>
    <w:p w14:paraId="704F9956">
      <w:pPr>
        <w:pStyle w:val="6"/>
        <w:wordWrap/>
        <w:spacing w:before="0" w:beforeAutospacing="0" w:after="0" w:afterAutospacing="0" w:line="380" w:lineRule="exact"/>
        <w:rPr>
          <w:rFonts w:hint="eastAsia" w:ascii="宋体" w:hAnsi="宋体" w:eastAsia="宋体" w:cs="宋体"/>
          <w:bCs/>
          <w:color w:val="auto"/>
          <w:sz w:val="21"/>
          <w:szCs w:val="21"/>
          <w:highlight w:val="none"/>
        </w:rPr>
      </w:pPr>
      <w:bookmarkStart w:id="1468" w:name="_Toc532375686"/>
      <w:bookmarkStart w:id="1469" w:name="_Toc532377425"/>
      <w:bookmarkStart w:id="1470" w:name="_Toc351203652"/>
      <w:r>
        <w:rPr>
          <w:rFonts w:hint="eastAsia" w:ascii="宋体" w:hAnsi="宋体" w:eastAsia="宋体" w:cs="宋体"/>
          <w:color w:val="auto"/>
          <w:sz w:val="21"/>
          <w:szCs w:val="21"/>
          <w:highlight w:val="none"/>
        </w:rPr>
        <w:t>22. 合同附件</w:t>
      </w:r>
      <w:bookmarkEnd w:id="1468"/>
      <w:bookmarkEnd w:id="1469"/>
    </w:p>
    <w:p w14:paraId="139C38DD">
      <w:pPr>
        <w:wordWrap/>
        <w:spacing w:beforeAutospacing="0" w:after="0" w:afterAutospacing="0" w:line="380" w:lineRule="exact"/>
        <w:ind w:right="105" w:rightChars="5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以下附件是本合同的有效组成部分：</w:t>
      </w:r>
    </w:p>
    <w:p w14:paraId="5861C71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附件1：工程质量保修书</w:t>
      </w:r>
    </w:p>
    <w:p w14:paraId="4D7F603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附件2：主要建设工程文件目录</w:t>
      </w:r>
    </w:p>
    <w:p w14:paraId="5185D752">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附件3：承包人项目管理机构组成表</w:t>
      </w:r>
    </w:p>
    <w:p w14:paraId="132F9DFD">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附件4：履约担保（如有）</w:t>
      </w:r>
    </w:p>
    <w:p w14:paraId="191371F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附件5：预付款担保（如有）</w:t>
      </w:r>
    </w:p>
    <w:p w14:paraId="723948D9">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附件6：支付担保（如有）</w:t>
      </w:r>
    </w:p>
    <w:p w14:paraId="4B2EB2C0">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附件7：专业工程暂估价表</w:t>
      </w:r>
    </w:p>
    <w:p w14:paraId="793C7568">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附件8：廉洁从业协议</w:t>
      </w:r>
    </w:p>
    <w:p w14:paraId="49762D2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附件9：安全管理协议</w:t>
      </w:r>
    </w:p>
    <w:p w14:paraId="43AB451B">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附件10：保障农民工工资支付协议</w:t>
      </w:r>
    </w:p>
    <w:p w14:paraId="3A6B380C">
      <w:pPr>
        <w:wordWrap/>
        <w:spacing w:beforeAutospacing="0" w:after="0" w:afterAutospacing="0" w:line="380" w:lineRule="exact"/>
        <w:ind w:right="105" w:rightChars="5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附件11：质量保证金保函（如有）</w:t>
      </w:r>
    </w:p>
    <w:bookmarkEnd w:id="1470"/>
    <w:p w14:paraId="065E09A2">
      <w:pPr>
        <w:wordWrap/>
        <w:spacing w:beforeAutospacing="0" w:after="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w:t>
      </w:r>
      <w:bookmarkStart w:id="1471" w:name="_Toc296347225"/>
      <w:bookmarkStart w:id="1472" w:name="_Toc267261693"/>
      <w:bookmarkStart w:id="1473" w:name="_Toc296891054"/>
      <w:bookmarkStart w:id="1474" w:name="_Toc296944565"/>
      <w:bookmarkStart w:id="1475" w:name="_Toc296346727"/>
      <w:bookmarkStart w:id="1476" w:name="_Toc296891266"/>
      <w:bookmarkStart w:id="1477" w:name="_Toc296503226"/>
      <w:r>
        <w:rPr>
          <w:rFonts w:hint="eastAsia" w:ascii="宋体" w:hAnsi="宋体" w:eastAsia="宋体" w:cs="宋体"/>
          <w:color w:val="auto"/>
          <w:szCs w:val="21"/>
          <w:highlight w:val="none"/>
        </w:rPr>
        <w:t>件1：</w:t>
      </w:r>
      <w:bookmarkEnd w:id="1471"/>
      <w:bookmarkEnd w:id="1472"/>
      <w:bookmarkEnd w:id="1473"/>
      <w:bookmarkEnd w:id="1474"/>
      <w:bookmarkEnd w:id="1475"/>
      <w:bookmarkEnd w:id="1476"/>
      <w:bookmarkEnd w:id="1477"/>
    </w:p>
    <w:p w14:paraId="51EFCF63">
      <w:pPr>
        <w:wordWrap/>
        <w:spacing w:beforeAutospacing="0" w:after="0" w:afterAutospacing="0"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w:t>
      </w:r>
    </w:p>
    <w:p w14:paraId="4EFF0281">
      <w:pPr>
        <w:wordWrap/>
        <w:snapToGrid w:val="0"/>
        <w:spacing w:beforeAutospacing="0" w:after="0" w:afterAutospacing="0" w:line="38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1A5FD130">
      <w:pPr>
        <w:wordWrap/>
        <w:snapToGrid w:val="0"/>
        <w:spacing w:beforeAutospacing="0" w:after="0" w:afterAutospacing="0" w:line="38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26F806F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发包人和承包人根据《中华人民共和国建筑法》和《建设工程质量管理条例》，经协商一致就</w:t>
      </w:r>
    </w:p>
    <w:p w14:paraId="61F5AC17">
      <w:pPr>
        <w:wordWrap/>
        <w:spacing w:beforeAutospacing="0" w:after="0" w:afterAutospacing="0"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（工程全称）签订工程质量保修书。</w:t>
      </w:r>
    </w:p>
    <w:p w14:paraId="58EE8C3F">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78" w:name="_Toc532375687"/>
      <w:r>
        <w:rPr>
          <w:rFonts w:hint="eastAsia" w:ascii="宋体" w:hAnsi="宋体" w:eastAsia="宋体" w:cs="宋体"/>
          <w:color w:val="auto"/>
          <w:szCs w:val="21"/>
          <w:highlight w:val="none"/>
        </w:rPr>
        <w:t>一、工程质量保修范围和内容</w:t>
      </w:r>
      <w:bookmarkEnd w:id="1478"/>
    </w:p>
    <w:p w14:paraId="66882A3A">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承包人在质量保修期内，按照有关法律规定和合同约定，承担工程质量保修责任。</w:t>
      </w:r>
    </w:p>
    <w:p w14:paraId="4190E061">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C1EEABA">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承包人承包范围内容均属质量保修范围内容；其中：</w:t>
      </w:r>
    </w:p>
    <w:p w14:paraId="0312E8E2">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1.属于设计原因造成的质量问题，承包人负责维修，不留隐患，费用由发包人承担；</w:t>
      </w:r>
    </w:p>
    <w:p w14:paraId="766E667F">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2.属于施工造成的质量问题，承包人负责维修，不留隐患；</w:t>
      </w:r>
    </w:p>
    <w:p w14:paraId="5ABFC3EA">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3.属于业主使用不当造成的质量问题，配合抢修，费用由发包人承担。</w:t>
      </w:r>
    </w:p>
    <w:p w14:paraId="1F4710AB">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79" w:name="_Toc532375688"/>
      <w:r>
        <w:rPr>
          <w:rFonts w:hint="eastAsia" w:ascii="宋体" w:hAnsi="宋体" w:eastAsia="宋体" w:cs="宋体"/>
          <w:color w:val="auto"/>
          <w:szCs w:val="21"/>
          <w:highlight w:val="none"/>
        </w:rPr>
        <w:t>二、质量保修期</w:t>
      </w:r>
      <w:bookmarkEnd w:id="1479"/>
    </w:p>
    <w:p w14:paraId="593C6F0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根据《建设工程质量管理条例》及有关规定，本工程质量保修期约定如下：</w:t>
      </w:r>
    </w:p>
    <w:p w14:paraId="5C57C597">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1.基础设施工程、房屋建筑的地基基础工程和主体结构工程，为设计文件规定的该工程的合理使用年限；</w:t>
      </w:r>
    </w:p>
    <w:p w14:paraId="0638332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2.屋面防水工程、有防水要求的卫生间、房间和外墙面的防渗漏，为5年；</w:t>
      </w:r>
    </w:p>
    <w:p w14:paraId="7BCB2D56">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3.供热与供冷系统，为2个采暖期、供冷期；</w:t>
      </w:r>
    </w:p>
    <w:p w14:paraId="3C19B05E">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4.电气管线、给排水管道、设备安装和装修工程，为2年；</w:t>
      </w:r>
    </w:p>
    <w:p w14:paraId="1F4CC2D1">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5.其他项目保修期限：2年；</w:t>
      </w:r>
      <w:r>
        <w:rPr>
          <w:rFonts w:hint="eastAsia" w:ascii="宋体" w:hAnsi="宋体" w:eastAsia="宋体" w:cs="宋体"/>
          <w:i/>
          <w:color w:val="auto"/>
          <w:szCs w:val="21"/>
          <w:highlight w:val="none"/>
        </w:rPr>
        <w:t>[提示：如有不同，根据具体情况修改]</w:t>
      </w:r>
    </w:p>
    <w:p w14:paraId="34C667E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建设工程的保修期，自工程竣工验收合格之日起计算。</w:t>
      </w:r>
    </w:p>
    <w:p w14:paraId="51762713">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80" w:name="_Toc532375689"/>
      <w:r>
        <w:rPr>
          <w:rFonts w:hint="eastAsia" w:ascii="宋体" w:hAnsi="宋体" w:eastAsia="宋体" w:cs="宋体"/>
          <w:color w:val="auto"/>
          <w:szCs w:val="21"/>
          <w:highlight w:val="none"/>
        </w:rPr>
        <w:t>三、质量保修责任</w:t>
      </w:r>
      <w:bookmarkEnd w:id="1480"/>
    </w:p>
    <w:p w14:paraId="2E523688">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1.属于保修范围、内容的项目，承包人应当在接到保修通知之日起7天内派人保修。承包人不在约定期限内派人保修的，发包人可以委托他人修理。</w:t>
      </w:r>
    </w:p>
    <w:p w14:paraId="20939D2D">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14:paraId="13565AA8">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76A150C">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14:paraId="357E1881">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81" w:name="_Toc532375690"/>
      <w:r>
        <w:rPr>
          <w:rFonts w:hint="eastAsia" w:ascii="宋体" w:hAnsi="宋体" w:eastAsia="宋体" w:cs="宋体"/>
          <w:color w:val="auto"/>
          <w:szCs w:val="21"/>
          <w:highlight w:val="none"/>
        </w:rPr>
        <w:t>四、保修费用</w:t>
      </w:r>
      <w:bookmarkEnd w:id="1481"/>
    </w:p>
    <w:p w14:paraId="688AD247">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保修费用由质量缺陷的责任方承担。</w:t>
      </w:r>
    </w:p>
    <w:p w14:paraId="34E4084F">
      <w:pPr>
        <w:wordWrap/>
        <w:spacing w:beforeAutospacing="0" w:after="0" w:afterAutospacing="0" w:line="380" w:lineRule="exact"/>
        <w:ind w:firstLine="420" w:firstLineChars="200"/>
        <w:rPr>
          <w:rFonts w:hint="eastAsia" w:ascii="宋体" w:hAnsi="宋体" w:eastAsia="宋体" w:cs="宋体"/>
          <w:color w:val="auto"/>
          <w:szCs w:val="21"/>
          <w:highlight w:val="none"/>
        </w:rPr>
      </w:pPr>
      <w:bookmarkStart w:id="1482" w:name="_Toc532375691"/>
      <w:r>
        <w:rPr>
          <w:rFonts w:hint="eastAsia" w:ascii="宋体" w:hAnsi="宋体" w:eastAsia="宋体" w:cs="宋体"/>
          <w:color w:val="auto"/>
          <w:szCs w:val="21"/>
          <w:highlight w:val="none"/>
        </w:rPr>
        <w:t>五、双方约定的其他工程质量保修事项</w:t>
      </w:r>
    </w:p>
    <w:p w14:paraId="2CA2D113">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按国家相关法律和规定执行</w:t>
      </w:r>
      <w:r>
        <w:rPr>
          <w:rFonts w:hint="eastAsia" w:ascii="宋体" w:hAnsi="宋体" w:eastAsia="宋体" w:cs="宋体"/>
          <w:color w:val="auto"/>
          <w:szCs w:val="21"/>
          <w:highlight w:val="none"/>
        </w:rPr>
        <w:t>。</w:t>
      </w:r>
      <w:bookmarkEnd w:id="1482"/>
    </w:p>
    <w:p w14:paraId="4FD3609C">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本工程质量保修书由发包人、承包人在工程竣工验收前共同签署，作为施工合同附件，其有效期限至保修期满。</w:t>
      </w:r>
    </w:p>
    <w:p w14:paraId="6AAA5AC5">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六、本文件生效</w:t>
      </w:r>
    </w:p>
    <w:p w14:paraId="6DFB39F9">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本工程质量保修书经发包人与承包人盖章后生效。</w:t>
      </w:r>
    </w:p>
    <w:p w14:paraId="1BA5EA35">
      <w:pPr>
        <w:wordWrap/>
        <w:spacing w:beforeAutospacing="0" w:after="0" w:afterAutospacing="0" w:line="38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发包人：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（盖单位公章）</w:t>
      </w:r>
    </w:p>
    <w:p w14:paraId="00BEA6DD">
      <w:pPr>
        <w:wordWrap/>
        <w:spacing w:beforeAutospacing="0" w:after="0" w:afterAutospacing="0" w:line="38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（签名）</w:t>
      </w:r>
    </w:p>
    <w:p w14:paraId="4C1E2406">
      <w:pPr>
        <w:wordWrap/>
        <w:spacing w:beforeAutospacing="0" w:after="0" w:afterAutospacing="0"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承包人：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（盖单位公章）</w:t>
      </w:r>
    </w:p>
    <w:p w14:paraId="30AE72FB">
      <w:pPr>
        <w:wordWrap/>
        <w:spacing w:beforeAutospacing="0" w:after="0" w:afterAutospacing="0" w:line="38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Cs w:val="21"/>
          <w:highlight w:val="none"/>
        </w:rPr>
        <w:t>法定代表人或其委托代理人：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（签名）</w:t>
      </w:r>
    </w:p>
    <w:p w14:paraId="23A38199">
      <w:pPr>
        <w:wordWrap/>
        <w:spacing w:beforeAutospacing="0" w:after="0" w:afterAutospacing="0" w:line="380" w:lineRule="exact"/>
        <w:ind w:firstLine="418" w:firstLineChars="200"/>
        <w:rPr>
          <w:rFonts w:hint="eastAsia" w:ascii="宋体" w:hAnsi="宋体" w:eastAsia="宋体" w:cs="宋体"/>
          <w:snapToGrid w:val="0"/>
          <w:color w:val="auto"/>
          <w:spacing w:val="1"/>
          <w:w w:val="99"/>
          <w:kern w:val="0"/>
          <w:position w:val="-2"/>
          <w:szCs w:val="21"/>
          <w:highlight w:val="none"/>
        </w:rPr>
      </w:pPr>
    </w:p>
    <w:p w14:paraId="5E8FB997">
      <w:pPr>
        <w:spacing w:after="0" w:afterAutospacing="0"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签约时间：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56F68A24">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附件2：</w:t>
      </w:r>
    </w:p>
    <w:p w14:paraId="3A3F7BC8">
      <w:pPr>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主要建设工程文件目录</w:t>
      </w:r>
    </w:p>
    <w:tbl>
      <w:tblPr>
        <w:tblStyle w:val="4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5DE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18D487FB">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文件名称</w:t>
            </w:r>
          </w:p>
        </w:tc>
        <w:tc>
          <w:tcPr>
            <w:tcW w:w="1418" w:type="dxa"/>
            <w:vAlign w:val="center"/>
          </w:tcPr>
          <w:p w14:paraId="53683808">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套数</w:t>
            </w:r>
          </w:p>
        </w:tc>
        <w:tc>
          <w:tcPr>
            <w:tcW w:w="1418" w:type="dxa"/>
            <w:vAlign w:val="top"/>
          </w:tcPr>
          <w:p w14:paraId="6210A88C">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移交时间</w:t>
            </w:r>
          </w:p>
        </w:tc>
        <w:tc>
          <w:tcPr>
            <w:tcW w:w="2917" w:type="dxa"/>
            <w:vAlign w:val="top"/>
          </w:tcPr>
          <w:p w14:paraId="0FFD81F8">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责任人</w:t>
            </w:r>
          </w:p>
        </w:tc>
      </w:tr>
      <w:tr w14:paraId="551C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EE6F542">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C75073A">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39165261">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7190D9E2">
            <w:pPr>
              <w:spacing w:after="0" w:afterAutospacing="0" w:line="400" w:lineRule="exact"/>
              <w:ind w:firstLine="420" w:firstLineChars="200"/>
              <w:rPr>
                <w:rFonts w:hint="eastAsia" w:ascii="宋体" w:hAnsi="宋体" w:eastAsia="宋体" w:cs="宋体"/>
                <w:color w:val="auto"/>
                <w:szCs w:val="21"/>
                <w:highlight w:val="none"/>
              </w:rPr>
            </w:pPr>
          </w:p>
        </w:tc>
      </w:tr>
      <w:tr w14:paraId="3AAC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CE3FCBB">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18FA37C">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92924EF">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54043572">
            <w:pPr>
              <w:spacing w:after="0" w:afterAutospacing="0" w:line="400" w:lineRule="exact"/>
              <w:ind w:firstLine="420" w:firstLineChars="200"/>
              <w:rPr>
                <w:rFonts w:hint="eastAsia" w:ascii="宋体" w:hAnsi="宋体" w:eastAsia="宋体" w:cs="宋体"/>
                <w:color w:val="auto"/>
                <w:szCs w:val="21"/>
                <w:highlight w:val="none"/>
              </w:rPr>
            </w:pPr>
          </w:p>
        </w:tc>
      </w:tr>
      <w:tr w14:paraId="5BE9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B7D81D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1B9CC799">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3CC7D741">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1E86AF2C">
            <w:pPr>
              <w:spacing w:after="0" w:afterAutospacing="0" w:line="400" w:lineRule="exact"/>
              <w:ind w:firstLine="420" w:firstLineChars="200"/>
              <w:rPr>
                <w:rFonts w:hint="eastAsia" w:ascii="宋体" w:hAnsi="宋体" w:eastAsia="宋体" w:cs="宋体"/>
                <w:color w:val="auto"/>
                <w:szCs w:val="21"/>
                <w:highlight w:val="none"/>
              </w:rPr>
            </w:pPr>
          </w:p>
        </w:tc>
      </w:tr>
      <w:tr w14:paraId="2C92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01E30B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6FA143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79CC8581">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47791752">
            <w:pPr>
              <w:spacing w:after="0" w:afterAutospacing="0" w:line="400" w:lineRule="exact"/>
              <w:ind w:firstLine="420" w:firstLineChars="200"/>
              <w:rPr>
                <w:rFonts w:hint="eastAsia" w:ascii="宋体" w:hAnsi="宋体" w:eastAsia="宋体" w:cs="宋体"/>
                <w:color w:val="auto"/>
                <w:szCs w:val="21"/>
                <w:highlight w:val="none"/>
              </w:rPr>
            </w:pPr>
          </w:p>
        </w:tc>
      </w:tr>
      <w:tr w14:paraId="2191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C052667">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3F38DA24">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51615B22">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3FBE16F7">
            <w:pPr>
              <w:spacing w:after="0" w:afterAutospacing="0" w:line="400" w:lineRule="exact"/>
              <w:ind w:firstLine="420" w:firstLineChars="200"/>
              <w:rPr>
                <w:rFonts w:hint="eastAsia" w:ascii="宋体" w:hAnsi="宋体" w:eastAsia="宋体" w:cs="宋体"/>
                <w:color w:val="auto"/>
                <w:szCs w:val="21"/>
                <w:highlight w:val="none"/>
              </w:rPr>
            </w:pPr>
          </w:p>
        </w:tc>
      </w:tr>
      <w:tr w14:paraId="081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42E78B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10FCE2B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759C3FA5">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3BDAFA71">
            <w:pPr>
              <w:spacing w:after="0" w:afterAutospacing="0" w:line="400" w:lineRule="exact"/>
              <w:ind w:firstLine="420" w:firstLineChars="200"/>
              <w:rPr>
                <w:rFonts w:hint="eastAsia" w:ascii="宋体" w:hAnsi="宋体" w:eastAsia="宋体" w:cs="宋体"/>
                <w:color w:val="auto"/>
                <w:szCs w:val="21"/>
                <w:highlight w:val="none"/>
              </w:rPr>
            </w:pPr>
          </w:p>
        </w:tc>
      </w:tr>
      <w:tr w14:paraId="7DD5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A9E9DE2">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0929956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09A9BB06">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3DAF56D1">
            <w:pPr>
              <w:spacing w:after="0" w:afterAutospacing="0" w:line="400" w:lineRule="exact"/>
              <w:ind w:firstLine="420" w:firstLineChars="200"/>
              <w:rPr>
                <w:rFonts w:hint="eastAsia" w:ascii="宋体" w:hAnsi="宋体" w:eastAsia="宋体" w:cs="宋体"/>
                <w:color w:val="auto"/>
                <w:szCs w:val="21"/>
                <w:highlight w:val="none"/>
              </w:rPr>
            </w:pPr>
          </w:p>
        </w:tc>
      </w:tr>
      <w:tr w14:paraId="3735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199DEA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11FBB3F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47D88F45">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04FAEA54">
            <w:pPr>
              <w:spacing w:after="0" w:afterAutospacing="0" w:line="400" w:lineRule="exact"/>
              <w:ind w:firstLine="420" w:firstLineChars="200"/>
              <w:rPr>
                <w:rFonts w:hint="eastAsia" w:ascii="宋体" w:hAnsi="宋体" w:eastAsia="宋体" w:cs="宋体"/>
                <w:color w:val="auto"/>
                <w:szCs w:val="21"/>
                <w:highlight w:val="none"/>
              </w:rPr>
            </w:pPr>
          </w:p>
        </w:tc>
      </w:tr>
      <w:tr w14:paraId="1845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D98E29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9080A9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5316FBDC">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506E0A08">
            <w:pPr>
              <w:spacing w:after="0" w:afterAutospacing="0" w:line="400" w:lineRule="exact"/>
              <w:ind w:firstLine="420" w:firstLineChars="200"/>
              <w:rPr>
                <w:rFonts w:hint="eastAsia" w:ascii="宋体" w:hAnsi="宋体" w:eastAsia="宋体" w:cs="宋体"/>
                <w:color w:val="auto"/>
                <w:szCs w:val="21"/>
                <w:highlight w:val="none"/>
              </w:rPr>
            </w:pPr>
          </w:p>
        </w:tc>
      </w:tr>
      <w:tr w14:paraId="4E37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A1AC2E7">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196D8FCF">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35752AD4">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center"/>
          </w:tcPr>
          <w:p w14:paraId="742D5453">
            <w:pPr>
              <w:spacing w:after="0" w:afterAutospacing="0" w:line="400" w:lineRule="exact"/>
              <w:ind w:firstLine="420" w:firstLineChars="200"/>
              <w:rPr>
                <w:rFonts w:hint="eastAsia" w:ascii="宋体" w:hAnsi="宋体" w:eastAsia="宋体" w:cs="宋体"/>
                <w:color w:val="auto"/>
                <w:szCs w:val="21"/>
                <w:highlight w:val="none"/>
              </w:rPr>
            </w:pPr>
          </w:p>
        </w:tc>
      </w:tr>
      <w:tr w14:paraId="7A64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59B05A6">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6A2013CA">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77302339">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30D8C9F7">
            <w:pPr>
              <w:spacing w:after="0" w:afterAutospacing="0" w:line="400" w:lineRule="exact"/>
              <w:ind w:firstLine="420" w:firstLineChars="200"/>
              <w:rPr>
                <w:rFonts w:hint="eastAsia" w:ascii="宋体" w:hAnsi="宋体" w:eastAsia="宋体" w:cs="宋体"/>
                <w:color w:val="auto"/>
                <w:szCs w:val="21"/>
                <w:highlight w:val="none"/>
              </w:rPr>
            </w:pPr>
          </w:p>
        </w:tc>
      </w:tr>
      <w:tr w14:paraId="0DF8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13834165">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7D7EC83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087130D0">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4890711E">
            <w:pPr>
              <w:spacing w:after="0" w:afterAutospacing="0" w:line="400" w:lineRule="exact"/>
              <w:ind w:firstLine="420" w:firstLineChars="200"/>
              <w:rPr>
                <w:rFonts w:hint="eastAsia" w:ascii="宋体" w:hAnsi="宋体" w:eastAsia="宋体" w:cs="宋体"/>
                <w:color w:val="auto"/>
                <w:szCs w:val="21"/>
                <w:highlight w:val="none"/>
              </w:rPr>
            </w:pPr>
          </w:p>
        </w:tc>
      </w:tr>
      <w:tr w14:paraId="4242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D348F97">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5E61475">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61B2C82">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2945CB8E">
            <w:pPr>
              <w:spacing w:after="0" w:afterAutospacing="0" w:line="400" w:lineRule="exact"/>
              <w:ind w:firstLine="420" w:firstLineChars="200"/>
              <w:rPr>
                <w:rFonts w:hint="eastAsia" w:ascii="宋体" w:hAnsi="宋体" w:eastAsia="宋体" w:cs="宋体"/>
                <w:color w:val="auto"/>
                <w:szCs w:val="21"/>
                <w:highlight w:val="none"/>
              </w:rPr>
            </w:pPr>
          </w:p>
        </w:tc>
      </w:tr>
      <w:tr w14:paraId="01FA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4AE1DD8E">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5B7C2B18">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076C6D67">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647A4FC8">
            <w:pPr>
              <w:spacing w:after="0" w:afterAutospacing="0" w:line="400" w:lineRule="exact"/>
              <w:ind w:firstLine="420" w:firstLineChars="200"/>
              <w:rPr>
                <w:rFonts w:hint="eastAsia" w:ascii="宋体" w:hAnsi="宋体" w:eastAsia="宋体" w:cs="宋体"/>
                <w:color w:val="auto"/>
                <w:szCs w:val="21"/>
                <w:highlight w:val="none"/>
              </w:rPr>
            </w:pPr>
          </w:p>
        </w:tc>
      </w:tr>
      <w:tr w14:paraId="6C4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2F4EECCE">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AAF6E95">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3A34D7C9">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71C3D92D">
            <w:pPr>
              <w:spacing w:after="0" w:afterAutospacing="0" w:line="400" w:lineRule="exact"/>
              <w:ind w:firstLine="420" w:firstLineChars="200"/>
              <w:rPr>
                <w:rFonts w:hint="eastAsia" w:ascii="宋体" w:hAnsi="宋体" w:eastAsia="宋体" w:cs="宋体"/>
                <w:color w:val="auto"/>
                <w:szCs w:val="21"/>
                <w:highlight w:val="none"/>
              </w:rPr>
            </w:pPr>
          </w:p>
        </w:tc>
      </w:tr>
      <w:tr w14:paraId="2040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388F167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0FD48C82">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676725C6">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0C8D2EFB">
            <w:pPr>
              <w:spacing w:after="0" w:afterAutospacing="0" w:line="400" w:lineRule="exact"/>
              <w:ind w:firstLine="420" w:firstLineChars="200"/>
              <w:rPr>
                <w:rFonts w:hint="eastAsia" w:ascii="宋体" w:hAnsi="宋体" w:eastAsia="宋体" w:cs="宋体"/>
                <w:color w:val="auto"/>
                <w:szCs w:val="21"/>
                <w:highlight w:val="none"/>
              </w:rPr>
            </w:pPr>
          </w:p>
        </w:tc>
      </w:tr>
      <w:tr w14:paraId="1EAE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7708CAE3">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1B41427C">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229361F0">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16B52565">
            <w:pPr>
              <w:spacing w:after="0" w:afterAutospacing="0" w:line="400" w:lineRule="exact"/>
              <w:ind w:firstLine="420" w:firstLineChars="200"/>
              <w:rPr>
                <w:rFonts w:hint="eastAsia" w:ascii="宋体" w:hAnsi="宋体" w:eastAsia="宋体" w:cs="宋体"/>
                <w:color w:val="auto"/>
                <w:szCs w:val="21"/>
                <w:highlight w:val="none"/>
              </w:rPr>
            </w:pPr>
          </w:p>
        </w:tc>
      </w:tr>
      <w:tr w14:paraId="5FD4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top"/>
          </w:tcPr>
          <w:p w14:paraId="0D4BD012">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6450486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top"/>
          </w:tcPr>
          <w:p w14:paraId="570DAE05">
            <w:pPr>
              <w:spacing w:after="0" w:afterAutospacing="0" w:line="400" w:lineRule="exact"/>
              <w:ind w:firstLine="420" w:firstLineChars="200"/>
              <w:rPr>
                <w:rFonts w:hint="eastAsia" w:ascii="宋体" w:hAnsi="宋体" w:eastAsia="宋体" w:cs="宋体"/>
                <w:color w:val="auto"/>
                <w:szCs w:val="21"/>
                <w:highlight w:val="none"/>
              </w:rPr>
            </w:pPr>
          </w:p>
        </w:tc>
        <w:tc>
          <w:tcPr>
            <w:tcW w:w="2917" w:type="dxa"/>
            <w:vAlign w:val="top"/>
          </w:tcPr>
          <w:p w14:paraId="1D34EA85">
            <w:pPr>
              <w:spacing w:after="0" w:afterAutospacing="0" w:line="400" w:lineRule="exact"/>
              <w:ind w:firstLine="420" w:firstLineChars="200"/>
              <w:rPr>
                <w:rFonts w:hint="eastAsia" w:ascii="宋体" w:hAnsi="宋体" w:eastAsia="宋体" w:cs="宋体"/>
                <w:color w:val="auto"/>
                <w:szCs w:val="21"/>
                <w:highlight w:val="none"/>
              </w:rPr>
            </w:pPr>
          </w:p>
        </w:tc>
      </w:tr>
    </w:tbl>
    <w:p w14:paraId="5AD33BC7">
      <w:pPr>
        <w:spacing w:after="0" w:afterAutospacing="0" w:line="360" w:lineRule="auto"/>
        <w:ind w:firstLine="420" w:firstLineChars="200"/>
        <w:rPr>
          <w:rFonts w:hint="eastAsia" w:ascii="宋体" w:hAnsi="宋体" w:eastAsia="宋体" w:cs="宋体"/>
          <w:color w:val="auto"/>
          <w:szCs w:val="21"/>
          <w:highlight w:val="none"/>
        </w:rPr>
      </w:pPr>
    </w:p>
    <w:p w14:paraId="5DD90E4C">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w:t>
      </w:r>
      <w:bookmarkStart w:id="1483" w:name="_Toc296891056"/>
      <w:bookmarkStart w:id="1484" w:name="_Toc296891268"/>
      <w:bookmarkStart w:id="1485" w:name="_Toc296944567"/>
      <w:bookmarkStart w:id="1486" w:name="_Toc296503228"/>
      <w:bookmarkStart w:id="1487" w:name="_Toc267261699"/>
      <w:bookmarkStart w:id="1488" w:name="_Toc296346729"/>
      <w:bookmarkStart w:id="1489" w:name="_Toc296347227"/>
      <w:r>
        <w:rPr>
          <w:rFonts w:hint="eastAsia" w:ascii="宋体" w:hAnsi="宋体" w:eastAsia="宋体" w:cs="宋体"/>
          <w:color w:val="auto"/>
          <w:szCs w:val="21"/>
          <w:highlight w:val="none"/>
        </w:rPr>
        <w:t>件3：</w:t>
      </w:r>
    </w:p>
    <w:bookmarkEnd w:id="1483"/>
    <w:bookmarkEnd w:id="1484"/>
    <w:bookmarkEnd w:id="1485"/>
    <w:bookmarkEnd w:id="1486"/>
    <w:bookmarkEnd w:id="1487"/>
    <w:bookmarkEnd w:id="1488"/>
    <w:bookmarkEnd w:id="1489"/>
    <w:p w14:paraId="0A7E8F9F">
      <w:pPr>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承包人项目管理机构组成表</w:t>
      </w:r>
    </w:p>
    <w:tbl>
      <w:tblPr>
        <w:tblStyle w:val="4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630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037C091">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1418" w:type="dxa"/>
            <w:vAlign w:val="center"/>
          </w:tcPr>
          <w:p w14:paraId="71EC03C7">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34" w:type="dxa"/>
            <w:vAlign w:val="center"/>
          </w:tcPr>
          <w:p w14:paraId="14237E0E">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34" w:type="dxa"/>
            <w:vAlign w:val="center"/>
          </w:tcPr>
          <w:p w14:paraId="75B5E0C0">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4252" w:type="dxa"/>
            <w:vAlign w:val="center"/>
          </w:tcPr>
          <w:p w14:paraId="5BAEB817">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主要资历、经验及承担过的项目</w:t>
            </w:r>
          </w:p>
        </w:tc>
      </w:tr>
      <w:tr w14:paraId="64F4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2976D26F">
            <w:pPr>
              <w:spacing w:after="0" w:afterAutospacing="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一、总部人员</w:t>
            </w:r>
          </w:p>
        </w:tc>
      </w:tr>
      <w:tr w14:paraId="021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6964FB3">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项目主管</w:t>
            </w:r>
          </w:p>
        </w:tc>
        <w:tc>
          <w:tcPr>
            <w:tcW w:w="1418" w:type="dxa"/>
            <w:vAlign w:val="center"/>
          </w:tcPr>
          <w:p w14:paraId="1C87B8BC">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219AD8A">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EBC00AE">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EDA77D4">
            <w:pPr>
              <w:spacing w:after="0" w:afterAutospacing="0" w:line="400" w:lineRule="exact"/>
              <w:ind w:firstLine="420" w:firstLineChars="200"/>
              <w:rPr>
                <w:rFonts w:hint="eastAsia" w:ascii="宋体" w:hAnsi="宋体" w:eastAsia="宋体" w:cs="宋体"/>
                <w:color w:val="auto"/>
                <w:szCs w:val="21"/>
                <w:highlight w:val="none"/>
              </w:rPr>
            </w:pPr>
          </w:p>
        </w:tc>
      </w:tr>
      <w:tr w14:paraId="17D8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F553334">
            <w:pPr>
              <w:spacing w:after="0" w:afterAutospacing="0" w:line="400" w:lineRule="exact"/>
              <w:jc w:val="center"/>
              <w:rPr>
                <w:rFonts w:hint="eastAsia" w:ascii="宋体" w:hAnsi="宋体" w:eastAsia="宋体" w:cs="宋体"/>
                <w:color w:val="auto"/>
                <w:szCs w:val="21"/>
                <w:highlight w:val="none"/>
              </w:rPr>
            </w:pPr>
          </w:p>
        </w:tc>
        <w:tc>
          <w:tcPr>
            <w:tcW w:w="1418" w:type="dxa"/>
            <w:vAlign w:val="center"/>
          </w:tcPr>
          <w:p w14:paraId="7876D061">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5D18F97">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2AD35BD">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DE00709">
            <w:pPr>
              <w:spacing w:after="0" w:afterAutospacing="0" w:line="400" w:lineRule="exact"/>
              <w:ind w:firstLine="420" w:firstLineChars="200"/>
              <w:rPr>
                <w:rFonts w:hint="eastAsia" w:ascii="宋体" w:hAnsi="宋体" w:eastAsia="宋体" w:cs="宋体"/>
                <w:color w:val="auto"/>
                <w:szCs w:val="21"/>
                <w:highlight w:val="none"/>
              </w:rPr>
            </w:pPr>
          </w:p>
        </w:tc>
      </w:tr>
      <w:tr w14:paraId="2888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B94EBB9">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vAlign w:val="center"/>
          </w:tcPr>
          <w:p w14:paraId="7388738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3F3FCCB3">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73B50E5E">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E7C9448">
            <w:pPr>
              <w:spacing w:after="0" w:afterAutospacing="0" w:line="400" w:lineRule="exact"/>
              <w:ind w:firstLine="420" w:firstLineChars="200"/>
              <w:rPr>
                <w:rFonts w:hint="eastAsia" w:ascii="宋体" w:hAnsi="宋体" w:eastAsia="宋体" w:cs="宋体"/>
                <w:color w:val="auto"/>
                <w:szCs w:val="21"/>
                <w:highlight w:val="none"/>
              </w:rPr>
            </w:pPr>
          </w:p>
        </w:tc>
      </w:tr>
      <w:tr w14:paraId="0E20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5F58208">
            <w:pPr>
              <w:spacing w:after="0" w:afterAutospacing="0" w:line="400" w:lineRule="exact"/>
              <w:jc w:val="center"/>
              <w:rPr>
                <w:rFonts w:hint="eastAsia" w:ascii="宋体" w:hAnsi="宋体" w:eastAsia="宋体" w:cs="宋体"/>
                <w:color w:val="auto"/>
                <w:szCs w:val="21"/>
                <w:highlight w:val="none"/>
              </w:rPr>
            </w:pPr>
          </w:p>
        </w:tc>
        <w:tc>
          <w:tcPr>
            <w:tcW w:w="1418" w:type="dxa"/>
            <w:vAlign w:val="center"/>
          </w:tcPr>
          <w:p w14:paraId="46BC5DCC">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9087E09">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C3AEF94">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6644BF2">
            <w:pPr>
              <w:spacing w:after="0" w:afterAutospacing="0" w:line="400" w:lineRule="exact"/>
              <w:ind w:firstLine="420" w:firstLineChars="200"/>
              <w:rPr>
                <w:rFonts w:hint="eastAsia" w:ascii="宋体" w:hAnsi="宋体" w:eastAsia="宋体" w:cs="宋体"/>
                <w:color w:val="auto"/>
                <w:szCs w:val="21"/>
                <w:highlight w:val="none"/>
              </w:rPr>
            </w:pPr>
          </w:p>
        </w:tc>
      </w:tr>
      <w:tr w14:paraId="14D9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FC92073">
            <w:pPr>
              <w:spacing w:after="0" w:afterAutospacing="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二、现场人员</w:t>
            </w:r>
          </w:p>
        </w:tc>
      </w:tr>
      <w:tr w14:paraId="1129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EADE670">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1418" w:type="dxa"/>
            <w:vAlign w:val="center"/>
          </w:tcPr>
          <w:p w14:paraId="1969BD39">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E16D77D">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0DECD1A8">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765640B4">
            <w:pPr>
              <w:spacing w:after="0" w:afterAutospacing="0" w:line="400" w:lineRule="exact"/>
              <w:ind w:firstLine="420" w:firstLineChars="200"/>
              <w:rPr>
                <w:rFonts w:hint="eastAsia" w:ascii="宋体" w:hAnsi="宋体" w:eastAsia="宋体" w:cs="宋体"/>
                <w:color w:val="auto"/>
                <w:szCs w:val="21"/>
                <w:highlight w:val="none"/>
              </w:rPr>
            </w:pPr>
          </w:p>
        </w:tc>
      </w:tr>
      <w:tr w14:paraId="7B6B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3401343">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项目副经理</w:t>
            </w:r>
          </w:p>
        </w:tc>
        <w:tc>
          <w:tcPr>
            <w:tcW w:w="1418" w:type="dxa"/>
            <w:vAlign w:val="center"/>
          </w:tcPr>
          <w:p w14:paraId="7BFC9166">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0804376F">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4B92BE6">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FA64F4C">
            <w:pPr>
              <w:spacing w:after="0" w:afterAutospacing="0" w:line="400" w:lineRule="exact"/>
              <w:ind w:firstLine="420" w:firstLineChars="200"/>
              <w:rPr>
                <w:rFonts w:hint="eastAsia" w:ascii="宋体" w:hAnsi="宋体" w:eastAsia="宋体" w:cs="宋体"/>
                <w:color w:val="auto"/>
                <w:szCs w:val="21"/>
                <w:highlight w:val="none"/>
              </w:rPr>
            </w:pPr>
          </w:p>
        </w:tc>
      </w:tr>
      <w:tr w14:paraId="5D59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4DB84BE">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1418" w:type="dxa"/>
            <w:vAlign w:val="center"/>
          </w:tcPr>
          <w:p w14:paraId="1190345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C81F354">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521F2EB">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58BB4AC">
            <w:pPr>
              <w:spacing w:after="0" w:afterAutospacing="0" w:line="400" w:lineRule="exact"/>
              <w:ind w:firstLine="420" w:firstLineChars="200"/>
              <w:rPr>
                <w:rFonts w:hint="eastAsia" w:ascii="宋体" w:hAnsi="宋体" w:eastAsia="宋体" w:cs="宋体"/>
                <w:color w:val="auto"/>
                <w:szCs w:val="21"/>
                <w:highlight w:val="none"/>
              </w:rPr>
            </w:pPr>
          </w:p>
        </w:tc>
      </w:tr>
      <w:tr w14:paraId="2FFF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5636C0">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造价管理</w:t>
            </w:r>
          </w:p>
        </w:tc>
        <w:tc>
          <w:tcPr>
            <w:tcW w:w="1418" w:type="dxa"/>
            <w:vAlign w:val="center"/>
          </w:tcPr>
          <w:p w14:paraId="1CF2C8E3">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20CB1434">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95A6FB3">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5E7EC312">
            <w:pPr>
              <w:spacing w:after="0" w:afterAutospacing="0" w:line="400" w:lineRule="exact"/>
              <w:ind w:firstLine="420" w:firstLineChars="200"/>
              <w:rPr>
                <w:rFonts w:hint="eastAsia" w:ascii="宋体" w:hAnsi="宋体" w:eastAsia="宋体" w:cs="宋体"/>
                <w:color w:val="auto"/>
                <w:szCs w:val="21"/>
                <w:highlight w:val="none"/>
              </w:rPr>
            </w:pPr>
          </w:p>
        </w:tc>
      </w:tr>
      <w:tr w14:paraId="0FB0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4719687">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质量管理</w:t>
            </w:r>
          </w:p>
        </w:tc>
        <w:tc>
          <w:tcPr>
            <w:tcW w:w="1418" w:type="dxa"/>
            <w:vAlign w:val="center"/>
          </w:tcPr>
          <w:p w14:paraId="3E62655D">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8812E60">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D875F24">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F07D774">
            <w:pPr>
              <w:spacing w:after="0" w:afterAutospacing="0" w:line="400" w:lineRule="exact"/>
              <w:ind w:firstLine="420" w:firstLineChars="200"/>
              <w:rPr>
                <w:rFonts w:hint="eastAsia" w:ascii="宋体" w:hAnsi="宋体" w:eastAsia="宋体" w:cs="宋体"/>
                <w:color w:val="auto"/>
                <w:szCs w:val="21"/>
                <w:highlight w:val="none"/>
              </w:rPr>
            </w:pPr>
          </w:p>
        </w:tc>
      </w:tr>
      <w:tr w14:paraId="774E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29ECD65">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材料管理</w:t>
            </w:r>
          </w:p>
        </w:tc>
        <w:tc>
          <w:tcPr>
            <w:tcW w:w="1418" w:type="dxa"/>
            <w:vAlign w:val="center"/>
          </w:tcPr>
          <w:p w14:paraId="05456197">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28A8643E">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6780D007">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176466D5">
            <w:pPr>
              <w:spacing w:after="0" w:afterAutospacing="0" w:line="400" w:lineRule="exact"/>
              <w:ind w:firstLine="420" w:firstLineChars="200"/>
              <w:rPr>
                <w:rFonts w:hint="eastAsia" w:ascii="宋体" w:hAnsi="宋体" w:eastAsia="宋体" w:cs="宋体"/>
                <w:color w:val="auto"/>
                <w:szCs w:val="21"/>
                <w:highlight w:val="none"/>
              </w:rPr>
            </w:pPr>
          </w:p>
        </w:tc>
      </w:tr>
      <w:tr w14:paraId="1934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2F4467">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计划管理</w:t>
            </w:r>
          </w:p>
        </w:tc>
        <w:tc>
          <w:tcPr>
            <w:tcW w:w="1418" w:type="dxa"/>
            <w:vAlign w:val="center"/>
          </w:tcPr>
          <w:p w14:paraId="7EE3430F">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757D5C0A">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201D28F1">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0907FC59">
            <w:pPr>
              <w:spacing w:after="0" w:afterAutospacing="0" w:line="400" w:lineRule="exact"/>
              <w:ind w:firstLine="420" w:firstLineChars="200"/>
              <w:rPr>
                <w:rFonts w:hint="eastAsia" w:ascii="宋体" w:hAnsi="宋体" w:eastAsia="宋体" w:cs="宋体"/>
                <w:color w:val="auto"/>
                <w:szCs w:val="21"/>
                <w:highlight w:val="none"/>
              </w:rPr>
            </w:pPr>
          </w:p>
        </w:tc>
      </w:tr>
      <w:tr w14:paraId="4618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75277F">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w:t>
            </w:r>
          </w:p>
        </w:tc>
        <w:tc>
          <w:tcPr>
            <w:tcW w:w="1418" w:type="dxa"/>
            <w:vAlign w:val="center"/>
          </w:tcPr>
          <w:p w14:paraId="5292D3D6">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FF339E2">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0A1CFE0">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274EDA2C">
            <w:pPr>
              <w:spacing w:after="0" w:afterAutospacing="0" w:line="400" w:lineRule="exact"/>
              <w:ind w:firstLine="420" w:firstLineChars="200"/>
              <w:rPr>
                <w:rFonts w:hint="eastAsia" w:ascii="宋体" w:hAnsi="宋体" w:eastAsia="宋体" w:cs="宋体"/>
                <w:color w:val="auto"/>
                <w:szCs w:val="21"/>
                <w:highlight w:val="none"/>
              </w:rPr>
            </w:pPr>
          </w:p>
        </w:tc>
      </w:tr>
      <w:tr w14:paraId="716A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421F9EB">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其他人员</w:t>
            </w:r>
          </w:p>
        </w:tc>
        <w:tc>
          <w:tcPr>
            <w:tcW w:w="1418" w:type="dxa"/>
            <w:vAlign w:val="center"/>
          </w:tcPr>
          <w:p w14:paraId="09FDBAA4">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88DA26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484E60B">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2D3C375B">
            <w:pPr>
              <w:spacing w:after="0" w:afterAutospacing="0" w:line="400" w:lineRule="exact"/>
              <w:ind w:firstLine="420" w:firstLineChars="200"/>
              <w:rPr>
                <w:rFonts w:hint="eastAsia" w:ascii="宋体" w:hAnsi="宋体" w:eastAsia="宋体" w:cs="宋体"/>
                <w:color w:val="auto"/>
                <w:szCs w:val="21"/>
                <w:highlight w:val="none"/>
              </w:rPr>
            </w:pPr>
          </w:p>
        </w:tc>
      </w:tr>
      <w:tr w14:paraId="2A1A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F49DD8">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04C613B4">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25FA5B05">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0C6744C9">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886C947">
            <w:pPr>
              <w:spacing w:after="0" w:afterAutospacing="0" w:line="400" w:lineRule="exact"/>
              <w:ind w:firstLine="420" w:firstLineChars="200"/>
              <w:rPr>
                <w:rFonts w:hint="eastAsia" w:ascii="宋体" w:hAnsi="宋体" w:eastAsia="宋体" w:cs="宋体"/>
                <w:color w:val="auto"/>
                <w:szCs w:val="21"/>
                <w:highlight w:val="none"/>
              </w:rPr>
            </w:pPr>
          </w:p>
        </w:tc>
      </w:tr>
      <w:tr w14:paraId="7E32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94E024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0370107C">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4F82EC41">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047AE876">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6D87EBA8">
            <w:pPr>
              <w:spacing w:after="0" w:afterAutospacing="0" w:line="400" w:lineRule="exact"/>
              <w:ind w:firstLine="420" w:firstLineChars="200"/>
              <w:rPr>
                <w:rFonts w:hint="eastAsia" w:ascii="宋体" w:hAnsi="宋体" w:eastAsia="宋体" w:cs="宋体"/>
                <w:color w:val="auto"/>
                <w:szCs w:val="21"/>
                <w:highlight w:val="none"/>
              </w:rPr>
            </w:pPr>
          </w:p>
        </w:tc>
      </w:tr>
      <w:tr w14:paraId="5141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6660E6B0">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6CE873D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7F196167">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50FB5C3B">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7D4E8A1C">
            <w:pPr>
              <w:spacing w:after="0" w:afterAutospacing="0" w:line="400" w:lineRule="exact"/>
              <w:ind w:firstLine="420" w:firstLineChars="200"/>
              <w:rPr>
                <w:rFonts w:hint="eastAsia" w:ascii="宋体" w:hAnsi="宋体" w:eastAsia="宋体" w:cs="宋体"/>
                <w:color w:val="auto"/>
                <w:szCs w:val="21"/>
                <w:highlight w:val="none"/>
              </w:rPr>
            </w:pPr>
          </w:p>
        </w:tc>
      </w:tr>
      <w:tr w14:paraId="49A6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03E6E5FA">
            <w:pPr>
              <w:spacing w:after="0" w:afterAutospacing="0" w:line="400" w:lineRule="exact"/>
              <w:ind w:firstLine="420" w:firstLineChars="200"/>
              <w:rPr>
                <w:rFonts w:hint="eastAsia" w:ascii="宋体" w:hAnsi="宋体" w:eastAsia="宋体" w:cs="宋体"/>
                <w:color w:val="auto"/>
                <w:szCs w:val="21"/>
                <w:highlight w:val="none"/>
              </w:rPr>
            </w:pPr>
          </w:p>
        </w:tc>
        <w:tc>
          <w:tcPr>
            <w:tcW w:w="1418" w:type="dxa"/>
            <w:vAlign w:val="center"/>
          </w:tcPr>
          <w:p w14:paraId="75919406">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3B531628">
            <w:pPr>
              <w:spacing w:after="0" w:afterAutospacing="0" w:line="400" w:lineRule="exact"/>
              <w:ind w:firstLine="420" w:firstLineChars="200"/>
              <w:rPr>
                <w:rFonts w:hint="eastAsia" w:ascii="宋体" w:hAnsi="宋体" w:eastAsia="宋体" w:cs="宋体"/>
                <w:color w:val="auto"/>
                <w:szCs w:val="21"/>
                <w:highlight w:val="none"/>
              </w:rPr>
            </w:pPr>
          </w:p>
        </w:tc>
        <w:tc>
          <w:tcPr>
            <w:tcW w:w="1134" w:type="dxa"/>
            <w:vAlign w:val="center"/>
          </w:tcPr>
          <w:p w14:paraId="19592250">
            <w:pPr>
              <w:spacing w:after="0" w:afterAutospacing="0" w:line="400" w:lineRule="exact"/>
              <w:ind w:firstLine="420" w:firstLineChars="200"/>
              <w:rPr>
                <w:rFonts w:hint="eastAsia" w:ascii="宋体" w:hAnsi="宋体" w:eastAsia="宋体" w:cs="宋体"/>
                <w:color w:val="auto"/>
                <w:szCs w:val="21"/>
                <w:highlight w:val="none"/>
              </w:rPr>
            </w:pPr>
          </w:p>
        </w:tc>
        <w:tc>
          <w:tcPr>
            <w:tcW w:w="4252" w:type="dxa"/>
            <w:vAlign w:val="center"/>
          </w:tcPr>
          <w:p w14:paraId="330CED10">
            <w:pPr>
              <w:spacing w:after="0" w:afterAutospacing="0" w:line="400" w:lineRule="exact"/>
              <w:ind w:firstLine="420" w:firstLineChars="200"/>
              <w:rPr>
                <w:rFonts w:hint="eastAsia" w:ascii="宋体" w:hAnsi="宋体" w:eastAsia="宋体" w:cs="宋体"/>
                <w:color w:val="auto"/>
                <w:szCs w:val="21"/>
                <w:highlight w:val="none"/>
              </w:rPr>
            </w:pPr>
          </w:p>
        </w:tc>
      </w:tr>
    </w:tbl>
    <w:p w14:paraId="33E8504D">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bookmarkStart w:id="1490" w:name="_Toc267261701"/>
      <w:r>
        <w:rPr>
          <w:rFonts w:hint="eastAsia" w:ascii="宋体" w:hAnsi="宋体" w:eastAsia="宋体" w:cs="宋体"/>
          <w:color w:val="auto"/>
          <w:szCs w:val="21"/>
          <w:highlight w:val="none"/>
        </w:rPr>
        <w:t>附</w:t>
      </w:r>
      <w:bookmarkStart w:id="1491" w:name="_Toc296346732"/>
      <w:bookmarkStart w:id="1492" w:name="_Toc296503231"/>
      <w:bookmarkStart w:id="1493" w:name="_Toc296891059"/>
      <w:bookmarkStart w:id="1494" w:name="_Toc296944570"/>
      <w:bookmarkStart w:id="1495" w:name="_Toc296891271"/>
      <w:bookmarkStart w:id="1496" w:name="_Toc296347230"/>
      <w:r>
        <w:rPr>
          <w:rFonts w:hint="eastAsia" w:ascii="宋体" w:hAnsi="宋体" w:eastAsia="宋体" w:cs="宋体"/>
          <w:color w:val="auto"/>
          <w:szCs w:val="21"/>
          <w:highlight w:val="none"/>
        </w:rPr>
        <w:t>件4：履约担保（如有）</w:t>
      </w:r>
    </w:p>
    <w:bookmarkEnd w:id="1490"/>
    <w:bookmarkEnd w:id="1491"/>
    <w:bookmarkEnd w:id="1492"/>
    <w:bookmarkEnd w:id="1493"/>
    <w:bookmarkEnd w:id="1494"/>
    <w:bookmarkEnd w:id="1495"/>
    <w:bookmarkEnd w:id="1496"/>
    <w:p w14:paraId="6C38EEA2">
      <w:pPr>
        <w:spacing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履约保函示范文本</w:t>
      </w:r>
    </w:p>
    <w:p w14:paraId="0D5D478F">
      <w:pPr>
        <w:spacing w:after="0" w:afterAutospacing="0" w:line="360" w:lineRule="auto"/>
        <w:rPr>
          <w:rFonts w:hint="eastAsia" w:ascii="宋体" w:hAnsi="宋体" w:eastAsia="宋体" w:cs="宋体"/>
          <w:color w:val="auto"/>
          <w:szCs w:val="21"/>
          <w:highlight w:val="none"/>
        </w:rPr>
      </w:pPr>
    </w:p>
    <w:p w14:paraId="7682B30B">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w:t>
      </w:r>
    </w:p>
    <w:p w14:paraId="02A63F5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2A02E662">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w:t>
      </w:r>
    </w:p>
    <w:p w14:paraId="3199E22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3C5C353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p>
    <w:p w14:paraId="6455CD1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3E381054">
      <w:pPr>
        <w:spacing w:after="0" w:afterAutospacing="0" w:line="360" w:lineRule="auto"/>
        <w:rPr>
          <w:rFonts w:hint="eastAsia" w:ascii="宋体" w:hAnsi="宋体" w:eastAsia="宋体" w:cs="宋体"/>
          <w:color w:val="auto"/>
          <w:szCs w:val="21"/>
          <w:highlight w:val="none"/>
        </w:rPr>
      </w:pPr>
    </w:p>
    <w:p w14:paraId="50A3EDF8">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（受益人名称）：</w:t>
      </w:r>
    </w:p>
    <w:p w14:paraId="3C2CDD9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（以下简称“受益人”）与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（以下简称“申请人”）就工程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（以下简称“基础合同”）约定的义务，向贵方提供不可撤销、不可转让的见索即付保函（以下简称“本保函”）。</w:t>
      </w:r>
    </w:p>
    <w:p w14:paraId="2EE30D90">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一、本保函担保范围：承包人未按照基础合同的约定履行义务，应当向贵方承担的违约责任和赔偿因此造成的损失、利息、律师费、诉讼费用等实现债权的费用。</w:t>
      </w:r>
    </w:p>
    <w:p w14:paraId="20E007E7">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9BE9CD">
      <w:pPr>
        <w:spacing w:after="0" w:afterAutospacing="0"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三、</w:t>
      </w:r>
      <w:r>
        <w:rPr>
          <w:rFonts w:hint="eastAsia" w:ascii="宋体" w:hAnsi="宋体" w:eastAsia="宋体" w:cs="宋体"/>
          <w:color w:val="auto"/>
          <w:spacing w:val="6"/>
          <w:szCs w:val="21"/>
          <w:highlight w:val="none"/>
        </w:rPr>
        <w:t>本保函有效期自受益人与申请人签订的合同生效之日</w:t>
      </w:r>
      <w:r>
        <w:rPr>
          <w:rFonts w:hint="eastAsia" w:ascii="宋体" w:hAnsi="宋体" w:eastAsia="宋体" w:cs="宋体"/>
          <w:color w:val="auto"/>
          <w:szCs w:val="21"/>
          <w:highlight w:val="none"/>
        </w:rPr>
        <w:t>起至合同约定的工期截止日后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天，最迟不超过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3638CE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四、我方承诺，在收到受益人发来的书面索赔通知和本保函原件后的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个工作日内无条件支付至受益人指定账户，前述书面索赔通知即为付款要求之单据，且应满足以下要求：</w:t>
      </w:r>
    </w:p>
    <w:p w14:paraId="45437A4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（1）索赔通知到达的日期在本保函的有效期内；</w:t>
      </w:r>
    </w:p>
    <w:p w14:paraId="7BC85FD5">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7BC7034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（3）载明申请人违反合同义务的条款和内容；</w:t>
      </w:r>
    </w:p>
    <w:p w14:paraId="3E4A56F7">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（4）声明不存在合同文件约定或我国法律规定免除申请人或开立人支付责任的情形；</w:t>
      </w:r>
    </w:p>
    <w:p w14:paraId="0D8EF4E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（5）索赔通知应在本保函有效期内到达的地址是：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8C02450">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受益人发出的书面索赔通知应由其为鉴明受益人法定代表人（负责人）或授权代理人签名或盖个人名章并加盖公章。</w:t>
      </w:r>
    </w:p>
    <w:p w14:paraId="323223C7">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五、本保函项下的权利不得转让，不得设定担保。贵方未经我方书面同意转让本保函或其项下任何权利，对我方不发生法律效力。</w:t>
      </w:r>
    </w:p>
    <w:p w14:paraId="649B6AD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六、与本保函有关的基础合同不成立、不生效、无效、被撤销、被解除，不影响本保函的独立有效。</w:t>
      </w:r>
    </w:p>
    <w:p w14:paraId="40D672C1">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50292F4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8E8C140">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九、本保函自我方法定代表人或授权代表签名或盖个人名章并加盖公章或合同专用章之日起生效。</w:t>
      </w:r>
    </w:p>
    <w:p w14:paraId="19AA5E4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十、本保函在重庆市辖区范围内的核验地点：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；核验方式：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23DED4">
      <w:pPr>
        <w:spacing w:after="0" w:afterAutospacing="0" w:line="360" w:lineRule="auto"/>
        <w:rPr>
          <w:rFonts w:hint="eastAsia" w:ascii="宋体" w:hAnsi="宋体" w:eastAsia="宋体" w:cs="宋体"/>
          <w:color w:val="auto"/>
          <w:szCs w:val="21"/>
          <w:highlight w:val="none"/>
        </w:rPr>
      </w:pPr>
    </w:p>
    <w:p w14:paraId="70F9CEB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 立 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0A8756BB">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（签名或盖个人名章）</w:t>
      </w:r>
    </w:p>
    <w:p w14:paraId="6F459DA3">
      <w:pPr>
        <w:spacing w:after="0" w:afterAutospacing="0"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4229FB15">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150E055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0B799504">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131EE3E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开立时间：    年    月    日</w:t>
      </w:r>
    </w:p>
    <w:p w14:paraId="1E302858">
      <w:pPr>
        <w:widowControl/>
        <w:spacing w:after="0" w:afterAutospacing="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E5BBE7C">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bookmarkStart w:id="1497" w:name="_Toc296503232"/>
      <w:bookmarkStart w:id="1498" w:name="_Toc296346733"/>
      <w:bookmarkStart w:id="1499" w:name="_Toc296347231"/>
      <w:bookmarkStart w:id="1500" w:name="_Toc267261702"/>
      <w:bookmarkStart w:id="1501" w:name="_Toc296891272"/>
      <w:bookmarkStart w:id="1502" w:name="_Toc296891060"/>
      <w:bookmarkStart w:id="1503" w:name="_Toc296944571"/>
      <w:r>
        <w:rPr>
          <w:rFonts w:hint="eastAsia" w:ascii="宋体" w:hAnsi="宋体" w:eastAsia="宋体" w:cs="宋体"/>
          <w:color w:val="auto"/>
          <w:szCs w:val="21"/>
          <w:highlight w:val="none"/>
        </w:rPr>
        <w:t>件5：</w:t>
      </w:r>
    </w:p>
    <w:bookmarkEnd w:id="1497"/>
    <w:bookmarkEnd w:id="1498"/>
    <w:bookmarkEnd w:id="1499"/>
    <w:bookmarkEnd w:id="1500"/>
    <w:bookmarkEnd w:id="1501"/>
    <w:bookmarkEnd w:id="1502"/>
    <w:bookmarkEnd w:id="1503"/>
    <w:p w14:paraId="6ABF8724">
      <w:pPr>
        <w:widowControl w:val="0"/>
        <w:wordWrap/>
        <w:adjustRightInd/>
        <w:snapToGrid/>
        <w:spacing w:after="0" w:afterAutospacing="0"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预付款担保（如有）</w:t>
      </w:r>
    </w:p>
    <w:p w14:paraId="4BE4C00A">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（发包人名称）：</w:t>
      </w:r>
    </w:p>
    <w:p w14:paraId="31CD9912">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（承包人名称）（以下称“承包人”）与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（发包人名称）（以下简称“发包人”）于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0ECD9953">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F3FA156">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担保有效期自预付款支付给承包人起生效，至你方签发的进度款支付证书说明已完全扣清止。</w:t>
      </w:r>
    </w:p>
    <w:p w14:paraId="1058F9D9">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40303EA">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你方和承包人按合同约定变更合同时，我方承担本保函规定的义务不变。</w:t>
      </w:r>
    </w:p>
    <w:p w14:paraId="33D66A0F">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因本保函发生的纠纷，可由双方协商解决，协商不成的，按下列第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47588B51">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150F5DF0">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487A77BB">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本保函自我方法定代表人（或其委托代理人）签名并加盖单位公章之日起生效。</w:t>
      </w:r>
    </w:p>
    <w:p w14:paraId="1EDDD0BF">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6D3FACBB">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14:paraId="76E02B06">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27D4D0E0">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5C97189B">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1C44CF35">
      <w:pPr>
        <w:widowControl w:val="0"/>
        <w:wordWrap/>
        <w:adjustRightInd/>
        <w:snapToGrid/>
        <w:spacing w:after="0" w:afterAutospacing="0" w:line="336"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p>
    <w:p w14:paraId="1A6747C8">
      <w:pPr>
        <w:widowControl w:val="0"/>
        <w:wordWrap/>
        <w:adjustRightInd/>
        <w:snapToGrid/>
        <w:spacing w:after="0" w:afterAutospacing="0" w:line="336" w:lineRule="auto"/>
        <w:ind w:firstLine="420" w:firstLineChars="20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6B6C2EF">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w:t>
      </w:r>
      <w:bookmarkStart w:id="1504" w:name="_Toc296346734"/>
      <w:bookmarkStart w:id="1505" w:name="_Toc296891061"/>
      <w:bookmarkStart w:id="1506" w:name="_Toc296503233"/>
      <w:bookmarkStart w:id="1507" w:name="_Toc296347232"/>
      <w:bookmarkStart w:id="1508" w:name="_Toc296944572"/>
      <w:bookmarkStart w:id="1509" w:name="_Toc296891273"/>
      <w:r>
        <w:rPr>
          <w:rFonts w:hint="eastAsia" w:ascii="宋体" w:hAnsi="宋体" w:eastAsia="宋体" w:cs="宋体"/>
          <w:color w:val="auto"/>
          <w:szCs w:val="21"/>
          <w:highlight w:val="none"/>
        </w:rPr>
        <w:t>件6：</w:t>
      </w:r>
    </w:p>
    <w:bookmarkEnd w:id="1504"/>
    <w:bookmarkEnd w:id="1505"/>
    <w:bookmarkEnd w:id="1506"/>
    <w:bookmarkEnd w:id="1507"/>
    <w:bookmarkEnd w:id="1508"/>
    <w:bookmarkEnd w:id="1509"/>
    <w:p w14:paraId="78F066C2">
      <w:pPr>
        <w:spacing w:after="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支付担保（如有）</w:t>
      </w:r>
    </w:p>
    <w:p w14:paraId="79753B9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0E5E5F2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鉴于你方作为承包人已经与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（发包人名称）（以下称“发包人”）于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日签订了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（工程名称）《建设工程施工合同》（以下称“主合同”），应发包人的申请，我方愿就发包人履行主合同约定的工程款支付义务以保证的方式向你方提供如下担保：</w:t>
      </w:r>
    </w:p>
    <w:p w14:paraId="35EFEC9E">
      <w:pPr>
        <w:spacing w:after="0" w:afterAutospacing="0" w:line="360" w:lineRule="auto"/>
        <w:ind w:firstLine="420" w:firstLineChars="200"/>
        <w:rPr>
          <w:rFonts w:hint="eastAsia" w:ascii="宋体" w:hAnsi="宋体" w:eastAsia="宋体" w:cs="宋体"/>
          <w:color w:val="auto"/>
          <w:szCs w:val="21"/>
          <w:highlight w:val="none"/>
        </w:rPr>
      </w:pPr>
      <w:bookmarkStart w:id="1510" w:name="_Toc532375692"/>
      <w:r>
        <w:rPr>
          <w:rFonts w:hint="eastAsia" w:ascii="宋体" w:hAnsi="宋体" w:eastAsia="宋体" w:cs="宋体"/>
          <w:color w:val="auto"/>
          <w:szCs w:val="21"/>
          <w:highlight w:val="none"/>
        </w:rPr>
        <w:t>一、保证的范围及保证金额</w:t>
      </w:r>
      <w:bookmarkEnd w:id="1510"/>
    </w:p>
    <w:p w14:paraId="23AD6FB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我方的保证范围是主合同约定的工程款。</w:t>
      </w:r>
    </w:p>
    <w:p w14:paraId="00C8CC4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本保函所称主合同约定的工程款是指主合同约定的除工程质量保证金以外的合同价款。</w:t>
      </w:r>
    </w:p>
    <w:p w14:paraId="18186CD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我方保证的金额是主合同约定的工程款的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%，数额最高不超过人民币元（大写：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A695D31">
      <w:pPr>
        <w:spacing w:after="0" w:afterAutospacing="0" w:line="360" w:lineRule="auto"/>
        <w:ind w:firstLine="420" w:firstLineChars="200"/>
        <w:rPr>
          <w:rFonts w:hint="eastAsia" w:ascii="宋体" w:hAnsi="宋体" w:eastAsia="宋体" w:cs="宋体"/>
          <w:color w:val="auto"/>
          <w:szCs w:val="21"/>
          <w:highlight w:val="none"/>
        </w:rPr>
      </w:pPr>
      <w:bookmarkStart w:id="1511" w:name="_Toc532375693"/>
      <w:r>
        <w:rPr>
          <w:rFonts w:hint="eastAsia" w:ascii="宋体" w:hAnsi="宋体" w:eastAsia="宋体" w:cs="宋体"/>
          <w:color w:val="auto"/>
          <w:szCs w:val="21"/>
          <w:highlight w:val="none"/>
        </w:rPr>
        <w:t>二、保证的方式及保证期间</w:t>
      </w:r>
      <w:bookmarkEnd w:id="1511"/>
    </w:p>
    <w:p w14:paraId="505AA5A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我方保证的方式为：连带责任保证。</w:t>
      </w:r>
    </w:p>
    <w:p w14:paraId="609F1B2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我方保证的期间为：自合同生效之日起至主合同约定的工程款支付完毕之日后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p>
    <w:p w14:paraId="3781FD0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你方与发包人协议变更工程款支付日期的，经我方书面同意后，保证期间按照变更后的支付日期做相应调整。</w:t>
      </w:r>
    </w:p>
    <w:p w14:paraId="71C966C7">
      <w:pPr>
        <w:spacing w:after="0" w:afterAutospacing="0" w:line="360" w:lineRule="auto"/>
        <w:ind w:firstLine="420" w:firstLineChars="200"/>
        <w:rPr>
          <w:rFonts w:hint="eastAsia" w:ascii="宋体" w:hAnsi="宋体" w:eastAsia="宋体" w:cs="宋体"/>
          <w:color w:val="auto"/>
          <w:szCs w:val="21"/>
          <w:highlight w:val="none"/>
        </w:rPr>
      </w:pPr>
      <w:bookmarkStart w:id="1512" w:name="_Toc532375694"/>
      <w:r>
        <w:rPr>
          <w:rFonts w:hint="eastAsia" w:ascii="宋体" w:hAnsi="宋体" w:eastAsia="宋体" w:cs="宋体"/>
          <w:color w:val="auto"/>
          <w:szCs w:val="21"/>
          <w:highlight w:val="none"/>
        </w:rPr>
        <w:t>三、承担保证责任的形式</w:t>
      </w:r>
      <w:bookmarkEnd w:id="1512"/>
    </w:p>
    <w:p w14:paraId="7F5FFF2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我方承担保证责任的形式是代为支付。发包人未按主合同约定向你方支付工程款的，由我方在保证金额内代为支付。</w:t>
      </w:r>
    </w:p>
    <w:p w14:paraId="198B6691">
      <w:pPr>
        <w:spacing w:after="0" w:afterAutospacing="0" w:line="360" w:lineRule="auto"/>
        <w:ind w:firstLine="420" w:firstLineChars="200"/>
        <w:rPr>
          <w:rFonts w:hint="eastAsia" w:ascii="宋体" w:hAnsi="宋体" w:eastAsia="宋体" w:cs="宋体"/>
          <w:color w:val="auto"/>
          <w:szCs w:val="21"/>
          <w:highlight w:val="none"/>
        </w:rPr>
      </w:pPr>
      <w:bookmarkStart w:id="1513" w:name="_Toc532375695"/>
      <w:r>
        <w:rPr>
          <w:rFonts w:hint="eastAsia" w:ascii="宋体" w:hAnsi="宋体" w:eastAsia="宋体" w:cs="宋体"/>
          <w:color w:val="auto"/>
          <w:szCs w:val="21"/>
          <w:highlight w:val="none"/>
        </w:rPr>
        <w:t>四、代偿的安排</w:t>
      </w:r>
      <w:bookmarkEnd w:id="1513"/>
    </w:p>
    <w:p w14:paraId="1F20E732">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61A4F11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59F2D8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我方收到你方的书面索赔通知及相应的证明材料后７天内无条件支付。</w:t>
      </w:r>
    </w:p>
    <w:p w14:paraId="27DFC0E9">
      <w:pPr>
        <w:spacing w:after="0" w:afterAutospacing="0" w:line="360" w:lineRule="auto"/>
        <w:ind w:firstLine="420" w:firstLineChars="200"/>
        <w:rPr>
          <w:rFonts w:hint="eastAsia" w:ascii="宋体" w:hAnsi="宋体" w:eastAsia="宋体" w:cs="宋体"/>
          <w:color w:val="auto"/>
          <w:szCs w:val="21"/>
          <w:highlight w:val="none"/>
        </w:rPr>
      </w:pPr>
      <w:bookmarkStart w:id="1514" w:name="_Toc532375696"/>
      <w:r>
        <w:rPr>
          <w:rFonts w:hint="eastAsia" w:ascii="宋体" w:hAnsi="宋体" w:eastAsia="宋体" w:cs="宋体"/>
          <w:color w:val="auto"/>
          <w:szCs w:val="21"/>
          <w:highlight w:val="none"/>
        </w:rPr>
        <w:t>五、保证责任的解除</w:t>
      </w:r>
      <w:bookmarkEnd w:id="1514"/>
    </w:p>
    <w:p w14:paraId="008D5875">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在本保函承诺的保证期间内，你方未书面向我方主张保证责任的，自保证期间届满次日起，我方保证责任解除。</w:t>
      </w:r>
    </w:p>
    <w:p w14:paraId="671F3C9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发包人按主合同约定履行了工程款的全部支付义务的，自本保函承诺的保证期间届满次日起，我方保证责任解除。</w:t>
      </w:r>
    </w:p>
    <w:p w14:paraId="3B78996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我方按照本保函向你方履行保证责任所支付金额达到本保函保证金额时，自我方向你方支付（支付款项从我方账户划出）之日起，保证责任即解除。</w:t>
      </w:r>
    </w:p>
    <w:p w14:paraId="665AE28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按照法律法规的规定或出现应解除我方保证责任的其他情形的，我方在本保函项下的保证责任亦解除。</w:t>
      </w:r>
    </w:p>
    <w:p w14:paraId="6F2F1695">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我方解除保证责任后，你方应自我方保证责任解除之日起  个工作日内，将本保函原件返还我方。</w:t>
      </w:r>
    </w:p>
    <w:p w14:paraId="4926968C">
      <w:pPr>
        <w:spacing w:after="0" w:afterAutospacing="0" w:line="360" w:lineRule="auto"/>
        <w:ind w:firstLine="420" w:firstLineChars="200"/>
        <w:rPr>
          <w:rFonts w:hint="eastAsia" w:ascii="宋体" w:hAnsi="宋体" w:eastAsia="宋体" w:cs="宋体"/>
          <w:color w:val="auto"/>
          <w:szCs w:val="21"/>
          <w:highlight w:val="none"/>
        </w:rPr>
      </w:pPr>
      <w:bookmarkStart w:id="1515" w:name="_Toc532375697"/>
      <w:r>
        <w:rPr>
          <w:rFonts w:hint="eastAsia" w:ascii="宋体" w:hAnsi="宋体" w:eastAsia="宋体" w:cs="宋体"/>
          <w:color w:val="auto"/>
          <w:szCs w:val="21"/>
          <w:highlight w:val="none"/>
        </w:rPr>
        <w:t>六、免责条款</w:t>
      </w:r>
      <w:bookmarkEnd w:id="1515"/>
    </w:p>
    <w:p w14:paraId="39722A0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因你方违约致使发包人不能履行义务的，我方不承担保证责任。</w:t>
      </w:r>
    </w:p>
    <w:p w14:paraId="17ECF6D1">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依照法律法规的规定或你方与发包人的另行约定，免除发包人部分或全部义务的，我方亦免除其相应的保证责任。</w:t>
      </w:r>
    </w:p>
    <w:p w14:paraId="73BF6D2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58C375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因不可抗力造成发包人不能履行义务的，我方不承担保证责任。</w:t>
      </w:r>
    </w:p>
    <w:p w14:paraId="5F205942">
      <w:pPr>
        <w:spacing w:after="0" w:afterAutospacing="0" w:line="360" w:lineRule="auto"/>
        <w:ind w:firstLine="420" w:firstLineChars="200"/>
        <w:rPr>
          <w:rFonts w:hint="eastAsia" w:ascii="宋体" w:hAnsi="宋体" w:eastAsia="宋体" w:cs="宋体"/>
          <w:color w:val="auto"/>
          <w:szCs w:val="21"/>
          <w:highlight w:val="none"/>
        </w:rPr>
      </w:pPr>
      <w:bookmarkStart w:id="1516" w:name="_Toc532375698"/>
      <w:r>
        <w:rPr>
          <w:rFonts w:hint="eastAsia" w:ascii="宋体" w:hAnsi="宋体" w:eastAsia="宋体" w:cs="宋体"/>
          <w:color w:val="auto"/>
          <w:szCs w:val="21"/>
          <w:highlight w:val="none"/>
        </w:rPr>
        <w:t>七、争议解决</w:t>
      </w:r>
      <w:bookmarkEnd w:id="1516"/>
    </w:p>
    <w:p w14:paraId="1D72602B">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因本保函或本保函相关事项发生的纠纷，可由双方协商解决，协商不成的，按下列第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31E00E3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0E9604A4">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7AA7DB33">
      <w:pPr>
        <w:spacing w:after="0" w:afterAutospacing="0" w:line="360" w:lineRule="auto"/>
        <w:ind w:firstLine="420" w:firstLineChars="200"/>
        <w:rPr>
          <w:rFonts w:hint="eastAsia" w:ascii="宋体" w:hAnsi="宋体" w:eastAsia="宋体" w:cs="宋体"/>
          <w:color w:val="auto"/>
          <w:szCs w:val="21"/>
          <w:highlight w:val="none"/>
        </w:rPr>
      </w:pPr>
      <w:bookmarkStart w:id="1517" w:name="_Toc532375699"/>
      <w:r>
        <w:rPr>
          <w:rFonts w:hint="eastAsia" w:ascii="宋体" w:hAnsi="宋体" w:eastAsia="宋体" w:cs="宋体"/>
          <w:color w:val="auto"/>
          <w:szCs w:val="21"/>
          <w:highlight w:val="none"/>
        </w:rPr>
        <w:t>八、保函的生效</w:t>
      </w:r>
      <w:bookmarkEnd w:id="1517"/>
    </w:p>
    <w:p w14:paraId="26DE7916">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本保函自我方法定代表人（或其委托代理人）签名并加盖单位公章之日起生效。</w:t>
      </w:r>
    </w:p>
    <w:p w14:paraId="762DA4C3">
      <w:pPr>
        <w:spacing w:after="0" w:afterAutospacing="0" w:line="360" w:lineRule="auto"/>
        <w:ind w:firstLine="420" w:firstLineChars="200"/>
        <w:jc w:val="left"/>
        <w:rPr>
          <w:rFonts w:hint="eastAsia" w:ascii="宋体" w:hAnsi="宋体" w:eastAsia="宋体" w:cs="宋体"/>
          <w:color w:val="auto"/>
          <w:szCs w:val="21"/>
          <w:highlight w:val="none"/>
        </w:rPr>
      </w:pPr>
    </w:p>
    <w:p w14:paraId="474B57AC">
      <w:pPr>
        <w:spacing w:after="0" w:afterAutospacing="0" w:line="360" w:lineRule="auto"/>
        <w:ind w:firstLine="420" w:firstLineChars="200"/>
        <w:jc w:val="left"/>
        <w:rPr>
          <w:rFonts w:hint="eastAsia" w:ascii="宋体" w:hAnsi="宋体" w:eastAsia="宋体" w:cs="宋体"/>
          <w:color w:val="auto"/>
          <w:szCs w:val="21"/>
          <w:highlight w:val="none"/>
        </w:rPr>
      </w:pPr>
    </w:p>
    <w:p w14:paraId="6B70C8C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担保人：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55BFC6A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w:t>
      </w:r>
    </w:p>
    <w:p w14:paraId="43076BB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1126023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0D21B0F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p>
    <w:p w14:paraId="5F6C02B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B38945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br w:type="page"/>
      </w:r>
    </w:p>
    <w:p w14:paraId="05898E0E">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w:t>
      </w:r>
    </w:p>
    <w:p w14:paraId="548E1E11">
      <w:pPr>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专业工程暂估价表</w:t>
      </w:r>
    </w:p>
    <w:tbl>
      <w:tblPr>
        <w:tblStyle w:val="4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57F4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19EFBA60">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84" w:type="dxa"/>
            <w:vAlign w:val="top"/>
          </w:tcPr>
          <w:p w14:paraId="18366ACE">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专业工程名称</w:t>
            </w:r>
          </w:p>
        </w:tc>
        <w:tc>
          <w:tcPr>
            <w:tcW w:w="5103" w:type="dxa"/>
            <w:vAlign w:val="top"/>
          </w:tcPr>
          <w:p w14:paraId="7167EDC6">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工程内容</w:t>
            </w:r>
          </w:p>
        </w:tc>
        <w:tc>
          <w:tcPr>
            <w:tcW w:w="1560" w:type="dxa"/>
            <w:vAlign w:val="top"/>
          </w:tcPr>
          <w:p w14:paraId="4E7935B6">
            <w:pPr>
              <w:spacing w:after="0" w:afterAutospacing="0"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r>
      <w:tr w14:paraId="25CB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446BBB02">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1854A428">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13F65662">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2D903C45">
            <w:pPr>
              <w:spacing w:after="0" w:afterAutospacing="0" w:line="400" w:lineRule="exact"/>
              <w:ind w:firstLine="420" w:firstLineChars="200"/>
              <w:rPr>
                <w:rFonts w:hint="eastAsia" w:ascii="宋体" w:hAnsi="宋体" w:eastAsia="宋体" w:cs="宋体"/>
                <w:color w:val="auto"/>
                <w:szCs w:val="21"/>
                <w:highlight w:val="none"/>
              </w:rPr>
            </w:pPr>
          </w:p>
        </w:tc>
      </w:tr>
      <w:tr w14:paraId="7A7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63D6A25E">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30E13AFB">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33A8EEA0">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51A00535">
            <w:pPr>
              <w:spacing w:after="0" w:afterAutospacing="0" w:line="400" w:lineRule="exact"/>
              <w:ind w:firstLine="420" w:firstLineChars="200"/>
              <w:rPr>
                <w:rFonts w:hint="eastAsia" w:ascii="宋体" w:hAnsi="宋体" w:eastAsia="宋体" w:cs="宋体"/>
                <w:color w:val="auto"/>
                <w:szCs w:val="21"/>
                <w:highlight w:val="none"/>
              </w:rPr>
            </w:pPr>
          </w:p>
        </w:tc>
      </w:tr>
      <w:tr w14:paraId="1F54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53F881FB">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2D5ECAAA">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340C9DEF">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692EBA44">
            <w:pPr>
              <w:spacing w:after="0" w:afterAutospacing="0" w:line="400" w:lineRule="exact"/>
              <w:ind w:firstLine="420" w:firstLineChars="200"/>
              <w:rPr>
                <w:rFonts w:hint="eastAsia" w:ascii="宋体" w:hAnsi="宋体" w:eastAsia="宋体" w:cs="宋体"/>
                <w:color w:val="auto"/>
                <w:szCs w:val="21"/>
                <w:highlight w:val="none"/>
              </w:rPr>
            </w:pPr>
          </w:p>
        </w:tc>
      </w:tr>
      <w:tr w14:paraId="1B16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710E07D">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22D20F44">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3E36ED7E">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4C05E1F7">
            <w:pPr>
              <w:spacing w:after="0" w:afterAutospacing="0" w:line="400" w:lineRule="exact"/>
              <w:ind w:firstLine="420" w:firstLineChars="200"/>
              <w:rPr>
                <w:rFonts w:hint="eastAsia" w:ascii="宋体" w:hAnsi="宋体" w:eastAsia="宋体" w:cs="宋体"/>
                <w:color w:val="auto"/>
                <w:szCs w:val="21"/>
                <w:highlight w:val="none"/>
              </w:rPr>
            </w:pPr>
          </w:p>
        </w:tc>
      </w:tr>
      <w:tr w14:paraId="5594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6C533C2A">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09293D4B">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70EFE644">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7B42683F">
            <w:pPr>
              <w:spacing w:after="0" w:afterAutospacing="0" w:line="400" w:lineRule="exact"/>
              <w:ind w:firstLine="420" w:firstLineChars="200"/>
              <w:rPr>
                <w:rFonts w:hint="eastAsia" w:ascii="宋体" w:hAnsi="宋体" w:eastAsia="宋体" w:cs="宋体"/>
                <w:color w:val="auto"/>
                <w:szCs w:val="21"/>
                <w:highlight w:val="none"/>
              </w:rPr>
            </w:pPr>
          </w:p>
        </w:tc>
      </w:tr>
      <w:tr w14:paraId="7161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FED8401">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6C6642C2">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53DC797">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1C94D564">
            <w:pPr>
              <w:spacing w:after="0" w:afterAutospacing="0" w:line="400" w:lineRule="exact"/>
              <w:ind w:firstLine="420" w:firstLineChars="200"/>
              <w:rPr>
                <w:rFonts w:hint="eastAsia" w:ascii="宋体" w:hAnsi="宋体" w:eastAsia="宋体" w:cs="宋体"/>
                <w:color w:val="auto"/>
                <w:szCs w:val="21"/>
                <w:highlight w:val="none"/>
              </w:rPr>
            </w:pPr>
          </w:p>
        </w:tc>
      </w:tr>
      <w:tr w14:paraId="12AA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7F064DC3">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42CE7F08">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8862D75">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7887A178">
            <w:pPr>
              <w:spacing w:after="0" w:afterAutospacing="0" w:line="400" w:lineRule="exact"/>
              <w:ind w:firstLine="420" w:firstLineChars="200"/>
              <w:rPr>
                <w:rFonts w:hint="eastAsia" w:ascii="宋体" w:hAnsi="宋体" w:eastAsia="宋体" w:cs="宋体"/>
                <w:color w:val="auto"/>
                <w:szCs w:val="21"/>
                <w:highlight w:val="none"/>
              </w:rPr>
            </w:pPr>
          </w:p>
        </w:tc>
      </w:tr>
      <w:tr w14:paraId="2E4C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4D61E7B4">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7E09D78D">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0FF1A9DA">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1AD2F615">
            <w:pPr>
              <w:spacing w:after="0" w:afterAutospacing="0" w:line="400" w:lineRule="exact"/>
              <w:ind w:firstLine="420" w:firstLineChars="200"/>
              <w:rPr>
                <w:rFonts w:hint="eastAsia" w:ascii="宋体" w:hAnsi="宋体" w:eastAsia="宋体" w:cs="宋体"/>
                <w:color w:val="auto"/>
                <w:szCs w:val="21"/>
                <w:highlight w:val="none"/>
              </w:rPr>
            </w:pPr>
          </w:p>
        </w:tc>
      </w:tr>
      <w:tr w14:paraId="3D55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363B8F3D">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33AF9C8B">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0B04A5E6">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6AFF703C">
            <w:pPr>
              <w:spacing w:after="0" w:afterAutospacing="0" w:line="400" w:lineRule="exact"/>
              <w:ind w:firstLine="420" w:firstLineChars="200"/>
              <w:rPr>
                <w:rFonts w:hint="eastAsia" w:ascii="宋体" w:hAnsi="宋体" w:eastAsia="宋体" w:cs="宋体"/>
                <w:color w:val="auto"/>
                <w:szCs w:val="21"/>
                <w:highlight w:val="none"/>
              </w:rPr>
            </w:pPr>
          </w:p>
        </w:tc>
      </w:tr>
      <w:tr w14:paraId="6485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0E32C5AC">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6D5D2D2A">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78F33EDE">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352A8B64">
            <w:pPr>
              <w:spacing w:after="0" w:afterAutospacing="0" w:line="400" w:lineRule="exact"/>
              <w:ind w:firstLine="420" w:firstLineChars="200"/>
              <w:rPr>
                <w:rFonts w:hint="eastAsia" w:ascii="宋体" w:hAnsi="宋体" w:eastAsia="宋体" w:cs="宋体"/>
                <w:color w:val="auto"/>
                <w:szCs w:val="21"/>
                <w:highlight w:val="none"/>
              </w:rPr>
            </w:pPr>
          </w:p>
        </w:tc>
      </w:tr>
      <w:tr w14:paraId="0DA4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132432A5">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46039D3E">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606E9214">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5CAA3541">
            <w:pPr>
              <w:spacing w:after="0" w:afterAutospacing="0" w:line="400" w:lineRule="exact"/>
              <w:ind w:firstLine="420" w:firstLineChars="200"/>
              <w:rPr>
                <w:rFonts w:hint="eastAsia" w:ascii="宋体" w:hAnsi="宋体" w:eastAsia="宋体" w:cs="宋体"/>
                <w:color w:val="auto"/>
                <w:szCs w:val="21"/>
                <w:highlight w:val="none"/>
              </w:rPr>
            </w:pPr>
          </w:p>
        </w:tc>
      </w:tr>
      <w:tr w14:paraId="6C91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7F31EC8B">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450B63DE">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0B75C5CC">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0E6DE5A8">
            <w:pPr>
              <w:spacing w:after="0" w:afterAutospacing="0" w:line="400" w:lineRule="exact"/>
              <w:ind w:firstLine="420" w:firstLineChars="200"/>
              <w:rPr>
                <w:rFonts w:hint="eastAsia" w:ascii="宋体" w:hAnsi="宋体" w:eastAsia="宋体" w:cs="宋体"/>
                <w:color w:val="auto"/>
                <w:szCs w:val="21"/>
                <w:highlight w:val="none"/>
              </w:rPr>
            </w:pPr>
          </w:p>
        </w:tc>
      </w:tr>
      <w:tr w14:paraId="76F9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7FEBC899">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0606D0C4">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7DD2F6D0">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617D9363">
            <w:pPr>
              <w:spacing w:after="0" w:afterAutospacing="0" w:line="400" w:lineRule="exact"/>
              <w:ind w:firstLine="420" w:firstLineChars="200"/>
              <w:rPr>
                <w:rFonts w:hint="eastAsia" w:ascii="宋体" w:hAnsi="宋体" w:eastAsia="宋体" w:cs="宋体"/>
                <w:color w:val="auto"/>
                <w:szCs w:val="21"/>
                <w:highlight w:val="none"/>
              </w:rPr>
            </w:pPr>
          </w:p>
        </w:tc>
      </w:tr>
      <w:tr w14:paraId="3EB4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0D21AC26">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23187283">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7B1A415C">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7D688303">
            <w:pPr>
              <w:spacing w:after="0" w:afterAutospacing="0" w:line="400" w:lineRule="exact"/>
              <w:ind w:firstLine="420" w:firstLineChars="200"/>
              <w:rPr>
                <w:rFonts w:hint="eastAsia" w:ascii="宋体" w:hAnsi="宋体" w:eastAsia="宋体" w:cs="宋体"/>
                <w:color w:val="auto"/>
                <w:szCs w:val="21"/>
                <w:highlight w:val="none"/>
              </w:rPr>
            </w:pPr>
          </w:p>
        </w:tc>
      </w:tr>
      <w:tr w14:paraId="39A3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3188F6F0">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592AEB10">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1EF3F287">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4CF34A2E">
            <w:pPr>
              <w:spacing w:after="0" w:afterAutospacing="0" w:line="400" w:lineRule="exact"/>
              <w:ind w:firstLine="420" w:firstLineChars="200"/>
              <w:rPr>
                <w:rFonts w:hint="eastAsia" w:ascii="宋体" w:hAnsi="宋体" w:eastAsia="宋体" w:cs="宋体"/>
                <w:color w:val="auto"/>
                <w:szCs w:val="21"/>
                <w:highlight w:val="none"/>
              </w:rPr>
            </w:pPr>
          </w:p>
        </w:tc>
      </w:tr>
      <w:tr w14:paraId="24A1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725FF93">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3F1FF066">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C664200">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414180C4">
            <w:pPr>
              <w:spacing w:after="0" w:afterAutospacing="0" w:line="400" w:lineRule="exact"/>
              <w:ind w:firstLine="420" w:firstLineChars="200"/>
              <w:rPr>
                <w:rFonts w:hint="eastAsia" w:ascii="宋体" w:hAnsi="宋体" w:eastAsia="宋体" w:cs="宋体"/>
                <w:color w:val="auto"/>
                <w:szCs w:val="21"/>
                <w:highlight w:val="none"/>
              </w:rPr>
            </w:pPr>
          </w:p>
        </w:tc>
      </w:tr>
      <w:tr w14:paraId="41F1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6763333">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5D830B84">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6AF3723">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043F82B0">
            <w:pPr>
              <w:spacing w:after="0" w:afterAutospacing="0" w:line="400" w:lineRule="exact"/>
              <w:ind w:firstLine="420" w:firstLineChars="200"/>
              <w:rPr>
                <w:rFonts w:hint="eastAsia" w:ascii="宋体" w:hAnsi="宋体" w:eastAsia="宋体" w:cs="宋体"/>
                <w:color w:val="auto"/>
                <w:szCs w:val="21"/>
                <w:highlight w:val="none"/>
              </w:rPr>
            </w:pPr>
          </w:p>
        </w:tc>
      </w:tr>
      <w:tr w14:paraId="151A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6E57492E">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732A739C">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12B719BB">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6BF86D59">
            <w:pPr>
              <w:spacing w:after="0" w:afterAutospacing="0" w:line="400" w:lineRule="exact"/>
              <w:ind w:firstLine="420" w:firstLineChars="200"/>
              <w:rPr>
                <w:rFonts w:hint="eastAsia" w:ascii="宋体" w:hAnsi="宋体" w:eastAsia="宋体" w:cs="宋体"/>
                <w:color w:val="auto"/>
                <w:szCs w:val="21"/>
                <w:highlight w:val="none"/>
              </w:rPr>
            </w:pPr>
          </w:p>
        </w:tc>
      </w:tr>
      <w:tr w14:paraId="1EE9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28337621">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1158C94A">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55B4AE49">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599FB20F">
            <w:pPr>
              <w:spacing w:after="0" w:afterAutospacing="0" w:line="400" w:lineRule="exact"/>
              <w:ind w:firstLine="420" w:firstLineChars="200"/>
              <w:rPr>
                <w:rFonts w:hint="eastAsia" w:ascii="宋体" w:hAnsi="宋体" w:eastAsia="宋体" w:cs="宋体"/>
                <w:color w:val="auto"/>
                <w:szCs w:val="21"/>
                <w:highlight w:val="none"/>
              </w:rPr>
            </w:pPr>
          </w:p>
        </w:tc>
      </w:tr>
      <w:tr w14:paraId="616A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vAlign w:val="top"/>
          </w:tcPr>
          <w:p w14:paraId="035A5810">
            <w:pPr>
              <w:spacing w:after="0" w:afterAutospacing="0" w:line="400" w:lineRule="exact"/>
              <w:ind w:firstLine="420" w:firstLineChars="200"/>
              <w:rPr>
                <w:rFonts w:hint="eastAsia" w:ascii="宋体" w:hAnsi="宋体" w:eastAsia="宋体" w:cs="宋体"/>
                <w:color w:val="auto"/>
                <w:szCs w:val="21"/>
                <w:highlight w:val="none"/>
              </w:rPr>
            </w:pPr>
          </w:p>
        </w:tc>
        <w:tc>
          <w:tcPr>
            <w:tcW w:w="1984" w:type="dxa"/>
            <w:vAlign w:val="top"/>
          </w:tcPr>
          <w:p w14:paraId="58E13E27">
            <w:pPr>
              <w:spacing w:after="0" w:afterAutospacing="0" w:line="400" w:lineRule="exact"/>
              <w:ind w:firstLine="420" w:firstLineChars="200"/>
              <w:rPr>
                <w:rFonts w:hint="eastAsia" w:ascii="宋体" w:hAnsi="宋体" w:eastAsia="宋体" w:cs="宋体"/>
                <w:color w:val="auto"/>
                <w:szCs w:val="21"/>
                <w:highlight w:val="none"/>
              </w:rPr>
            </w:pPr>
          </w:p>
        </w:tc>
        <w:tc>
          <w:tcPr>
            <w:tcW w:w="5103" w:type="dxa"/>
            <w:vAlign w:val="top"/>
          </w:tcPr>
          <w:p w14:paraId="20301477">
            <w:pPr>
              <w:spacing w:after="0" w:afterAutospacing="0" w:line="400" w:lineRule="exact"/>
              <w:ind w:firstLine="420" w:firstLineChars="200"/>
              <w:rPr>
                <w:rFonts w:hint="eastAsia" w:ascii="宋体" w:hAnsi="宋体" w:eastAsia="宋体" w:cs="宋体"/>
                <w:color w:val="auto"/>
                <w:szCs w:val="21"/>
                <w:highlight w:val="none"/>
              </w:rPr>
            </w:pPr>
          </w:p>
        </w:tc>
        <w:tc>
          <w:tcPr>
            <w:tcW w:w="1560" w:type="dxa"/>
            <w:vAlign w:val="top"/>
          </w:tcPr>
          <w:p w14:paraId="3BCBCCCF">
            <w:pPr>
              <w:spacing w:after="0" w:afterAutospacing="0" w:line="400" w:lineRule="exact"/>
              <w:ind w:firstLine="420" w:firstLineChars="200"/>
              <w:rPr>
                <w:rFonts w:hint="eastAsia" w:ascii="宋体" w:hAnsi="宋体" w:eastAsia="宋体" w:cs="宋体"/>
                <w:color w:val="auto"/>
                <w:szCs w:val="21"/>
                <w:highlight w:val="none"/>
              </w:rPr>
            </w:pPr>
          </w:p>
        </w:tc>
      </w:tr>
      <w:tr w14:paraId="6B1C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vAlign w:val="top"/>
          </w:tcPr>
          <w:p w14:paraId="7FC5BDAD">
            <w:pPr>
              <w:spacing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r>
    </w:tbl>
    <w:p w14:paraId="3E6F04E4">
      <w:pPr>
        <w:spacing w:after="0" w:afterAutospacing="0"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4ABD371">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w:t>
      </w:r>
    </w:p>
    <w:p w14:paraId="644174D1">
      <w:pPr>
        <w:widowControl w:val="0"/>
        <w:wordWrap/>
        <w:adjustRightInd/>
        <w:spacing w:after="0" w:afterAutospacing="0" w:line="336"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廉洁从业协议</w:t>
      </w:r>
    </w:p>
    <w:p w14:paraId="17D67AA0">
      <w:pPr>
        <w:widowControl w:val="0"/>
        <w:wordWrap/>
        <w:adjustRightInd/>
        <w:snapToGrid w:val="0"/>
        <w:spacing w:after="0" w:afterAutospacing="0" w:line="336" w:lineRule="auto"/>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7184C8FE">
      <w:pPr>
        <w:widowControl w:val="0"/>
        <w:wordWrap/>
        <w:adjustRightInd/>
        <w:snapToGrid w:val="0"/>
        <w:spacing w:after="0" w:afterAutospacing="0" w:line="336" w:lineRule="auto"/>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32CDA6F2">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38DCA08">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 发包人承包人的权利和义务</w:t>
      </w:r>
    </w:p>
    <w:p w14:paraId="792F030C">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（1）严格遵守党的政策规定和国家有关法律法规及相关部门的有关规定。</w:t>
      </w:r>
    </w:p>
    <w:p w14:paraId="72816B87">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（2）严格执行 工程的合同文件，自觉按合同办事。</w:t>
      </w:r>
    </w:p>
    <w:p w14:paraId="2B52CE4F">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（3）双方的业务活动坚持公开、公正、诚信、透明的原则（法律认定的商业秘密和合同文件另有规定除外），不得损害国家和集体利益，违反工程建设管理规章制度。</w:t>
      </w:r>
    </w:p>
    <w:p w14:paraId="70853015">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（4）建立健全廉政制度，开展廉政教育，设立廉政告示牌，公布举报电话，监督并认真查处违法违纪行为。</w:t>
      </w:r>
    </w:p>
    <w:p w14:paraId="7B3BE0E3">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（5）发现对方在业务活动中有违反廉政规定的行为，有及时提醒对方纠正的权利和义务。</w:t>
      </w:r>
    </w:p>
    <w:p w14:paraId="3A9F9421">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（6）发现对方严重违反协议义务条款的行为，有向其上级有关部门举报、建议给予处理并要求告知处理结果的权利。</w:t>
      </w:r>
    </w:p>
    <w:p w14:paraId="639B52E2">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发包人的义务</w:t>
      </w:r>
    </w:p>
    <w:p w14:paraId="77A1AA40">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（1）发包人及其工作人员不得索要或接受承包人的礼金、有价证券和贵重物品，不得在承包人报销任何应由发包人或发包人工作人员个人支付的费用等。</w:t>
      </w:r>
    </w:p>
    <w:p w14:paraId="0AFF7B3A">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（2）发包人工作人员不得参加承包人安排的超标准宴请和娱乐活动；不得接受承包人提供的通讯工具、交通工具和高档办公用品等。</w:t>
      </w:r>
    </w:p>
    <w:p w14:paraId="3052CCFA">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（3）发包人及其工作人员不得要求或者接受承包人为其住房装修、婚丧嫁娶活动、配偶子女的工作安排以及出国出境、旅游等提供方便等。</w:t>
      </w:r>
    </w:p>
    <w:p w14:paraId="3AB3A1AD">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（4）发包人工作人员及其配偶、子女不得从事与发包人工程有关的材料设备供应、工程分包、劳务等经济活动等。</w:t>
      </w:r>
    </w:p>
    <w:p w14:paraId="0D901E2F">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（5）发包人及其工作人员不得以任何理由向承包人推荐分包单位或推销材料，不得要求承包人购买合同规定外的材料和设备。</w:t>
      </w:r>
    </w:p>
    <w:p w14:paraId="32C96E5A">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（6）发包人工作人员要秉公办事，不准营私舞弊，不准利用职权从事各种个人有偿中介活动和安排个人施工队伍。</w:t>
      </w:r>
    </w:p>
    <w:p w14:paraId="7E54BAAE">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承包人义务</w:t>
      </w:r>
    </w:p>
    <w:p w14:paraId="086787D7">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（1）承包人不得以任何理由向发包人及其工作人员行贿或馈赠礼金、有价证券、贵重礼品。</w:t>
      </w:r>
    </w:p>
    <w:p w14:paraId="09C9C8F9">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（2）承包人不得以任何名义为发包人及其工作人员报销应由发包人单位或个人支付的任何费用。</w:t>
      </w:r>
    </w:p>
    <w:p w14:paraId="64DDE794">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（3）承包人不得以任何理由安排发包人工作人员参加超标准宴请及娱乐活动。</w:t>
      </w:r>
    </w:p>
    <w:p w14:paraId="586BE29F">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（4）承包人不得为发包人单位和个人购置或提供通讯工具、交通工具和高档办公用品等。</w:t>
      </w:r>
    </w:p>
    <w:p w14:paraId="0E0D3323">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违约责任</w:t>
      </w:r>
    </w:p>
    <w:p w14:paraId="20DFFA08">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5C6DBC22">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（2）承包人及其工作人员违反合同第1、3条，按管理权限，依据有关规定给予党纪、政纪或组织处理；给发包人单位造成经济损失的，应予以赔偿。</w:t>
      </w:r>
    </w:p>
    <w:p w14:paraId="019A7A69">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20F35E30">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协议有效期为甲乙双方签署之日起至该工程项目竣工验收后止。</w:t>
      </w:r>
    </w:p>
    <w:p w14:paraId="489069CD">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7.协议作为 工程施工合同的附件，与工程施工合同具有同等的法律效力，经合同双方签署立即生效。</w:t>
      </w:r>
    </w:p>
    <w:p w14:paraId="2770BBBE">
      <w:pPr>
        <w:widowControl w:val="0"/>
        <w:wordWrap/>
        <w:adjustRightInd/>
        <w:spacing w:after="0" w:afterAutospacing="0"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03FDF4CF">
      <w:pPr>
        <w:widowControl w:val="0"/>
        <w:wordWrap/>
        <w:adjustRightInd/>
        <w:spacing w:after="0" w:afterAutospacing="0"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     方：                         乙     方：</w:t>
      </w:r>
    </w:p>
    <w:p w14:paraId="372BA0F4">
      <w:pPr>
        <w:widowControl w:val="0"/>
        <w:wordWrap/>
        <w:adjustRightInd/>
        <w:spacing w:after="0" w:afterAutospacing="0" w:line="336" w:lineRule="auto"/>
        <w:textAlignment w:val="auto"/>
        <w:rPr>
          <w:rFonts w:hint="eastAsia" w:ascii="宋体" w:hAnsi="宋体" w:eastAsia="宋体" w:cs="宋体"/>
          <w:color w:val="auto"/>
          <w:szCs w:val="21"/>
          <w:highlight w:val="none"/>
        </w:rPr>
      </w:pPr>
    </w:p>
    <w:p w14:paraId="2D4AF910">
      <w:pPr>
        <w:widowControl w:val="0"/>
        <w:wordWrap/>
        <w:adjustRightInd/>
        <w:spacing w:after="0" w:afterAutospacing="0"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法定代表人                      </w:t>
      </w:r>
    </w:p>
    <w:p w14:paraId="0E1A9AFF">
      <w:pPr>
        <w:widowControl w:val="0"/>
        <w:wordWrap/>
        <w:adjustRightInd/>
        <w:spacing w:after="0" w:afterAutospacing="0"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或其授权的代理人：                  或授权的代理人：</w:t>
      </w:r>
    </w:p>
    <w:p w14:paraId="772B8516">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附件9：</w:t>
      </w:r>
    </w:p>
    <w:p w14:paraId="519F342E">
      <w:pPr>
        <w:spacing w:after="0" w:afterAutospacing="0" w:line="480" w:lineRule="auto"/>
        <w:jc w:val="center"/>
        <w:rPr>
          <w:rFonts w:hint="eastAsia" w:ascii="宋体" w:hAnsi="宋体" w:eastAsia="宋体" w:cs="宋体"/>
          <w:color w:val="auto"/>
          <w:szCs w:val="21"/>
          <w:highlight w:val="none"/>
        </w:rPr>
      </w:pPr>
      <w:bookmarkStart w:id="1518" w:name="_Toc435690184"/>
      <w:bookmarkStart w:id="1519" w:name="_Toc435689499"/>
      <w:bookmarkStart w:id="1520" w:name="_Toc239510288"/>
      <w:bookmarkStart w:id="1521" w:name="_Toc448406299"/>
      <w:bookmarkStart w:id="1522" w:name="_Toc247431422"/>
      <w:bookmarkStart w:id="1523" w:name="_Toc336680145"/>
      <w:r>
        <w:rPr>
          <w:rFonts w:hint="eastAsia" w:ascii="宋体" w:hAnsi="宋体" w:eastAsia="宋体" w:cs="宋体"/>
          <w:color w:val="auto"/>
          <w:szCs w:val="21"/>
          <w:highlight w:val="none"/>
        </w:rPr>
        <w:t>安全管理协议</w:t>
      </w:r>
      <w:bookmarkEnd w:id="1518"/>
      <w:bookmarkEnd w:id="1519"/>
      <w:bookmarkEnd w:id="1520"/>
      <w:bookmarkEnd w:id="1521"/>
      <w:bookmarkEnd w:id="1522"/>
      <w:bookmarkEnd w:id="1523"/>
    </w:p>
    <w:p w14:paraId="69A1548C">
      <w:pPr>
        <w:snapToGrid w:val="0"/>
        <w:spacing w:after="0" w:afterAutospacing="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14:paraId="0C6A11B2">
      <w:pPr>
        <w:snapToGrid w:val="0"/>
        <w:spacing w:after="0" w:afterAutospacing="0"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14:paraId="6C48B51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为了确保实现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安全生产目标，进一步明确双方的安全管理责任，加强安全生产管理工作的协调、管理力度，</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（以下简称“发包人”）与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36FBF15">
      <w:pPr>
        <w:spacing w:after="0" w:afterAutospacing="0" w:line="360" w:lineRule="auto"/>
        <w:ind w:firstLine="420" w:firstLineChars="200"/>
        <w:rPr>
          <w:rFonts w:hint="eastAsia" w:ascii="宋体" w:hAnsi="宋体" w:eastAsia="宋体" w:cs="宋体"/>
          <w:color w:val="auto"/>
          <w:szCs w:val="21"/>
          <w:highlight w:val="none"/>
        </w:rPr>
      </w:pPr>
      <w:bookmarkStart w:id="1524" w:name="_Toc532375700"/>
      <w:bookmarkStart w:id="1525" w:name="_Toc247431423"/>
      <w:bookmarkStart w:id="1526" w:name="_Toc239510289"/>
      <w:bookmarkStart w:id="1527" w:name="_Toc247418263"/>
      <w:r>
        <w:rPr>
          <w:rFonts w:hint="eastAsia" w:ascii="宋体" w:hAnsi="宋体" w:eastAsia="宋体" w:cs="宋体"/>
          <w:color w:val="auto"/>
          <w:szCs w:val="21"/>
          <w:highlight w:val="none"/>
        </w:rPr>
        <w:t>一、协议有效期限</w:t>
      </w:r>
      <w:bookmarkEnd w:id="1524"/>
      <w:bookmarkEnd w:id="1525"/>
      <w:bookmarkEnd w:id="1526"/>
      <w:bookmarkEnd w:id="1527"/>
    </w:p>
    <w:p w14:paraId="2409954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本协议中所涉及的安全管理责任自合同签订之日起开始生效，至合同工程全部完工验收且经发包人与承包人签订移交协议生效后之日终止。</w:t>
      </w:r>
    </w:p>
    <w:p w14:paraId="0AA8E0DE">
      <w:pPr>
        <w:spacing w:after="0" w:afterAutospacing="0" w:line="360" w:lineRule="auto"/>
        <w:ind w:firstLine="420" w:firstLineChars="200"/>
        <w:rPr>
          <w:rFonts w:hint="eastAsia" w:ascii="宋体" w:hAnsi="宋体" w:eastAsia="宋体" w:cs="宋体"/>
          <w:color w:val="auto"/>
          <w:szCs w:val="21"/>
          <w:highlight w:val="none"/>
        </w:rPr>
      </w:pPr>
      <w:bookmarkStart w:id="1528" w:name="_Toc532375701"/>
      <w:bookmarkStart w:id="1529" w:name="_Toc239510290"/>
      <w:bookmarkStart w:id="1530" w:name="_Toc247418264"/>
      <w:bookmarkStart w:id="1531" w:name="_Toc247431424"/>
      <w:r>
        <w:rPr>
          <w:rFonts w:hint="eastAsia" w:ascii="宋体" w:hAnsi="宋体" w:eastAsia="宋体" w:cs="宋体"/>
          <w:color w:val="auto"/>
          <w:szCs w:val="21"/>
          <w:highlight w:val="none"/>
        </w:rPr>
        <w:t>二、责任目标</w:t>
      </w:r>
      <w:bookmarkEnd w:id="1528"/>
      <w:bookmarkEnd w:id="1529"/>
      <w:bookmarkEnd w:id="1530"/>
      <w:bookmarkEnd w:id="1531"/>
    </w:p>
    <w:p w14:paraId="58C26B0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（一）承包人承诺承担和履行合同和发包人所规定的安全责任，且满足要求。</w:t>
      </w:r>
    </w:p>
    <w:p w14:paraId="24C1F15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（二）承包人的安全控制目标是确保本工程在实施过程中：</w:t>
      </w:r>
    </w:p>
    <w:p w14:paraId="073E07F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1．不发生人身重伤事故；</w:t>
      </w:r>
    </w:p>
    <w:p w14:paraId="59C3C44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2．不发生火灾事故；</w:t>
      </w:r>
    </w:p>
    <w:p w14:paraId="520DD90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3．不发生负有同等及以上事故责任的造成人身重伤的一般交通事故；</w:t>
      </w:r>
    </w:p>
    <w:p w14:paraId="34D82AB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4．不发生集体食物中毒事件（同时5人及以上的食物中毒）；</w:t>
      </w:r>
    </w:p>
    <w:p w14:paraId="583485AC">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5．不发生流行性传染病 （无甲型传染病、其他常见传染病未形成多人同时患病）；</w:t>
      </w:r>
    </w:p>
    <w:p w14:paraId="796C528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6．不发生重大环境污染事件（生活、工业垃圾及其他污染物造成环境污染和大面积水土流失）；</w:t>
      </w:r>
    </w:p>
    <w:p w14:paraId="6C0B167C">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7．不发生对施工区附近生产、生活造成重大影响的事件（如造成重大设备损坏、重大财产损失、人员伤害等）；</w:t>
      </w:r>
    </w:p>
    <w:p w14:paraId="4FC613D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8．不发生治安保卫事件（构成刑事拘留及以上的事件、盗窃直接损失超过1万元人民币的事件）。</w:t>
      </w:r>
    </w:p>
    <w:p w14:paraId="506107A7">
      <w:pPr>
        <w:spacing w:after="0" w:afterAutospacing="0" w:line="360" w:lineRule="auto"/>
        <w:ind w:firstLine="420" w:firstLineChars="200"/>
        <w:jc w:val="left"/>
        <w:rPr>
          <w:rFonts w:hint="eastAsia" w:ascii="宋体" w:hAnsi="宋体" w:eastAsia="宋体" w:cs="宋体"/>
          <w:color w:val="auto"/>
          <w:szCs w:val="21"/>
          <w:highlight w:val="none"/>
        </w:rPr>
      </w:pPr>
      <w:bookmarkStart w:id="1532" w:name="_Toc239510291"/>
      <w:bookmarkStart w:id="1533" w:name="_Toc247431425"/>
      <w:bookmarkStart w:id="1534" w:name="_Toc247418265"/>
      <w:r>
        <w:rPr>
          <w:rFonts w:hint="eastAsia" w:ascii="宋体" w:hAnsi="宋体" w:eastAsia="宋体" w:cs="宋体"/>
          <w:color w:val="auto"/>
          <w:szCs w:val="21"/>
          <w:highlight w:val="none"/>
        </w:rPr>
        <w:t>（三）承包人承诺在施工中控制以下安全事故的发生：</w:t>
      </w:r>
      <w:bookmarkEnd w:id="1532"/>
      <w:bookmarkEnd w:id="1533"/>
      <w:bookmarkEnd w:id="1534"/>
    </w:p>
    <w:p w14:paraId="562D91A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1．人员轻伤事故。</w:t>
      </w:r>
    </w:p>
    <w:p w14:paraId="14C8AF7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2．负有同等及以上事故责任的人身轻伤交通事故。</w:t>
      </w:r>
    </w:p>
    <w:p w14:paraId="694598F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3．其他安全未遂事故和异常事件。</w:t>
      </w:r>
    </w:p>
    <w:p w14:paraId="1AD02877">
      <w:pPr>
        <w:spacing w:after="0" w:afterAutospacing="0" w:line="360" w:lineRule="auto"/>
        <w:ind w:firstLine="420" w:firstLineChars="200"/>
        <w:rPr>
          <w:rFonts w:hint="eastAsia" w:ascii="宋体" w:hAnsi="宋体" w:eastAsia="宋体" w:cs="宋体"/>
          <w:color w:val="auto"/>
          <w:szCs w:val="21"/>
          <w:highlight w:val="none"/>
        </w:rPr>
      </w:pPr>
      <w:bookmarkStart w:id="1535" w:name="_Toc247418266"/>
      <w:bookmarkStart w:id="1536" w:name="_Toc247431426"/>
      <w:bookmarkStart w:id="1537" w:name="_Toc532375702"/>
      <w:bookmarkStart w:id="1538" w:name="_Toc239510292"/>
      <w:r>
        <w:rPr>
          <w:rFonts w:hint="eastAsia" w:ascii="宋体" w:hAnsi="宋体" w:eastAsia="宋体" w:cs="宋体"/>
          <w:color w:val="auto"/>
          <w:szCs w:val="21"/>
          <w:highlight w:val="none"/>
        </w:rPr>
        <w:t>三、安全责任</w:t>
      </w:r>
      <w:bookmarkEnd w:id="1535"/>
      <w:bookmarkEnd w:id="1536"/>
      <w:bookmarkEnd w:id="1537"/>
      <w:bookmarkEnd w:id="1538"/>
    </w:p>
    <w:p w14:paraId="4CE1FEC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1．承包人负有安全生产的管理责任和直接责任。</w:t>
      </w:r>
    </w:p>
    <w:p w14:paraId="0870C73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2．承包人的法人或签署合同的公司总经理或受委托的代理人对合同安全负有全面的领导责任。</w:t>
      </w:r>
    </w:p>
    <w:p w14:paraId="4D3C17F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3．承包人项目经理对施工现场的安全工作负有全面的直接领导责任。</w:t>
      </w:r>
    </w:p>
    <w:p w14:paraId="6ED8DE9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4．承包人保证执行“谁施工、谁负责”的施工安全原则。</w:t>
      </w:r>
    </w:p>
    <w:p w14:paraId="3D9FCDB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5．承包人保证服从发包人对安全工作的统一协调和管理。</w:t>
      </w:r>
    </w:p>
    <w:p w14:paraId="26C28CE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6．承包人保证对本工程项目安全生产条件及其管理资源自行投入，保证安全资金的专款专用。</w:t>
      </w:r>
    </w:p>
    <w:p w14:paraId="6F59802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7．承包人保证建立本工程项目的安全管理体系及安全保证体系（注：项目安全管理大纲/手册、管理性的程序文件等）。</w:t>
      </w:r>
    </w:p>
    <w:p w14:paraId="7C8355B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8．承包人保证现场的安全管理专职人员必须持有建设主管部门安全生产培训考核合格证书。</w:t>
      </w:r>
    </w:p>
    <w:p w14:paraId="7740E78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9．承包人保证为现场所有工作人员（含分包商员工及劳务人员）配备符合国家标准的有承包人和/或其下属分包商标志的个人基本劳动保护用品。</w:t>
      </w:r>
    </w:p>
    <w:p w14:paraId="289BA05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10．承包人保证按照国家法律规定为现场所有工作人员（含分包商员工及劳务人员）购买意外伤害保险。</w:t>
      </w:r>
    </w:p>
    <w:p w14:paraId="4596C1B9">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11．承包人保证施工生活营地（包括自建的和租用的营地）满足消防、安全用电、卫生防疫、防暴雨、防雷击等方面的安全要求。</w:t>
      </w:r>
    </w:p>
    <w:p w14:paraId="40A6EE0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12．承包人保证对带入现场的设备、工具、材料按照国家法规和标准进行检测、试验，并持有法定部门出具的检验证书。</w:t>
      </w:r>
    </w:p>
    <w:p w14:paraId="7B37779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13．承包人保证制订施工现场的文明施工措施，保护环境、树木和植被，保持施工现场的良好秩序和整洁的作业环境。</w:t>
      </w:r>
    </w:p>
    <w:p w14:paraId="2E3B129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14:paraId="09C717B2">
      <w:pPr>
        <w:spacing w:after="0" w:afterAutospacing="0" w:line="360" w:lineRule="auto"/>
        <w:ind w:firstLine="420" w:firstLineChars="200"/>
        <w:rPr>
          <w:rFonts w:hint="eastAsia" w:ascii="宋体" w:hAnsi="宋体" w:eastAsia="宋体" w:cs="宋体"/>
          <w:color w:val="auto"/>
          <w:szCs w:val="21"/>
          <w:highlight w:val="none"/>
        </w:rPr>
      </w:pPr>
      <w:bookmarkStart w:id="1539" w:name="_Toc532375703"/>
      <w:bookmarkStart w:id="1540" w:name="_Toc247418267"/>
      <w:bookmarkStart w:id="1541" w:name="_Toc247431427"/>
      <w:bookmarkStart w:id="1542" w:name="_Toc239510293"/>
      <w:r>
        <w:rPr>
          <w:rFonts w:hint="eastAsia" w:ascii="宋体" w:hAnsi="宋体" w:eastAsia="宋体" w:cs="宋体"/>
          <w:color w:val="auto"/>
          <w:szCs w:val="21"/>
          <w:highlight w:val="none"/>
        </w:rPr>
        <w:t>四、接口及协调</w:t>
      </w:r>
      <w:bookmarkEnd w:id="1539"/>
      <w:bookmarkEnd w:id="1540"/>
      <w:bookmarkEnd w:id="1541"/>
      <w:bookmarkEnd w:id="1542"/>
    </w:p>
    <w:p w14:paraId="5B067DD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1．发包人委托监理公司对该工程实施监理，监理公司在安全管理方面代表发包人行使监督检查职能，承包人必须给予配合和支持。</w:t>
      </w:r>
    </w:p>
    <w:p w14:paraId="4CA1F87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2．承包人人员、车辆的出入，带入现场的设备、机具、材料，在现场使用的或直接管理的办公、生活、生产性设施的安全管理须满足发包人现场管理的基本要求。</w:t>
      </w:r>
    </w:p>
    <w:p w14:paraId="3414D88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3E63CA7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45D7539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5．承包人指定的专职安全管理人员应与发包人委托的监理公司建立联系，在业务上接受发包人委托的监理公司的协调和指导。</w:t>
      </w:r>
    </w:p>
    <w:p w14:paraId="4A3E72B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6．开工后承包人的专职安全管理人员应按照发包人委托的监理公司的规定，定期报送安全月度快报、季报、年报和各种专项事故报告等。</w:t>
      </w:r>
    </w:p>
    <w:p w14:paraId="7888B029">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7．在工程实体未全部正式移交发包人施工管理部门之前，承包人依旧对施工范围内的安全管理负责。</w:t>
      </w:r>
    </w:p>
    <w:p w14:paraId="66B4F299">
      <w:pPr>
        <w:spacing w:after="0" w:afterAutospacing="0" w:line="360" w:lineRule="auto"/>
        <w:ind w:firstLine="420" w:firstLineChars="200"/>
        <w:rPr>
          <w:rFonts w:hint="eastAsia" w:ascii="宋体" w:hAnsi="宋体" w:eastAsia="宋体" w:cs="宋体"/>
          <w:color w:val="auto"/>
          <w:szCs w:val="21"/>
          <w:highlight w:val="none"/>
        </w:rPr>
      </w:pPr>
      <w:bookmarkStart w:id="1543" w:name="_Toc239510294"/>
      <w:bookmarkStart w:id="1544" w:name="_Toc247418268"/>
      <w:bookmarkStart w:id="1545" w:name="_Toc247431428"/>
      <w:bookmarkStart w:id="1546" w:name="_Toc532375704"/>
      <w:r>
        <w:rPr>
          <w:rFonts w:hint="eastAsia" w:ascii="宋体" w:hAnsi="宋体" w:eastAsia="宋体" w:cs="宋体"/>
          <w:color w:val="auto"/>
          <w:szCs w:val="21"/>
          <w:highlight w:val="none"/>
        </w:rPr>
        <w:t>五、安全资质审查</w:t>
      </w:r>
      <w:bookmarkEnd w:id="1543"/>
      <w:bookmarkEnd w:id="1544"/>
      <w:bookmarkEnd w:id="1545"/>
      <w:bookmarkEnd w:id="1546"/>
    </w:p>
    <w:p w14:paraId="60B282E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承包人在项目开工前5个工作天内向发包人委托的监理公司提供以下安全资质供审查和存档：</w:t>
      </w:r>
    </w:p>
    <w:p w14:paraId="1F429AF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1．企业安全生产许可证书复印件。</w:t>
      </w:r>
    </w:p>
    <w:p w14:paraId="3DA45CB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2．企业近三年的施工简历及安全施工业绩证明文件。</w:t>
      </w:r>
    </w:p>
    <w:p w14:paraId="054F59B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3．企业主要安全管理人员（包括项目经理、专职安全管理人员）经建设主管部门安全生产知识考核合格证书。</w:t>
      </w:r>
    </w:p>
    <w:p w14:paraId="59A795E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4．特种作业人员资格证书。</w:t>
      </w:r>
    </w:p>
    <w:p w14:paraId="52A180A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5．项目安全管理机构及其人员配备（承包人必须配有专职的安全员）。</w:t>
      </w:r>
    </w:p>
    <w:p w14:paraId="03E67E39">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6．适用于项目的安全管理体系及保证体系文件（安全管理大纲及管理程序文件）。</w:t>
      </w:r>
    </w:p>
    <w:p w14:paraId="5DCA2DEA">
      <w:pPr>
        <w:spacing w:after="0" w:afterAutospacing="0" w:line="360" w:lineRule="auto"/>
        <w:ind w:firstLine="420" w:firstLineChars="200"/>
        <w:rPr>
          <w:rFonts w:hint="eastAsia" w:ascii="宋体" w:hAnsi="宋体" w:eastAsia="宋体" w:cs="宋体"/>
          <w:color w:val="auto"/>
          <w:szCs w:val="21"/>
          <w:highlight w:val="none"/>
        </w:rPr>
      </w:pPr>
      <w:bookmarkStart w:id="1547" w:name="_Toc247431429"/>
      <w:bookmarkStart w:id="1548" w:name="_Toc239510295"/>
      <w:bookmarkStart w:id="1549" w:name="_Toc247418269"/>
      <w:bookmarkStart w:id="1550" w:name="_Toc532375705"/>
      <w:r>
        <w:rPr>
          <w:rFonts w:hint="eastAsia" w:ascii="宋体" w:hAnsi="宋体" w:eastAsia="宋体" w:cs="宋体"/>
          <w:color w:val="auto"/>
          <w:szCs w:val="21"/>
          <w:highlight w:val="none"/>
        </w:rPr>
        <w:t>六、人员基本素质</w:t>
      </w:r>
      <w:bookmarkEnd w:id="1547"/>
      <w:bookmarkEnd w:id="1548"/>
      <w:bookmarkEnd w:id="1549"/>
      <w:bookmarkEnd w:id="1550"/>
    </w:p>
    <w:p w14:paraId="04F7B70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承包人提供的人员必须满足下列要求：</w:t>
      </w:r>
    </w:p>
    <w:p w14:paraId="72A6B8C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16C2D9D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2．无刑事案件牵连。</w:t>
      </w:r>
    </w:p>
    <w:p w14:paraId="6AC7F37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3．无吸毒、酗酒、赌博、嫖娼等恶习及违法行为。</w:t>
      </w:r>
    </w:p>
    <w:p w14:paraId="22278A06">
      <w:pPr>
        <w:spacing w:after="0" w:afterAutospacing="0" w:line="360" w:lineRule="auto"/>
        <w:ind w:firstLine="420" w:firstLineChars="200"/>
        <w:rPr>
          <w:rFonts w:hint="eastAsia" w:ascii="宋体" w:hAnsi="宋体" w:eastAsia="宋体" w:cs="宋体"/>
          <w:color w:val="auto"/>
          <w:szCs w:val="21"/>
          <w:highlight w:val="none"/>
        </w:rPr>
      </w:pPr>
      <w:bookmarkStart w:id="1551" w:name="_Toc247431430"/>
      <w:bookmarkStart w:id="1552" w:name="_Toc239510296"/>
      <w:bookmarkStart w:id="1553" w:name="_Toc247418270"/>
      <w:bookmarkStart w:id="1554" w:name="_Toc532375706"/>
      <w:r>
        <w:rPr>
          <w:rFonts w:hint="eastAsia" w:ascii="宋体" w:hAnsi="宋体" w:eastAsia="宋体" w:cs="宋体"/>
          <w:color w:val="auto"/>
          <w:szCs w:val="21"/>
          <w:highlight w:val="none"/>
        </w:rPr>
        <w:t>七、劳动保护</w:t>
      </w:r>
      <w:bookmarkEnd w:id="1551"/>
      <w:bookmarkEnd w:id="1552"/>
      <w:bookmarkEnd w:id="1553"/>
      <w:bookmarkEnd w:id="1554"/>
    </w:p>
    <w:p w14:paraId="066B64C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1．承包人负责为本单位任何用工形式的员工提供个人劳动保护用品（包括工作服、安全帽、安全鞋等）。</w:t>
      </w:r>
    </w:p>
    <w:p w14:paraId="2F4BCBB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2．承包人负责向特殊工种的员工提供特殊劳动保护，否则不得从事特殊工种作业。</w:t>
      </w:r>
    </w:p>
    <w:p w14:paraId="138A763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3．发包人委托的监理公司有权检查承包人的个人劳动保护用品是否符合国家的相应标准。</w:t>
      </w:r>
    </w:p>
    <w:p w14:paraId="0E73DF69">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承包人在特殊风险场所作业而需要特殊防护用品或安全仪表时，必须在上述防护用品全部到位后才能开工。</w:t>
      </w:r>
    </w:p>
    <w:p w14:paraId="2967528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5．承包人应配备临时安全围栏、警示带、警告标志、防火布等集体防护用品。</w:t>
      </w:r>
    </w:p>
    <w:p w14:paraId="06DF8FB0">
      <w:pPr>
        <w:spacing w:after="0" w:afterAutospacing="0" w:line="360" w:lineRule="auto"/>
        <w:ind w:firstLine="420" w:firstLineChars="200"/>
        <w:rPr>
          <w:rFonts w:hint="eastAsia" w:ascii="宋体" w:hAnsi="宋体" w:eastAsia="宋体" w:cs="宋体"/>
          <w:color w:val="auto"/>
          <w:szCs w:val="21"/>
          <w:highlight w:val="none"/>
        </w:rPr>
      </w:pPr>
      <w:bookmarkStart w:id="1555" w:name="_Toc532375707"/>
      <w:bookmarkStart w:id="1556" w:name="_Toc239510297"/>
      <w:bookmarkStart w:id="1557" w:name="_Toc247431431"/>
      <w:bookmarkStart w:id="1558" w:name="_Toc247418271"/>
      <w:r>
        <w:rPr>
          <w:rFonts w:hint="eastAsia" w:ascii="宋体" w:hAnsi="宋体" w:eastAsia="宋体" w:cs="宋体"/>
          <w:color w:val="auto"/>
          <w:szCs w:val="21"/>
          <w:highlight w:val="none"/>
        </w:rPr>
        <w:t>八、施工机具与材料</w:t>
      </w:r>
      <w:bookmarkEnd w:id="1555"/>
      <w:bookmarkEnd w:id="1556"/>
      <w:bookmarkEnd w:id="1557"/>
      <w:bookmarkEnd w:id="1558"/>
    </w:p>
    <w:p w14:paraId="01A05FA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1．承包人对带入现场的施工机械和工器具的安全负责。</w:t>
      </w:r>
    </w:p>
    <w:p w14:paraId="52E7FF4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2．对于承包人带入现场的特殊工器具，如起重设备、索具、机动车辆、压缩气瓶等，承包人必须按国家法规和标准进行检测、试验，并持有法定部门出具的检验证书。</w:t>
      </w:r>
    </w:p>
    <w:p w14:paraId="158400F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3．对于不属于法定检测的工器具，承包人也必须建立相应的管理、检测制度，这些工器具包括登高工具、脚手架材料、电动工具、安全防护设备及用具等。</w:t>
      </w:r>
    </w:p>
    <w:p w14:paraId="30DBF2AD">
      <w:pPr>
        <w:spacing w:after="0" w:afterAutospacing="0" w:line="360" w:lineRule="auto"/>
        <w:ind w:firstLine="420" w:firstLineChars="200"/>
        <w:rPr>
          <w:rFonts w:hint="eastAsia" w:ascii="宋体" w:hAnsi="宋体" w:eastAsia="宋体" w:cs="宋体"/>
          <w:color w:val="auto"/>
          <w:szCs w:val="21"/>
          <w:highlight w:val="none"/>
        </w:rPr>
      </w:pPr>
      <w:bookmarkStart w:id="1559" w:name="_Toc239510298"/>
      <w:bookmarkStart w:id="1560" w:name="_Toc532375708"/>
      <w:bookmarkStart w:id="1561" w:name="_Toc247431432"/>
      <w:bookmarkStart w:id="1562" w:name="_Toc247418272"/>
      <w:r>
        <w:rPr>
          <w:rFonts w:hint="eastAsia" w:ascii="宋体" w:hAnsi="宋体" w:eastAsia="宋体" w:cs="宋体"/>
          <w:color w:val="auto"/>
          <w:szCs w:val="21"/>
          <w:highlight w:val="none"/>
        </w:rPr>
        <w:t>九、开工前安全条件检查</w:t>
      </w:r>
      <w:bookmarkEnd w:id="1559"/>
      <w:bookmarkEnd w:id="1560"/>
      <w:bookmarkEnd w:id="1561"/>
      <w:bookmarkEnd w:id="1562"/>
    </w:p>
    <w:p w14:paraId="0248D2C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7C8526C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0578DA9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5D8F2FFC">
      <w:pPr>
        <w:spacing w:after="0" w:afterAutospacing="0" w:line="360" w:lineRule="auto"/>
        <w:ind w:firstLine="420" w:firstLineChars="200"/>
        <w:rPr>
          <w:rFonts w:hint="eastAsia" w:ascii="宋体" w:hAnsi="宋体" w:eastAsia="宋体" w:cs="宋体"/>
          <w:color w:val="auto"/>
          <w:szCs w:val="21"/>
          <w:highlight w:val="none"/>
        </w:rPr>
      </w:pPr>
      <w:bookmarkStart w:id="1563" w:name="_Toc247418273"/>
      <w:bookmarkStart w:id="1564" w:name="_Toc247431433"/>
      <w:bookmarkStart w:id="1565" w:name="_Toc239510299"/>
      <w:bookmarkStart w:id="1566" w:name="_Toc532375709"/>
      <w:r>
        <w:rPr>
          <w:rFonts w:hint="eastAsia" w:ascii="宋体" w:hAnsi="宋体" w:eastAsia="宋体" w:cs="宋体"/>
          <w:color w:val="auto"/>
          <w:szCs w:val="21"/>
          <w:highlight w:val="none"/>
        </w:rPr>
        <w:t>十、安全监督</w:t>
      </w:r>
      <w:bookmarkEnd w:id="1563"/>
      <w:bookmarkEnd w:id="1564"/>
      <w:bookmarkEnd w:id="1565"/>
      <w:bookmarkEnd w:id="1566"/>
    </w:p>
    <w:p w14:paraId="6B6B071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1．承包人应配备有满足项目安全管理需要的专职安全管理人员。</w:t>
      </w:r>
    </w:p>
    <w:p w14:paraId="133A640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2．承包人的专职安全管理人员必须持建设主管部门颁发的安全生产知识考核合格证书。</w:t>
      </w:r>
    </w:p>
    <w:p w14:paraId="2526B6C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3．承包人的专职安全管理人员在业务上接受发包人委托的监理公司和发包人安全管理部门的协调和指导。</w:t>
      </w:r>
    </w:p>
    <w:p w14:paraId="2F2DB75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4．承包人应建立班前安全交底制度；施工期间坚持开展安全检查和日常安全监督并形成相应的记录。</w:t>
      </w:r>
    </w:p>
    <w:p w14:paraId="5ED6135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5．承包人应在每个作业区任命兼职安全员，赋予兼职安全员相应的授权和义务，并对兼职安全员进行定期考核。</w:t>
      </w:r>
    </w:p>
    <w:p w14:paraId="50E560B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6．承包人应接受和配合发包人专业部门及委托的监理公司的监督与安全评价。</w:t>
      </w:r>
    </w:p>
    <w:p w14:paraId="7220974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5E5061B8">
      <w:pPr>
        <w:spacing w:after="0" w:afterAutospacing="0" w:line="360" w:lineRule="auto"/>
        <w:ind w:firstLine="420" w:firstLineChars="200"/>
        <w:rPr>
          <w:rFonts w:hint="eastAsia" w:ascii="宋体" w:hAnsi="宋体" w:eastAsia="宋体" w:cs="宋体"/>
          <w:color w:val="auto"/>
          <w:szCs w:val="21"/>
          <w:highlight w:val="none"/>
        </w:rPr>
      </w:pPr>
      <w:bookmarkStart w:id="1567" w:name="_Toc532375710"/>
      <w:bookmarkStart w:id="1568" w:name="_Toc239510300"/>
      <w:bookmarkStart w:id="1569" w:name="_Toc247418274"/>
      <w:bookmarkStart w:id="1570" w:name="_Toc247431434"/>
      <w:r>
        <w:rPr>
          <w:rFonts w:hint="eastAsia" w:ascii="宋体" w:hAnsi="宋体" w:eastAsia="宋体" w:cs="宋体"/>
          <w:color w:val="auto"/>
          <w:szCs w:val="21"/>
          <w:highlight w:val="none"/>
        </w:rPr>
        <w:t>十一、安全培训与授权</w:t>
      </w:r>
      <w:bookmarkEnd w:id="1567"/>
      <w:bookmarkEnd w:id="1568"/>
      <w:bookmarkEnd w:id="1569"/>
      <w:bookmarkEnd w:id="1570"/>
    </w:p>
    <w:p w14:paraId="2CE53B0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4DFD185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2．承包人应在特殊工种之外的其他工种中，筛选出高风险工种，并对其开展针对性的专题安全培训。</w:t>
      </w:r>
    </w:p>
    <w:p w14:paraId="22AA142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3．承包人应组织 “入场培训”和考核。发包人委托的监理公司有权监督培训、考核情况或组织抽查考核。</w:t>
      </w:r>
    </w:p>
    <w:p w14:paraId="6D09EBA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4．承包人应建立安全培训和考核机制，编制培训教材和培训滚动计划。承包人应组织安全考试/考核，建立培训考核记录，发包人委托的监理公司有权查看这些记录。</w:t>
      </w:r>
    </w:p>
    <w:p w14:paraId="66A37EAD">
      <w:pPr>
        <w:spacing w:after="0" w:afterAutospacing="0" w:line="360" w:lineRule="auto"/>
        <w:ind w:firstLine="420" w:firstLineChars="200"/>
        <w:rPr>
          <w:rFonts w:hint="eastAsia" w:ascii="宋体" w:hAnsi="宋体" w:eastAsia="宋体" w:cs="宋体"/>
          <w:color w:val="auto"/>
          <w:szCs w:val="21"/>
          <w:highlight w:val="none"/>
        </w:rPr>
      </w:pPr>
      <w:bookmarkStart w:id="1571" w:name="_Toc239510301"/>
      <w:bookmarkStart w:id="1572" w:name="_Toc532375711"/>
      <w:bookmarkStart w:id="1573" w:name="_Toc247418275"/>
      <w:bookmarkStart w:id="1574" w:name="_Toc247431435"/>
      <w:r>
        <w:rPr>
          <w:rFonts w:hint="eastAsia" w:ascii="宋体" w:hAnsi="宋体" w:eastAsia="宋体" w:cs="宋体"/>
          <w:color w:val="auto"/>
          <w:szCs w:val="21"/>
          <w:highlight w:val="none"/>
        </w:rPr>
        <w:t>十二、职业健康与卫生防疫</w:t>
      </w:r>
      <w:bookmarkEnd w:id="1571"/>
      <w:bookmarkEnd w:id="1572"/>
      <w:bookmarkEnd w:id="1573"/>
      <w:bookmarkEnd w:id="1574"/>
    </w:p>
    <w:p w14:paraId="54ACCEBC">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48AC737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2．承包人应保证卫生防疫基本设施的投入，以满足医疗、急救的要求，建立外部医疗支持渠道。</w:t>
      </w:r>
    </w:p>
    <w:p w14:paraId="25F4C4B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4D2F4F57">
      <w:pPr>
        <w:spacing w:after="0" w:afterAutospacing="0" w:line="360" w:lineRule="auto"/>
        <w:ind w:firstLine="420" w:firstLineChars="200"/>
        <w:rPr>
          <w:rFonts w:hint="eastAsia" w:ascii="宋体" w:hAnsi="宋体" w:eastAsia="宋体" w:cs="宋体"/>
          <w:color w:val="auto"/>
          <w:szCs w:val="21"/>
          <w:highlight w:val="none"/>
        </w:rPr>
      </w:pPr>
      <w:bookmarkStart w:id="1575" w:name="_Toc247431436"/>
      <w:bookmarkStart w:id="1576" w:name="_Toc532375712"/>
      <w:bookmarkStart w:id="1577" w:name="_Toc239510302"/>
      <w:bookmarkStart w:id="1578" w:name="_Toc247418276"/>
      <w:r>
        <w:rPr>
          <w:rFonts w:hint="eastAsia" w:ascii="宋体" w:hAnsi="宋体" w:eastAsia="宋体" w:cs="宋体"/>
          <w:color w:val="auto"/>
          <w:szCs w:val="21"/>
          <w:highlight w:val="none"/>
        </w:rPr>
        <w:t>十三、文明施工与环保要求</w:t>
      </w:r>
      <w:bookmarkEnd w:id="1575"/>
      <w:bookmarkEnd w:id="1576"/>
      <w:bookmarkEnd w:id="1577"/>
      <w:bookmarkEnd w:id="1578"/>
    </w:p>
    <w:p w14:paraId="10FC1F6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14:paraId="57D1AB0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2．承包人作业时应避免建筑材料抛洒、飞扬、流淌；应尽可能降低噪音、震动。</w:t>
      </w:r>
    </w:p>
    <w:p w14:paraId="20E7592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3．承包人应根据实际需要，在施工现场布置临时卫生设施（洗手间、卫生间等），施工作业不破坏环境卫生，不污染现场环境。</w:t>
      </w:r>
    </w:p>
    <w:p w14:paraId="6AAE5FD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4．承包人在施工中应充分重视对环境的保护，保护绿色植被，保护古树。施工如需伤害古树，必须报告发包人委托的监理公司，在未得到指令前，禁止擅自伤害古树。</w:t>
      </w:r>
    </w:p>
    <w:p w14:paraId="0A38962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5069B0D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6．承包人在施工中应禁止向环境，排放工业污水、生活污水、废油或其他有害物质。</w:t>
      </w:r>
    </w:p>
    <w:p w14:paraId="1C5CE45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E38454A">
      <w:pPr>
        <w:spacing w:after="0" w:afterAutospacing="0" w:line="360" w:lineRule="auto"/>
        <w:ind w:firstLine="420" w:firstLineChars="200"/>
        <w:rPr>
          <w:rFonts w:hint="eastAsia" w:ascii="宋体" w:hAnsi="宋体" w:eastAsia="宋体" w:cs="宋体"/>
          <w:color w:val="auto"/>
          <w:szCs w:val="21"/>
          <w:highlight w:val="none"/>
        </w:rPr>
      </w:pPr>
      <w:bookmarkStart w:id="1579" w:name="_Toc239510303"/>
      <w:bookmarkStart w:id="1580" w:name="_Toc247431437"/>
      <w:bookmarkStart w:id="1581" w:name="_Toc532375713"/>
      <w:bookmarkStart w:id="1582" w:name="_Toc247418277"/>
      <w:r>
        <w:rPr>
          <w:rFonts w:hint="eastAsia" w:ascii="宋体" w:hAnsi="宋体" w:eastAsia="宋体" w:cs="宋体"/>
          <w:color w:val="auto"/>
          <w:szCs w:val="21"/>
          <w:highlight w:val="none"/>
        </w:rPr>
        <w:t>十四、工程风险管理与事故预防</w:t>
      </w:r>
      <w:bookmarkEnd w:id="1579"/>
      <w:bookmarkEnd w:id="1580"/>
      <w:bookmarkEnd w:id="1581"/>
      <w:bookmarkEnd w:id="1582"/>
    </w:p>
    <w:p w14:paraId="6141B134">
      <w:pPr>
        <w:spacing w:after="0" w:afterAutospacing="0" w:line="360" w:lineRule="auto"/>
        <w:ind w:firstLine="420" w:firstLineChars="200"/>
        <w:jc w:val="left"/>
        <w:rPr>
          <w:rFonts w:hint="eastAsia" w:ascii="宋体" w:hAnsi="宋体" w:eastAsia="宋体" w:cs="宋体"/>
          <w:color w:val="auto"/>
          <w:szCs w:val="21"/>
          <w:highlight w:val="none"/>
        </w:rPr>
      </w:pPr>
      <w:bookmarkStart w:id="1583" w:name="_Toc239510304"/>
      <w:bookmarkStart w:id="1584" w:name="_Toc247418278"/>
      <w:bookmarkStart w:id="1585" w:name="_Toc247431438"/>
      <w:r>
        <w:rPr>
          <w:rFonts w:hint="eastAsia" w:ascii="宋体" w:hAnsi="宋体" w:eastAsia="宋体" w:cs="宋体"/>
          <w:color w:val="auto"/>
          <w:szCs w:val="21"/>
          <w:highlight w:val="none"/>
        </w:rPr>
        <w:t>（一）基本要求</w:t>
      </w:r>
      <w:bookmarkEnd w:id="1583"/>
      <w:bookmarkEnd w:id="1584"/>
      <w:bookmarkEnd w:id="1585"/>
    </w:p>
    <w:p w14:paraId="6D27E06F">
      <w:pPr>
        <w:spacing w:after="0" w:afterAutospacing="0" w:line="360" w:lineRule="auto"/>
        <w:ind w:firstLine="420" w:firstLineChars="200"/>
        <w:jc w:val="left"/>
        <w:rPr>
          <w:rFonts w:hint="eastAsia" w:ascii="宋体" w:hAnsi="宋体" w:eastAsia="宋体" w:cs="宋体"/>
          <w:color w:val="auto"/>
          <w:szCs w:val="21"/>
          <w:highlight w:val="none"/>
        </w:rPr>
      </w:pPr>
      <w:bookmarkStart w:id="1586" w:name="_Toc532375714"/>
      <w:r>
        <w:rPr>
          <w:rFonts w:hint="eastAsia" w:ascii="宋体" w:hAnsi="宋体" w:eastAsia="宋体" w:cs="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bookmarkEnd w:id="1586"/>
    </w:p>
    <w:p w14:paraId="2884CEB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（1）高风险作业和工种清单：作业名称、类别和数量、主要事故风险。</w:t>
      </w:r>
    </w:p>
    <w:p w14:paraId="61828F1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（2）施工能源和机械的种类、数量和主要事故风险。</w:t>
      </w:r>
    </w:p>
    <w:p w14:paraId="5465EE2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（3）施工作业条件的类型和主要事故风险。</w:t>
      </w:r>
    </w:p>
    <w:p w14:paraId="3BE4776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（4）主要工艺过程（或施工活动）的类别及其相关的事故风险。</w:t>
      </w:r>
    </w:p>
    <w:p w14:paraId="0E9D5ED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（5）主要火灾危险（可燃物、点火源）。</w:t>
      </w:r>
    </w:p>
    <w:p w14:paraId="53C12F1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（6）主要自然灾害（洪水、大风、雷暴、暴雨、地质灾害等）。</w:t>
      </w:r>
    </w:p>
    <w:p w14:paraId="6A0E613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（7）主要环境保护事件（有害垃圾、机械的跑冒滴漏、原材料流失、水土流失等）。</w:t>
      </w:r>
    </w:p>
    <w:p w14:paraId="2A3B580C">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w:t>
      </w:r>
    </w:p>
    <w:p w14:paraId="003A66D7">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2．承包人应针对识别出的危险源制定有针对性的事故预防措施并确保在施工中得到有效落实。</w:t>
      </w:r>
    </w:p>
    <w:p w14:paraId="3E01FED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3．承包人应建立日常施工活动的动态作业风险分析和安全交底制度。该制度应明确规定风险分析的方法、责任和交底的内容、时间及记录。</w:t>
      </w:r>
    </w:p>
    <w:p w14:paraId="60E86316">
      <w:pPr>
        <w:spacing w:after="0" w:afterAutospacing="0" w:line="360" w:lineRule="auto"/>
        <w:ind w:firstLine="420" w:firstLineChars="200"/>
        <w:jc w:val="left"/>
        <w:rPr>
          <w:rFonts w:hint="eastAsia" w:ascii="宋体" w:hAnsi="宋体" w:eastAsia="宋体" w:cs="宋体"/>
          <w:color w:val="auto"/>
          <w:szCs w:val="21"/>
          <w:highlight w:val="none"/>
        </w:rPr>
      </w:pPr>
      <w:bookmarkStart w:id="1587" w:name="_Toc247418279"/>
      <w:bookmarkStart w:id="1588" w:name="_Toc247431439"/>
      <w:bookmarkStart w:id="1589" w:name="_Toc239510305"/>
      <w:r>
        <w:rPr>
          <w:rFonts w:hint="eastAsia" w:ascii="宋体" w:hAnsi="宋体" w:eastAsia="宋体" w:cs="宋体"/>
          <w:color w:val="auto"/>
          <w:szCs w:val="21"/>
          <w:highlight w:val="none"/>
        </w:rPr>
        <w:t>（二）现场作业基本安全条件</w:t>
      </w:r>
      <w:bookmarkEnd w:id="1587"/>
      <w:bookmarkEnd w:id="1588"/>
      <w:bookmarkEnd w:id="1589"/>
    </w:p>
    <w:p w14:paraId="7BF3B99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1800CD2">
      <w:pPr>
        <w:spacing w:after="0" w:afterAutospacing="0" w:line="360" w:lineRule="auto"/>
        <w:ind w:firstLine="420" w:firstLineChars="200"/>
        <w:rPr>
          <w:rFonts w:hint="eastAsia" w:ascii="宋体" w:hAnsi="宋体" w:eastAsia="宋体" w:cs="宋体"/>
          <w:color w:val="auto"/>
          <w:szCs w:val="21"/>
          <w:highlight w:val="none"/>
        </w:rPr>
      </w:pPr>
      <w:bookmarkStart w:id="1590" w:name="_Toc239510306"/>
      <w:bookmarkStart w:id="1591" w:name="_Toc247431440"/>
      <w:bookmarkStart w:id="1592" w:name="_Toc247418280"/>
      <w:bookmarkStart w:id="1593" w:name="_Toc532375715"/>
      <w:r>
        <w:rPr>
          <w:rFonts w:hint="eastAsia" w:ascii="宋体" w:hAnsi="宋体" w:eastAsia="宋体" w:cs="宋体"/>
          <w:color w:val="auto"/>
          <w:szCs w:val="21"/>
          <w:highlight w:val="none"/>
        </w:rPr>
        <w:t>十五、事故报告与应急救援</w:t>
      </w:r>
      <w:bookmarkEnd w:id="1590"/>
      <w:bookmarkEnd w:id="1591"/>
      <w:bookmarkEnd w:id="1592"/>
      <w:bookmarkEnd w:id="1593"/>
    </w:p>
    <w:p w14:paraId="07D6EDF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1．承包人应制定对于未遂事故及以上级别的安全事件和事故，定期报送安全月度快报、季报、年报和各种专项事故报告等。</w:t>
      </w:r>
    </w:p>
    <w:p w14:paraId="0DB0BA9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2．承包人应建立安全事故统计记录、未遂事故统计记录、违章统计记录，并根据统计情况进行分析，并就分析结果制定相应的预防措施。</w:t>
      </w:r>
    </w:p>
    <w:p w14:paraId="3714772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3．承包人应建立事故应急救援机制，明确事故处置的基本原则，即现场发生事故时，首先抢救生命，向救援组织报警，并采取措施限制事故扩大。</w:t>
      </w:r>
    </w:p>
    <w:p w14:paraId="1FB27B1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4．承包人应建立相应的应急响应组织，以便能迅速处理突发意外。</w:t>
      </w:r>
    </w:p>
    <w:p w14:paraId="1B6AF69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4DCF755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6．承包人应对应急预案进行适当演练，保证应急预案的可操作性。</w:t>
      </w:r>
    </w:p>
    <w:p w14:paraId="7AC2CD7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7．在工地的其他施工单位发生重大事故时，承包人应无条件立即配合、支持事故抢险。</w:t>
      </w:r>
    </w:p>
    <w:p w14:paraId="493E77D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8．承包人必须为事故处置支付各项费用，包括受伤者的抚恤、补偿等费用，并按合同要求赔偿对发包人造成的损失。</w:t>
      </w:r>
    </w:p>
    <w:p w14:paraId="29947A4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9．由于发包人原因而造成的事故，发包人应负责按事故的具体损失情况给予承包人经济赔偿。</w:t>
      </w:r>
    </w:p>
    <w:p w14:paraId="58888AC8">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10．涉及承包人员工的伤害事故，承包人除要报告发包人委托的监理公司外，还应负责按照国家、行业和本单位上级公司的要求，上报事故。</w:t>
      </w:r>
    </w:p>
    <w:p w14:paraId="18433F0E">
      <w:pPr>
        <w:spacing w:after="0" w:afterAutospacing="0" w:line="360" w:lineRule="auto"/>
        <w:ind w:firstLine="420" w:firstLineChars="200"/>
        <w:rPr>
          <w:rFonts w:hint="eastAsia" w:ascii="宋体" w:hAnsi="宋体" w:eastAsia="宋体" w:cs="宋体"/>
          <w:color w:val="auto"/>
          <w:szCs w:val="21"/>
          <w:highlight w:val="none"/>
        </w:rPr>
      </w:pPr>
      <w:bookmarkStart w:id="1594" w:name="_Toc532375716"/>
      <w:bookmarkStart w:id="1595" w:name="_Toc247418281"/>
      <w:bookmarkStart w:id="1596" w:name="_Toc247431441"/>
      <w:bookmarkStart w:id="1597" w:name="_Toc239510307"/>
      <w:r>
        <w:rPr>
          <w:rFonts w:hint="eastAsia" w:ascii="宋体" w:hAnsi="宋体" w:eastAsia="宋体" w:cs="宋体"/>
          <w:color w:val="auto"/>
          <w:szCs w:val="21"/>
          <w:highlight w:val="none"/>
        </w:rPr>
        <w:t>十六、安全业绩考核</w:t>
      </w:r>
      <w:bookmarkEnd w:id="1594"/>
      <w:bookmarkEnd w:id="1595"/>
      <w:bookmarkEnd w:id="1596"/>
      <w:bookmarkEnd w:id="1597"/>
    </w:p>
    <w:p w14:paraId="44770962">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6"/>
        <w:tblW w:w="7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40"/>
        <w:gridCol w:w="3765"/>
      </w:tblGrid>
      <w:tr w14:paraId="6476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5FFCE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665C2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违约金额</w:t>
            </w:r>
          </w:p>
        </w:tc>
      </w:tr>
      <w:tr w14:paraId="5431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4D0623">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09B2F20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签约合同价</w:t>
            </w:r>
            <w:r>
              <w:rPr>
                <w:rFonts w:hint="eastAsia" w:ascii="宋体" w:hAnsi="宋体" w:eastAsia="宋体" w:cs="宋体"/>
                <w:color w:val="auto"/>
                <w:szCs w:val="21"/>
                <w:highlight w:val="none"/>
              </w:rPr>
              <w:t>的0.5‰</w:t>
            </w:r>
          </w:p>
        </w:tc>
      </w:tr>
      <w:tr w14:paraId="268D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3E8A01">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231067E0">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签约合同价的2‰</w:t>
            </w:r>
          </w:p>
        </w:tc>
      </w:tr>
      <w:tr w14:paraId="7910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09366E">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588429FD">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签约合同价的4‰</w:t>
            </w:r>
          </w:p>
        </w:tc>
      </w:tr>
    </w:tbl>
    <w:p w14:paraId="07CCD49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（1）较大事故，是指造成3人以上10人以下死亡，或者10人以上50人以下重伤，或者1000万元以上5000万元以下直接经济损失的事故；</w:t>
      </w:r>
    </w:p>
    <w:p w14:paraId="7476D2FF">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（2）重大事故，是指造成10人以上30人以下死亡，或者50人以上100人以下重伤，或者5000万元以上1亿元以下直接经济损失的事故；</w:t>
      </w:r>
    </w:p>
    <w:p w14:paraId="597BF205">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（3）特别重大事故，是指造成30人以上死亡，或者100人以上重伤（包括急性工业中毒，下同），或者1亿元以上直接经济损失的事故；</w:t>
      </w:r>
    </w:p>
    <w:p w14:paraId="36082886">
      <w:pPr>
        <w:spacing w:after="0" w:afterAutospacing="0" w:line="27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（4）所称的“以上”包括本数，所称的“以下”不包括本数。</w:t>
      </w:r>
    </w:p>
    <w:p w14:paraId="3255688A">
      <w:pPr>
        <w:spacing w:after="0" w:afterAutospacing="0" w:line="27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6D0A0427">
      <w:pPr>
        <w:spacing w:after="0" w:afterAutospacing="0" w:line="276" w:lineRule="auto"/>
        <w:ind w:firstLine="420" w:firstLineChars="200"/>
        <w:rPr>
          <w:rFonts w:hint="eastAsia" w:ascii="宋体" w:hAnsi="宋体" w:eastAsia="宋体" w:cs="宋体"/>
          <w:color w:val="auto"/>
          <w:szCs w:val="21"/>
          <w:highlight w:val="none"/>
        </w:rPr>
      </w:pPr>
      <w:bookmarkStart w:id="1598" w:name="_Toc239510308"/>
      <w:bookmarkStart w:id="1599" w:name="_Toc532375717"/>
      <w:bookmarkStart w:id="1600" w:name="_Toc247431442"/>
      <w:bookmarkStart w:id="1601" w:name="_Toc247418282"/>
      <w:r>
        <w:rPr>
          <w:rFonts w:hint="eastAsia" w:ascii="宋体" w:hAnsi="宋体" w:eastAsia="宋体" w:cs="宋体"/>
          <w:color w:val="auto"/>
          <w:szCs w:val="21"/>
          <w:highlight w:val="none"/>
        </w:rPr>
        <w:t>十七、协议条款的修订</w:t>
      </w:r>
      <w:bookmarkEnd w:id="1598"/>
      <w:bookmarkEnd w:id="1599"/>
      <w:bookmarkEnd w:id="1600"/>
      <w:bookmarkEnd w:id="1601"/>
    </w:p>
    <w:p w14:paraId="4CDC18A1">
      <w:pPr>
        <w:spacing w:after="0" w:afterAutospacing="0" w:line="27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在项目实施过程中，经双方友好协商，本协议的有关条款也可做出相应的修改。</w:t>
      </w:r>
    </w:p>
    <w:p w14:paraId="24676437">
      <w:pPr>
        <w:spacing w:after="0" w:afterAutospacing="0" w:line="27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本工程安全管理协议，由发包人、承包人双方在施工承包合同签订后7天内共同签署，作为施工合同附件。</w:t>
      </w:r>
    </w:p>
    <w:p w14:paraId="45A133FB">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  包  人（单位公章）：</w:t>
      </w:r>
      <w:r>
        <w:rPr>
          <w:rFonts w:hint="eastAsia" w:ascii="宋体" w:hAnsi="宋体" w:eastAsia="宋体" w:cs="宋体"/>
          <w:color w:val="auto"/>
          <w:szCs w:val="21"/>
          <w:highlight w:val="none"/>
          <w:u w:val="single"/>
        </w:rPr>
        <w:t xml:space="preserve">                   </w:t>
      </w:r>
    </w:p>
    <w:p w14:paraId="68A0F6D6">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B2A9A74">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7C504EA">
      <w:pPr>
        <w:spacing w:after="0" w:afterAutospacing="0" w:line="360" w:lineRule="auto"/>
        <w:ind w:firstLine="420" w:firstLineChars="200"/>
        <w:jc w:val="left"/>
        <w:rPr>
          <w:rFonts w:hint="eastAsia" w:ascii="宋体" w:hAnsi="宋体" w:eastAsia="宋体" w:cs="宋体"/>
          <w:color w:val="auto"/>
          <w:szCs w:val="21"/>
          <w:highlight w:val="none"/>
        </w:rPr>
      </w:pPr>
    </w:p>
    <w:p w14:paraId="5F0A3550">
      <w:pPr>
        <w:spacing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  包  人（单位公章）：</w:t>
      </w:r>
      <w:r>
        <w:rPr>
          <w:rFonts w:hint="eastAsia" w:ascii="宋体" w:hAnsi="宋体" w:eastAsia="宋体" w:cs="宋体"/>
          <w:color w:val="auto"/>
          <w:szCs w:val="21"/>
          <w:highlight w:val="none"/>
          <w:u w:val="single"/>
        </w:rPr>
        <w:t xml:space="preserve">                   </w:t>
      </w:r>
    </w:p>
    <w:p w14:paraId="16285EEA">
      <w:pPr>
        <w:spacing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法定代表人（签名）：</w:t>
      </w:r>
      <w:r>
        <w:rPr>
          <w:rFonts w:hint="eastAsia" w:ascii="宋体" w:hAnsi="宋体" w:eastAsia="宋体" w:cs="宋体"/>
          <w:color w:val="auto"/>
          <w:szCs w:val="21"/>
          <w:highlight w:val="none"/>
          <w:u w:val="single"/>
        </w:rPr>
        <w:t xml:space="preserve">                       </w:t>
      </w:r>
    </w:p>
    <w:p w14:paraId="50ACC099">
      <w:pPr>
        <w:spacing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或其委托代理人（签名）：</w:t>
      </w:r>
      <w:r>
        <w:rPr>
          <w:rFonts w:hint="eastAsia" w:ascii="宋体" w:hAnsi="宋体" w:eastAsia="宋体" w:cs="宋体"/>
          <w:color w:val="auto"/>
          <w:szCs w:val="21"/>
          <w:highlight w:val="none"/>
          <w:u w:val="single"/>
        </w:rPr>
        <w:t xml:space="preserve">                   </w:t>
      </w:r>
    </w:p>
    <w:p w14:paraId="58909BC7">
      <w:pPr>
        <w:snapToGrid w:val="0"/>
        <w:spacing w:after="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br w:type="page"/>
      </w:r>
    </w:p>
    <w:p w14:paraId="4C91A0DF">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w:t>
      </w:r>
    </w:p>
    <w:p w14:paraId="1F9F910E">
      <w:pPr>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保障农民工工资支付协议</w:t>
      </w:r>
    </w:p>
    <w:p w14:paraId="0F2B8B9D">
      <w:pPr>
        <w:snapToGrid w:val="0"/>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w:t>
      </w:r>
    </w:p>
    <w:p w14:paraId="18D6AEF9">
      <w:pPr>
        <w:snapToGrid w:val="0"/>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1F7DE3F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07E5FC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4926EEE1">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08CAED5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7CB05CCD">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四、若发现承包人有下列事项的，发包人在支付当期进度款时暂扣当期应支付进度款5%比例的款项。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（一）现场检查发现项目存在拖欠农民工工资情况并经核查属实的；</w:t>
      </w:r>
    </w:p>
    <w:p w14:paraId="7853132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（二）相关行政管理部门检查发现存在拖欠农民工工资情况并经核查属实的；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（三）有拖欠农民工工资投诉事项并经核查属实的。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50BDD3D6">
      <w:pPr>
        <w:tabs>
          <w:tab w:val="left" w:pos="1080"/>
          <w:tab w:val="left" w:pos="1260"/>
          <w:tab w:val="left" w:pos="1440"/>
        </w:tabs>
        <w:spacing w:after="0" w:afterAutospacing="0" w:line="360" w:lineRule="auto"/>
        <w:ind w:firstLine="420" w:firstLineChars="200"/>
        <w:rPr>
          <w:rFonts w:hint="eastAsia" w:ascii="宋体" w:hAnsi="宋体" w:eastAsia="宋体" w:cs="宋体"/>
          <w:snapToGrid w:val="0"/>
          <w:color w:val="auto"/>
          <w:spacing w:val="-4"/>
          <w:kern w:val="0"/>
          <w:szCs w:val="21"/>
          <w:highlight w:val="none"/>
        </w:rPr>
      </w:pPr>
      <w:r>
        <w:rPr>
          <w:rFonts w:hint="eastAsia" w:ascii="宋体" w:hAnsi="宋体" w:eastAsia="宋体" w:cs="宋体"/>
          <w:color w:val="auto"/>
          <w:szCs w:val="21"/>
          <w:highlight w:val="none"/>
        </w:rPr>
        <w:t>六、本协议经双方法定代表人或委托代理人签名并加盖单位公章后生效，履行完毕后自然失效。</w:t>
      </w:r>
    </w:p>
    <w:p w14:paraId="61E78566">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p>
    <w:p w14:paraId="2BA9CC66">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1、关于农民工工资发放情况的说明表</w:t>
      </w:r>
    </w:p>
    <w:p w14:paraId="2B435419">
      <w:pPr>
        <w:pStyle w:val="2"/>
        <w:spacing w:after="0" w:afterAutospacing="0" w:line="360" w:lineRule="auto"/>
        <w:ind w:firstLine="420" w:firstLineChars="200"/>
        <w:rPr>
          <w:rFonts w:hint="eastAsia" w:ascii="宋体" w:hAnsi="宋体" w:eastAsia="宋体" w:cs="宋体"/>
          <w:color w:val="auto"/>
          <w:szCs w:val="21"/>
          <w:highlight w:val="none"/>
        </w:rPr>
      </w:pPr>
    </w:p>
    <w:p w14:paraId="150ECF33">
      <w:pPr>
        <w:pStyle w:val="2"/>
        <w:spacing w:after="0" w:afterAutospacing="0" w:line="360" w:lineRule="auto"/>
        <w:ind w:firstLine="420" w:firstLineChars="200"/>
        <w:rPr>
          <w:rFonts w:hint="eastAsia" w:ascii="宋体" w:hAnsi="宋体" w:eastAsia="宋体" w:cs="宋体"/>
          <w:color w:val="auto"/>
          <w:szCs w:val="21"/>
          <w:highlight w:val="none"/>
        </w:rPr>
      </w:pPr>
    </w:p>
    <w:p w14:paraId="36179AAD">
      <w:pPr>
        <w:pStyle w:val="2"/>
        <w:spacing w:after="0" w:afterAutospacing="0" w:line="360" w:lineRule="auto"/>
        <w:ind w:firstLine="420" w:firstLineChars="200"/>
        <w:rPr>
          <w:rFonts w:hint="eastAsia" w:ascii="宋体" w:hAnsi="宋体" w:eastAsia="宋体" w:cs="宋体"/>
          <w:color w:val="auto"/>
          <w:szCs w:val="21"/>
          <w:highlight w:val="none"/>
        </w:rPr>
      </w:pPr>
    </w:p>
    <w:p w14:paraId="5DE74FDE">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p w14:paraId="06A7357A">
      <w:pPr>
        <w:spacing w:after="0" w:afterAutospacing="0" w:line="360" w:lineRule="auto"/>
        <w:ind w:firstLine="420" w:firstLineChars="200"/>
        <w:rPr>
          <w:rFonts w:hint="eastAsia" w:ascii="宋体" w:hAnsi="宋体" w:eastAsia="宋体" w:cs="宋体"/>
          <w:color w:val="auto"/>
          <w:szCs w:val="21"/>
          <w:highlight w:val="none"/>
        </w:rPr>
      </w:pPr>
    </w:p>
    <w:p w14:paraId="79CA2954">
      <w:pPr>
        <w:spacing w:after="0" w:afterAutospacing="0" w:line="360" w:lineRule="auto"/>
        <w:ind w:firstLine="420" w:firstLineChars="200"/>
        <w:rPr>
          <w:rFonts w:hint="eastAsia" w:ascii="宋体" w:hAnsi="宋体" w:eastAsia="宋体" w:cs="宋体"/>
          <w:color w:val="auto"/>
          <w:szCs w:val="21"/>
          <w:highlight w:val="none"/>
        </w:rPr>
      </w:pPr>
    </w:p>
    <w:p w14:paraId="619E03F1">
      <w:pPr>
        <w:pStyle w:val="2"/>
        <w:spacing w:after="0" w:afterAutospacing="0" w:line="360" w:lineRule="auto"/>
        <w:rPr>
          <w:rFonts w:hint="eastAsia" w:ascii="宋体" w:hAnsi="宋体" w:eastAsia="宋体" w:cs="宋体"/>
          <w:color w:val="auto"/>
          <w:szCs w:val="21"/>
          <w:highlight w:val="none"/>
        </w:rPr>
      </w:pPr>
    </w:p>
    <w:p w14:paraId="42E4251E">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（发包人）</w:t>
      </w:r>
    </w:p>
    <w:p w14:paraId="010B16F9">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p>
    <w:p w14:paraId="1C56BA3F">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u w:val="single"/>
        </w:rPr>
        <w:t xml:space="preserve">       </w:t>
      </w:r>
    </w:p>
    <w:p w14:paraId="0405FBFF">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p>
    <w:p w14:paraId="11F6FD64">
      <w:pPr>
        <w:spacing w:after="0" w:afterAutospacing="0" w:line="360" w:lineRule="auto"/>
        <w:rPr>
          <w:rFonts w:hint="eastAsia" w:ascii="宋体" w:hAnsi="宋体" w:eastAsia="宋体" w:cs="宋体"/>
          <w:color w:val="auto"/>
          <w:szCs w:val="21"/>
          <w:highlight w:val="none"/>
        </w:rPr>
      </w:pPr>
    </w:p>
    <w:p w14:paraId="7C56BD7B">
      <w:pPr>
        <w:spacing w:after="0" w:afterAutospacing="0" w:line="360" w:lineRule="auto"/>
        <w:rPr>
          <w:rFonts w:hint="eastAsia" w:ascii="宋体" w:hAnsi="宋体" w:eastAsia="宋体" w:cs="宋体"/>
          <w:color w:val="auto"/>
          <w:szCs w:val="21"/>
          <w:highlight w:val="none"/>
        </w:rPr>
      </w:pPr>
    </w:p>
    <w:p w14:paraId="4C319E2A">
      <w:pPr>
        <w:spacing w:after="0" w:afterAutospacing="0" w:line="360" w:lineRule="auto"/>
        <w:rPr>
          <w:rFonts w:hint="eastAsia" w:ascii="宋体" w:hAnsi="宋体" w:eastAsia="宋体" w:cs="宋体"/>
          <w:color w:val="auto"/>
          <w:szCs w:val="21"/>
          <w:highlight w:val="none"/>
        </w:rPr>
      </w:pPr>
    </w:p>
    <w:p w14:paraId="6B491E10">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（承包人）</w:t>
      </w:r>
    </w:p>
    <w:p w14:paraId="07650205">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p>
    <w:p w14:paraId="321F213F">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u w:val="single"/>
        </w:rPr>
        <w:t xml:space="preserve">       </w:t>
      </w:r>
    </w:p>
    <w:p w14:paraId="4A624B6F">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rPr>
        <w:t xml:space="preserve">       </w:t>
      </w:r>
    </w:p>
    <w:p w14:paraId="67966F2A">
      <w:pPr>
        <w:snapToGrid w:val="0"/>
        <w:spacing w:after="0" w:afterAutospacing="0" w:line="360" w:lineRule="auto"/>
        <w:ind w:firstLine="560"/>
        <w:rPr>
          <w:rFonts w:hint="eastAsia" w:ascii="宋体" w:hAnsi="宋体" w:eastAsia="宋体" w:cs="宋体"/>
          <w:color w:val="auto"/>
          <w:szCs w:val="21"/>
          <w:highlight w:val="none"/>
        </w:rPr>
      </w:pPr>
    </w:p>
    <w:p w14:paraId="42DDAC41">
      <w:pPr>
        <w:spacing w:after="0" w:afterAutospacing="0"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保障农民工工资支付协议附件1：</w:t>
      </w:r>
    </w:p>
    <w:p w14:paraId="053517DB">
      <w:pPr>
        <w:widowControl/>
        <w:snapToGrid w:val="0"/>
        <w:spacing w:after="0" w:afterAutospacing="0" w:line="48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关于农民工工资发放情况的说明表</w:t>
      </w:r>
    </w:p>
    <w:tbl>
      <w:tblPr>
        <w:tblStyle w:val="46"/>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3758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vAlign w:val="top"/>
          </w:tcPr>
          <w:p w14:paraId="0B6234F1">
            <w:pPr>
              <w:widowControl/>
              <w:snapToGrid w:val="0"/>
              <w:spacing w:after="0" w:afterAutospacing="0"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工程名称：</w:t>
            </w:r>
          </w:p>
        </w:tc>
      </w:tr>
      <w:tr w14:paraId="3963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vAlign w:val="top"/>
          </w:tcPr>
          <w:p w14:paraId="558CD6D8">
            <w:pPr>
              <w:widowControl/>
              <w:snapToGrid w:val="0"/>
              <w:spacing w:after="0" w:afterAutospacing="0"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施工单位：</w:t>
            </w:r>
          </w:p>
        </w:tc>
        <w:tc>
          <w:tcPr>
            <w:tcW w:w="6201" w:type="dxa"/>
            <w:vAlign w:val="top"/>
          </w:tcPr>
          <w:p w14:paraId="5924A8FE">
            <w:pPr>
              <w:widowControl/>
              <w:snapToGrid w:val="0"/>
              <w:spacing w:after="0" w:afterAutospacing="0" w:line="400" w:lineRule="exact"/>
              <w:rPr>
                <w:rFonts w:hint="eastAsia" w:ascii="宋体" w:hAnsi="宋体" w:eastAsia="宋体" w:cs="宋体"/>
                <w:color w:val="auto"/>
                <w:kern w:val="0"/>
                <w:szCs w:val="21"/>
                <w:highlight w:val="none"/>
              </w:rPr>
            </w:pPr>
          </w:p>
        </w:tc>
      </w:tr>
      <w:tr w14:paraId="5184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top"/>
          </w:tcPr>
          <w:p w14:paraId="6B3B8E92">
            <w:pPr>
              <w:widowControl/>
              <w:snapToGrid w:val="0"/>
              <w:spacing w:after="0" w:afterAutospacing="0"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监理单位：</w:t>
            </w:r>
          </w:p>
        </w:tc>
        <w:tc>
          <w:tcPr>
            <w:tcW w:w="6201" w:type="dxa"/>
            <w:vAlign w:val="top"/>
          </w:tcPr>
          <w:p w14:paraId="6A046BC3">
            <w:pPr>
              <w:widowControl/>
              <w:snapToGrid w:val="0"/>
              <w:spacing w:after="0" w:afterAutospacing="0" w:line="400" w:lineRule="exact"/>
              <w:rPr>
                <w:rFonts w:hint="eastAsia" w:ascii="宋体" w:hAnsi="宋体" w:eastAsia="宋体" w:cs="宋体"/>
                <w:color w:val="auto"/>
                <w:kern w:val="0"/>
                <w:szCs w:val="21"/>
                <w:highlight w:val="none"/>
              </w:rPr>
            </w:pPr>
          </w:p>
        </w:tc>
      </w:tr>
      <w:tr w14:paraId="177E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vAlign w:val="top"/>
          </w:tcPr>
          <w:p w14:paraId="1229D95D">
            <w:pPr>
              <w:widowControl/>
              <w:snapToGrid w:val="0"/>
              <w:spacing w:after="0" w:afterAutospacing="0" w:line="400" w:lineRule="exact"/>
              <w:rPr>
                <w:rFonts w:hint="eastAsia" w:ascii="宋体" w:hAnsi="宋体" w:eastAsia="宋体" w:cs="宋体"/>
                <w:color w:val="auto"/>
                <w:kern w:val="0"/>
                <w:szCs w:val="21"/>
                <w:highlight w:val="none"/>
                <w:u w:val="single"/>
              </w:rPr>
            </w:pPr>
          </w:p>
          <w:p w14:paraId="79187AD6">
            <w:pPr>
              <w:widowControl/>
              <w:snapToGrid w:val="0"/>
              <w:spacing w:after="0" w:afterAutospacing="0"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（项目业主单位名称）：</w:t>
            </w:r>
            <w:r>
              <w:rPr>
                <w:rFonts w:hint="eastAsia" w:ascii="宋体" w:hAnsi="宋体" w:eastAsia="宋体" w:cs="宋体"/>
                <w:color w:val="auto"/>
                <w:kern w:val="0"/>
                <w:szCs w:val="21"/>
                <w:highlight w:val="none"/>
                <w:u w:val="single"/>
              </w:rPr>
              <w:br w:type="textWrapping"/>
            </w:r>
            <w:r>
              <w:rPr>
                <w:rFonts w:hint="eastAsia" w:ascii="宋体" w:hAnsi="宋体" w:eastAsia="宋体" w:cs="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eastAsia="宋体" w:cs="宋体"/>
                <w:color w:val="auto"/>
                <w:kern w:val="0"/>
                <w:szCs w:val="21"/>
                <w:highlight w:val="none"/>
              </w:rPr>
              <w:br w:type="textWrapping"/>
            </w:r>
          </w:p>
          <w:p w14:paraId="2C671510">
            <w:pPr>
              <w:widowControl/>
              <w:snapToGrid w:val="0"/>
              <w:spacing w:after="0" w:afterAutospacing="0" w:line="400" w:lineRule="exact"/>
              <w:ind w:firstLine="1260" w:firstLineChars="6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施工单位项目负责人签名（加盖项目章）：</w:t>
            </w:r>
            <w:r>
              <w:rPr>
                <w:rFonts w:hint="eastAsia" w:ascii="宋体" w:hAnsi="宋体" w:eastAsia="宋体" w:cs="宋体"/>
                <w:color w:val="auto"/>
                <w:kern w:val="0"/>
                <w:szCs w:val="21"/>
                <w:highlight w:val="none"/>
                <w:u w:val="single"/>
              </w:rPr>
              <w:t xml:space="preserve">        </w:t>
            </w:r>
          </w:p>
        </w:tc>
      </w:tr>
      <w:tr w14:paraId="79A1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0226E0EC">
            <w:pPr>
              <w:widowControl/>
              <w:snapToGrid w:val="0"/>
              <w:spacing w:after="0" w:afterAutospacing="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监理单位意见：</w:t>
            </w:r>
          </w:p>
        </w:tc>
        <w:tc>
          <w:tcPr>
            <w:tcW w:w="6201" w:type="dxa"/>
            <w:vAlign w:val="top"/>
          </w:tcPr>
          <w:p w14:paraId="03651F54">
            <w:pPr>
              <w:widowControl/>
              <w:snapToGrid w:val="0"/>
              <w:spacing w:after="0" w:afterAutospacing="0" w:line="400" w:lineRule="exact"/>
              <w:rPr>
                <w:rFonts w:hint="eastAsia" w:ascii="宋体" w:hAnsi="宋体" w:eastAsia="宋体" w:cs="宋体"/>
                <w:color w:val="auto"/>
                <w:kern w:val="0"/>
                <w:szCs w:val="21"/>
                <w:highlight w:val="none"/>
                <w:u w:val="single"/>
              </w:rPr>
            </w:pPr>
          </w:p>
          <w:p w14:paraId="2C1AB86F">
            <w:pPr>
              <w:widowControl/>
              <w:snapToGrid w:val="0"/>
              <w:spacing w:after="0" w:afterAutospacing="0" w:line="40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总监签名并加盖项目章：</w:t>
            </w:r>
            <w:r>
              <w:rPr>
                <w:rFonts w:hint="eastAsia" w:ascii="宋体" w:hAnsi="宋体" w:eastAsia="宋体" w:cs="宋体"/>
                <w:color w:val="auto"/>
                <w:kern w:val="0"/>
                <w:szCs w:val="21"/>
                <w:highlight w:val="none"/>
                <w:u w:val="single"/>
              </w:rPr>
              <w:t xml:space="preserve">        </w:t>
            </w:r>
          </w:p>
        </w:tc>
      </w:tr>
      <w:tr w14:paraId="3914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3C4A13CD">
            <w:pPr>
              <w:widowControl/>
              <w:snapToGrid w:val="0"/>
              <w:spacing w:after="0" w:afterAutospacing="0"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工程部项目负责人意见：</w:t>
            </w:r>
          </w:p>
        </w:tc>
        <w:tc>
          <w:tcPr>
            <w:tcW w:w="6201" w:type="dxa"/>
            <w:vAlign w:val="top"/>
          </w:tcPr>
          <w:p w14:paraId="5347F9BB">
            <w:pPr>
              <w:widowControl/>
              <w:snapToGrid w:val="0"/>
              <w:spacing w:after="0" w:afterAutospacing="0" w:line="400" w:lineRule="exact"/>
              <w:rPr>
                <w:rFonts w:hint="eastAsia" w:ascii="宋体" w:hAnsi="宋体" w:eastAsia="宋体" w:cs="宋体"/>
                <w:color w:val="auto"/>
                <w:kern w:val="0"/>
                <w:szCs w:val="21"/>
                <w:highlight w:val="none"/>
                <w:u w:val="single"/>
              </w:rPr>
            </w:pPr>
          </w:p>
          <w:p w14:paraId="34A26D68">
            <w:pPr>
              <w:widowControl/>
              <w:snapToGrid w:val="0"/>
              <w:spacing w:after="0" w:afterAutospacing="0" w:line="40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项目负责人签名：</w:t>
            </w:r>
            <w:r>
              <w:rPr>
                <w:rFonts w:hint="eastAsia" w:ascii="宋体" w:hAnsi="宋体" w:eastAsia="宋体" w:cs="宋体"/>
                <w:color w:val="auto"/>
                <w:kern w:val="0"/>
                <w:szCs w:val="21"/>
                <w:highlight w:val="none"/>
                <w:u w:val="single"/>
              </w:rPr>
              <w:t xml:space="preserve">        </w:t>
            </w:r>
          </w:p>
        </w:tc>
      </w:tr>
    </w:tbl>
    <w:p w14:paraId="3C3FC6E3">
      <w:pPr>
        <w:spacing w:after="0" w:afterAutospacing="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667"/>
    <w:p w14:paraId="335CCF79">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0"/>
          <w:highlight w:val="none"/>
        </w:rPr>
        <w:t>附件1</w:t>
      </w:r>
      <w:r>
        <w:rPr>
          <w:rFonts w:hint="eastAsia" w:ascii="宋体" w:hAnsi="宋体" w:cs="宋体"/>
          <w:color w:val="auto"/>
          <w:szCs w:val="20"/>
          <w:highlight w:val="none"/>
          <w:lang w:val="en-US" w:eastAsia="zh-CN"/>
        </w:rPr>
        <w:t>1</w:t>
      </w:r>
      <w:r>
        <w:rPr>
          <w:rFonts w:hint="eastAsia" w:ascii="宋体" w:hAnsi="宋体" w:eastAsia="宋体" w:cs="宋体"/>
          <w:color w:val="auto"/>
          <w:szCs w:val="21"/>
          <w:highlight w:val="none"/>
        </w:rPr>
        <w:t>：质量保证金保函（如有）</w:t>
      </w:r>
    </w:p>
    <w:p w14:paraId="3E00E7C0">
      <w:pPr>
        <w:spacing w:after="0" w:afterAutospacing="0" w:line="360" w:lineRule="auto"/>
        <w:jc w:val="center"/>
        <w:rPr>
          <w:rFonts w:hint="eastAsia" w:ascii="宋体" w:hAnsi="宋体" w:eastAsia="宋体" w:cs="宋体"/>
          <w:color w:val="auto"/>
          <w:szCs w:val="21"/>
          <w:highlight w:val="none"/>
        </w:rPr>
      </w:pPr>
    </w:p>
    <w:p w14:paraId="41DCB429">
      <w:pPr>
        <w:spacing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工程质量保函示范文本</w:t>
      </w:r>
    </w:p>
    <w:p w14:paraId="492A48A5">
      <w:pPr>
        <w:wordWrap w:val="0"/>
        <w:spacing w:after="0" w:afterAutospacing="0"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395D99A">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申请人：</w:t>
      </w:r>
    </w:p>
    <w:p w14:paraId="33197A24">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1106725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w:t>
      </w:r>
    </w:p>
    <w:p w14:paraId="3CA3132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202C9B6C">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开立人：</w:t>
      </w:r>
    </w:p>
    <w:p w14:paraId="0B4F9C68">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p w14:paraId="1B824DA3">
      <w:pPr>
        <w:spacing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（受益人名称）： </w:t>
      </w:r>
    </w:p>
    <w:p w14:paraId="3C7D997E">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（以下简称“受益人”）与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（以下简称“申请人”）于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工程（以下简称“本工程”）施工和有关事项协商一致共同签订</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（合同名称）合同编号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5ABA74AD">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一、本保函担保范围：承包人未按照合同约定履行工程缺陷责任期内的保修义务，应当向贵方承担的违约责任和赔偿因此造成的损失、利息、律师费、诉讼费用等实现债权的费用。</w:t>
      </w:r>
    </w:p>
    <w:p w14:paraId="3051AB83">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二、本保函担保金额最高不超过人民币（大写）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A96A03">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三、本保函有效期（保证期间）为以下第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w:t>
      </w:r>
    </w:p>
    <w:p w14:paraId="0E75E65C">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（1）本保函有效期至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5EC8C2">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F43956F">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四、我方承诺，在收到受益人发来的书面索赔通知和本保函原件后的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个工作日内无条件支付至受益人指定账户，前述书面索赔通知即为付款要求之单据，且应满足以下要求：</w:t>
      </w:r>
    </w:p>
    <w:p w14:paraId="345E86DD">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（1）索赔通知到达的日期在本保函的有效期内；</w:t>
      </w:r>
    </w:p>
    <w:p w14:paraId="3995225F">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（2）载明要求支付的金额；</w:t>
      </w:r>
    </w:p>
    <w:p w14:paraId="314ACEE8">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（3）载明申请人违反合同义务的条款和内容；</w:t>
      </w:r>
    </w:p>
    <w:p w14:paraId="36A1193F">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（4）声明不存在合同文件约定或我国法律规定免除申请人或开立人支付责任的情形；</w:t>
      </w:r>
    </w:p>
    <w:p w14:paraId="4408BFC9">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（5）索赔通知应在本保函有效期内到达的地址是：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703E73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受益人发出的书面索赔通知应由其为鉴明受益人法定代表人（负责人）或授权代理人签名或盖个人名章并加盖公章。</w:t>
      </w:r>
    </w:p>
    <w:p w14:paraId="5157D0DB">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五、本保函项下的权利不得转让，不得设定担保。贵方未经我方书面同意转让本保函或其项下任何权利，对我方不发生法律效力。</w:t>
      </w:r>
    </w:p>
    <w:p w14:paraId="54B9DED1">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六、与本保函有关的合同不成立、不生效、无效、被撤销、被解除，不影响本保函的独立有效。 </w:t>
      </w:r>
    </w:p>
    <w:p w14:paraId="64542A87">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380CC909">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八、本保函适用的法律为中华人民共和国法律，争议裁判管辖地为中华人民共和国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F38C53">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九、本保函自我方法定代表人或授权代表签名或盖个人名章并加盖公章或合同专用章之日起生效。</w:t>
      </w:r>
    </w:p>
    <w:p w14:paraId="54621812">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十、本保函在重庆市辖区范围内的核验地点：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；核验方式：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AC5F93E">
      <w:pPr>
        <w:spacing w:after="0" w:afterAutospacing="0" w:line="360" w:lineRule="auto"/>
        <w:ind w:firstLine="420" w:firstLineChars="200"/>
        <w:rPr>
          <w:rFonts w:hint="eastAsia" w:ascii="宋体" w:hAnsi="宋体" w:eastAsia="宋体" w:cs="宋体"/>
          <w:color w:val="auto"/>
          <w:szCs w:val="21"/>
          <w:highlight w:val="none"/>
        </w:rPr>
      </w:pPr>
    </w:p>
    <w:p w14:paraId="466DE15F">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 立 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7FBE316B">
      <w:pPr>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（签名或盖个人名章）</w:t>
      </w:r>
    </w:p>
    <w:p w14:paraId="50348376">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E6AFC5D">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559B2AE">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DFFA343">
      <w:pPr>
        <w:overflowPunct w:val="0"/>
        <w:spacing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7AE9DCE">
      <w:pPr>
        <w:spacing w:after="0" w:afterAutospacing="0" w:line="240" w:lineRule="exact"/>
        <w:ind w:firstLine="420" w:firstLineChars="200"/>
      </w:pPr>
      <w:r>
        <w:rPr>
          <w:rFonts w:hint="eastAsia" w:ascii="宋体" w:hAnsi="宋体" w:eastAsia="宋体" w:cs="宋体"/>
          <w:color w:val="auto"/>
          <w:szCs w:val="21"/>
          <w:highlight w:val="none"/>
        </w:rPr>
        <w:t>开立时间：    年    月    日</w:t>
      </w:r>
      <w:bookmarkStart w:id="1602" w:name="招标文件05章工程量清单"/>
      <w:bookmarkEnd w:id="1602"/>
    </w:p>
    <w:p w14:paraId="337AF9B0">
      <w:pPr>
        <w:rPr>
          <w:rFonts w:hint="eastAsia" w:ascii="宋体" w:hAnsi="宋体" w:cs="宋体"/>
          <w:color w:val="auto"/>
          <w:highlight w:val="none"/>
        </w:rPr>
      </w:pPr>
      <w:r>
        <w:rPr>
          <w:rFonts w:hint="eastAsia" w:ascii="宋体" w:hAnsi="宋体" w:cs="宋体"/>
          <w:color w:val="auto"/>
          <w:highlight w:val="none"/>
        </w:rPr>
        <w:br w:type="page"/>
      </w:r>
    </w:p>
    <w:p w14:paraId="74EC38C1">
      <w:pPr>
        <w:pStyle w:val="2"/>
        <w:rPr>
          <w:rFonts w:hint="eastAsia"/>
        </w:rPr>
      </w:pPr>
    </w:p>
    <w:p w14:paraId="32A638E9">
      <w:pPr>
        <w:pStyle w:val="2"/>
        <w:rPr>
          <w:color w:val="auto"/>
          <w:highlight w:val="none"/>
        </w:rPr>
      </w:pPr>
    </w:p>
    <w:p w14:paraId="1AA5E34E">
      <w:pPr>
        <w:pStyle w:val="3"/>
        <w:spacing w:before="0" w:after="0" w:line="360" w:lineRule="auto"/>
        <w:jc w:val="center"/>
        <w:rPr>
          <w:rFonts w:ascii="宋体" w:hAnsi="宋体"/>
          <w:color w:val="auto"/>
          <w:highlight w:val="none"/>
        </w:rPr>
      </w:pPr>
      <w:bookmarkStart w:id="1603" w:name="_Toc287607855"/>
      <w:bookmarkStart w:id="1604" w:name="_Toc57905910"/>
      <w:bookmarkStart w:id="1605" w:name="_Toc430530513"/>
      <w:bookmarkStart w:id="1606" w:name="_Toc534185822"/>
      <w:bookmarkStart w:id="1607" w:name="_Toc16194"/>
      <w:bookmarkStart w:id="1608" w:name="_Toc287620797"/>
      <w:bookmarkStart w:id="1609" w:name="_Toc509218843"/>
      <w:r>
        <w:rPr>
          <w:rFonts w:hint="eastAsia" w:ascii="宋体" w:hAnsi="宋体"/>
          <w:color w:val="auto"/>
          <w:highlight w:val="none"/>
        </w:rPr>
        <w:t>第五章  工程量清单</w:t>
      </w:r>
      <w:bookmarkEnd w:id="1603"/>
      <w:bookmarkEnd w:id="1604"/>
      <w:bookmarkEnd w:id="1605"/>
      <w:bookmarkEnd w:id="1606"/>
      <w:bookmarkEnd w:id="1607"/>
      <w:bookmarkEnd w:id="1608"/>
      <w:bookmarkEnd w:id="1609"/>
      <w:bookmarkStart w:id="1610" w:name="招标文件05章工程量清单01"/>
      <w:bookmarkEnd w:id="1610"/>
      <w:bookmarkStart w:id="1611" w:name="_Toc287620798"/>
      <w:bookmarkStart w:id="1612" w:name="_Toc430530514"/>
      <w:bookmarkStart w:id="1613" w:name="_Toc224103477"/>
      <w:bookmarkStart w:id="1614" w:name="_Toc277082638"/>
      <w:bookmarkStart w:id="1615" w:name="_Toc287607856"/>
    </w:p>
    <w:bookmarkEnd w:id="1611"/>
    <w:bookmarkEnd w:id="1612"/>
    <w:bookmarkEnd w:id="1613"/>
    <w:bookmarkEnd w:id="1614"/>
    <w:bookmarkEnd w:id="1615"/>
    <w:p w14:paraId="3D6E23F7">
      <w:pPr>
        <w:snapToGrid w:val="0"/>
        <w:spacing w:line="360" w:lineRule="auto"/>
        <w:jc w:val="center"/>
        <w:rPr>
          <w:rFonts w:ascii="宋体" w:hAnsi="宋体"/>
          <w:color w:val="auto"/>
          <w:sz w:val="24"/>
          <w:highlight w:val="none"/>
        </w:rPr>
      </w:pPr>
    </w:p>
    <w:p w14:paraId="0BCE5148">
      <w:pPr>
        <w:snapToGrid w:val="0"/>
        <w:spacing w:line="360" w:lineRule="auto"/>
        <w:jc w:val="center"/>
        <w:rPr>
          <w:rFonts w:ascii="宋体" w:hAnsi="宋体"/>
          <w:color w:val="auto"/>
          <w:szCs w:val="21"/>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行采家（https://www.gec123.com/）</w:t>
      </w:r>
      <w:r>
        <w:rPr>
          <w:rFonts w:hint="eastAsia" w:ascii="宋体" w:hAnsi="宋体"/>
          <w:color w:val="auto"/>
          <w:szCs w:val="20"/>
          <w:highlight w:val="none"/>
        </w:rPr>
        <w:t>下载。</w:t>
      </w:r>
    </w:p>
    <w:p w14:paraId="3D3A736B">
      <w:pPr>
        <w:ind w:right="561"/>
        <w:rPr>
          <w:rFonts w:ascii="宋体" w:hAnsi="宋体"/>
          <w:color w:val="auto"/>
          <w:szCs w:val="20"/>
          <w:highlight w:val="none"/>
        </w:rPr>
      </w:pPr>
      <w:r>
        <w:rPr>
          <w:rFonts w:ascii="宋体" w:hAnsi="宋体"/>
          <w:color w:val="auto"/>
          <w:szCs w:val="20"/>
          <w:highlight w:val="none"/>
        </w:rPr>
        <w:br w:type="page"/>
      </w:r>
    </w:p>
    <w:p w14:paraId="6AEB835A">
      <w:pPr>
        <w:pStyle w:val="3"/>
        <w:spacing w:line="360" w:lineRule="auto"/>
        <w:jc w:val="center"/>
        <w:rPr>
          <w:rFonts w:ascii="宋体" w:hAnsi="宋体"/>
          <w:color w:val="auto"/>
          <w:highlight w:val="none"/>
        </w:rPr>
      </w:pPr>
      <w:bookmarkStart w:id="1616" w:name="招标文件06章图纸"/>
      <w:bookmarkEnd w:id="1616"/>
      <w:bookmarkStart w:id="1617" w:name="_Toc287607861"/>
      <w:bookmarkStart w:id="1618" w:name="_Toc22154"/>
      <w:bookmarkStart w:id="1619" w:name="_Toc287620803"/>
      <w:bookmarkStart w:id="1620" w:name="_Toc509218846"/>
      <w:bookmarkStart w:id="1621" w:name="_Toc534185825"/>
      <w:bookmarkStart w:id="1622" w:name="_Toc57905912"/>
      <w:bookmarkStart w:id="1623" w:name="_Toc430530519"/>
      <w:r>
        <w:rPr>
          <w:rFonts w:hint="eastAsia" w:ascii="宋体" w:hAnsi="宋体"/>
          <w:color w:val="auto"/>
          <w:highlight w:val="none"/>
        </w:rPr>
        <w:t>第六章  图纸</w:t>
      </w:r>
      <w:bookmarkEnd w:id="1617"/>
      <w:bookmarkEnd w:id="1618"/>
      <w:bookmarkEnd w:id="1619"/>
      <w:bookmarkEnd w:id="1620"/>
      <w:bookmarkEnd w:id="1621"/>
      <w:bookmarkEnd w:id="1622"/>
      <w:bookmarkEnd w:id="1623"/>
    </w:p>
    <w:p w14:paraId="06155D77">
      <w:pPr>
        <w:spacing w:line="360" w:lineRule="auto"/>
        <w:jc w:val="center"/>
        <w:rPr>
          <w:rFonts w:ascii="宋体" w:hAnsi="宋体"/>
          <w:color w:val="auto"/>
          <w:szCs w:val="20"/>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行采家（https://www.gec123.com/）</w:t>
      </w:r>
      <w:r>
        <w:rPr>
          <w:rFonts w:hint="eastAsia" w:ascii="宋体" w:hAnsi="宋体"/>
          <w:color w:val="auto"/>
          <w:szCs w:val="20"/>
          <w:highlight w:val="none"/>
        </w:rPr>
        <w:t>下载。</w:t>
      </w:r>
    </w:p>
    <w:p w14:paraId="058AE8D3">
      <w:pPr>
        <w:spacing w:line="360" w:lineRule="auto"/>
        <w:rPr>
          <w:rFonts w:ascii="宋体" w:hAnsi="宋体"/>
          <w:color w:val="auto"/>
          <w:szCs w:val="20"/>
          <w:highlight w:val="none"/>
        </w:rPr>
      </w:pPr>
      <w:bookmarkStart w:id="1624" w:name="招标文件06章图纸01"/>
      <w:bookmarkEnd w:id="1624"/>
      <w:bookmarkStart w:id="1625" w:name="_Toc287620804"/>
      <w:bookmarkStart w:id="1626" w:name="_Toc430530520"/>
    </w:p>
    <w:bookmarkEnd w:id="1625"/>
    <w:bookmarkEnd w:id="1626"/>
    <w:p w14:paraId="0E687E40">
      <w:pPr>
        <w:spacing w:line="360" w:lineRule="auto"/>
        <w:rPr>
          <w:color w:val="auto"/>
          <w:highlight w:val="none"/>
        </w:rPr>
      </w:pPr>
      <w:bookmarkStart w:id="1627" w:name="_Toc536796850"/>
      <w:bookmarkStart w:id="1628" w:name="_Toc536621880"/>
      <w:bookmarkStart w:id="1629" w:name="_Toc13211206"/>
      <w:bookmarkStart w:id="1630" w:name="_Toc536797255"/>
      <w:bookmarkStart w:id="1631" w:name="_Toc536628344"/>
      <w:bookmarkStart w:id="1632" w:name="_Toc536797121"/>
      <w:bookmarkStart w:id="1633" w:name="_Toc536619968"/>
      <w:bookmarkStart w:id="1634" w:name="_Toc536797390"/>
      <w:bookmarkStart w:id="1635" w:name="_Toc536620100"/>
      <w:bookmarkStart w:id="1636" w:name="_Toc13211764"/>
      <w:bookmarkStart w:id="1637" w:name="_Toc534185826"/>
      <w:bookmarkStart w:id="1638" w:name="_Toc13210772"/>
      <w:bookmarkStart w:id="1639" w:name="_Toc536796986"/>
      <w:r>
        <w:rPr>
          <w:color w:val="auto"/>
          <w:highlight w:val="none"/>
        </w:rPr>
        <w:br w:type="page"/>
      </w:r>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65E27C53">
      <w:pPr>
        <w:pStyle w:val="3"/>
        <w:spacing w:line="360" w:lineRule="auto"/>
        <w:jc w:val="center"/>
        <w:rPr>
          <w:rFonts w:ascii="宋体" w:hAnsi="宋体"/>
          <w:color w:val="auto"/>
          <w:highlight w:val="none"/>
        </w:rPr>
      </w:pPr>
      <w:bookmarkStart w:id="1640" w:name="招标文件07章技术标准和要求"/>
      <w:bookmarkEnd w:id="1640"/>
      <w:bookmarkStart w:id="1641" w:name="_Toc17170"/>
      <w:bookmarkStart w:id="1642" w:name="_Toc57905914"/>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1641"/>
      <w:bookmarkEnd w:id="1642"/>
      <w:bookmarkStart w:id="1643" w:name="招标文件07章技术标准和要求01"/>
      <w:bookmarkEnd w:id="1643"/>
      <w:bookmarkStart w:id="1644" w:name="_Toc287620808"/>
      <w:bookmarkStart w:id="1645" w:name="_Toc430530524"/>
    </w:p>
    <w:bookmarkEnd w:id="1644"/>
    <w:bookmarkEnd w:id="1645"/>
    <w:p w14:paraId="5C902CA4">
      <w:pPr>
        <w:spacing w:line="360" w:lineRule="auto"/>
        <w:jc w:val="center"/>
        <w:rPr>
          <w:color w:val="auto"/>
          <w:highlight w:val="none"/>
        </w:rPr>
      </w:pPr>
      <w:r>
        <w:rPr>
          <w:rFonts w:hint="eastAsia" w:ascii="宋体" w:hAnsi="宋体" w:cs="宋体"/>
          <w:color w:val="auto"/>
          <w:highlight w:val="none"/>
        </w:rPr>
        <w:t>本工程技术要求详见设计图纸、设计说明书。依据设计施工图纸和技术文件的要求，本工程项目的材料、设备、施工必须达到现行规范及标准规定的要求</w:t>
      </w:r>
      <w:r>
        <w:rPr>
          <w:rFonts w:hint="eastAsia" w:ascii="宋体" w:hAnsi="宋体" w:cs="宋体"/>
          <w:color w:val="auto"/>
          <w:szCs w:val="21"/>
          <w:highlight w:val="none"/>
        </w:rPr>
        <w:t>。</w:t>
      </w:r>
      <w:r>
        <w:rPr>
          <w:color w:val="auto"/>
          <w:highlight w:val="none"/>
        </w:rPr>
        <w:br w:type="page"/>
      </w:r>
      <w:bookmarkStart w:id="1646" w:name="招标文件08章投标文件格式"/>
      <w:bookmarkEnd w:id="1646"/>
      <w:bookmarkStart w:id="1647" w:name="_Toc287620812"/>
      <w:bookmarkStart w:id="1648" w:name="_Toc287607865"/>
    </w:p>
    <w:p w14:paraId="73F56151">
      <w:pPr>
        <w:pStyle w:val="3"/>
        <w:spacing w:line="360" w:lineRule="auto"/>
        <w:jc w:val="center"/>
        <w:rPr>
          <w:rFonts w:ascii="宋体" w:hAnsi="宋体"/>
          <w:color w:val="auto"/>
          <w:highlight w:val="none"/>
        </w:rPr>
      </w:pPr>
      <w:bookmarkStart w:id="1649" w:name="_Toc534185829"/>
      <w:bookmarkStart w:id="1650" w:name="_Toc430530528"/>
      <w:bookmarkStart w:id="1651" w:name="_Toc509218852"/>
      <w:bookmarkStart w:id="1652" w:name="_Toc23843"/>
      <w:bookmarkStart w:id="1653" w:name="_Toc57905916"/>
      <w:r>
        <w:rPr>
          <w:rFonts w:hint="eastAsia" w:ascii="宋体" w:hAnsi="宋体"/>
          <w:color w:val="auto"/>
          <w:highlight w:val="none"/>
        </w:rPr>
        <w:t xml:space="preserve">第八章  </w:t>
      </w:r>
      <w:r>
        <w:rPr>
          <w:rFonts w:hint="eastAsia" w:ascii="宋体" w:hAnsi="宋体"/>
          <w:color w:val="auto"/>
          <w:highlight w:val="none"/>
          <w:lang w:eastAsia="zh-CN"/>
        </w:rPr>
        <w:t>竞选文件</w:t>
      </w:r>
      <w:r>
        <w:rPr>
          <w:rFonts w:hint="eastAsia" w:ascii="宋体" w:hAnsi="宋体"/>
          <w:color w:val="auto"/>
          <w:highlight w:val="none"/>
        </w:rPr>
        <w:t>格式</w:t>
      </w:r>
      <w:bookmarkEnd w:id="1647"/>
      <w:bookmarkEnd w:id="1648"/>
      <w:bookmarkEnd w:id="1649"/>
      <w:bookmarkEnd w:id="1650"/>
      <w:bookmarkEnd w:id="1651"/>
      <w:bookmarkEnd w:id="1652"/>
      <w:bookmarkEnd w:id="1653"/>
    </w:p>
    <w:p w14:paraId="50182493">
      <w:pPr>
        <w:spacing w:line="360" w:lineRule="auto"/>
        <w:rPr>
          <w:rFonts w:ascii="宋体" w:hAnsi="宋体"/>
          <w:color w:val="auto"/>
          <w:sz w:val="32"/>
          <w:szCs w:val="32"/>
          <w:highlight w:val="none"/>
        </w:rPr>
      </w:pPr>
    </w:p>
    <w:p w14:paraId="78C76392">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1654" w:name="_Toc224103493"/>
      <w:r>
        <w:rPr>
          <w:rFonts w:hint="eastAsia" w:ascii="宋体" w:hAnsi="宋体"/>
          <w:color w:val="auto"/>
          <w:sz w:val="36"/>
          <w:szCs w:val="36"/>
          <w:highlight w:val="none"/>
        </w:rPr>
        <w:t>目  录</w:t>
      </w:r>
      <w:bookmarkEnd w:id="1654"/>
    </w:p>
    <w:p w14:paraId="481FF4EA">
      <w:pPr>
        <w:spacing w:line="360" w:lineRule="auto"/>
        <w:jc w:val="center"/>
        <w:rPr>
          <w:rFonts w:ascii="宋体" w:hAnsi="宋体"/>
          <w:color w:val="auto"/>
          <w:szCs w:val="20"/>
          <w:highlight w:val="none"/>
        </w:rPr>
      </w:pPr>
    </w:p>
    <w:p w14:paraId="5621A2A8">
      <w:pPr>
        <w:spacing w:line="360" w:lineRule="auto"/>
        <w:rPr>
          <w:rFonts w:ascii="宋体" w:hAnsi="宋体"/>
          <w:b/>
          <w:color w:val="auto"/>
          <w:highlight w:val="none"/>
        </w:rPr>
      </w:pPr>
      <w:r>
        <w:rPr>
          <w:rFonts w:hint="eastAsia" w:ascii="宋体" w:hAnsi="宋体"/>
          <w:b/>
          <w:color w:val="auto"/>
          <w:highlight w:val="none"/>
          <w:lang w:val="en-US" w:eastAsia="zh-CN"/>
        </w:rPr>
        <w:t>一</w:t>
      </w:r>
      <w:r>
        <w:rPr>
          <w:rFonts w:ascii="宋体" w:hAnsi="宋体"/>
          <w:b/>
          <w:color w:val="auto"/>
          <w:highlight w:val="none"/>
        </w:rPr>
        <w:t>、投标函部分</w:t>
      </w:r>
    </w:p>
    <w:p w14:paraId="38F0F5AD">
      <w:pPr>
        <w:spacing w:line="360" w:lineRule="auto"/>
        <w:ind w:firstLine="420" w:firstLineChars="200"/>
        <w:rPr>
          <w:rFonts w:ascii="宋体" w:hAnsi="宋体"/>
          <w:color w:val="auto"/>
          <w:highlight w:val="none"/>
        </w:rPr>
      </w:pPr>
      <w:r>
        <w:rPr>
          <w:rFonts w:ascii="宋体" w:hAnsi="宋体"/>
          <w:color w:val="auto"/>
          <w:highlight w:val="none"/>
        </w:rPr>
        <w:t>（一）投标函</w:t>
      </w:r>
    </w:p>
    <w:p w14:paraId="66A8A97C">
      <w:pPr>
        <w:spacing w:line="360" w:lineRule="auto"/>
        <w:ind w:firstLine="420" w:firstLineChars="200"/>
        <w:rPr>
          <w:rFonts w:ascii="宋体" w:hAnsi="宋体"/>
          <w:color w:val="auto"/>
          <w:highlight w:val="none"/>
        </w:rPr>
      </w:pPr>
      <w:r>
        <w:rPr>
          <w:rFonts w:ascii="宋体" w:hAnsi="宋体"/>
          <w:color w:val="auto"/>
          <w:highlight w:val="none"/>
        </w:rPr>
        <w:t>（二）投标函附录</w:t>
      </w:r>
    </w:p>
    <w:p w14:paraId="78A35E2E">
      <w:pPr>
        <w:spacing w:line="360" w:lineRule="auto"/>
        <w:ind w:firstLine="420" w:firstLineChars="200"/>
        <w:rPr>
          <w:rFonts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14:paraId="54EFBCBA">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w:t>
      </w:r>
      <w:r>
        <w:rPr>
          <w:rFonts w:hint="eastAsia" w:ascii="宋体" w:hAnsi="宋体"/>
          <w:b/>
          <w:color w:val="auto"/>
          <w:highlight w:val="none"/>
        </w:rPr>
        <w:t>经济</w:t>
      </w:r>
      <w:r>
        <w:rPr>
          <w:rFonts w:ascii="宋体" w:hAnsi="宋体"/>
          <w:b/>
          <w:color w:val="auto"/>
          <w:highlight w:val="none"/>
        </w:rPr>
        <w:t>部分</w:t>
      </w:r>
    </w:p>
    <w:p w14:paraId="238AA228">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6AC87AA0">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、技术部分</w:t>
      </w:r>
    </w:p>
    <w:p w14:paraId="4858F6A0">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3E164524">
      <w:pPr>
        <w:spacing w:line="360" w:lineRule="auto"/>
        <w:rPr>
          <w:rFonts w:ascii="宋体" w:hAnsi="宋体"/>
          <w:b/>
          <w:color w:val="auto"/>
          <w:highlight w:val="none"/>
        </w:rPr>
      </w:pPr>
      <w:r>
        <w:rPr>
          <w:rFonts w:hint="eastAsia" w:ascii="宋体" w:hAnsi="宋体"/>
          <w:b/>
          <w:color w:val="auto"/>
          <w:highlight w:val="none"/>
          <w:lang w:val="en-US" w:eastAsia="zh-CN"/>
        </w:rPr>
        <w:t>四</w:t>
      </w:r>
      <w:r>
        <w:rPr>
          <w:rFonts w:ascii="宋体" w:hAnsi="宋体"/>
          <w:b/>
          <w:color w:val="auto"/>
          <w:highlight w:val="none"/>
        </w:rPr>
        <w:t>、</w:t>
      </w:r>
      <w:r>
        <w:rPr>
          <w:rFonts w:hint="eastAsia" w:ascii="宋体" w:hAnsi="宋体"/>
          <w:b/>
          <w:color w:val="auto"/>
          <w:highlight w:val="none"/>
        </w:rPr>
        <w:t>资格审查部分</w:t>
      </w:r>
    </w:p>
    <w:p w14:paraId="4C05E854">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68C79D4E">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lang w:eastAsia="zh-CN"/>
        </w:rPr>
        <w:t>竞选人</w:t>
      </w:r>
      <w:r>
        <w:rPr>
          <w:rFonts w:ascii="宋体" w:hAnsi="宋体"/>
          <w:color w:val="auto"/>
          <w:szCs w:val="21"/>
          <w:highlight w:val="none"/>
        </w:rPr>
        <w:t>基本情况表</w:t>
      </w:r>
    </w:p>
    <w:p w14:paraId="4940996A">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）项目管理机构</w:t>
      </w:r>
    </w:p>
    <w:p w14:paraId="468F5403">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w:t>
      </w:r>
      <w:r>
        <w:rPr>
          <w:rFonts w:hint="eastAsia" w:ascii="宋体" w:hAnsi="宋体"/>
          <w:color w:val="auto"/>
          <w:szCs w:val="21"/>
          <w:highlight w:val="none"/>
        </w:rPr>
        <w:t>承诺</w:t>
      </w:r>
    </w:p>
    <w:p w14:paraId="231477B0">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五</w:t>
      </w:r>
      <w:r>
        <w:rPr>
          <w:rFonts w:ascii="宋体" w:hAnsi="宋体"/>
          <w:color w:val="auto"/>
          <w:szCs w:val="21"/>
          <w:highlight w:val="none"/>
        </w:rPr>
        <w:t>）其他资料</w:t>
      </w:r>
    </w:p>
    <w:p w14:paraId="216077F3">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1655" w:name="_Toc287607866"/>
      <w:bookmarkStart w:id="1656" w:name="_Toc277082642"/>
      <w:bookmarkStart w:id="1657" w:name="_Toc287620813"/>
      <w:bookmarkStart w:id="1658" w:name="_Toc430530529"/>
      <w:bookmarkStart w:id="1659" w:name="_Toc224103494"/>
    </w:p>
    <w:p w14:paraId="0CFCA041">
      <w:pPr>
        <w:pStyle w:val="4"/>
        <w:spacing w:line="360" w:lineRule="auto"/>
        <w:jc w:val="center"/>
        <w:rPr>
          <w:rFonts w:ascii="宋体" w:hAnsi="宋体"/>
          <w:b w:val="0"/>
          <w:bCs w:val="0"/>
          <w:color w:val="auto"/>
          <w:sz w:val="44"/>
          <w:szCs w:val="44"/>
          <w:highlight w:val="none"/>
        </w:rPr>
      </w:pPr>
      <w:bookmarkStart w:id="1660" w:name="_Toc19476"/>
      <w:bookmarkStart w:id="1661" w:name="_Toc57905918"/>
      <w:r>
        <w:rPr>
          <w:rFonts w:hint="eastAsia" w:ascii="宋体" w:hAnsi="宋体"/>
          <w:b w:val="0"/>
          <w:bCs w:val="0"/>
          <w:color w:val="auto"/>
          <w:sz w:val="44"/>
          <w:szCs w:val="44"/>
          <w:highlight w:val="none"/>
        </w:rPr>
        <w:t>二、投标函部分</w:t>
      </w:r>
      <w:bookmarkEnd w:id="1655"/>
      <w:bookmarkEnd w:id="1656"/>
      <w:bookmarkEnd w:id="1657"/>
      <w:bookmarkEnd w:id="1658"/>
      <w:bookmarkEnd w:id="1659"/>
      <w:bookmarkEnd w:id="1660"/>
      <w:bookmarkEnd w:id="1661"/>
    </w:p>
    <w:p w14:paraId="1F4150DB">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4A1E0364">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3D086616">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2D73BEA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11821B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6505D8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7C7668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33C5AD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1C478B1">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707C94DB">
      <w:pPr>
        <w:autoSpaceDE w:val="0"/>
        <w:autoSpaceDN w:val="0"/>
        <w:adjustRightInd w:val="0"/>
        <w:snapToGrid w:val="0"/>
        <w:spacing w:line="360" w:lineRule="auto"/>
        <w:jc w:val="left"/>
        <w:rPr>
          <w:rFonts w:ascii="宋体" w:hAnsi="宋体"/>
          <w:color w:val="auto"/>
          <w:kern w:val="0"/>
          <w:sz w:val="16"/>
          <w:szCs w:val="16"/>
          <w:highlight w:val="none"/>
        </w:rPr>
      </w:pPr>
    </w:p>
    <w:p w14:paraId="62545FE4">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14:paraId="18A5C6AE">
      <w:pPr>
        <w:autoSpaceDE w:val="0"/>
        <w:autoSpaceDN w:val="0"/>
        <w:adjustRightInd w:val="0"/>
        <w:snapToGrid w:val="0"/>
        <w:spacing w:line="360" w:lineRule="auto"/>
        <w:jc w:val="left"/>
        <w:rPr>
          <w:rFonts w:ascii="宋体" w:hAnsi="宋体"/>
          <w:b/>
          <w:color w:val="auto"/>
          <w:kern w:val="0"/>
          <w:sz w:val="20"/>
          <w:szCs w:val="20"/>
          <w:highlight w:val="none"/>
        </w:rPr>
      </w:pPr>
    </w:p>
    <w:p w14:paraId="4B828A82">
      <w:pPr>
        <w:autoSpaceDE w:val="0"/>
        <w:autoSpaceDN w:val="0"/>
        <w:adjustRightInd w:val="0"/>
        <w:snapToGrid w:val="0"/>
        <w:spacing w:line="360" w:lineRule="auto"/>
        <w:jc w:val="left"/>
        <w:rPr>
          <w:rFonts w:ascii="宋体" w:hAnsi="宋体"/>
          <w:b/>
          <w:color w:val="auto"/>
          <w:kern w:val="0"/>
          <w:sz w:val="20"/>
          <w:szCs w:val="20"/>
          <w:highlight w:val="none"/>
        </w:rPr>
      </w:pPr>
    </w:p>
    <w:p w14:paraId="1FB1ACDE">
      <w:pPr>
        <w:autoSpaceDE w:val="0"/>
        <w:autoSpaceDN w:val="0"/>
        <w:adjustRightInd w:val="0"/>
        <w:snapToGrid w:val="0"/>
        <w:spacing w:line="360" w:lineRule="auto"/>
        <w:jc w:val="left"/>
        <w:rPr>
          <w:rFonts w:ascii="宋体" w:hAnsi="宋体"/>
          <w:b/>
          <w:color w:val="auto"/>
          <w:kern w:val="0"/>
          <w:sz w:val="20"/>
          <w:szCs w:val="20"/>
          <w:highlight w:val="none"/>
        </w:rPr>
      </w:pPr>
    </w:p>
    <w:p w14:paraId="500F56FA">
      <w:pPr>
        <w:autoSpaceDE w:val="0"/>
        <w:autoSpaceDN w:val="0"/>
        <w:adjustRightInd w:val="0"/>
        <w:snapToGrid w:val="0"/>
        <w:spacing w:line="360" w:lineRule="auto"/>
        <w:jc w:val="left"/>
        <w:rPr>
          <w:rFonts w:ascii="宋体" w:hAnsi="宋体"/>
          <w:b/>
          <w:color w:val="auto"/>
          <w:kern w:val="0"/>
          <w:sz w:val="20"/>
          <w:szCs w:val="20"/>
          <w:highlight w:val="none"/>
        </w:rPr>
      </w:pPr>
    </w:p>
    <w:p w14:paraId="252FCD31">
      <w:pPr>
        <w:autoSpaceDE w:val="0"/>
        <w:autoSpaceDN w:val="0"/>
        <w:adjustRightInd w:val="0"/>
        <w:snapToGrid w:val="0"/>
        <w:spacing w:line="360" w:lineRule="auto"/>
        <w:jc w:val="left"/>
        <w:rPr>
          <w:rFonts w:ascii="宋体" w:hAnsi="宋体"/>
          <w:b/>
          <w:color w:val="auto"/>
          <w:kern w:val="0"/>
          <w:sz w:val="20"/>
          <w:szCs w:val="20"/>
          <w:highlight w:val="none"/>
        </w:rPr>
      </w:pPr>
    </w:p>
    <w:p w14:paraId="2062C219">
      <w:pPr>
        <w:autoSpaceDE w:val="0"/>
        <w:autoSpaceDN w:val="0"/>
        <w:adjustRightInd w:val="0"/>
        <w:snapToGrid w:val="0"/>
        <w:spacing w:line="360" w:lineRule="auto"/>
        <w:jc w:val="left"/>
        <w:rPr>
          <w:rFonts w:ascii="宋体" w:hAnsi="宋体"/>
          <w:b/>
          <w:color w:val="auto"/>
          <w:kern w:val="0"/>
          <w:sz w:val="20"/>
          <w:szCs w:val="20"/>
          <w:highlight w:val="none"/>
        </w:rPr>
      </w:pPr>
    </w:p>
    <w:p w14:paraId="54E90E75">
      <w:pPr>
        <w:autoSpaceDE w:val="0"/>
        <w:autoSpaceDN w:val="0"/>
        <w:adjustRightInd w:val="0"/>
        <w:snapToGrid w:val="0"/>
        <w:spacing w:line="360" w:lineRule="auto"/>
        <w:jc w:val="left"/>
        <w:rPr>
          <w:rFonts w:ascii="宋体" w:hAnsi="宋体"/>
          <w:b/>
          <w:color w:val="auto"/>
          <w:kern w:val="0"/>
          <w:sz w:val="20"/>
          <w:szCs w:val="20"/>
          <w:highlight w:val="none"/>
        </w:rPr>
      </w:pPr>
    </w:p>
    <w:p w14:paraId="5CFD651F">
      <w:pPr>
        <w:autoSpaceDE w:val="0"/>
        <w:autoSpaceDN w:val="0"/>
        <w:adjustRightInd w:val="0"/>
        <w:snapToGrid w:val="0"/>
        <w:spacing w:line="360" w:lineRule="auto"/>
        <w:jc w:val="left"/>
        <w:rPr>
          <w:rFonts w:ascii="宋体" w:hAnsi="宋体"/>
          <w:b/>
          <w:color w:val="auto"/>
          <w:kern w:val="0"/>
          <w:sz w:val="20"/>
          <w:szCs w:val="20"/>
          <w:highlight w:val="none"/>
        </w:rPr>
      </w:pPr>
    </w:p>
    <w:p w14:paraId="2FBA5742">
      <w:pPr>
        <w:autoSpaceDE w:val="0"/>
        <w:autoSpaceDN w:val="0"/>
        <w:adjustRightInd w:val="0"/>
        <w:snapToGrid w:val="0"/>
        <w:spacing w:line="360" w:lineRule="auto"/>
        <w:jc w:val="left"/>
        <w:rPr>
          <w:rFonts w:ascii="宋体" w:hAnsi="宋体"/>
          <w:b/>
          <w:color w:val="auto"/>
          <w:kern w:val="0"/>
          <w:sz w:val="20"/>
          <w:szCs w:val="20"/>
          <w:highlight w:val="none"/>
        </w:rPr>
      </w:pPr>
    </w:p>
    <w:p w14:paraId="7A667FE9">
      <w:pPr>
        <w:autoSpaceDE w:val="0"/>
        <w:autoSpaceDN w:val="0"/>
        <w:adjustRightInd w:val="0"/>
        <w:snapToGrid w:val="0"/>
        <w:spacing w:line="360" w:lineRule="auto"/>
        <w:jc w:val="left"/>
        <w:rPr>
          <w:rFonts w:ascii="宋体" w:hAnsi="宋体"/>
          <w:b/>
          <w:color w:val="auto"/>
          <w:kern w:val="0"/>
          <w:sz w:val="20"/>
          <w:szCs w:val="20"/>
          <w:highlight w:val="none"/>
        </w:rPr>
      </w:pPr>
    </w:p>
    <w:p w14:paraId="085ED08C">
      <w:pPr>
        <w:autoSpaceDE w:val="0"/>
        <w:autoSpaceDN w:val="0"/>
        <w:adjustRightInd w:val="0"/>
        <w:snapToGrid w:val="0"/>
        <w:spacing w:line="360" w:lineRule="auto"/>
        <w:jc w:val="left"/>
        <w:rPr>
          <w:rFonts w:ascii="宋体" w:hAnsi="宋体"/>
          <w:b/>
          <w:color w:val="auto"/>
          <w:kern w:val="0"/>
          <w:sz w:val="20"/>
          <w:szCs w:val="20"/>
          <w:highlight w:val="none"/>
        </w:rPr>
      </w:pPr>
    </w:p>
    <w:p w14:paraId="14A01A1B">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1BED0083">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F912D4F">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40F6D57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3FAD6237">
      <w:pPr>
        <w:autoSpaceDE w:val="0"/>
        <w:autoSpaceDN w:val="0"/>
        <w:adjustRightInd w:val="0"/>
        <w:snapToGrid w:val="0"/>
        <w:spacing w:line="360" w:lineRule="auto"/>
        <w:jc w:val="left"/>
        <w:rPr>
          <w:rFonts w:ascii="宋体" w:hAnsi="宋体"/>
          <w:color w:val="auto"/>
          <w:kern w:val="0"/>
          <w:sz w:val="24"/>
          <w:szCs w:val="21"/>
          <w:highlight w:val="none"/>
        </w:rPr>
      </w:pPr>
    </w:p>
    <w:p w14:paraId="7A5CA3D2">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14:paraId="726DC0A1">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14:paraId="592ACEF7">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14:paraId="6F72AAD1">
      <w:pPr>
        <w:pStyle w:val="5"/>
        <w:spacing w:before="0" w:after="0" w:line="400" w:lineRule="exact"/>
        <w:jc w:val="center"/>
        <w:rPr>
          <w:rFonts w:ascii="宋体" w:hAnsi="宋体"/>
          <w:b w:val="0"/>
          <w:color w:val="auto"/>
          <w:highlight w:val="none"/>
        </w:rPr>
      </w:pPr>
      <w:bookmarkStart w:id="1662" w:name="_Toc509218854"/>
      <w:bookmarkStart w:id="1663" w:name="_Toc287620814"/>
      <w:bookmarkStart w:id="1664" w:name="_Toc287607867"/>
      <w:bookmarkStart w:id="1665" w:name="_Toc534185831"/>
      <w:bookmarkStart w:id="1666" w:name="_Toc224103495"/>
      <w:bookmarkStart w:id="1667" w:name="_Toc277082643"/>
      <w:bookmarkStart w:id="1668" w:name="_Toc430530530"/>
      <w:r>
        <w:rPr>
          <w:rFonts w:ascii="宋体" w:hAnsi="宋体"/>
          <w:color w:val="auto"/>
          <w:highlight w:val="none"/>
        </w:rPr>
        <w:br w:type="page"/>
      </w:r>
      <w:bookmarkStart w:id="1669" w:name="_Toc26071"/>
      <w:bookmarkStart w:id="1670" w:name="_Toc57905919"/>
      <w:r>
        <w:rPr>
          <w:rFonts w:hint="eastAsia"/>
          <w:color w:val="auto"/>
          <w:highlight w:val="none"/>
        </w:rPr>
        <w:t>（一）投标函</w:t>
      </w:r>
      <w:bookmarkEnd w:id="1662"/>
      <w:bookmarkEnd w:id="1663"/>
      <w:bookmarkEnd w:id="1664"/>
      <w:bookmarkEnd w:id="1665"/>
      <w:bookmarkEnd w:id="1666"/>
      <w:bookmarkEnd w:id="1667"/>
      <w:bookmarkEnd w:id="1668"/>
      <w:bookmarkEnd w:id="1669"/>
      <w:bookmarkEnd w:id="1670"/>
    </w:p>
    <w:p w14:paraId="2E7E0B77">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2B803F6E">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rPr>
        <w:t>达到</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的要求</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按合同约定实施和完成承包工程，修补工程中的任何缺陷，工程质量达到</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的要求</w:t>
      </w:r>
      <w:r>
        <w:rPr>
          <w:rFonts w:ascii="宋体" w:hAnsi="宋体"/>
          <w:snapToGrid w:val="0"/>
          <w:color w:val="auto"/>
          <w:kern w:val="0"/>
          <w:szCs w:val="21"/>
          <w:highlight w:val="none"/>
        </w:rPr>
        <w:t>。</w:t>
      </w:r>
    </w:p>
    <w:p w14:paraId="703C69B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31E11051">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人。</w:t>
      </w:r>
    </w:p>
    <w:p w14:paraId="66FF753D">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575905BB">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535DF97D">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7B3BFF3B">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规定向你方递交履约担保。</w:t>
      </w:r>
    </w:p>
    <w:p w14:paraId="7B417166">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2F55F48E">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w:t>
      </w:r>
      <w:r>
        <w:rPr>
          <w:rFonts w:hint="eastAsia" w:ascii="宋体" w:hAnsi="宋体"/>
          <w:snapToGrid w:val="0"/>
          <w:color w:val="auto"/>
          <w:kern w:val="0"/>
          <w:szCs w:val="21"/>
          <w:highlight w:val="none"/>
          <w:lang w:eastAsia="zh-CN"/>
        </w:rPr>
        <w:t>竞争性比选文件</w:t>
      </w:r>
      <w:r>
        <w:rPr>
          <w:rFonts w:hint="eastAsia" w:ascii="宋体" w:hAnsi="宋体"/>
          <w:snapToGrid w:val="0"/>
          <w:color w:val="auto"/>
          <w:kern w:val="0"/>
          <w:szCs w:val="21"/>
          <w:highlight w:val="none"/>
        </w:rPr>
        <w:t>第七章 技术标准和要求中所列的技术指标和参数要求完成全部合同工程。</w:t>
      </w:r>
    </w:p>
    <w:p w14:paraId="6B004832">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5642B97">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6452C1A0">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竞选人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158DF9E5">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6398DD86">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737A0D8">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0363FB9">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010C69EA">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85D0E2E">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2D185EB">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46247F01">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0EFBFB28">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44BCA13C">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401AF0E5">
      <w:pPr>
        <w:pStyle w:val="5"/>
        <w:jc w:val="center"/>
        <w:rPr>
          <w:rFonts w:ascii="宋体" w:hAnsi="宋体"/>
          <w:snapToGrid w:val="0"/>
          <w:color w:val="auto"/>
          <w:kern w:val="0"/>
          <w:szCs w:val="21"/>
          <w:highlight w:val="none"/>
        </w:rPr>
      </w:pPr>
      <w:bookmarkStart w:id="1671" w:name="_Toc430530531"/>
      <w:bookmarkStart w:id="1672" w:name="_Toc287607868"/>
      <w:bookmarkStart w:id="1673" w:name="_Toc287620815"/>
      <w:bookmarkStart w:id="1674" w:name="_Toc224103496"/>
      <w:bookmarkStart w:id="1675" w:name="_Toc277082644"/>
      <w:r>
        <w:rPr>
          <w:rFonts w:ascii="宋体" w:hAnsi="宋体"/>
          <w:color w:val="auto"/>
          <w:sz w:val="28"/>
          <w:highlight w:val="none"/>
        </w:rPr>
        <w:br w:type="page"/>
      </w:r>
      <w:bookmarkStart w:id="1676" w:name="_Toc57905920"/>
      <w:bookmarkStart w:id="1677" w:name="_Toc509218855"/>
      <w:bookmarkStart w:id="1678" w:name="_Toc30967"/>
      <w:bookmarkStart w:id="1679" w:name="_Toc534185832"/>
      <w:r>
        <w:rPr>
          <w:color w:val="auto"/>
          <w:highlight w:val="none"/>
        </w:rPr>
        <w:t>（二）投标函附录</w:t>
      </w:r>
      <w:bookmarkEnd w:id="1671"/>
      <w:bookmarkEnd w:id="1672"/>
      <w:bookmarkEnd w:id="1673"/>
      <w:bookmarkEnd w:id="1674"/>
      <w:bookmarkEnd w:id="1675"/>
      <w:bookmarkEnd w:id="1676"/>
      <w:bookmarkEnd w:id="1677"/>
      <w:bookmarkEnd w:id="1678"/>
      <w:bookmarkEnd w:id="167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2D223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001BFDF">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0F84A813">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2BD303F6">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323A4D54">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6E17FD1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21C8C5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C374D2F">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14:paraId="61438C86">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14:paraId="05BA4128">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vAlign w:val="center"/>
          </w:tcPr>
          <w:p w14:paraId="0F033D3A">
            <w:pPr>
              <w:tabs>
                <w:tab w:val="left" w:pos="1560"/>
              </w:tabs>
              <w:autoSpaceDE w:val="0"/>
              <w:autoSpaceDN w:val="0"/>
              <w:adjustRightInd w:val="0"/>
              <w:ind w:firstLine="630" w:firstLineChars="300"/>
              <w:jc w:val="center"/>
              <w:rPr>
                <w:rFonts w:ascii="宋体" w:hAnsi="宋体"/>
                <w:snapToGrid w:val="0"/>
                <w:color w:val="auto"/>
                <w:kern w:val="0"/>
                <w:szCs w:val="21"/>
                <w:highlight w:val="none"/>
              </w:rPr>
            </w:pPr>
          </w:p>
        </w:tc>
        <w:tc>
          <w:tcPr>
            <w:tcW w:w="792" w:type="dxa"/>
            <w:vAlign w:val="center"/>
          </w:tcPr>
          <w:p w14:paraId="4C285D05">
            <w:pPr>
              <w:autoSpaceDE w:val="0"/>
              <w:autoSpaceDN w:val="0"/>
              <w:adjustRightInd w:val="0"/>
              <w:jc w:val="center"/>
              <w:rPr>
                <w:rFonts w:ascii="宋体" w:hAnsi="宋体"/>
                <w:snapToGrid w:val="0"/>
                <w:color w:val="auto"/>
                <w:kern w:val="0"/>
                <w:szCs w:val="21"/>
                <w:highlight w:val="none"/>
              </w:rPr>
            </w:pPr>
          </w:p>
        </w:tc>
      </w:tr>
      <w:tr w14:paraId="0AABDC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F03B6E6">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14:paraId="761637DF">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14:paraId="4E502B47">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vAlign w:val="center"/>
          </w:tcPr>
          <w:p w14:paraId="13F9162A">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6FDDCB51">
            <w:pPr>
              <w:autoSpaceDE w:val="0"/>
              <w:autoSpaceDN w:val="0"/>
              <w:adjustRightInd w:val="0"/>
              <w:jc w:val="center"/>
              <w:rPr>
                <w:rFonts w:ascii="宋体" w:hAnsi="宋体"/>
                <w:snapToGrid w:val="0"/>
                <w:color w:val="auto"/>
                <w:kern w:val="0"/>
                <w:szCs w:val="21"/>
                <w:highlight w:val="none"/>
              </w:rPr>
            </w:pPr>
          </w:p>
        </w:tc>
      </w:tr>
      <w:tr w14:paraId="3E196D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10B7ED2">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14:paraId="1357A54E">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14:paraId="3E17F402">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vAlign w:val="center"/>
          </w:tcPr>
          <w:p w14:paraId="4ABC7D5C">
            <w:pPr>
              <w:autoSpaceDE w:val="0"/>
              <w:autoSpaceDN w:val="0"/>
              <w:adjustRightInd w:val="0"/>
              <w:jc w:val="center"/>
              <w:rPr>
                <w:rFonts w:ascii="宋体" w:hAnsi="宋体"/>
                <w:snapToGrid w:val="0"/>
                <w:color w:val="auto"/>
                <w:kern w:val="0"/>
                <w:szCs w:val="21"/>
                <w:highlight w:val="none"/>
              </w:rPr>
            </w:pPr>
          </w:p>
        </w:tc>
        <w:tc>
          <w:tcPr>
            <w:tcW w:w="792" w:type="dxa"/>
            <w:vAlign w:val="center"/>
          </w:tcPr>
          <w:p w14:paraId="4E6D2FA9">
            <w:pPr>
              <w:autoSpaceDE w:val="0"/>
              <w:autoSpaceDN w:val="0"/>
              <w:adjustRightInd w:val="0"/>
              <w:jc w:val="center"/>
              <w:rPr>
                <w:rFonts w:ascii="宋体" w:hAnsi="宋体"/>
                <w:snapToGrid w:val="0"/>
                <w:color w:val="auto"/>
                <w:kern w:val="0"/>
                <w:szCs w:val="21"/>
                <w:highlight w:val="none"/>
              </w:rPr>
            </w:pPr>
          </w:p>
        </w:tc>
      </w:tr>
      <w:tr w14:paraId="5390F6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0FCDD1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390B7553">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6C4BB60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40AB2C9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078D3D69">
            <w:pPr>
              <w:autoSpaceDE w:val="0"/>
              <w:autoSpaceDN w:val="0"/>
              <w:adjustRightInd w:val="0"/>
              <w:jc w:val="center"/>
              <w:rPr>
                <w:rFonts w:ascii="宋体" w:hAnsi="宋体"/>
                <w:snapToGrid w:val="0"/>
                <w:color w:val="auto"/>
                <w:kern w:val="0"/>
                <w:szCs w:val="21"/>
                <w:highlight w:val="none"/>
              </w:rPr>
            </w:pPr>
          </w:p>
        </w:tc>
      </w:tr>
      <w:tr w14:paraId="417334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F395F5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552C5D2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172F0A2D">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78F00E72">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152D0A78">
            <w:pPr>
              <w:autoSpaceDE w:val="0"/>
              <w:autoSpaceDN w:val="0"/>
              <w:adjustRightInd w:val="0"/>
              <w:jc w:val="center"/>
              <w:rPr>
                <w:rFonts w:ascii="宋体" w:hAnsi="宋体"/>
                <w:snapToGrid w:val="0"/>
                <w:color w:val="auto"/>
                <w:kern w:val="0"/>
                <w:szCs w:val="21"/>
                <w:highlight w:val="none"/>
              </w:rPr>
            </w:pPr>
          </w:p>
        </w:tc>
      </w:tr>
    </w:tbl>
    <w:p w14:paraId="303023DA">
      <w:pPr>
        <w:spacing w:line="360" w:lineRule="auto"/>
        <w:rPr>
          <w:rFonts w:ascii="宋体" w:hAnsi="宋体"/>
          <w:snapToGrid w:val="0"/>
          <w:color w:val="auto"/>
          <w:w w:val="99"/>
          <w:highlight w:val="none"/>
        </w:rPr>
      </w:pPr>
    </w:p>
    <w:p w14:paraId="73EE89CE">
      <w:pPr>
        <w:spacing w:line="360" w:lineRule="auto"/>
        <w:rPr>
          <w:rFonts w:ascii="宋体" w:hAnsi="宋体"/>
          <w:snapToGrid w:val="0"/>
          <w:color w:val="auto"/>
          <w:highlight w:val="none"/>
        </w:rPr>
      </w:pPr>
    </w:p>
    <w:p w14:paraId="4700B587">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竞选人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B5C3EFA">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3CB8429E">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4B8267C0">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13331544">
      <w:pPr>
        <w:pStyle w:val="5"/>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1680" w:name="_Toc57905921"/>
      <w:bookmarkStart w:id="1681" w:name="_Toc224103497"/>
      <w:bookmarkStart w:id="1682" w:name="_Toc277082645"/>
      <w:bookmarkStart w:id="1683" w:name="_Toc430530532"/>
      <w:bookmarkStart w:id="1684" w:name="_Toc287607869"/>
      <w:bookmarkStart w:id="1685" w:name="_Toc8650"/>
      <w:bookmarkStart w:id="1686" w:name="_Toc287620816"/>
      <w:r>
        <w:rPr>
          <w:color w:val="auto"/>
          <w:sz w:val="30"/>
          <w:szCs w:val="30"/>
          <w:highlight w:val="none"/>
        </w:rPr>
        <w:t>（三）</w:t>
      </w:r>
      <w:r>
        <w:rPr>
          <w:rFonts w:hint="eastAsia"/>
          <w:color w:val="auto"/>
          <w:sz w:val="30"/>
          <w:szCs w:val="30"/>
          <w:highlight w:val="none"/>
        </w:rPr>
        <w:t>法定代表人身份证明或附有法定代表人身份证明的授权委托书</w:t>
      </w:r>
      <w:bookmarkEnd w:id="1680"/>
      <w:bookmarkEnd w:id="1681"/>
      <w:bookmarkEnd w:id="1682"/>
      <w:bookmarkEnd w:id="1683"/>
      <w:bookmarkEnd w:id="1684"/>
      <w:bookmarkEnd w:id="1685"/>
      <w:bookmarkEnd w:id="1686"/>
    </w:p>
    <w:p w14:paraId="09D821A8">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3A018915">
      <w:pPr>
        <w:spacing w:line="480" w:lineRule="auto"/>
        <w:jc w:val="center"/>
        <w:rPr>
          <w:rFonts w:ascii="宋体" w:hAnsi="宋体"/>
          <w:color w:val="auto"/>
          <w:highlight w:val="none"/>
        </w:rPr>
      </w:pPr>
    </w:p>
    <w:p w14:paraId="4B471D1D">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702197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9970E45">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398EDFA">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D723415">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B57ADF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B05B91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398DD3DE">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3E991EFD">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83AFD1E">
      <w:pPr>
        <w:pStyle w:val="2"/>
        <w:spacing w:after="0" w:line="360" w:lineRule="auto"/>
        <w:rPr>
          <w:rFonts w:ascii="宋体" w:hAnsi="宋体"/>
          <w:color w:val="auto"/>
          <w:szCs w:val="21"/>
          <w:highlight w:val="none"/>
        </w:rPr>
      </w:pPr>
    </w:p>
    <w:p w14:paraId="36E79D19">
      <w:pPr>
        <w:pStyle w:val="2"/>
        <w:spacing w:after="0" w:line="360" w:lineRule="auto"/>
        <w:rPr>
          <w:rFonts w:ascii="宋体" w:hAnsi="宋体"/>
          <w:color w:val="auto"/>
          <w:szCs w:val="21"/>
          <w:highlight w:val="none"/>
        </w:rPr>
      </w:pPr>
    </w:p>
    <w:p w14:paraId="56304E3D">
      <w:pPr>
        <w:pStyle w:val="2"/>
        <w:spacing w:after="0" w:line="360" w:lineRule="auto"/>
        <w:rPr>
          <w:rFonts w:ascii="宋体" w:hAnsi="宋体"/>
          <w:color w:val="auto"/>
          <w:szCs w:val="21"/>
          <w:highlight w:val="none"/>
        </w:rPr>
      </w:pPr>
    </w:p>
    <w:p w14:paraId="2A504BA4">
      <w:pPr>
        <w:pStyle w:val="2"/>
        <w:spacing w:after="0" w:line="360" w:lineRule="auto"/>
        <w:rPr>
          <w:rFonts w:ascii="宋体" w:hAnsi="宋体"/>
          <w:color w:val="auto"/>
          <w:szCs w:val="21"/>
          <w:highlight w:val="none"/>
        </w:rPr>
      </w:pPr>
    </w:p>
    <w:p w14:paraId="198735BD">
      <w:pPr>
        <w:pStyle w:val="2"/>
        <w:spacing w:after="0" w:line="360" w:lineRule="auto"/>
        <w:rPr>
          <w:rFonts w:ascii="宋体" w:hAnsi="宋体"/>
          <w:color w:val="auto"/>
          <w:szCs w:val="21"/>
          <w:highlight w:val="none"/>
        </w:rPr>
      </w:pPr>
    </w:p>
    <w:p w14:paraId="2D78F036">
      <w:pPr>
        <w:pStyle w:val="2"/>
        <w:spacing w:after="0" w:line="360" w:lineRule="auto"/>
        <w:rPr>
          <w:rFonts w:ascii="宋体" w:hAnsi="宋体"/>
          <w:color w:val="auto"/>
          <w:szCs w:val="21"/>
          <w:highlight w:val="none"/>
        </w:rPr>
      </w:pPr>
    </w:p>
    <w:p w14:paraId="3E3B6359">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5D74A673">
      <w:pPr>
        <w:autoSpaceDE w:val="0"/>
        <w:autoSpaceDN w:val="0"/>
        <w:adjustRightInd w:val="0"/>
        <w:snapToGrid w:val="0"/>
        <w:spacing w:line="480" w:lineRule="auto"/>
        <w:jc w:val="left"/>
        <w:rPr>
          <w:rFonts w:ascii="宋体" w:hAnsi="宋体"/>
          <w:color w:val="auto"/>
          <w:kern w:val="0"/>
          <w:sz w:val="20"/>
          <w:szCs w:val="20"/>
          <w:highlight w:val="none"/>
        </w:rPr>
      </w:pPr>
    </w:p>
    <w:p w14:paraId="3836BEB9">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4F6921A">
      <w:pPr>
        <w:autoSpaceDE w:val="0"/>
        <w:autoSpaceDN w:val="0"/>
        <w:adjustRightInd w:val="0"/>
        <w:snapToGrid w:val="0"/>
        <w:spacing w:line="360" w:lineRule="auto"/>
        <w:jc w:val="left"/>
        <w:rPr>
          <w:rFonts w:ascii="宋体" w:hAnsi="宋体"/>
          <w:color w:val="auto"/>
          <w:kern w:val="0"/>
          <w:highlight w:val="none"/>
        </w:rPr>
      </w:pPr>
    </w:p>
    <w:p w14:paraId="6FE159C4">
      <w:pPr>
        <w:autoSpaceDE w:val="0"/>
        <w:autoSpaceDN w:val="0"/>
        <w:adjustRightInd w:val="0"/>
        <w:snapToGrid w:val="0"/>
        <w:spacing w:line="360" w:lineRule="auto"/>
        <w:jc w:val="left"/>
        <w:rPr>
          <w:rFonts w:ascii="宋体" w:hAnsi="宋体"/>
          <w:color w:val="auto"/>
          <w:kern w:val="0"/>
          <w:highlight w:val="none"/>
        </w:rPr>
      </w:pPr>
    </w:p>
    <w:p w14:paraId="0CE1FB1E">
      <w:pPr>
        <w:spacing w:line="360" w:lineRule="auto"/>
        <w:ind w:firstLine="420" w:firstLineChars="200"/>
        <w:rPr>
          <w:rFonts w:ascii="宋体" w:hAnsi="宋体"/>
          <w:color w:val="auto"/>
          <w:kern w:val="0"/>
          <w:highlight w:val="none"/>
        </w:rPr>
      </w:pPr>
      <w:r>
        <w:rPr>
          <w:rFonts w:ascii="宋体" w:hAnsi="宋体"/>
          <w:color w:val="auto"/>
          <w:highlight w:val="none"/>
        </w:rPr>
        <w:t>注：法定代表人身份证明需按上述格式填写完整，不可缺少内容。在此基础上增加内容的不影响其有效性。</w:t>
      </w:r>
    </w:p>
    <w:p w14:paraId="56089FFF">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hint="eastAsia" w:ascii="Times New Roman" w:hAnsi="Times New Roman" w:eastAsia="宋体" w:cs="Times New Roman"/>
          <w:b/>
          <w:bCs/>
          <w:color w:val="auto"/>
          <w:kern w:val="2"/>
          <w:sz w:val="30"/>
          <w:szCs w:val="30"/>
          <w:highlight w:val="none"/>
          <w:lang w:val="en-US" w:eastAsia="zh-CN" w:bidi="ar-SA"/>
        </w:rPr>
        <w:t>授权委托书</w:t>
      </w:r>
    </w:p>
    <w:p w14:paraId="34D2B3C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7F6EB4F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1B417D2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0E7447F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32B76EB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snapToGrid w:val="0"/>
          <w:color w:val="auto"/>
          <w:kern w:val="0"/>
          <w:szCs w:val="21"/>
          <w:highlight w:val="none"/>
          <w:lang w:val="en-US"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3D971443">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5A25D44B">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DB6867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39B6DF68">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A0C395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02AC098">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66B9916F">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12462B3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C330F0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90F269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37C545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F2A824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3CA512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BA34A4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534EC5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5800FD7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30D7EC81">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0B9E324">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7D9B6F33">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6DDFB228">
      <w:pPr>
        <w:spacing w:line="360" w:lineRule="auto"/>
        <w:rPr>
          <w:rFonts w:ascii="宋体" w:hAnsi="宋体" w:eastAsia="宋体"/>
          <w:b/>
          <w:color w:val="auto"/>
          <w:sz w:val="21"/>
          <w:szCs w:val="21"/>
          <w:highlight w:val="none"/>
        </w:rPr>
      </w:pPr>
      <w:bookmarkStart w:id="1687" w:name="_Toc430530533"/>
      <w:bookmarkStart w:id="1688" w:name="_Toc287607871"/>
      <w:bookmarkStart w:id="1689" w:name="_Toc224103499"/>
      <w:bookmarkStart w:id="1690" w:name="_Toc277082647"/>
      <w:bookmarkStart w:id="1691" w:name="_Toc27171"/>
      <w:bookmarkStart w:id="1692" w:name="_Toc287620818"/>
      <w:r>
        <w:rPr>
          <w:rFonts w:hint="eastAsia" w:ascii="宋体" w:hAnsi="宋体"/>
          <w:snapToGrid w:val="0"/>
          <w:color w:val="auto"/>
          <w:sz w:val="32"/>
          <w:szCs w:val="32"/>
          <w:highlight w:val="none"/>
        </w:rPr>
        <w:br w:type="page"/>
      </w:r>
      <w:bookmarkEnd w:id="1687"/>
      <w:bookmarkEnd w:id="1688"/>
      <w:bookmarkEnd w:id="1689"/>
      <w:bookmarkEnd w:id="1690"/>
      <w:bookmarkEnd w:id="1691"/>
      <w:bookmarkEnd w:id="1692"/>
    </w:p>
    <w:p w14:paraId="10C29677">
      <w:pPr>
        <w:tabs>
          <w:tab w:val="left" w:pos="2580"/>
          <w:tab w:val="left" w:pos="5940"/>
        </w:tabs>
        <w:autoSpaceDE w:val="0"/>
        <w:autoSpaceDN w:val="0"/>
        <w:adjustRightInd w:val="0"/>
        <w:snapToGrid w:val="0"/>
        <w:spacing w:line="360" w:lineRule="auto"/>
        <w:jc w:val="left"/>
        <w:rPr>
          <w:rFonts w:ascii="宋体" w:hAnsi="宋体"/>
          <w:color w:val="auto"/>
          <w:highlight w:val="none"/>
        </w:rPr>
      </w:pPr>
      <w:bookmarkStart w:id="1693" w:name="_Toc287607872"/>
      <w:bookmarkStart w:id="1694" w:name="_Toc224103500"/>
      <w:bookmarkStart w:id="1695" w:name="_Toc287620819"/>
      <w:bookmarkStart w:id="1696" w:name="_Toc430530534"/>
    </w:p>
    <w:p w14:paraId="09267A45">
      <w:pPr>
        <w:pStyle w:val="4"/>
        <w:spacing w:line="360" w:lineRule="auto"/>
        <w:jc w:val="center"/>
        <w:rPr>
          <w:rFonts w:ascii="宋体" w:hAnsi="宋体"/>
          <w:b w:val="0"/>
          <w:bCs w:val="0"/>
          <w:color w:val="auto"/>
          <w:sz w:val="44"/>
          <w:szCs w:val="44"/>
          <w:highlight w:val="none"/>
        </w:rPr>
      </w:pPr>
      <w:bookmarkStart w:id="1697" w:name="_Toc57905924"/>
      <w:bookmarkStart w:id="1698" w:name="_Toc23891"/>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、经济部分</w:t>
      </w:r>
      <w:bookmarkEnd w:id="1693"/>
      <w:bookmarkEnd w:id="1694"/>
      <w:bookmarkEnd w:id="1695"/>
      <w:bookmarkEnd w:id="1696"/>
      <w:bookmarkEnd w:id="1697"/>
      <w:bookmarkEnd w:id="1698"/>
    </w:p>
    <w:p w14:paraId="66CB2395">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6B0BC04">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1111CBC7">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286066D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2DC9EF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913D72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2F65D9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AEEC5C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3FBF8451">
      <w:pPr>
        <w:autoSpaceDE w:val="0"/>
        <w:autoSpaceDN w:val="0"/>
        <w:adjustRightInd w:val="0"/>
        <w:snapToGrid w:val="0"/>
        <w:spacing w:line="360" w:lineRule="auto"/>
        <w:jc w:val="left"/>
        <w:rPr>
          <w:rFonts w:ascii="宋体" w:hAnsi="宋体"/>
          <w:color w:val="auto"/>
          <w:kern w:val="0"/>
          <w:sz w:val="16"/>
          <w:szCs w:val="16"/>
          <w:highlight w:val="none"/>
        </w:rPr>
      </w:pPr>
    </w:p>
    <w:p w14:paraId="33AF256A">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经济部分</w:t>
      </w:r>
    </w:p>
    <w:p w14:paraId="4539842E">
      <w:pPr>
        <w:autoSpaceDE w:val="0"/>
        <w:autoSpaceDN w:val="0"/>
        <w:adjustRightInd w:val="0"/>
        <w:snapToGrid w:val="0"/>
        <w:spacing w:line="360" w:lineRule="auto"/>
        <w:jc w:val="left"/>
        <w:rPr>
          <w:rFonts w:ascii="宋体" w:hAnsi="宋体"/>
          <w:b/>
          <w:color w:val="auto"/>
          <w:kern w:val="0"/>
          <w:sz w:val="20"/>
          <w:szCs w:val="20"/>
          <w:highlight w:val="none"/>
        </w:rPr>
      </w:pPr>
    </w:p>
    <w:p w14:paraId="0D4376DC">
      <w:pPr>
        <w:autoSpaceDE w:val="0"/>
        <w:autoSpaceDN w:val="0"/>
        <w:adjustRightInd w:val="0"/>
        <w:snapToGrid w:val="0"/>
        <w:spacing w:line="360" w:lineRule="auto"/>
        <w:jc w:val="left"/>
        <w:rPr>
          <w:rFonts w:ascii="宋体" w:hAnsi="宋体"/>
          <w:b/>
          <w:color w:val="auto"/>
          <w:kern w:val="0"/>
          <w:sz w:val="20"/>
          <w:szCs w:val="20"/>
          <w:highlight w:val="none"/>
        </w:rPr>
      </w:pPr>
    </w:p>
    <w:p w14:paraId="3EA1089C">
      <w:pPr>
        <w:autoSpaceDE w:val="0"/>
        <w:autoSpaceDN w:val="0"/>
        <w:adjustRightInd w:val="0"/>
        <w:snapToGrid w:val="0"/>
        <w:spacing w:line="360" w:lineRule="auto"/>
        <w:jc w:val="left"/>
        <w:rPr>
          <w:rFonts w:ascii="宋体" w:hAnsi="宋体"/>
          <w:b/>
          <w:color w:val="auto"/>
          <w:kern w:val="0"/>
          <w:sz w:val="20"/>
          <w:szCs w:val="20"/>
          <w:highlight w:val="none"/>
        </w:rPr>
      </w:pPr>
    </w:p>
    <w:p w14:paraId="6A22F6F7">
      <w:pPr>
        <w:autoSpaceDE w:val="0"/>
        <w:autoSpaceDN w:val="0"/>
        <w:adjustRightInd w:val="0"/>
        <w:snapToGrid w:val="0"/>
        <w:spacing w:line="360" w:lineRule="auto"/>
        <w:jc w:val="left"/>
        <w:rPr>
          <w:rFonts w:ascii="宋体" w:hAnsi="宋体"/>
          <w:b/>
          <w:color w:val="auto"/>
          <w:kern w:val="0"/>
          <w:sz w:val="20"/>
          <w:szCs w:val="20"/>
          <w:highlight w:val="none"/>
        </w:rPr>
      </w:pPr>
    </w:p>
    <w:p w14:paraId="256C08A3">
      <w:pPr>
        <w:autoSpaceDE w:val="0"/>
        <w:autoSpaceDN w:val="0"/>
        <w:adjustRightInd w:val="0"/>
        <w:snapToGrid w:val="0"/>
        <w:spacing w:line="360" w:lineRule="auto"/>
        <w:jc w:val="left"/>
        <w:rPr>
          <w:rFonts w:ascii="宋体" w:hAnsi="宋体"/>
          <w:b/>
          <w:color w:val="auto"/>
          <w:kern w:val="0"/>
          <w:sz w:val="20"/>
          <w:szCs w:val="20"/>
          <w:highlight w:val="none"/>
        </w:rPr>
      </w:pPr>
    </w:p>
    <w:p w14:paraId="2C4E8C28">
      <w:pPr>
        <w:autoSpaceDE w:val="0"/>
        <w:autoSpaceDN w:val="0"/>
        <w:adjustRightInd w:val="0"/>
        <w:snapToGrid w:val="0"/>
        <w:spacing w:line="360" w:lineRule="auto"/>
        <w:jc w:val="left"/>
        <w:rPr>
          <w:rFonts w:ascii="宋体" w:hAnsi="宋体"/>
          <w:b/>
          <w:color w:val="auto"/>
          <w:kern w:val="0"/>
          <w:sz w:val="20"/>
          <w:szCs w:val="20"/>
          <w:highlight w:val="none"/>
        </w:rPr>
      </w:pPr>
    </w:p>
    <w:p w14:paraId="44A96B1E">
      <w:pPr>
        <w:autoSpaceDE w:val="0"/>
        <w:autoSpaceDN w:val="0"/>
        <w:adjustRightInd w:val="0"/>
        <w:snapToGrid w:val="0"/>
        <w:spacing w:line="360" w:lineRule="auto"/>
        <w:jc w:val="left"/>
        <w:rPr>
          <w:rFonts w:ascii="宋体" w:hAnsi="宋体"/>
          <w:b/>
          <w:color w:val="auto"/>
          <w:kern w:val="0"/>
          <w:sz w:val="20"/>
          <w:szCs w:val="20"/>
          <w:highlight w:val="none"/>
        </w:rPr>
      </w:pPr>
    </w:p>
    <w:p w14:paraId="686B5B03">
      <w:pPr>
        <w:autoSpaceDE w:val="0"/>
        <w:autoSpaceDN w:val="0"/>
        <w:adjustRightInd w:val="0"/>
        <w:snapToGrid w:val="0"/>
        <w:spacing w:line="360" w:lineRule="auto"/>
        <w:jc w:val="left"/>
        <w:rPr>
          <w:rFonts w:ascii="宋体" w:hAnsi="宋体"/>
          <w:b/>
          <w:color w:val="auto"/>
          <w:kern w:val="0"/>
          <w:sz w:val="20"/>
          <w:szCs w:val="20"/>
          <w:highlight w:val="none"/>
        </w:rPr>
      </w:pPr>
    </w:p>
    <w:p w14:paraId="10BBE2F2">
      <w:pPr>
        <w:autoSpaceDE w:val="0"/>
        <w:autoSpaceDN w:val="0"/>
        <w:adjustRightInd w:val="0"/>
        <w:snapToGrid w:val="0"/>
        <w:spacing w:line="360" w:lineRule="auto"/>
        <w:jc w:val="left"/>
        <w:rPr>
          <w:rFonts w:ascii="宋体" w:hAnsi="宋体"/>
          <w:b/>
          <w:color w:val="auto"/>
          <w:kern w:val="0"/>
          <w:sz w:val="20"/>
          <w:szCs w:val="20"/>
          <w:highlight w:val="none"/>
        </w:rPr>
      </w:pPr>
    </w:p>
    <w:p w14:paraId="73197F09">
      <w:pPr>
        <w:autoSpaceDE w:val="0"/>
        <w:autoSpaceDN w:val="0"/>
        <w:adjustRightInd w:val="0"/>
        <w:snapToGrid w:val="0"/>
        <w:spacing w:line="360" w:lineRule="auto"/>
        <w:jc w:val="left"/>
        <w:rPr>
          <w:rFonts w:ascii="宋体" w:hAnsi="宋体"/>
          <w:b/>
          <w:color w:val="auto"/>
          <w:kern w:val="0"/>
          <w:sz w:val="20"/>
          <w:szCs w:val="20"/>
          <w:highlight w:val="none"/>
        </w:rPr>
      </w:pPr>
    </w:p>
    <w:p w14:paraId="51F53150">
      <w:pPr>
        <w:autoSpaceDE w:val="0"/>
        <w:autoSpaceDN w:val="0"/>
        <w:adjustRightInd w:val="0"/>
        <w:snapToGrid w:val="0"/>
        <w:spacing w:line="360" w:lineRule="auto"/>
        <w:jc w:val="left"/>
        <w:rPr>
          <w:rFonts w:ascii="宋体" w:hAnsi="宋体"/>
          <w:b/>
          <w:color w:val="auto"/>
          <w:kern w:val="0"/>
          <w:sz w:val="20"/>
          <w:szCs w:val="20"/>
          <w:highlight w:val="none"/>
        </w:rPr>
      </w:pPr>
    </w:p>
    <w:p w14:paraId="4F66C888">
      <w:pPr>
        <w:autoSpaceDE w:val="0"/>
        <w:autoSpaceDN w:val="0"/>
        <w:adjustRightInd w:val="0"/>
        <w:snapToGrid w:val="0"/>
        <w:spacing w:line="360" w:lineRule="auto"/>
        <w:jc w:val="left"/>
        <w:rPr>
          <w:rFonts w:ascii="宋体" w:hAnsi="宋体"/>
          <w:b/>
          <w:color w:val="auto"/>
          <w:kern w:val="0"/>
          <w:sz w:val="20"/>
          <w:szCs w:val="20"/>
          <w:highlight w:val="none"/>
        </w:rPr>
      </w:pPr>
    </w:p>
    <w:p w14:paraId="338D0D30">
      <w:pPr>
        <w:autoSpaceDE w:val="0"/>
        <w:autoSpaceDN w:val="0"/>
        <w:adjustRightInd w:val="0"/>
        <w:snapToGrid w:val="0"/>
        <w:spacing w:line="360" w:lineRule="auto"/>
        <w:jc w:val="left"/>
        <w:rPr>
          <w:rFonts w:ascii="宋体" w:hAnsi="宋体"/>
          <w:b/>
          <w:color w:val="auto"/>
          <w:kern w:val="0"/>
          <w:sz w:val="20"/>
          <w:szCs w:val="20"/>
          <w:highlight w:val="none"/>
        </w:rPr>
      </w:pPr>
    </w:p>
    <w:p w14:paraId="23A235C9">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6344679">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4EBB61FA">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7DF5CB4A">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1AD53B15">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58966F62">
      <w:pPr>
        <w:autoSpaceDE w:val="0"/>
        <w:autoSpaceDN w:val="0"/>
        <w:adjustRightInd w:val="0"/>
        <w:snapToGrid w:val="0"/>
        <w:spacing w:line="360" w:lineRule="auto"/>
        <w:jc w:val="left"/>
        <w:rPr>
          <w:rFonts w:ascii="宋体" w:hAnsi="宋体"/>
          <w:color w:val="auto"/>
          <w:kern w:val="0"/>
          <w:szCs w:val="21"/>
          <w:highlight w:val="none"/>
        </w:rPr>
      </w:pPr>
    </w:p>
    <w:p w14:paraId="227DD347">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lang w:eastAsia="zh-CN"/>
        </w:rPr>
        <w:t>竞选人</w:t>
      </w:r>
      <w:r>
        <w:rPr>
          <w:rFonts w:ascii="宋体" w:hAnsi="宋体"/>
          <w:i/>
          <w:iCs/>
          <w:color w:val="auto"/>
          <w:kern w:val="0"/>
          <w:szCs w:val="21"/>
          <w:highlight w:val="none"/>
        </w:rPr>
        <w:t>自行编制]</w:t>
      </w:r>
    </w:p>
    <w:p w14:paraId="4CFA94FC">
      <w:pPr>
        <w:autoSpaceDE w:val="0"/>
        <w:autoSpaceDN w:val="0"/>
        <w:adjustRightInd w:val="0"/>
        <w:snapToGrid w:val="0"/>
        <w:spacing w:line="360" w:lineRule="auto"/>
        <w:jc w:val="left"/>
        <w:rPr>
          <w:rFonts w:ascii="宋体" w:hAnsi="宋体"/>
          <w:color w:val="auto"/>
          <w:w w:val="99"/>
          <w:kern w:val="0"/>
          <w:sz w:val="28"/>
          <w:szCs w:val="28"/>
          <w:highlight w:val="none"/>
        </w:rPr>
      </w:pPr>
    </w:p>
    <w:p w14:paraId="14B562F1">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1699" w:name="_Toc287620820"/>
      <w:bookmarkStart w:id="1700" w:name="_Toc430530535"/>
      <w:bookmarkStart w:id="1701" w:name="_Toc277082648"/>
      <w:bookmarkStart w:id="1702" w:name="_Toc224103501"/>
      <w:bookmarkStart w:id="1703" w:name="_Toc287607873"/>
    </w:p>
    <w:p w14:paraId="48E1153A">
      <w:pPr>
        <w:pStyle w:val="5"/>
        <w:jc w:val="center"/>
        <w:rPr>
          <w:color w:val="auto"/>
          <w:highlight w:val="none"/>
        </w:rPr>
      </w:pPr>
      <w:bookmarkStart w:id="1704" w:name="_Toc57905925"/>
      <w:bookmarkStart w:id="1705" w:name="_Toc28475"/>
      <w:r>
        <w:rPr>
          <w:rFonts w:hint="eastAsia"/>
          <w:color w:val="auto"/>
          <w:highlight w:val="none"/>
        </w:rPr>
        <w:t>（一）已标价工程量清单</w:t>
      </w:r>
      <w:bookmarkEnd w:id="1699"/>
      <w:bookmarkEnd w:id="1700"/>
      <w:bookmarkEnd w:id="1701"/>
      <w:bookmarkEnd w:id="1702"/>
      <w:bookmarkEnd w:id="1703"/>
      <w:bookmarkEnd w:id="1704"/>
      <w:bookmarkEnd w:id="1705"/>
    </w:p>
    <w:p w14:paraId="3A578592">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23F1B173">
      <w:pPr>
        <w:autoSpaceDE w:val="0"/>
        <w:autoSpaceDN w:val="0"/>
        <w:adjustRightInd w:val="0"/>
        <w:snapToGrid w:val="0"/>
        <w:spacing w:line="360" w:lineRule="auto"/>
        <w:jc w:val="left"/>
        <w:rPr>
          <w:rFonts w:ascii="宋体" w:hAnsi="宋体"/>
          <w:color w:val="auto"/>
          <w:kern w:val="0"/>
          <w:sz w:val="24"/>
          <w:szCs w:val="21"/>
          <w:highlight w:val="none"/>
        </w:rPr>
      </w:pPr>
      <w:bookmarkStart w:id="1706" w:name="_Toc287620821"/>
      <w:bookmarkStart w:id="1707" w:name="_Toc224103502"/>
      <w:bookmarkStart w:id="1708" w:name="_Toc430530536"/>
      <w:bookmarkStart w:id="1709" w:name="_Toc287607874"/>
      <w:r>
        <w:rPr>
          <w:rFonts w:ascii="宋体" w:hAnsi="宋体"/>
          <w:color w:val="auto"/>
          <w:highlight w:val="none"/>
        </w:rPr>
        <w:br w:type="page"/>
      </w:r>
    </w:p>
    <w:p w14:paraId="5E335125">
      <w:pPr>
        <w:pStyle w:val="4"/>
        <w:numPr>
          <w:ilvl w:val="0"/>
          <w:numId w:val="2"/>
        </w:numPr>
        <w:spacing w:line="360" w:lineRule="auto"/>
        <w:jc w:val="center"/>
        <w:rPr>
          <w:rFonts w:hint="eastAsia" w:ascii="宋体" w:hAnsi="宋体"/>
          <w:b w:val="0"/>
          <w:bCs w:val="0"/>
          <w:color w:val="auto"/>
          <w:sz w:val="44"/>
          <w:szCs w:val="44"/>
          <w:highlight w:val="none"/>
        </w:rPr>
      </w:pPr>
      <w:bookmarkStart w:id="1710" w:name="_Toc57905926"/>
      <w:bookmarkStart w:id="1711" w:name="_Toc29644"/>
      <w:r>
        <w:rPr>
          <w:rFonts w:hint="eastAsia" w:ascii="宋体" w:hAnsi="宋体"/>
          <w:b w:val="0"/>
          <w:bCs w:val="0"/>
          <w:color w:val="auto"/>
          <w:sz w:val="44"/>
          <w:szCs w:val="44"/>
          <w:highlight w:val="none"/>
        </w:rPr>
        <w:t>技术部分</w:t>
      </w:r>
      <w:bookmarkEnd w:id="1706"/>
      <w:bookmarkEnd w:id="1707"/>
      <w:bookmarkEnd w:id="1708"/>
      <w:bookmarkEnd w:id="1709"/>
      <w:bookmarkEnd w:id="1710"/>
      <w:bookmarkEnd w:id="1711"/>
    </w:p>
    <w:p w14:paraId="5F3FCE5B">
      <w:pPr>
        <w:pStyle w:val="4"/>
        <w:numPr>
          <w:ilvl w:val="0"/>
          <w:numId w:val="0"/>
        </w:numPr>
        <w:spacing w:line="360" w:lineRule="auto"/>
        <w:jc w:val="center"/>
        <w:rPr>
          <w:rFonts w:ascii="宋体" w:hAnsi="宋体"/>
          <w:color w:val="auto"/>
          <w:kern w:val="0"/>
          <w:sz w:val="36"/>
          <w:szCs w:val="36"/>
          <w:highlight w:val="none"/>
        </w:rPr>
      </w:pPr>
      <w:bookmarkStart w:id="1712" w:name="OLE_LINK3"/>
      <w:r>
        <w:rPr>
          <w:rFonts w:hint="eastAsia" w:ascii="宋体" w:hAnsi="宋体" w:eastAsia="宋体"/>
          <w:b w:val="0"/>
          <w:bCs w:val="0"/>
          <w:color w:val="auto"/>
          <w:sz w:val="24"/>
          <w:szCs w:val="24"/>
          <w:highlight w:val="none"/>
          <w:lang w:val="en-US" w:eastAsia="zh-CN"/>
        </w:rPr>
        <w:t>技术部分明标不设封面</w:t>
      </w:r>
      <w:bookmarkEnd w:id="1712"/>
      <w:r>
        <w:rPr>
          <w:color w:val="auto"/>
          <w:highlight w:val="none"/>
        </w:rPr>
        <w:br w:type="page"/>
      </w:r>
    </w:p>
    <w:p w14:paraId="112EF154">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1A7B7720">
      <w:pPr>
        <w:autoSpaceDE w:val="0"/>
        <w:autoSpaceDN w:val="0"/>
        <w:adjustRightInd w:val="0"/>
        <w:snapToGrid w:val="0"/>
        <w:spacing w:line="360" w:lineRule="auto"/>
        <w:jc w:val="left"/>
        <w:rPr>
          <w:rFonts w:ascii="宋体" w:hAnsi="宋体"/>
          <w:color w:val="auto"/>
          <w:kern w:val="0"/>
          <w:sz w:val="32"/>
          <w:szCs w:val="32"/>
          <w:highlight w:val="none"/>
        </w:rPr>
      </w:pPr>
    </w:p>
    <w:p w14:paraId="7152C280">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lang w:eastAsia="zh-CN"/>
        </w:rPr>
        <w:t>竞选人</w:t>
      </w:r>
      <w:r>
        <w:rPr>
          <w:rFonts w:ascii="宋体" w:hAnsi="宋体"/>
          <w:i/>
          <w:iCs/>
          <w:color w:val="auto"/>
          <w:kern w:val="0"/>
          <w:szCs w:val="21"/>
          <w:highlight w:val="none"/>
        </w:rPr>
        <w:t>自行编制]</w:t>
      </w:r>
    </w:p>
    <w:p w14:paraId="5C9EE5E8">
      <w:pPr>
        <w:autoSpaceDE w:val="0"/>
        <w:autoSpaceDN w:val="0"/>
        <w:adjustRightInd w:val="0"/>
        <w:snapToGrid w:val="0"/>
        <w:spacing w:line="360" w:lineRule="auto"/>
        <w:jc w:val="left"/>
        <w:rPr>
          <w:rFonts w:ascii="宋体" w:hAnsi="宋体"/>
          <w:color w:val="auto"/>
          <w:w w:val="99"/>
          <w:kern w:val="0"/>
          <w:sz w:val="28"/>
          <w:szCs w:val="28"/>
          <w:highlight w:val="none"/>
        </w:rPr>
      </w:pPr>
    </w:p>
    <w:p w14:paraId="02A1A809">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1713" w:name="_Toc299"/>
      <w:bookmarkStart w:id="1714" w:name="_Toc57905927"/>
      <w:r>
        <w:rPr>
          <w:rStyle w:val="200"/>
          <w:rFonts w:hint="eastAsia"/>
          <w:color w:val="auto"/>
          <w:highlight w:val="none"/>
        </w:rPr>
        <w:t>（一）技术方案</w:t>
      </w:r>
      <w:bookmarkEnd w:id="1713"/>
      <w:bookmarkEnd w:id="1714"/>
    </w:p>
    <w:p w14:paraId="7EAB0154">
      <w:pPr>
        <w:autoSpaceDE w:val="0"/>
        <w:autoSpaceDN w:val="0"/>
        <w:adjustRightInd w:val="0"/>
        <w:snapToGrid w:val="0"/>
        <w:spacing w:line="360" w:lineRule="auto"/>
        <w:jc w:val="left"/>
        <w:rPr>
          <w:rFonts w:ascii="宋体" w:hAnsi="宋体"/>
          <w:color w:val="auto"/>
          <w:kern w:val="0"/>
          <w:sz w:val="12"/>
          <w:szCs w:val="12"/>
          <w:highlight w:val="none"/>
        </w:rPr>
      </w:pPr>
    </w:p>
    <w:p w14:paraId="3F1C1003">
      <w:pPr>
        <w:pStyle w:val="2"/>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w:t>
      </w:r>
      <w:r>
        <w:rPr>
          <w:rFonts w:hint="eastAsia" w:ascii="宋体" w:hAnsi="宋体"/>
          <w:i/>
          <w:color w:val="auto"/>
          <w:kern w:val="0"/>
          <w:szCs w:val="21"/>
          <w:highlight w:val="none"/>
          <w:lang w:eastAsia="zh-CN"/>
        </w:rPr>
        <w:t>竞选人</w:t>
      </w:r>
      <w:r>
        <w:rPr>
          <w:rFonts w:hint="eastAsia" w:ascii="宋体" w:hAnsi="宋体"/>
          <w:i/>
          <w:color w:val="auto"/>
          <w:kern w:val="0"/>
          <w:szCs w:val="21"/>
          <w:highlight w:val="none"/>
        </w:rPr>
        <w:t>应根据</w:t>
      </w:r>
      <w:r>
        <w:rPr>
          <w:rFonts w:hint="eastAsia" w:ascii="宋体" w:hAnsi="宋体"/>
          <w:i/>
          <w:color w:val="auto"/>
          <w:kern w:val="0"/>
          <w:szCs w:val="21"/>
          <w:highlight w:val="none"/>
          <w:lang w:eastAsia="zh-CN"/>
        </w:rPr>
        <w:t>竞争性比选文件</w:t>
      </w:r>
      <w:r>
        <w:rPr>
          <w:rFonts w:hint="eastAsia" w:ascii="宋体" w:hAnsi="宋体"/>
          <w:i/>
          <w:color w:val="auto"/>
          <w:kern w:val="0"/>
          <w:szCs w:val="21"/>
          <w:highlight w:val="none"/>
        </w:rPr>
        <w:t>的要求编制技术方案]</w:t>
      </w:r>
    </w:p>
    <w:p w14:paraId="4ACF00CF">
      <w:pPr>
        <w:autoSpaceDE w:val="0"/>
        <w:autoSpaceDN w:val="0"/>
        <w:adjustRightInd w:val="0"/>
        <w:snapToGrid w:val="0"/>
        <w:spacing w:line="20" w:lineRule="exact"/>
        <w:jc w:val="left"/>
        <w:rPr>
          <w:rFonts w:ascii="宋体" w:hAnsi="宋体"/>
          <w:color w:val="auto"/>
          <w:kern w:val="0"/>
          <w:highlight w:val="none"/>
        </w:rPr>
      </w:pPr>
    </w:p>
    <w:p w14:paraId="2D5F0A95">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sz w:val="36"/>
          <w:szCs w:val="36"/>
          <w:highlight w:val="none"/>
        </w:rPr>
        <w:br w:type="page"/>
      </w:r>
    </w:p>
    <w:p w14:paraId="0ED569D4">
      <w:pPr>
        <w:pStyle w:val="4"/>
        <w:spacing w:line="360" w:lineRule="auto"/>
        <w:jc w:val="center"/>
        <w:rPr>
          <w:rFonts w:ascii="宋体" w:hAnsi="宋体"/>
          <w:b w:val="0"/>
          <w:bCs w:val="0"/>
          <w:color w:val="auto"/>
          <w:sz w:val="44"/>
          <w:szCs w:val="44"/>
          <w:highlight w:val="none"/>
        </w:rPr>
      </w:pPr>
      <w:bookmarkStart w:id="1715" w:name="_Toc287607882"/>
      <w:bookmarkStart w:id="1716" w:name="_Toc224103510"/>
      <w:bookmarkStart w:id="1717" w:name="_Toc430530545"/>
      <w:bookmarkStart w:id="1718" w:name="_Toc277082656"/>
      <w:bookmarkStart w:id="1719" w:name="_Toc287620829"/>
      <w:bookmarkStart w:id="1720" w:name="_Toc57905928"/>
      <w:bookmarkStart w:id="1721" w:name="_Toc27141"/>
      <w:r>
        <w:rPr>
          <w:rFonts w:hint="eastAsia" w:ascii="宋体" w:hAnsi="宋体"/>
          <w:b w:val="0"/>
          <w:bCs w:val="0"/>
          <w:color w:val="auto"/>
          <w:sz w:val="44"/>
          <w:szCs w:val="44"/>
          <w:highlight w:val="none"/>
          <w:lang w:val="en-US" w:eastAsia="zh-CN"/>
        </w:rPr>
        <w:t>四</w:t>
      </w:r>
      <w:r>
        <w:rPr>
          <w:rFonts w:hint="eastAsia" w:ascii="宋体" w:hAnsi="宋体"/>
          <w:b w:val="0"/>
          <w:bCs w:val="0"/>
          <w:color w:val="auto"/>
          <w:sz w:val="44"/>
          <w:szCs w:val="44"/>
          <w:highlight w:val="none"/>
        </w:rPr>
        <w:t>、</w:t>
      </w:r>
      <w:bookmarkEnd w:id="1715"/>
      <w:bookmarkEnd w:id="1716"/>
      <w:bookmarkEnd w:id="1717"/>
      <w:bookmarkEnd w:id="1718"/>
      <w:bookmarkEnd w:id="1719"/>
      <w:r>
        <w:rPr>
          <w:rFonts w:hint="eastAsia" w:ascii="宋体" w:hAnsi="宋体"/>
          <w:b w:val="0"/>
          <w:bCs w:val="0"/>
          <w:color w:val="auto"/>
          <w:sz w:val="44"/>
          <w:szCs w:val="44"/>
          <w:highlight w:val="none"/>
        </w:rPr>
        <w:t>资格审查部分</w:t>
      </w:r>
      <w:bookmarkEnd w:id="1720"/>
      <w:bookmarkEnd w:id="1721"/>
    </w:p>
    <w:p w14:paraId="104ADF74">
      <w:pPr>
        <w:spacing w:line="360" w:lineRule="auto"/>
        <w:rPr>
          <w:rFonts w:ascii="宋体" w:hAnsi="宋体"/>
          <w:color w:val="auto"/>
          <w:sz w:val="32"/>
          <w:szCs w:val="32"/>
          <w:highlight w:val="none"/>
        </w:rPr>
      </w:pPr>
    </w:p>
    <w:p w14:paraId="5197FBA0">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4F6B29C3">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4D2C657B">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4A9E562">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18ADC52B">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A8F627C">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0BB46EBF">
      <w:pPr>
        <w:autoSpaceDE w:val="0"/>
        <w:autoSpaceDN w:val="0"/>
        <w:adjustRightInd w:val="0"/>
        <w:snapToGrid w:val="0"/>
        <w:spacing w:line="360" w:lineRule="auto"/>
        <w:jc w:val="left"/>
        <w:rPr>
          <w:rFonts w:ascii="宋体" w:hAnsi="宋体"/>
          <w:color w:val="auto"/>
          <w:kern w:val="0"/>
          <w:sz w:val="16"/>
          <w:szCs w:val="16"/>
          <w:highlight w:val="none"/>
        </w:rPr>
      </w:pPr>
    </w:p>
    <w:p w14:paraId="6A12C67C">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159A9CE2">
      <w:pPr>
        <w:autoSpaceDE w:val="0"/>
        <w:autoSpaceDN w:val="0"/>
        <w:adjustRightInd w:val="0"/>
        <w:snapToGrid w:val="0"/>
        <w:spacing w:line="360" w:lineRule="auto"/>
        <w:jc w:val="left"/>
        <w:rPr>
          <w:rFonts w:ascii="宋体" w:hAnsi="宋体" w:cs="MingLiU"/>
          <w:color w:val="auto"/>
          <w:kern w:val="0"/>
          <w:sz w:val="20"/>
          <w:szCs w:val="20"/>
          <w:highlight w:val="none"/>
        </w:rPr>
      </w:pPr>
    </w:p>
    <w:p w14:paraId="44AF7C79">
      <w:pPr>
        <w:adjustRightInd w:val="0"/>
        <w:snapToGrid w:val="0"/>
        <w:spacing w:line="264" w:lineRule="auto"/>
        <w:rPr>
          <w:rFonts w:ascii="宋体" w:hAnsi="宋体"/>
          <w:color w:val="auto"/>
          <w:szCs w:val="21"/>
          <w:highlight w:val="none"/>
        </w:rPr>
      </w:pPr>
    </w:p>
    <w:p w14:paraId="78FE8489">
      <w:pPr>
        <w:autoSpaceDE w:val="0"/>
        <w:autoSpaceDN w:val="0"/>
        <w:adjustRightInd w:val="0"/>
        <w:snapToGrid w:val="0"/>
        <w:spacing w:line="360" w:lineRule="auto"/>
        <w:jc w:val="left"/>
        <w:rPr>
          <w:rFonts w:ascii="宋体" w:hAnsi="宋体" w:cs="MingLiU"/>
          <w:color w:val="auto"/>
          <w:kern w:val="0"/>
          <w:sz w:val="20"/>
          <w:szCs w:val="20"/>
          <w:highlight w:val="none"/>
        </w:rPr>
      </w:pPr>
    </w:p>
    <w:p w14:paraId="622721D9">
      <w:pPr>
        <w:autoSpaceDE w:val="0"/>
        <w:autoSpaceDN w:val="0"/>
        <w:adjustRightInd w:val="0"/>
        <w:snapToGrid w:val="0"/>
        <w:spacing w:line="360" w:lineRule="auto"/>
        <w:jc w:val="left"/>
        <w:rPr>
          <w:rFonts w:ascii="宋体" w:hAnsi="宋体" w:cs="MingLiU"/>
          <w:color w:val="auto"/>
          <w:kern w:val="0"/>
          <w:sz w:val="20"/>
          <w:szCs w:val="20"/>
          <w:highlight w:val="none"/>
        </w:rPr>
      </w:pPr>
    </w:p>
    <w:p w14:paraId="62B9E047">
      <w:pPr>
        <w:autoSpaceDE w:val="0"/>
        <w:autoSpaceDN w:val="0"/>
        <w:adjustRightInd w:val="0"/>
        <w:snapToGrid w:val="0"/>
        <w:spacing w:line="360" w:lineRule="auto"/>
        <w:jc w:val="left"/>
        <w:rPr>
          <w:rFonts w:ascii="宋体" w:hAnsi="宋体" w:cs="MingLiU"/>
          <w:color w:val="auto"/>
          <w:kern w:val="0"/>
          <w:sz w:val="20"/>
          <w:szCs w:val="20"/>
          <w:highlight w:val="none"/>
        </w:rPr>
      </w:pPr>
    </w:p>
    <w:p w14:paraId="638B9EB6">
      <w:pPr>
        <w:autoSpaceDE w:val="0"/>
        <w:autoSpaceDN w:val="0"/>
        <w:adjustRightInd w:val="0"/>
        <w:snapToGrid w:val="0"/>
        <w:spacing w:line="360" w:lineRule="auto"/>
        <w:jc w:val="left"/>
        <w:rPr>
          <w:rFonts w:ascii="宋体" w:hAnsi="宋体" w:cs="MingLiU"/>
          <w:color w:val="auto"/>
          <w:kern w:val="0"/>
          <w:sz w:val="20"/>
          <w:szCs w:val="20"/>
          <w:highlight w:val="none"/>
        </w:rPr>
      </w:pPr>
    </w:p>
    <w:p w14:paraId="10DE968B">
      <w:pPr>
        <w:autoSpaceDE w:val="0"/>
        <w:autoSpaceDN w:val="0"/>
        <w:adjustRightInd w:val="0"/>
        <w:snapToGrid w:val="0"/>
        <w:spacing w:line="360" w:lineRule="auto"/>
        <w:jc w:val="left"/>
        <w:rPr>
          <w:rFonts w:ascii="宋体" w:hAnsi="宋体" w:cs="MingLiU"/>
          <w:color w:val="auto"/>
          <w:kern w:val="0"/>
          <w:sz w:val="20"/>
          <w:szCs w:val="20"/>
          <w:highlight w:val="none"/>
        </w:rPr>
      </w:pPr>
    </w:p>
    <w:p w14:paraId="72BE4724">
      <w:pPr>
        <w:autoSpaceDE w:val="0"/>
        <w:autoSpaceDN w:val="0"/>
        <w:adjustRightInd w:val="0"/>
        <w:snapToGrid w:val="0"/>
        <w:spacing w:line="360" w:lineRule="auto"/>
        <w:jc w:val="left"/>
        <w:rPr>
          <w:rFonts w:ascii="宋体" w:hAnsi="宋体" w:cs="MingLiU"/>
          <w:color w:val="auto"/>
          <w:kern w:val="0"/>
          <w:sz w:val="20"/>
          <w:szCs w:val="20"/>
          <w:highlight w:val="none"/>
        </w:rPr>
      </w:pPr>
    </w:p>
    <w:p w14:paraId="7A5DDC5D">
      <w:pPr>
        <w:autoSpaceDE w:val="0"/>
        <w:autoSpaceDN w:val="0"/>
        <w:adjustRightInd w:val="0"/>
        <w:snapToGrid w:val="0"/>
        <w:spacing w:line="360" w:lineRule="auto"/>
        <w:jc w:val="left"/>
        <w:rPr>
          <w:rFonts w:ascii="宋体" w:hAnsi="宋体" w:cs="MingLiU"/>
          <w:color w:val="auto"/>
          <w:kern w:val="0"/>
          <w:sz w:val="20"/>
          <w:szCs w:val="20"/>
          <w:highlight w:val="none"/>
        </w:rPr>
      </w:pPr>
    </w:p>
    <w:p w14:paraId="468CCE08">
      <w:pPr>
        <w:autoSpaceDE w:val="0"/>
        <w:autoSpaceDN w:val="0"/>
        <w:adjustRightInd w:val="0"/>
        <w:snapToGrid w:val="0"/>
        <w:spacing w:line="360" w:lineRule="auto"/>
        <w:jc w:val="left"/>
        <w:rPr>
          <w:rFonts w:ascii="宋体" w:hAnsi="宋体" w:cs="MingLiU"/>
          <w:color w:val="auto"/>
          <w:kern w:val="0"/>
          <w:sz w:val="20"/>
          <w:szCs w:val="20"/>
          <w:highlight w:val="none"/>
        </w:rPr>
      </w:pPr>
    </w:p>
    <w:p w14:paraId="593A1EF7">
      <w:pPr>
        <w:autoSpaceDE w:val="0"/>
        <w:autoSpaceDN w:val="0"/>
        <w:adjustRightInd w:val="0"/>
        <w:snapToGrid w:val="0"/>
        <w:spacing w:line="360" w:lineRule="auto"/>
        <w:jc w:val="left"/>
        <w:rPr>
          <w:rFonts w:ascii="宋体" w:hAnsi="宋体" w:cs="MingLiU"/>
          <w:color w:val="auto"/>
          <w:kern w:val="0"/>
          <w:sz w:val="20"/>
          <w:szCs w:val="20"/>
          <w:highlight w:val="none"/>
        </w:rPr>
      </w:pPr>
    </w:p>
    <w:p w14:paraId="47947CE2">
      <w:pPr>
        <w:autoSpaceDE w:val="0"/>
        <w:autoSpaceDN w:val="0"/>
        <w:adjustRightInd w:val="0"/>
        <w:snapToGrid w:val="0"/>
        <w:spacing w:line="360" w:lineRule="auto"/>
        <w:jc w:val="left"/>
        <w:rPr>
          <w:rFonts w:ascii="宋体" w:hAnsi="宋体" w:cs="MingLiU"/>
          <w:color w:val="auto"/>
          <w:kern w:val="0"/>
          <w:sz w:val="20"/>
          <w:szCs w:val="20"/>
          <w:highlight w:val="none"/>
        </w:rPr>
      </w:pPr>
    </w:p>
    <w:p w14:paraId="53484B18">
      <w:pPr>
        <w:autoSpaceDE w:val="0"/>
        <w:autoSpaceDN w:val="0"/>
        <w:adjustRightInd w:val="0"/>
        <w:snapToGrid w:val="0"/>
        <w:spacing w:line="360" w:lineRule="auto"/>
        <w:jc w:val="left"/>
        <w:rPr>
          <w:rFonts w:ascii="宋体" w:hAnsi="宋体" w:cs="MingLiU"/>
          <w:color w:val="auto"/>
          <w:kern w:val="0"/>
          <w:sz w:val="20"/>
          <w:szCs w:val="20"/>
          <w:highlight w:val="none"/>
        </w:rPr>
      </w:pPr>
    </w:p>
    <w:p w14:paraId="535362F8">
      <w:pPr>
        <w:autoSpaceDE w:val="0"/>
        <w:autoSpaceDN w:val="0"/>
        <w:adjustRightInd w:val="0"/>
        <w:snapToGrid w:val="0"/>
        <w:spacing w:line="360" w:lineRule="auto"/>
        <w:jc w:val="left"/>
        <w:rPr>
          <w:rFonts w:ascii="宋体" w:hAnsi="宋体" w:cs="MingLiU"/>
          <w:color w:val="auto"/>
          <w:kern w:val="0"/>
          <w:sz w:val="20"/>
          <w:szCs w:val="20"/>
          <w:highlight w:val="none"/>
        </w:rPr>
      </w:pPr>
    </w:p>
    <w:p w14:paraId="3875F7E1">
      <w:pPr>
        <w:autoSpaceDE w:val="0"/>
        <w:autoSpaceDN w:val="0"/>
        <w:adjustRightInd w:val="0"/>
        <w:snapToGrid w:val="0"/>
        <w:spacing w:line="360" w:lineRule="auto"/>
        <w:jc w:val="left"/>
        <w:rPr>
          <w:rFonts w:ascii="宋体" w:hAnsi="宋体" w:cs="MingLiU"/>
          <w:color w:val="auto"/>
          <w:kern w:val="0"/>
          <w:sz w:val="20"/>
          <w:szCs w:val="20"/>
          <w:highlight w:val="none"/>
        </w:rPr>
      </w:pPr>
    </w:p>
    <w:p w14:paraId="633F9F98">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1FECAE89">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1A96E961">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32A97649">
      <w:pPr>
        <w:autoSpaceDE w:val="0"/>
        <w:autoSpaceDN w:val="0"/>
        <w:adjustRightInd w:val="0"/>
        <w:snapToGrid w:val="0"/>
        <w:jc w:val="center"/>
        <w:rPr>
          <w:rFonts w:hint="eastAsia" w:ascii="宋体" w:hAnsi="宋体"/>
          <w:color w:val="auto"/>
          <w:kern w:val="0"/>
          <w:sz w:val="36"/>
          <w:szCs w:val="36"/>
          <w:highlight w:val="none"/>
        </w:rPr>
      </w:pPr>
    </w:p>
    <w:p w14:paraId="3248193D">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203839E2">
      <w:pPr>
        <w:spacing w:line="360" w:lineRule="auto"/>
        <w:jc w:val="center"/>
        <w:rPr>
          <w:rFonts w:ascii="宋体" w:hAnsi="宋体"/>
          <w:b/>
          <w:color w:val="auto"/>
          <w:kern w:val="0"/>
          <w:sz w:val="32"/>
          <w:szCs w:val="32"/>
          <w:highlight w:val="none"/>
        </w:rPr>
      </w:pPr>
    </w:p>
    <w:p w14:paraId="139B8946">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2F9CA6CE">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lang w:eastAsia="zh-CN"/>
        </w:rPr>
        <w:t>竞选人</w:t>
      </w:r>
      <w:r>
        <w:rPr>
          <w:rFonts w:ascii="宋体" w:hAnsi="宋体"/>
          <w:color w:val="auto"/>
          <w:szCs w:val="21"/>
          <w:highlight w:val="none"/>
        </w:rPr>
        <w:t>基本情况表</w:t>
      </w:r>
    </w:p>
    <w:p w14:paraId="10782A9F">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三</w:t>
      </w:r>
      <w:r>
        <w:rPr>
          <w:rFonts w:ascii="宋体" w:hAnsi="宋体"/>
          <w:color w:val="auto"/>
          <w:szCs w:val="21"/>
          <w:highlight w:val="none"/>
        </w:rPr>
        <w:t>）项目管理机构</w:t>
      </w:r>
    </w:p>
    <w:p w14:paraId="589703E4">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w:t>
      </w:r>
      <w:r>
        <w:rPr>
          <w:rFonts w:hint="eastAsia" w:ascii="宋体" w:hAnsi="宋体"/>
          <w:color w:val="auto"/>
          <w:szCs w:val="21"/>
          <w:highlight w:val="none"/>
        </w:rPr>
        <w:t>承诺</w:t>
      </w:r>
    </w:p>
    <w:p w14:paraId="2F7A85C5">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五</w:t>
      </w:r>
      <w:r>
        <w:rPr>
          <w:rFonts w:ascii="宋体" w:hAnsi="宋体"/>
          <w:color w:val="auto"/>
          <w:szCs w:val="21"/>
          <w:highlight w:val="none"/>
        </w:rPr>
        <w:t>）其他资料</w:t>
      </w:r>
    </w:p>
    <w:p w14:paraId="20C5428D">
      <w:pPr>
        <w:spacing w:line="360" w:lineRule="auto"/>
        <w:jc w:val="center"/>
        <w:rPr>
          <w:rFonts w:ascii="宋体" w:hAnsi="宋体"/>
          <w:b/>
          <w:color w:val="auto"/>
          <w:kern w:val="0"/>
          <w:sz w:val="32"/>
          <w:szCs w:val="32"/>
          <w:highlight w:val="none"/>
        </w:rPr>
      </w:pPr>
    </w:p>
    <w:p w14:paraId="7117BFCF">
      <w:pPr>
        <w:spacing w:line="360" w:lineRule="auto"/>
        <w:jc w:val="center"/>
        <w:rPr>
          <w:rFonts w:ascii="宋体" w:hAnsi="宋体"/>
          <w:b/>
          <w:color w:val="auto"/>
          <w:kern w:val="0"/>
          <w:sz w:val="32"/>
          <w:szCs w:val="32"/>
          <w:highlight w:val="none"/>
        </w:rPr>
      </w:pPr>
    </w:p>
    <w:p w14:paraId="358AE070">
      <w:pPr>
        <w:pStyle w:val="5"/>
        <w:jc w:val="center"/>
        <w:rPr>
          <w:rFonts w:ascii="宋体" w:hAnsi="宋体"/>
          <w:snapToGrid w:val="0"/>
          <w:color w:val="auto"/>
          <w:kern w:val="0"/>
          <w:sz w:val="30"/>
          <w:szCs w:val="30"/>
          <w:highlight w:val="none"/>
        </w:rPr>
      </w:pPr>
      <w:r>
        <w:rPr>
          <w:rFonts w:ascii="宋体" w:hAnsi="宋体"/>
          <w:color w:val="auto"/>
          <w:highlight w:val="none"/>
        </w:rPr>
        <w:br w:type="page"/>
      </w:r>
      <w:bookmarkStart w:id="1722" w:name="_Toc5633"/>
      <w:bookmarkStart w:id="1723" w:name="_Toc57905929"/>
      <w:bookmarkStart w:id="1724" w:name="_Toc287607883"/>
      <w:bookmarkStart w:id="1725" w:name="_Toc277082657"/>
      <w:bookmarkStart w:id="1726" w:name="_Toc430530546"/>
      <w:bookmarkStart w:id="1727" w:name="_Toc287620830"/>
      <w:bookmarkStart w:id="1728" w:name="_Toc224103511"/>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1722"/>
      <w:bookmarkEnd w:id="1723"/>
    </w:p>
    <w:p w14:paraId="09F5193C">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485EA58A">
      <w:pPr>
        <w:spacing w:line="480" w:lineRule="auto"/>
        <w:jc w:val="center"/>
        <w:rPr>
          <w:rFonts w:ascii="宋体" w:hAnsi="宋体"/>
          <w:color w:val="auto"/>
          <w:highlight w:val="none"/>
        </w:rPr>
      </w:pPr>
    </w:p>
    <w:p w14:paraId="699B8C8A">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D4EA3E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DA1861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6E92C37">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107F597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507CA9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D595083">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15902ED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11B4E749">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66CBF46">
      <w:pPr>
        <w:autoSpaceDE w:val="0"/>
        <w:autoSpaceDN w:val="0"/>
        <w:adjustRightInd w:val="0"/>
        <w:snapToGrid w:val="0"/>
        <w:spacing w:line="360" w:lineRule="auto"/>
        <w:jc w:val="left"/>
        <w:rPr>
          <w:rFonts w:ascii="宋体" w:hAnsi="宋体"/>
          <w:color w:val="auto"/>
          <w:szCs w:val="21"/>
          <w:highlight w:val="none"/>
        </w:rPr>
      </w:pPr>
    </w:p>
    <w:p w14:paraId="3179ADFC">
      <w:pPr>
        <w:pStyle w:val="2"/>
        <w:spacing w:after="0" w:line="360" w:lineRule="auto"/>
        <w:rPr>
          <w:rFonts w:ascii="宋体" w:hAnsi="宋体"/>
          <w:color w:val="auto"/>
          <w:szCs w:val="21"/>
          <w:highlight w:val="none"/>
        </w:rPr>
      </w:pPr>
    </w:p>
    <w:p w14:paraId="26E97F16">
      <w:pPr>
        <w:pStyle w:val="2"/>
        <w:spacing w:after="0" w:line="360" w:lineRule="auto"/>
        <w:rPr>
          <w:rFonts w:ascii="宋体" w:hAnsi="宋体"/>
          <w:color w:val="auto"/>
          <w:szCs w:val="21"/>
          <w:highlight w:val="none"/>
        </w:rPr>
      </w:pPr>
    </w:p>
    <w:p w14:paraId="3B463D41">
      <w:pPr>
        <w:pStyle w:val="2"/>
        <w:spacing w:after="0" w:line="360" w:lineRule="auto"/>
        <w:rPr>
          <w:rFonts w:ascii="宋体" w:hAnsi="宋体"/>
          <w:color w:val="auto"/>
          <w:szCs w:val="21"/>
          <w:highlight w:val="none"/>
        </w:rPr>
      </w:pPr>
    </w:p>
    <w:p w14:paraId="16C605A2">
      <w:pPr>
        <w:pStyle w:val="2"/>
        <w:spacing w:after="0" w:line="360" w:lineRule="auto"/>
        <w:rPr>
          <w:rFonts w:ascii="宋体" w:hAnsi="宋体"/>
          <w:color w:val="auto"/>
          <w:szCs w:val="21"/>
          <w:highlight w:val="none"/>
        </w:rPr>
      </w:pPr>
    </w:p>
    <w:p w14:paraId="3BD5717D">
      <w:pPr>
        <w:pStyle w:val="2"/>
        <w:spacing w:after="0" w:line="360" w:lineRule="auto"/>
        <w:rPr>
          <w:rFonts w:ascii="宋体" w:hAnsi="宋体"/>
          <w:color w:val="auto"/>
          <w:szCs w:val="21"/>
          <w:highlight w:val="none"/>
        </w:rPr>
      </w:pPr>
    </w:p>
    <w:p w14:paraId="4D252CAB">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120F1309">
      <w:pPr>
        <w:autoSpaceDE w:val="0"/>
        <w:autoSpaceDN w:val="0"/>
        <w:adjustRightInd w:val="0"/>
        <w:snapToGrid w:val="0"/>
        <w:spacing w:line="480" w:lineRule="auto"/>
        <w:jc w:val="left"/>
        <w:rPr>
          <w:rFonts w:ascii="宋体" w:hAnsi="宋体"/>
          <w:color w:val="auto"/>
          <w:kern w:val="0"/>
          <w:sz w:val="20"/>
          <w:szCs w:val="20"/>
          <w:highlight w:val="none"/>
        </w:rPr>
      </w:pPr>
    </w:p>
    <w:p w14:paraId="177BCF1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B8D487F">
      <w:pPr>
        <w:autoSpaceDE w:val="0"/>
        <w:autoSpaceDN w:val="0"/>
        <w:adjustRightInd w:val="0"/>
        <w:snapToGrid w:val="0"/>
        <w:spacing w:line="360" w:lineRule="auto"/>
        <w:jc w:val="left"/>
        <w:rPr>
          <w:rFonts w:ascii="宋体" w:hAnsi="宋体"/>
          <w:color w:val="auto"/>
          <w:kern w:val="0"/>
          <w:highlight w:val="none"/>
        </w:rPr>
      </w:pPr>
    </w:p>
    <w:p w14:paraId="1AE572D0">
      <w:pPr>
        <w:autoSpaceDE w:val="0"/>
        <w:autoSpaceDN w:val="0"/>
        <w:adjustRightInd w:val="0"/>
        <w:snapToGrid w:val="0"/>
        <w:spacing w:line="360" w:lineRule="auto"/>
        <w:jc w:val="left"/>
        <w:rPr>
          <w:rFonts w:ascii="宋体" w:hAnsi="宋体"/>
          <w:color w:val="auto"/>
          <w:kern w:val="0"/>
          <w:highlight w:val="none"/>
        </w:rPr>
      </w:pPr>
    </w:p>
    <w:p w14:paraId="05B79BD3">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1724"/>
      <w:bookmarkEnd w:id="1725"/>
      <w:bookmarkEnd w:id="1726"/>
      <w:bookmarkEnd w:id="1727"/>
      <w:bookmarkEnd w:id="1728"/>
      <w:r>
        <w:rPr>
          <w:rFonts w:hint="eastAsia" w:ascii="宋体" w:hAnsi="宋体"/>
          <w:color w:val="auto"/>
          <w:kern w:val="0"/>
          <w:szCs w:val="21"/>
          <w:highlight w:val="none"/>
        </w:rPr>
        <w:t>。</w:t>
      </w:r>
    </w:p>
    <w:p w14:paraId="0F2FD60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436D1DE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31C9827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08ACB7C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5FF9F1F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69D79CD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snapToGrid w:val="0"/>
          <w:color w:val="auto"/>
          <w:kern w:val="0"/>
          <w:szCs w:val="21"/>
          <w:highlight w:val="none"/>
          <w:lang w:val="en-US"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3FF3DB3">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79E446A">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EC77577">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49B46584">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2EA3281">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0BC86B6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31AA33AD">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30380DA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77919D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15C5D3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A0DED4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7E749F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F87C05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013D460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2197FA3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1C94C9ED">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0863885">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3D409918">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763C4745">
      <w:pPr>
        <w:pStyle w:val="5"/>
        <w:spacing w:before="0" w:after="0" w:line="240" w:lineRule="auto"/>
        <w:jc w:val="center"/>
        <w:rPr>
          <w:rFonts w:ascii="宋体" w:hAnsi="宋体"/>
          <w:color w:val="auto"/>
          <w:highlight w:val="none"/>
        </w:rPr>
      </w:pPr>
      <w:bookmarkStart w:id="1729" w:name="_Toc57905931"/>
      <w:bookmarkStart w:id="1730" w:name="_Toc287607887"/>
      <w:bookmarkStart w:id="1731" w:name="_Toc277082659"/>
      <w:r>
        <w:rPr>
          <w:rFonts w:hint="eastAsia" w:ascii="宋体" w:hAnsi="宋体"/>
          <w:b w:val="0"/>
          <w:bCs w:val="0"/>
          <w:color w:val="auto"/>
          <w:highlight w:val="none"/>
        </w:rPr>
        <w:t>（</w:t>
      </w:r>
      <w:r>
        <w:rPr>
          <w:rFonts w:hint="eastAsia" w:ascii="宋体" w:hAnsi="宋体"/>
          <w:b w:val="0"/>
          <w:bCs w:val="0"/>
          <w:color w:val="auto"/>
          <w:highlight w:val="none"/>
          <w:lang w:val="en-US" w:eastAsia="zh-CN"/>
        </w:rPr>
        <w:t>二</w:t>
      </w:r>
      <w:r>
        <w:rPr>
          <w:rFonts w:hint="eastAsia" w:ascii="宋体" w:hAnsi="宋体"/>
          <w:b w:val="0"/>
          <w:bCs w:val="0"/>
          <w:color w:val="auto"/>
          <w:highlight w:val="none"/>
        </w:rPr>
        <w:t>）</w:t>
      </w:r>
      <w:r>
        <w:rPr>
          <w:rFonts w:hint="eastAsia" w:ascii="宋体" w:hAnsi="宋体"/>
          <w:b w:val="0"/>
          <w:bCs w:val="0"/>
          <w:color w:val="auto"/>
          <w:highlight w:val="none"/>
          <w:lang w:eastAsia="zh-CN"/>
        </w:rPr>
        <w:t>竞选人</w:t>
      </w:r>
      <w:r>
        <w:rPr>
          <w:rFonts w:hint="eastAsia" w:ascii="宋体" w:hAnsi="宋体"/>
          <w:b w:val="0"/>
          <w:bCs w:val="0"/>
          <w:color w:val="auto"/>
          <w:highlight w:val="none"/>
        </w:rPr>
        <w:t>基本情况表</w:t>
      </w:r>
      <w:bookmarkEnd w:id="172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77B94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265781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lang w:eastAsia="zh-CN"/>
              </w:rPr>
              <w:t>竞选人</w:t>
            </w:r>
            <w:r>
              <w:rPr>
                <w:rFonts w:hint="eastAsia" w:ascii="宋体" w:hAnsi="宋体" w:cs="MingLiU"/>
                <w:color w:val="auto"/>
                <w:kern w:val="0"/>
                <w:szCs w:val="21"/>
                <w:highlight w:val="none"/>
              </w:rPr>
              <w:t>名称</w:t>
            </w:r>
          </w:p>
        </w:tc>
        <w:tc>
          <w:tcPr>
            <w:tcW w:w="7607" w:type="dxa"/>
            <w:gridSpan w:val="9"/>
            <w:vAlign w:val="center"/>
          </w:tcPr>
          <w:p w14:paraId="19540F81">
            <w:pPr>
              <w:autoSpaceDE w:val="0"/>
              <w:autoSpaceDN w:val="0"/>
              <w:adjustRightInd w:val="0"/>
              <w:snapToGrid w:val="0"/>
              <w:jc w:val="center"/>
              <w:rPr>
                <w:rFonts w:ascii="宋体" w:hAnsi="宋体"/>
                <w:color w:val="auto"/>
                <w:kern w:val="0"/>
                <w:szCs w:val="21"/>
                <w:highlight w:val="none"/>
              </w:rPr>
            </w:pPr>
          </w:p>
        </w:tc>
      </w:tr>
      <w:tr w14:paraId="2A5584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E6D2A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2A85A135">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445D1E3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70BEE190">
            <w:pPr>
              <w:autoSpaceDE w:val="0"/>
              <w:autoSpaceDN w:val="0"/>
              <w:adjustRightInd w:val="0"/>
              <w:snapToGrid w:val="0"/>
              <w:jc w:val="center"/>
              <w:rPr>
                <w:rFonts w:ascii="宋体" w:hAnsi="宋体"/>
                <w:color w:val="auto"/>
                <w:kern w:val="0"/>
                <w:szCs w:val="21"/>
                <w:highlight w:val="none"/>
              </w:rPr>
            </w:pPr>
          </w:p>
        </w:tc>
      </w:tr>
      <w:tr w14:paraId="620524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D5CFE5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5344EAC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45DA483C">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3986654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67ECBF2E">
            <w:pPr>
              <w:autoSpaceDE w:val="0"/>
              <w:autoSpaceDN w:val="0"/>
              <w:adjustRightInd w:val="0"/>
              <w:snapToGrid w:val="0"/>
              <w:jc w:val="center"/>
              <w:rPr>
                <w:rFonts w:ascii="宋体" w:hAnsi="宋体"/>
                <w:color w:val="auto"/>
                <w:kern w:val="0"/>
                <w:szCs w:val="21"/>
                <w:highlight w:val="none"/>
              </w:rPr>
            </w:pPr>
          </w:p>
        </w:tc>
      </w:tr>
      <w:tr w14:paraId="15981C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12989CD5">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1D10093A">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01D7A4E2">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C09EA7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0239A388">
            <w:pPr>
              <w:autoSpaceDE w:val="0"/>
              <w:autoSpaceDN w:val="0"/>
              <w:adjustRightInd w:val="0"/>
              <w:snapToGrid w:val="0"/>
              <w:jc w:val="center"/>
              <w:rPr>
                <w:rFonts w:ascii="宋体" w:hAnsi="宋体"/>
                <w:color w:val="auto"/>
                <w:kern w:val="0"/>
                <w:szCs w:val="21"/>
                <w:highlight w:val="none"/>
              </w:rPr>
            </w:pPr>
          </w:p>
        </w:tc>
      </w:tr>
      <w:tr w14:paraId="490108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7B5FFB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6790FB17">
            <w:pPr>
              <w:autoSpaceDE w:val="0"/>
              <w:autoSpaceDN w:val="0"/>
              <w:adjustRightInd w:val="0"/>
              <w:snapToGrid w:val="0"/>
              <w:jc w:val="center"/>
              <w:rPr>
                <w:rFonts w:ascii="宋体" w:hAnsi="宋体"/>
                <w:color w:val="auto"/>
                <w:kern w:val="0"/>
                <w:szCs w:val="21"/>
                <w:highlight w:val="none"/>
              </w:rPr>
            </w:pPr>
          </w:p>
        </w:tc>
      </w:tr>
      <w:tr w14:paraId="2F3EC2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79BD2B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6052367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714C60F0">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3C5C3C8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7985BAE">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3567B3B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5253F6D8">
            <w:pPr>
              <w:autoSpaceDE w:val="0"/>
              <w:autoSpaceDN w:val="0"/>
              <w:adjustRightInd w:val="0"/>
              <w:snapToGrid w:val="0"/>
              <w:jc w:val="center"/>
              <w:rPr>
                <w:rFonts w:ascii="宋体" w:hAnsi="宋体"/>
                <w:color w:val="auto"/>
                <w:kern w:val="0"/>
                <w:szCs w:val="21"/>
                <w:highlight w:val="none"/>
              </w:rPr>
            </w:pPr>
          </w:p>
        </w:tc>
      </w:tr>
      <w:tr w14:paraId="5AA4F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16FECD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2E004C2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6C0AAEDF">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0C930CB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46E8F4A6">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4B5EBCD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55C99256">
            <w:pPr>
              <w:autoSpaceDE w:val="0"/>
              <w:autoSpaceDN w:val="0"/>
              <w:adjustRightInd w:val="0"/>
              <w:snapToGrid w:val="0"/>
              <w:jc w:val="center"/>
              <w:rPr>
                <w:rFonts w:ascii="宋体" w:hAnsi="宋体"/>
                <w:color w:val="auto"/>
                <w:kern w:val="0"/>
                <w:szCs w:val="21"/>
                <w:highlight w:val="none"/>
              </w:rPr>
            </w:pPr>
          </w:p>
        </w:tc>
      </w:tr>
      <w:tr w14:paraId="6DA7C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7B4082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634DC25D">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03024BA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09E402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3290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62B0756B">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CDE764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686F378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0624078A">
            <w:pPr>
              <w:autoSpaceDE w:val="0"/>
              <w:autoSpaceDN w:val="0"/>
              <w:adjustRightInd w:val="0"/>
              <w:snapToGrid w:val="0"/>
              <w:jc w:val="center"/>
              <w:rPr>
                <w:rFonts w:ascii="宋体" w:hAnsi="宋体"/>
                <w:color w:val="auto"/>
                <w:kern w:val="0"/>
                <w:szCs w:val="21"/>
                <w:highlight w:val="none"/>
              </w:rPr>
            </w:pPr>
          </w:p>
        </w:tc>
      </w:tr>
      <w:tr w14:paraId="494AF7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003C5B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02C4740A">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35C0923">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5189057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669EEA7A">
            <w:pPr>
              <w:autoSpaceDE w:val="0"/>
              <w:autoSpaceDN w:val="0"/>
              <w:adjustRightInd w:val="0"/>
              <w:snapToGrid w:val="0"/>
              <w:jc w:val="center"/>
              <w:rPr>
                <w:rFonts w:ascii="宋体" w:hAnsi="宋体"/>
                <w:color w:val="auto"/>
                <w:kern w:val="0"/>
                <w:szCs w:val="21"/>
                <w:highlight w:val="none"/>
              </w:rPr>
            </w:pPr>
          </w:p>
        </w:tc>
      </w:tr>
      <w:tr w14:paraId="1867C4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B5816D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3892AE61">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2D5CD9E5">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3EBC3F6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125051CD">
            <w:pPr>
              <w:autoSpaceDE w:val="0"/>
              <w:autoSpaceDN w:val="0"/>
              <w:adjustRightInd w:val="0"/>
              <w:snapToGrid w:val="0"/>
              <w:jc w:val="center"/>
              <w:rPr>
                <w:rFonts w:ascii="宋体" w:hAnsi="宋体"/>
                <w:color w:val="auto"/>
                <w:kern w:val="0"/>
                <w:szCs w:val="21"/>
                <w:highlight w:val="none"/>
              </w:rPr>
            </w:pPr>
          </w:p>
        </w:tc>
      </w:tr>
      <w:tr w14:paraId="0E161C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A94683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7C283062">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54480066">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2600116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6716E237">
            <w:pPr>
              <w:autoSpaceDE w:val="0"/>
              <w:autoSpaceDN w:val="0"/>
              <w:adjustRightInd w:val="0"/>
              <w:snapToGrid w:val="0"/>
              <w:jc w:val="center"/>
              <w:rPr>
                <w:rFonts w:ascii="宋体" w:hAnsi="宋体"/>
                <w:color w:val="auto"/>
                <w:kern w:val="0"/>
                <w:szCs w:val="21"/>
                <w:highlight w:val="none"/>
              </w:rPr>
            </w:pPr>
          </w:p>
        </w:tc>
      </w:tr>
      <w:tr w14:paraId="188A15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86A681A">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300DB641">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1BE04E7">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7FBB137F">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46589589">
            <w:pPr>
              <w:autoSpaceDE w:val="0"/>
              <w:autoSpaceDN w:val="0"/>
              <w:adjustRightInd w:val="0"/>
              <w:snapToGrid w:val="0"/>
              <w:jc w:val="center"/>
              <w:rPr>
                <w:rFonts w:ascii="宋体" w:hAnsi="宋体"/>
                <w:color w:val="auto"/>
                <w:kern w:val="0"/>
                <w:szCs w:val="21"/>
                <w:highlight w:val="none"/>
              </w:rPr>
            </w:pPr>
          </w:p>
        </w:tc>
      </w:tr>
      <w:tr w14:paraId="7F9904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910D9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5111F58F">
            <w:pPr>
              <w:autoSpaceDE w:val="0"/>
              <w:autoSpaceDN w:val="0"/>
              <w:adjustRightInd w:val="0"/>
              <w:snapToGrid w:val="0"/>
              <w:jc w:val="center"/>
              <w:rPr>
                <w:rFonts w:ascii="宋体" w:hAnsi="宋体"/>
                <w:color w:val="auto"/>
                <w:kern w:val="0"/>
                <w:szCs w:val="21"/>
                <w:highlight w:val="none"/>
              </w:rPr>
            </w:pPr>
          </w:p>
        </w:tc>
      </w:tr>
      <w:tr w14:paraId="036395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C90FE6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6953B491">
            <w:pPr>
              <w:autoSpaceDE w:val="0"/>
              <w:autoSpaceDN w:val="0"/>
              <w:adjustRightInd w:val="0"/>
              <w:snapToGrid w:val="0"/>
              <w:jc w:val="center"/>
              <w:rPr>
                <w:rFonts w:ascii="宋体" w:hAnsi="宋体"/>
                <w:color w:val="auto"/>
                <w:kern w:val="0"/>
                <w:szCs w:val="21"/>
                <w:highlight w:val="none"/>
              </w:rPr>
            </w:pPr>
          </w:p>
        </w:tc>
      </w:tr>
    </w:tbl>
    <w:p w14:paraId="30A16DC0">
      <w:pPr>
        <w:spacing w:line="360" w:lineRule="auto"/>
        <w:jc w:val="center"/>
        <w:rPr>
          <w:rFonts w:ascii="宋体" w:hAnsi="宋体"/>
          <w:color w:val="auto"/>
          <w:szCs w:val="21"/>
          <w:highlight w:val="none"/>
        </w:rPr>
      </w:pPr>
    </w:p>
    <w:p w14:paraId="5571A711">
      <w:pPr>
        <w:pStyle w:val="5"/>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1732" w:name="_Toc57905932"/>
      <w:bookmarkStart w:id="1733" w:name="_Toc534185840"/>
      <w:bookmarkStart w:id="1734" w:name="_Toc509218863"/>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1732"/>
      <w:bookmarkEnd w:id="1733"/>
      <w:bookmarkEnd w:id="1734"/>
    </w:p>
    <w:p w14:paraId="7EFC04A5">
      <w:pPr>
        <w:spacing w:line="360" w:lineRule="auto"/>
        <w:rPr>
          <w:rFonts w:ascii="宋体" w:hAnsi="宋体"/>
          <w:color w:val="auto"/>
          <w:highlight w:val="none"/>
        </w:rPr>
      </w:pPr>
    </w:p>
    <w:p w14:paraId="6D6CE74F">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CAB06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03BF18A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0EA729C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08BA630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474AA9A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2F515A6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56E030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vAlign w:val="top"/>
          </w:tcPr>
          <w:p w14:paraId="3ECD154B">
            <w:pPr>
              <w:autoSpaceDE w:val="0"/>
              <w:autoSpaceDN w:val="0"/>
              <w:adjustRightInd w:val="0"/>
              <w:snapToGrid w:val="0"/>
              <w:jc w:val="left"/>
              <w:rPr>
                <w:rFonts w:ascii="宋体" w:hAnsi="宋体"/>
                <w:color w:val="auto"/>
                <w:kern w:val="0"/>
                <w:szCs w:val="21"/>
                <w:highlight w:val="none"/>
              </w:rPr>
            </w:pPr>
          </w:p>
        </w:tc>
        <w:tc>
          <w:tcPr>
            <w:tcW w:w="734" w:type="dxa"/>
            <w:vMerge w:val="continue"/>
            <w:vAlign w:val="top"/>
          </w:tcPr>
          <w:p w14:paraId="70EA971A">
            <w:pPr>
              <w:autoSpaceDE w:val="0"/>
              <w:autoSpaceDN w:val="0"/>
              <w:adjustRightInd w:val="0"/>
              <w:snapToGrid w:val="0"/>
              <w:jc w:val="left"/>
              <w:rPr>
                <w:rFonts w:ascii="宋体" w:hAnsi="宋体"/>
                <w:color w:val="auto"/>
                <w:kern w:val="0"/>
                <w:szCs w:val="21"/>
                <w:highlight w:val="none"/>
              </w:rPr>
            </w:pPr>
          </w:p>
        </w:tc>
        <w:tc>
          <w:tcPr>
            <w:tcW w:w="776" w:type="dxa"/>
            <w:vMerge w:val="continue"/>
            <w:vAlign w:val="top"/>
          </w:tcPr>
          <w:p w14:paraId="1BB2042F">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6E14672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2174DFA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0422218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3A02124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141CBC8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vAlign w:val="top"/>
          </w:tcPr>
          <w:p w14:paraId="4110C32D">
            <w:pPr>
              <w:autoSpaceDE w:val="0"/>
              <w:autoSpaceDN w:val="0"/>
              <w:adjustRightInd w:val="0"/>
              <w:snapToGrid w:val="0"/>
              <w:jc w:val="left"/>
              <w:rPr>
                <w:rFonts w:ascii="宋体" w:hAnsi="宋体"/>
                <w:color w:val="auto"/>
                <w:kern w:val="0"/>
                <w:szCs w:val="21"/>
                <w:highlight w:val="none"/>
              </w:rPr>
            </w:pPr>
          </w:p>
        </w:tc>
      </w:tr>
      <w:tr w14:paraId="061820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D89781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vAlign w:val="top"/>
          </w:tcPr>
          <w:p w14:paraId="57A190A9">
            <w:pPr>
              <w:autoSpaceDE w:val="0"/>
              <w:autoSpaceDN w:val="0"/>
              <w:adjustRightInd w:val="0"/>
              <w:snapToGrid w:val="0"/>
              <w:jc w:val="left"/>
              <w:rPr>
                <w:rFonts w:ascii="宋体" w:hAnsi="宋体"/>
                <w:color w:val="auto"/>
                <w:kern w:val="0"/>
                <w:szCs w:val="21"/>
                <w:highlight w:val="none"/>
              </w:rPr>
            </w:pPr>
          </w:p>
        </w:tc>
        <w:tc>
          <w:tcPr>
            <w:tcW w:w="776" w:type="dxa"/>
            <w:vAlign w:val="top"/>
          </w:tcPr>
          <w:p w14:paraId="3658917B">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4E503BD">
            <w:pPr>
              <w:autoSpaceDE w:val="0"/>
              <w:autoSpaceDN w:val="0"/>
              <w:adjustRightInd w:val="0"/>
              <w:snapToGrid w:val="0"/>
              <w:jc w:val="left"/>
              <w:rPr>
                <w:rFonts w:ascii="宋体" w:hAnsi="宋体"/>
                <w:color w:val="auto"/>
                <w:kern w:val="0"/>
                <w:szCs w:val="21"/>
                <w:highlight w:val="none"/>
              </w:rPr>
            </w:pPr>
          </w:p>
        </w:tc>
        <w:tc>
          <w:tcPr>
            <w:tcW w:w="776" w:type="dxa"/>
            <w:vAlign w:val="top"/>
          </w:tcPr>
          <w:p w14:paraId="5ACAF28C">
            <w:pPr>
              <w:autoSpaceDE w:val="0"/>
              <w:autoSpaceDN w:val="0"/>
              <w:adjustRightInd w:val="0"/>
              <w:snapToGrid w:val="0"/>
              <w:jc w:val="left"/>
              <w:rPr>
                <w:rFonts w:ascii="宋体" w:hAnsi="宋体"/>
                <w:color w:val="auto"/>
                <w:kern w:val="0"/>
                <w:szCs w:val="21"/>
                <w:highlight w:val="none"/>
              </w:rPr>
            </w:pPr>
          </w:p>
        </w:tc>
        <w:tc>
          <w:tcPr>
            <w:tcW w:w="778" w:type="dxa"/>
            <w:vAlign w:val="top"/>
          </w:tcPr>
          <w:p w14:paraId="5B19ECAF">
            <w:pPr>
              <w:autoSpaceDE w:val="0"/>
              <w:autoSpaceDN w:val="0"/>
              <w:adjustRightInd w:val="0"/>
              <w:snapToGrid w:val="0"/>
              <w:jc w:val="left"/>
              <w:rPr>
                <w:rFonts w:ascii="宋体" w:hAnsi="宋体"/>
                <w:color w:val="auto"/>
                <w:kern w:val="0"/>
                <w:szCs w:val="21"/>
                <w:highlight w:val="none"/>
              </w:rPr>
            </w:pPr>
          </w:p>
        </w:tc>
        <w:tc>
          <w:tcPr>
            <w:tcW w:w="776" w:type="dxa"/>
            <w:vAlign w:val="top"/>
          </w:tcPr>
          <w:p w14:paraId="7960977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155CF85C">
            <w:pPr>
              <w:autoSpaceDE w:val="0"/>
              <w:autoSpaceDN w:val="0"/>
              <w:adjustRightInd w:val="0"/>
              <w:snapToGrid w:val="0"/>
              <w:jc w:val="left"/>
              <w:rPr>
                <w:rFonts w:ascii="宋体" w:hAnsi="宋体"/>
                <w:color w:val="auto"/>
                <w:kern w:val="0"/>
                <w:szCs w:val="21"/>
                <w:highlight w:val="none"/>
              </w:rPr>
            </w:pPr>
          </w:p>
        </w:tc>
        <w:tc>
          <w:tcPr>
            <w:tcW w:w="896" w:type="dxa"/>
            <w:vAlign w:val="top"/>
          </w:tcPr>
          <w:p w14:paraId="0884B8F3">
            <w:pPr>
              <w:autoSpaceDE w:val="0"/>
              <w:autoSpaceDN w:val="0"/>
              <w:adjustRightInd w:val="0"/>
              <w:snapToGrid w:val="0"/>
              <w:jc w:val="left"/>
              <w:rPr>
                <w:rFonts w:ascii="宋体" w:hAnsi="宋体"/>
                <w:color w:val="auto"/>
                <w:kern w:val="0"/>
                <w:szCs w:val="21"/>
                <w:highlight w:val="none"/>
              </w:rPr>
            </w:pPr>
          </w:p>
        </w:tc>
      </w:tr>
      <w:tr w14:paraId="303D32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29EF86BB">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vAlign w:val="top"/>
          </w:tcPr>
          <w:p w14:paraId="4BE18199">
            <w:pPr>
              <w:autoSpaceDE w:val="0"/>
              <w:autoSpaceDN w:val="0"/>
              <w:adjustRightInd w:val="0"/>
              <w:snapToGrid w:val="0"/>
              <w:jc w:val="left"/>
              <w:rPr>
                <w:rFonts w:ascii="宋体" w:hAnsi="宋体"/>
                <w:color w:val="auto"/>
                <w:kern w:val="0"/>
                <w:szCs w:val="21"/>
                <w:highlight w:val="none"/>
              </w:rPr>
            </w:pPr>
          </w:p>
        </w:tc>
        <w:tc>
          <w:tcPr>
            <w:tcW w:w="776" w:type="dxa"/>
            <w:vAlign w:val="top"/>
          </w:tcPr>
          <w:p w14:paraId="46D58812">
            <w:pPr>
              <w:autoSpaceDE w:val="0"/>
              <w:autoSpaceDN w:val="0"/>
              <w:adjustRightInd w:val="0"/>
              <w:snapToGrid w:val="0"/>
              <w:jc w:val="left"/>
              <w:rPr>
                <w:rFonts w:ascii="宋体" w:hAnsi="宋体"/>
                <w:color w:val="auto"/>
                <w:kern w:val="0"/>
                <w:szCs w:val="21"/>
                <w:highlight w:val="none"/>
              </w:rPr>
            </w:pPr>
          </w:p>
        </w:tc>
        <w:tc>
          <w:tcPr>
            <w:tcW w:w="1167" w:type="dxa"/>
            <w:vAlign w:val="top"/>
          </w:tcPr>
          <w:p w14:paraId="6807AF20">
            <w:pPr>
              <w:autoSpaceDE w:val="0"/>
              <w:autoSpaceDN w:val="0"/>
              <w:adjustRightInd w:val="0"/>
              <w:snapToGrid w:val="0"/>
              <w:jc w:val="left"/>
              <w:rPr>
                <w:rFonts w:ascii="宋体" w:hAnsi="宋体"/>
                <w:color w:val="auto"/>
                <w:kern w:val="0"/>
                <w:szCs w:val="21"/>
                <w:highlight w:val="none"/>
              </w:rPr>
            </w:pPr>
          </w:p>
        </w:tc>
        <w:tc>
          <w:tcPr>
            <w:tcW w:w="776" w:type="dxa"/>
            <w:vAlign w:val="top"/>
          </w:tcPr>
          <w:p w14:paraId="0C2EAA85">
            <w:pPr>
              <w:autoSpaceDE w:val="0"/>
              <w:autoSpaceDN w:val="0"/>
              <w:adjustRightInd w:val="0"/>
              <w:snapToGrid w:val="0"/>
              <w:jc w:val="left"/>
              <w:rPr>
                <w:rFonts w:ascii="宋体" w:hAnsi="宋体"/>
                <w:color w:val="auto"/>
                <w:kern w:val="0"/>
                <w:szCs w:val="21"/>
                <w:highlight w:val="none"/>
              </w:rPr>
            </w:pPr>
          </w:p>
        </w:tc>
        <w:tc>
          <w:tcPr>
            <w:tcW w:w="778" w:type="dxa"/>
            <w:vAlign w:val="top"/>
          </w:tcPr>
          <w:p w14:paraId="42243997">
            <w:pPr>
              <w:autoSpaceDE w:val="0"/>
              <w:autoSpaceDN w:val="0"/>
              <w:adjustRightInd w:val="0"/>
              <w:snapToGrid w:val="0"/>
              <w:jc w:val="left"/>
              <w:rPr>
                <w:rFonts w:ascii="宋体" w:hAnsi="宋体"/>
                <w:color w:val="auto"/>
                <w:kern w:val="0"/>
                <w:szCs w:val="21"/>
                <w:highlight w:val="none"/>
              </w:rPr>
            </w:pPr>
          </w:p>
        </w:tc>
        <w:tc>
          <w:tcPr>
            <w:tcW w:w="776" w:type="dxa"/>
            <w:vAlign w:val="top"/>
          </w:tcPr>
          <w:p w14:paraId="235FF3A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6D9B1524">
            <w:pPr>
              <w:autoSpaceDE w:val="0"/>
              <w:autoSpaceDN w:val="0"/>
              <w:adjustRightInd w:val="0"/>
              <w:snapToGrid w:val="0"/>
              <w:jc w:val="left"/>
              <w:rPr>
                <w:rFonts w:ascii="宋体" w:hAnsi="宋体"/>
                <w:color w:val="auto"/>
                <w:kern w:val="0"/>
                <w:szCs w:val="21"/>
                <w:highlight w:val="none"/>
              </w:rPr>
            </w:pPr>
          </w:p>
        </w:tc>
        <w:tc>
          <w:tcPr>
            <w:tcW w:w="896" w:type="dxa"/>
            <w:vAlign w:val="top"/>
          </w:tcPr>
          <w:p w14:paraId="4CD2BD5B">
            <w:pPr>
              <w:autoSpaceDE w:val="0"/>
              <w:autoSpaceDN w:val="0"/>
              <w:adjustRightInd w:val="0"/>
              <w:snapToGrid w:val="0"/>
              <w:jc w:val="left"/>
              <w:rPr>
                <w:rFonts w:ascii="宋体" w:hAnsi="宋体"/>
                <w:color w:val="auto"/>
                <w:kern w:val="0"/>
                <w:szCs w:val="21"/>
                <w:highlight w:val="none"/>
              </w:rPr>
            </w:pPr>
          </w:p>
        </w:tc>
      </w:tr>
      <w:tr w14:paraId="7B1040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7118DC2">
            <w:pPr>
              <w:autoSpaceDE w:val="0"/>
              <w:autoSpaceDN w:val="0"/>
              <w:adjustRightInd w:val="0"/>
              <w:snapToGrid w:val="0"/>
              <w:jc w:val="left"/>
              <w:rPr>
                <w:rFonts w:ascii="宋体" w:hAnsi="宋体"/>
                <w:color w:val="auto"/>
                <w:kern w:val="0"/>
                <w:szCs w:val="21"/>
                <w:highlight w:val="none"/>
              </w:rPr>
            </w:pPr>
          </w:p>
        </w:tc>
        <w:tc>
          <w:tcPr>
            <w:tcW w:w="734" w:type="dxa"/>
            <w:vAlign w:val="top"/>
          </w:tcPr>
          <w:p w14:paraId="433513A7">
            <w:pPr>
              <w:autoSpaceDE w:val="0"/>
              <w:autoSpaceDN w:val="0"/>
              <w:adjustRightInd w:val="0"/>
              <w:snapToGrid w:val="0"/>
              <w:jc w:val="left"/>
              <w:rPr>
                <w:rFonts w:ascii="宋体" w:hAnsi="宋体"/>
                <w:color w:val="auto"/>
                <w:kern w:val="0"/>
                <w:szCs w:val="21"/>
                <w:highlight w:val="none"/>
              </w:rPr>
            </w:pPr>
          </w:p>
        </w:tc>
        <w:tc>
          <w:tcPr>
            <w:tcW w:w="776" w:type="dxa"/>
            <w:vAlign w:val="top"/>
          </w:tcPr>
          <w:p w14:paraId="0FFF56CD">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EA4AE01">
            <w:pPr>
              <w:autoSpaceDE w:val="0"/>
              <w:autoSpaceDN w:val="0"/>
              <w:adjustRightInd w:val="0"/>
              <w:snapToGrid w:val="0"/>
              <w:jc w:val="left"/>
              <w:rPr>
                <w:rFonts w:ascii="宋体" w:hAnsi="宋体"/>
                <w:color w:val="auto"/>
                <w:kern w:val="0"/>
                <w:szCs w:val="21"/>
                <w:highlight w:val="none"/>
              </w:rPr>
            </w:pPr>
          </w:p>
        </w:tc>
        <w:tc>
          <w:tcPr>
            <w:tcW w:w="776" w:type="dxa"/>
            <w:vAlign w:val="top"/>
          </w:tcPr>
          <w:p w14:paraId="306C5D46">
            <w:pPr>
              <w:autoSpaceDE w:val="0"/>
              <w:autoSpaceDN w:val="0"/>
              <w:adjustRightInd w:val="0"/>
              <w:snapToGrid w:val="0"/>
              <w:jc w:val="left"/>
              <w:rPr>
                <w:rFonts w:ascii="宋体" w:hAnsi="宋体"/>
                <w:color w:val="auto"/>
                <w:kern w:val="0"/>
                <w:szCs w:val="21"/>
                <w:highlight w:val="none"/>
              </w:rPr>
            </w:pPr>
          </w:p>
        </w:tc>
        <w:tc>
          <w:tcPr>
            <w:tcW w:w="778" w:type="dxa"/>
            <w:vAlign w:val="top"/>
          </w:tcPr>
          <w:p w14:paraId="30743C18">
            <w:pPr>
              <w:autoSpaceDE w:val="0"/>
              <w:autoSpaceDN w:val="0"/>
              <w:adjustRightInd w:val="0"/>
              <w:snapToGrid w:val="0"/>
              <w:jc w:val="left"/>
              <w:rPr>
                <w:rFonts w:ascii="宋体" w:hAnsi="宋体"/>
                <w:color w:val="auto"/>
                <w:kern w:val="0"/>
                <w:szCs w:val="21"/>
                <w:highlight w:val="none"/>
              </w:rPr>
            </w:pPr>
          </w:p>
        </w:tc>
        <w:tc>
          <w:tcPr>
            <w:tcW w:w="776" w:type="dxa"/>
            <w:vAlign w:val="top"/>
          </w:tcPr>
          <w:p w14:paraId="66A061A6">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F994FD8">
            <w:pPr>
              <w:autoSpaceDE w:val="0"/>
              <w:autoSpaceDN w:val="0"/>
              <w:adjustRightInd w:val="0"/>
              <w:snapToGrid w:val="0"/>
              <w:jc w:val="left"/>
              <w:rPr>
                <w:rFonts w:ascii="宋体" w:hAnsi="宋体"/>
                <w:color w:val="auto"/>
                <w:kern w:val="0"/>
                <w:szCs w:val="21"/>
                <w:highlight w:val="none"/>
              </w:rPr>
            </w:pPr>
          </w:p>
        </w:tc>
        <w:tc>
          <w:tcPr>
            <w:tcW w:w="896" w:type="dxa"/>
            <w:vAlign w:val="top"/>
          </w:tcPr>
          <w:p w14:paraId="636F92B9">
            <w:pPr>
              <w:autoSpaceDE w:val="0"/>
              <w:autoSpaceDN w:val="0"/>
              <w:adjustRightInd w:val="0"/>
              <w:snapToGrid w:val="0"/>
              <w:jc w:val="left"/>
              <w:rPr>
                <w:rFonts w:ascii="宋体" w:hAnsi="宋体"/>
                <w:color w:val="auto"/>
                <w:kern w:val="0"/>
                <w:szCs w:val="21"/>
                <w:highlight w:val="none"/>
              </w:rPr>
            </w:pPr>
          </w:p>
        </w:tc>
      </w:tr>
      <w:tr w14:paraId="77C7F4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5D4BE28">
            <w:pPr>
              <w:autoSpaceDE w:val="0"/>
              <w:autoSpaceDN w:val="0"/>
              <w:adjustRightInd w:val="0"/>
              <w:snapToGrid w:val="0"/>
              <w:jc w:val="left"/>
              <w:rPr>
                <w:rFonts w:ascii="宋体" w:hAnsi="宋体"/>
                <w:color w:val="auto"/>
                <w:kern w:val="0"/>
                <w:szCs w:val="21"/>
                <w:highlight w:val="none"/>
              </w:rPr>
            </w:pPr>
          </w:p>
        </w:tc>
        <w:tc>
          <w:tcPr>
            <w:tcW w:w="734" w:type="dxa"/>
            <w:vAlign w:val="top"/>
          </w:tcPr>
          <w:p w14:paraId="1332A33D">
            <w:pPr>
              <w:autoSpaceDE w:val="0"/>
              <w:autoSpaceDN w:val="0"/>
              <w:adjustRightInd w:val="0"/>
              <w:snapToGrid w:val="0"/>
              <w:jc w:val="left"/>
              <w:rPr>
                <w:rFonts w:ascii="宋体" w:hAnsi="宋体"/>
                <w:color w:val="auto"/>
                <w:kern w:val="0"/>
                <w:szCs w:val="21"/>
                <w:highlight w:val="none"/>
              </w:rPr>
            </w:pPr>
          </w:p>
        </w:tc>
        <w:tc>
          <w:tcPr>
            <w:tcW w:w="776" w:type="dxa"/>
            <w:vAlign w:val="top"/>
          </w:tcPr>
          <w:p w14:paraId="0C0EF247">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B0FEAE6">
            <w:pPr>
              <w:autoSpaceDE w:val="0"/>
              <w:autoSpaceDN w:val="0"/>
              <w:adjustRightInd w:val="0"/>
              <w:snapToGrid w:val="0"/>
              <w:jc w:val="left"/>
              <w:rPr>
                <w:rFonts w:ascii="宋体" w:hAnsi="宋体"/>
                <w:color w:val="auto"/>
                <w:kern w:val="0"/>
                <w:szCs w:val="21"/>
                <w:highlight w:val="none"/>
              </w:rPr>
            </w:pPr>
          </w:p>
        </w:tc>
        <w:tc>
          <w:tcPr>
            <w:tcW w:w="776" w:type="dxa"/>
            <w:vAlign w:val="top"/>
          </w:tcPr>
          <w:p w14:paraId="7ABA093A">
            <w:pPr>
              <w:autoSpaceDE w:val="0"/>
              <w:autoSpaceDN w:val="0"/>
              <w:adjustRightInd w:val="0"/>
              <w:snapToGrid w:val="0"/>
              <w:jc w:val="left"/>
              <w:rPr>
                <w:rFonts w:ascii="宋体" w:hAnsi="宋体"/>
                <w:color w:val="auto"/>
                <w:kern w:val="0"/>
                <w:szCs w:val="21"/>
                <w:highlight w:val="none"/>
              </w:rPr>
            </w:pPr>
          </w:p>
        </w:tc>
        <w:tc>
          <w:tcPr>
            <w:tcW w:w="778" w:type="dxa"/>
            <w:vAlign w:val="top"/>
          </w:tcPr>
          <w:p w14:paraId="01E890F4">
            <w:pPr>
              <w:autoSpaceDE w:val="0"/>
              <w:autoSpaceDN w:val="0"/>
              <w:adjustRightInd w:val="0"/>
              <w:snapToGrid w:val="0"/>
              <w:jc w:val="left"/>
              <w:rPr>
                <w:rFonts w:ascii="宋体" w:hAnsi="宋体"/>
                <w:color w:val="auto"/>
                <w:kern w:val="0"/>
                <w:szCs w:val="21"/>
                <w:highlight w:val="none"/>
              </w:rPr>
            </w:pPr>
          </w:p>
        </w:tc>
        <w:tc>
          <w:tcPr>
            <w:tcW w:w="776" w:type="dxa"/>
            <w:vAlign w:val="top"/>
          </w:tcPr>
          <w:p w14:paraId="5D43A89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05D801B">
            <w:pPr>
              <w:autoSpaceDE w:val="0"/>
              <w:autoSpaceDN w:val="0"/>
              <w:adjustRightInd w:val="0"/>
              <w:snapToGrid w:val="0"/>
              <w:jc w:val="left"/>
              <w:rPr>
                <w:rFonts w:ascii="宋体" w:hAnsi="宋体"/>
                <w:color w:val="auto"/>
                <w:kern w:val="0"/>
                <w:szCs w:val="21"/>
                <w:highlight w:val="none"/>
              </w:rPr>
            </w:pPr>
          </w:p>
        </w:tc>
        <w:tc>
          <w:tcPr>
            <w:tcW w:w="896" w:type="dxa"/>
            <w:vAlign w:val="top"/>
          </w:tcPr>
          <w:p w14:paraId="40874D10">
            <w:pPr>
              <w:autoSpaceDE w:val="0"/>
              <w:autoSpaceDN w:val="0"/>
              <w:adjustRightInd w:val="0"/>
              <w:snapToGrid w:val="0"/>
              <w:jc w:val="left"/>
              <w:rPr>
                <w:rFonts w:ascii="宋体" w:hAnsi="宋体"/>
                <w:color w:val="auto"/>
                <w:kern w:val="0"/>
                <w:szCs w:val="21"/>
                <w:highlight w:val="none"/>
              </w:rPr>
            </w:pPr>
          </w:p>
        </w:tc>
      </w:tr>
      <w:tr w14:paraId="5668F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F83D73A">
            <w:pPr>
              <w:autoSpaceDE w:val="0"/>
              <w:autoSpaceDN w:val="0"/>
              <w:adjustRightInd w:val="0"/>
              <w:snapToGrid w:val="0"/>
              <w:jc w:val="left"/>
              <w:rPr>
                <w:rFonts w:ascii="宋体" w:hAnsi="宋体"/>
                <w:color w:val="auto"/>
                <w:kern w:val="0"/>
                <w:szCs w:val="21"/>
                <w:highlight w:val="none"/>
              </w:rPr>
            </w:pPr>
          </w:p>
        </w:tc>
        <w:tc>
          <w:tcPr>
            <w:tcW w:w="734" w:type="dxa"/>
            <w:vAlign w:val="top"/>
          </w:tcPr>
          <w:p w14:paraId="4E62821D">
            <w:pPr>
              <w:autoSpaceDE w:val="0"/>
              <w:autoSpaceDN w:val="0"/>
              <w:adjustRightInd w:val="0"/>
              <w:snapToGrid w:val="0"/>
              <w:jc w:val="left"/>
              <w:rPr>
                <w:rFonts w:ascii="宋体" w:hAnsi="宋体"/>
                <w:color w:val="auto"/>
                <w:kern w:val="0"/>
                <w:szCs w:val="21"/>
                <w:highlight w:val="none"/>
              </w:rPr>
            </w:pPr>
          </w:p>
        </w:tc>
        <w:tc>
          <w:tcPr>
            <w:tcW w:w="776" w:type="dxa"/>
            <w:vAlign w:val="top"/>
          </w:tcPr>
          <w:p w14:paraId="76242185">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45224A5">
            <w:pPr>
              <w:autoSpaceDE w:val="0"/>
              <w:autoSpaceDN w:val="0"/>
              <w:adjustRightInd w:val="0"/>
              <w:snapToGrid w:val="0"/>
              <w:jc w:val="left"/>
              <w:rPr>
                <w:rFonts w:ascii="宋体" w:hAnsi="宋体"/>
                <w:color w:val="auto"/>
                <w:kern w:val="0"/>
                <w:szCs w:val="21"/>
                <w:highlight w:val="none"/>
              </w:rPr>
            </w:pPr>
          </w:p>
        </w:tc>
        <w:tc>
          <w:tcPr>
            <w:tcW w:w="776" w:type="dxa"/>
            <w:vAlign w:val="top"/>
          </w:tcPr>
          <w:p w14:paraId="6323CBDB">
            <w:pPr>
              <w:autoSpaceDE w:val="0"/>
              <w:autoSpaceDN w:val="0"/>
              <w:adjustRightInd w:val="0"/>
              <w:snapToGrid w:val="0"/>
              <w:jc w:val="left"/>
              <w:rPr>
                <w:rFonts w:ascii="宋体" w:hAnsi="宋体"/>
                <w:color w:val="auto"/>
                <w:kern w:val="0"/>
                <w:szCs w:val="21"/>
                <w:highlight w:val="none"/>
              </w:rPr>
            </w:pPr>
          </w:p>
        </w:tc>
        <w:tc>
          <w:tcPr>
            <w:tcW w:w="778" w:type="dxa"/>
            <w:vAlign w:val="top"/>
          </w:tcPr>
          <w:p w14:paraId="479AE3EF">
            <w:pPr>
              <w:autoSpaceDE w:val="0"/>
              <w:autoSpaceDN w:val="0"/>
              <w:adjustRightInd w:val="0"/>
              <w:snapToGrid w:val="0"/>
              <w:jc w:val="left"/>
              <w:rPr>
                <w:rFonts w:ascii="宋体" w:hAnsi="宋体"/>
                <w:color w:val="auto"/>
                <w:kern w:val="0"/>
                <w:szCs w:val="21"/>
                <w:highlight w:val="none"/>
              </w:rPr>
            </w:pPr>
          </w:p>
        </w:tc>
        <w:tc>
          <w:tcPr>
            <w:tcW w:w="776" w:type="dxa"/>
            <w:vAlign w:val="top"/>
          </w:tcPr>
          <w:p w14:paraId="360F4E2C">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367064F">
            <w:pPr>
              <w:autoSpaceDE w:val="0"/>
              <w:autoSpaceDN w:val="0"/>
              <w:adjustRightInd w:val="0"/>
              <w:snapToGrid w:val="0"/>
              <w:jc w:val="left"/>
              <w:rPr>
                <w:rFonts w:ascii="宋体" w:hAnsi="宋体"/>
                <w:color w:val="auto"/>
                <w:kern w:val="0"/>
                <w:szCs w:val="21"/>
                <w:highlight w:val="none"/>
              </w:rPr>
            </w:pPr>
          </w:p>
        </w:tc>
        <w:tc>
          <w:tcPr>
            <w:tcW w:w="896" w:type="dxa"/>
            <w:vAlign w:val="top"/>
          </w:tcPr>
          <w:p w14:paraId="31B4E7C1">
            <w:pPr>
              <w:autoSpaceDE w:val="0"/>
              <w:autoSpaceDN w:val="0"/>
              <w:adjustRightInd w:val="0"/>
              <w:snapToGrid w:val="0"/>
              <w:jc w:val="left"/>
              <w:rPr>
                <w:rFonts w:ascii="宋体" w:hAnsi="宋体"/>
                <w:color w:val="auto"/>
                <w:kern w:val="0"/>
                <w:szCs w:val="21"/>
                <w:highlight w:val="none"/>
              </w:rPr>
            </w:pPr>
          </w:p>
        </w:tc>
      </w:tr>
      <w:tr w14:paraId="735BFD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16F3D42">
            <w:pPr>
              <w:autoSpaceDE w:val="0"/>
              <w:autoSpaceDN w:val="0"/>
              <w:adjustRightInd w:val="0"/>
              <w:snapToGrid w:val="0"/>
              <w:jc w:val="left"/>
              <w:rPr>
                <w:rFonts w:ascii="宋体" w:hAnsi="宋体"/>
                <w:color w:val="auto"/>
                <w:kern w:val="0"/>
                <w:szCs w:val="21"/>
                <w:highlight w:val="none"/>
              </w:rPr>
            </w:pPr>
          </w:p>
        </w:tc>
        <w:tc>
          <w:tcPr>
            <w:tcW w:w="734" w:type="dxa"/>
            <w:vAlign w:val="top"/>
          </w:tcPr>
          <w:p w14:paraId="2B6DC695">
            <w:pPr>
              <w:autoSpaceDE w:val="0"/>
              <w:autoSpaceDN w:val="0"/>
              <w:adjustRightInd w:val="0"/>
              <w:snapToGrid w:val="0"/>
              <w:jc w:val="left"/>
              <w:rPr>
                <w:rFonts w:ascii="宋体" w:hAnsi="宋体"/>
                <w:color w:val="auto"/>
                <w:kern w:val="0"/>
                <w:szCs w:val="21"/>
                <w:highlight w:val="none"/>
              </w:rPr>
            </w:pPr>
          </w:p>
        </w:tc>
        <w:tc>
          <w:tcPr>
            <w:tcW w:w="776" w:type="dxa"/>
            <w:vAlign w:val="top"/>
          </w:tcPr>
          <w:p w14:paraId="159E3A09">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AFC6F92">
            <w:pPr>
              <w:autoSpaceDE w:val="0"/>
              <w:autoSpaceDN w:val="0"/>
              <w:adjustRightInd w:val="0"/>
              <w:snapToGrid w:val="0"/>
              <w:jc w:val="left"/>
              <w:rPr>
                <w:rFonts w:ascii="宋体" w:hAnsi="宋体"/>
                <w:color w:val="auto"/>
                <w:kern w:val="0"/>
                <w:szCs w:val="21"/>
                <w:highlight w:val="none"/>
              </w:rPr>
            </w:pPr>
          </w:p>
        </w:tc>
        <w:tc>
          <w:tcPr>
            <w:tcW w:w="776" w:type="dxa"/>
            <w:vAlign w:val="top"/>
          </w:tcPr>
          <w:p w14:paraId="7420FD03">
            <w:pPr>
              <w:autoSpaceDE w:val="0"/>
              <w:autoSpaceDN w:val="0"/>
              <w:adjustRightInd w:val="0"/>
              <w:snapToGrid w:val="0"/>
              <w:jc w:val="left"/>
              <w:rPr>
                <w:rFonts w:ascii="宋体" w:hAnsi="宋体"/>
                <w:color w:val="auto"/>
                <w:kern w:val="0"/>
                <w:szCs w:val="21"/>
                <w:highlight w:val="none"/>
              </w:rPr>
            </w:pPr>
          </w:p>
        </w:tc>
        <w:tc>
          <w:tcPr>
            <w:tcW w:w="778" w:type="dxa"/>
            <w:vAlign w:val="top"/>
          </w:tcPr>
          <w:p w14:paraId="03677A6A">
            <w:pPr>
              <w:autoSpaceDE w:val="0"/>
              <w:autoSpaceDN w:val="0"/>
              <w:adjustRightInd w:val="0"/>
              <w:snapToGrid w:val="0"/>
              <w:jc w:val="left"/>
              <w:rPr>
                <w:rFonts w:ascii="宋体" w:hAnsi="宋体"/>
                <w:color w:val="auto"/>
                <w:kern w:val="0"/>
                <w:szCs w:val="21"/>
                <w:highlight w:val="none"/>
              </w:rPr>
            </w:pPr>
          </w:p>
        </w:tc>
        <w:tc>
          <w:tcPr>
            <w:tcW w:w="776" w:type="dxa"/>
            <w:vAlign w:val="top"/>
          </w:tcPr>
          <w:p w14:paraId="50C844A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524A0A0C">
            <w:pPr>
              <w:autoSpaceDE w:val="0"/>
              <w:autoSpaceDN w:val="0"/>
              <w:adjustRightInd w:val="0"/>
              <w:snapToGrid w:val="0"/>
              <w:jc w:val="left"/>
              <w:rPr>
                <w:rFonts w:ascii="宋体" w:hAnsi="宋体"/>
                <w:color w:val="auto"/>
                <w:kern w:val="0"/>
                <w:szCs w:val="21"/>
                <w:highlight w:val="none"/>
              </w:rPr>
            </w:pPr>
          </w:p>
        </w:tc>
        <w:tc>
          <w:tcPr>
            <w:tcW w:w="896" w:type="dxa"/>
            <w:vAlign w:val="top"/>
          </w:tcPr>
          <w:p w14:paraId="7E7E8E30">
            <w:pPr>
              <w:autoSpaceDE w:val="0"/>
              <w:autoSpaceDN w:val="0"/>
              <w:adjustRightInd w:val="0"/>
              <w:snapToGrid w:val="0"/>
              <w:jc w:val="left"/>
              <w:rPr>
                <w:rFonts w:ascii="宋体" w:hAnsi="宋体"/>
                <w:color w:val="auto"/>
                <w:kern w:val="0"/>
                <w:szCs w:val="21"/>
                <w:highlight w:val="none"/>
              </w:rPr>
            </w:pPr>
          </w:p>
        </w:tc>
      </w:tr>
      <w:tr w14:paraId="0904D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0B84FB1">
            <w:pPr>
              <w:autoSpaceDE w:val="0"/>
              <w:autoSpaceDN w:val="0"/>
              <w:adjustRightInd w:val="0"/>
              <w:snapToGrid w:val="0"/>
              <w:jc w:val="left"/>
              <w:rPr>
                <w:rFonts w:ascii="宋体" w:hAnsi="宋体"/>
                <w:color w:val="auto"/>
                <w:kern w:val="0"/>
                <w:szCs w:val="21"/>
                <w:highlight w:val="none"/>
              </w:rPr>
            </w:pPr>
          </w:p>
        </w:tc>
        <w:tc>
          <w:tcPr>
            <w:tcW w:w="734" w:type="dxa"/>
            <w:vAlign w:val="top"/>
          </w:tcPr>
          <w:p w14:paraId="0D4B7B9C">
            <w:pPr>
              <w:autoSpaceDE w:val="0"/>
              <w:autoSpaceDN w:val="0"/>
              <w:adjustRightInd w:val="0"/>
              <w:snapToGrid w:val="0"/>
              <w:jc w:val="left"/>
              <w:rPr>
                <w:rFonts w:ascii="宋体" w:hAnsi="宋体"/>
                <w:color w:val="auto"/>
                <w:kern w:val="0"/>
                <w:szCs w:val="21"/>
                <w:highlight w:val="none"/>
              </w:rPr>
            </w:pPr>
          </w:p>
        </w:tc>
        <w:tc>
          <w:tcPr>
            <w:tcW w:w="776" w:type="dxa"/>
            <w:vAlign w:val="top"/>
          </w:tcPr>
          <w:p w14:paraId="2C222A7A">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F2BF7DC">
            <w:pPr>
              <w:autoSpaceDE w:val="0"/>
              <w:autoSpaceDN w:val="0"/>
              <w:adjustRightInd w:val="0"/>
              <w:snapToGrid w:val="0"/>
              <w:jc w:val="left"/>
              <w:rPr>
                <w:rFonts w:ascii="宋体" w:hAnsi="宋体"/>
                <w:color w:val="auto"/>
                <w:kern w:val="0"/>
                <w:szCs w:val="21"/>
                <w:highlight w:val="none"/>
              </w:rPr>
            </w:pPr>
          </w:p>
        </w:tc>
        <w:tc>
          <w:tcPr>
            <w:tcW w:w="776" w:type="dxa"/>
            <w:vAlign w:val="top"/>
          </w:tcPr>
          <w:p w14:paraId="5FDB553A">
            <w:pPr>
              <w:autoSpaceDE w:val="0"/>
              <w:autoSpaceDN w:val="0"/>
              <w:adjustRightInd w:val="0"/>
              <w:snapToGrid w:val="0"/>
              <w:jc w:val="left"/>
              <w:rPr>
                <w:rFonts w:ascii="宋体" w:hAnsi="宋体"/>
                <w:color w:val="auto"/>
                <w:kern w:val="0"/>
                <w:szCs w:val="21"/>
                <w:highlight w:val="none"/>
              </w:rPr>
            </w:pPr>
          </w:p>
        </w:tc>
        <w:tc>
          <w:tcPr>
            <w:tcW w:w="778" w:type="dxa"/>
            <w:vAlign w:val="top"/>
          </w:tcPr>
          <w:p w14:paraId="21BDE7F9">
            <w:pPr>
              <w:autoSpaceDE w:val="0"/>
              <w:autoSpaceDN w:val="0"/>
              <w:adjustRightInd w:val="0"/>
              <w:snapToGrid w:val="0"/>
              <w:jc w:val="left"/>
              <w:rPr>
                <w:rFonts w:ascii="宋体" w:hAnsi="宋体"/>
                <w:color w:val="auto"/>
                <w:kern w:val="0"/>
                <w:szCs w:val="21"/>
                <w:highlight w:val="none"/>
              </w:rPr>
            </w:pPr>
          </w:p>
        </w:tc>
        <w:tc>
          <w:tcPr>
            <w:tcW w:w="776" w:type="dxa"/>
            <w:vAlign w:val="top"/>
          </w:tcPr>
          <w:p w14:paraId="39B0E58D">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558B38C">
            <w:pPr>
              <w:autoSpaceDE w:val="0"/>
              <w:autoSpaceDN w:val="0"/>
              <w:adjustRightInd w:val="0"/>
              <w:snapToGrid w:val="0"/>
              <w:jc w:val="left"/>
              <w:rPr>
                <w:rFonts w:ascii="宋体" w:hAnsi="宋体"/>
                <w:color w:val="auto"/>
                <w:kern w:val="0"/>
                <w:szCs w:val="21"/>
                <w:highlight w:val="none"/>
              </w:rPr>
            </w:pPr>
          </w:p>
        </w:tc>
        <w:tc>
          <w:tcPr>
            <w:tcW w:w="896" w:type="dxa"/>
            <w:vAlign w:val="top"/>
          </w:tcPr>
          <w:p w14:paraId="30243890">
            <w:pPr>
              <w:autoSpaceDE w:val="0"/>
              <w:autoSpaceDN w:val="0"/>
              <w:adjustRightInd w:val="0"/>
              <w:snapToGrid w:val="0"/>
              <w:jc w:val="left"/>
              <w:rPr>
                <w:rFonts w:ascii="宋体" w:hAnsi="宋体"/>
                <w:color w:val="auto"/>
                <w:kern w:val="0"/>
                <w:szCs w:val="21"/>
                <w:highlight w:val="none"/>
              </w:rPr>
            </w:pPr>
          </w:p>
        </w:tc>
      </w:tr>
      <w:tr w14:paraId="41FABF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51FA53F">
            <w:pPr>
              <w:autoSpaceDE w:val="0"/>
              <w:autoSpaceDN w:val="0"/>
              <w:adjustRightInd w:val="0"/>
              <w:snapToGrid w:val="0"/>
              <w:jc w:val="left"/>
              <w:rPr>
                <w:rFonts w:ascii="宋体" w:hAnsi="宋体"/>
                <w:color w:val="auto"/>
                <w:kern w:val="0"/>
                <w:szCs w:val="21"/>
                <w:highlight w:val="none"/>
              </w:rPr>
            </w:pPr>
          </w:p>
        </w:tc>
        <w:tc>
          <w:tcPr>
            <w:tcW w:w="734" w:type="dxa"/>
            <w:vAlign w:val="top"/>
          </w:tcPr>
          <w:p w14:paraId="39C6FBDA">
            <w:pPr>
              <w:autoSpaceDE w:val="0"/>
              <w:autoSpaceDN w:val="0"/>
              <w:adjustRightInd w:val="0"/>
              <w:snapToGrid w:val="0"/>
              <w:jc w:val="left"/>
              <w:rPr>
                <w:rFonts w:ascii="宋体" w:hAnsi="宋体"/>
                <w:color w:val="auto"/>
                <w:kern w:val="0"/>
                <w:szCs w:val="21"/>
                <w:highlight w:val="none"/>
              </w:rPr>
            </w:pPr>
          </w:p>
        </w:tc>
        <w:tc>
          <w:tcPr>
            <w:tcW w:w="776" w:type="dxa"/>
            <w:vAlign w:val="top"/>
          </w:tcPr>
          <w:p w14:paraId="47F713BE">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6BD66F8">
            <w:pPr>
              <w:autoSpaceDE w:val="0"/>
              <w:autoSpaceDN w:val="0"/>
              <w:adjustRightInd w:val="0"/>
              <w:snapToGrid w:val="0"/>
              <w:jc w:val="left"/>
              <w:rPr>
                <w:rFonts w:ascii="宋体" w:hAnsi="宋体"/>
                <w:color w:val="auto"/>
                <w:kern w:val="0"/>
                <w:szCs w:val="21"/>
                <w:highlight w:val="none"/>
              </w:rPr>
            </w:pPr>
          </w:p>
        </w:tc>
        <w:tc>
          <w:tcPr>
            <w:tcW w:w="776" w:type="dxa"/>
            <w:vAlign w:val="top"/>
          </w:tcPr>
          <w:p w14:paraId="75E310D0">
            <w:pPr>
              <w:autoSpaceDE w:val="0"/>
              <w:autoSpaceDN w:val="0"/>
              <w:adjustRightInd w:val="0"/>
              <w:snapToGrid w:val="0"/>
              <w:jc w:val="left"/>
              <w:rPr>
                <w:rFonts w:ascii="宋体" w:hAnsi="宋体"/>
                <w:color w:val="auto"/>
                <w:kern w:val="0"/>
                <w:szCs w:val="21"/>
                <w:highlight w:val="none"/>
              </w:rPr>
            </w:pPr>
          </w:p>
        </w:tc>
        <w:tc>
          <w:tcPr>
            <w:tcW w:w="778" w:type="dxa"/>
            <w:vAlign w:val="top"/>
          </w:tcPr>
          <w:p w14:paraId="583D1D3D">
            <w:pPr>
              <w:autoSpaceDE w:val="0"/>
              <w:autoSpaceDN w:val="0"/>
              <w:adjustRightInd w:val="0"/>
              <w:snapToGrid w:val="0"/>
              <w:jc w:val="left"/>
              <w:rPr>
                <w:rFonts w:ascii="宋体" w:hAnsi="宋体"/>
                <w:color w:val="auto"/>
                <w:kern w:val="0"/>
                <w:szCs w:val="21"/>
                <w:highlight w:val="none"/>
              </w:rPr>
            </w:pPr>
          </w:p>
        </w:tc>
        <w:tc>
          <w:tcPr>
            <w:tcW w:w="776" w:type="dxa"/>
            <w:vAlign w:val="top"/>
          </w:tcPr>
          <w:p w14:paraId="7BEA084C">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D7BD4FF">
            <w:pPr>
              <w:autoSpaceDE w:val="0"/>
              <w:autoSpaceDN w:val="0"/>
              <w:adjustRightInd w:val="0"/>
              <w:snapToGrid w:val="0"/>
              <w:jc w:val="left"/>
              <w:rPr>
                <w:rFonts w:ascii="宋体" w:hAnsi="宋体"/>
                <w:color w:val="auto"/>
                <w:kern w:val="0"/>
                <w:szCs w:val="21"/>
                <w:highlight w:val="none"/>
              </w:rPr>
            </w:pPr>
          </w:p>
        </w:tc>
        <w:tc>
          <w:tcPr>
            <w:tcW w:w="896" w:type="dxa"/>
            <w:vAlign w:val="top"/>
          </w:tcPr>
          <w:p w14:paraId="319D4C1F">
            <w:pPr>
              <w:autoSpaceDE w:val="0"/>
              <w:autoSpaceDN w:val="0"/>
              <w:adjustRightInd w:val="0"/>
              <w:snapToGrid w:val="0"/>
              <w:jc w:val="left"/>
              <w:rPr>
                <w:rFonts w:ascii="宋体" w:hAnsi="宋体"/>
                <w:color w:val="auto"/>
                <w:kern w:val="0"/>
                <w:szCs w:val="21"/>
                <w:highlight w:val="none"/>
              </w:rPr>
            </w:pPr>
          </w:p>
        </w:tc>
      </w:tr>
      <w:tr w14:paraId="1325E0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6A6344C">
            <w:pPr>
              <w:autoSpaceDE w:val="0"/>
              <w:autoSpaceDN w:val="0"/>
              <w:adjustRightInd w:val="0"/>
              <w:snapToGrid w:val="0"/>
              <w:jc w:val="left"/>
              <w:rPr>
                <w:rFonts w:ascii="宋体" w:hAnsi="宋体"/>
                <w:color w:val="auto"/>
                <w:kern w:val="0"/>
                <w:szCs w:val="21"/>
                <w:highlight w:val="none"/>
              </w:rPr>
            </w:pPr>
          </w:p>
        </w:tc>
        <w:tc>
          <w:tcPr>
            <w:tcW w:w="734" w:type="dxa"/>
            <w:vAlign w:val="top"/>
          </w:tcPr>
          <w:p w14:paraId="2945022A">
            <w:pPr>
              <w:autoSpaceDE w:val="0"/>
              <w:autoSpaceDN w:val="0"/>
              <w:adjustRightInd w:val="0"/>
              <w:snapToGrid w:val="0"/>
              <w:jc w:val="left"/>
              <w:rPr>
                <w:rFonts w:ascii="宋体" w:hAnsi="宋体"/>
                <w:color w:val="auto"/>
                <w:kern w:val="0"/>
                <w:szCs w:val="21"/>
                <w:highlight w:val="none"/>
              </w:rPr>
            </w:pPr>
          </w:p>
        </w:tc>
        <w:tc>
          <w:tcPr>
            <w:tcW w:w="776" w:type="dxa"/>
            <w:vAlign w:val="top"/>
          </w:tcPr>
          <w:p w14:paraId="5DDEADF6">
            <w:pPr>
              <w:autoSpaceDE w:val="0"/>
              <w:autoSpaceDN w:val="0"/>
              <w:adjustRightInd w:val="0"/>
              <w:snapToGrid w:val="0"/>
              <w:jc w:val="left"/>
              <w:rPr>
                <w:rFonts w:ascii="宋体" w:hAnsi="宋体"/>
                <w:color w:val="auto"/>
                <w:kern w:val="0"/>
                <w:szCs w:val="21"/>
                <w:highlight w:val="none"/>
              </w:rPr>
            </w:pPr>
          </w:p>
        </w:tc>
        <w:tc>
          <w:tcPr>
            <w:tcW w:w="1167" w:type="dxa"/>
            <w:vAlign w:val="top"/>
          </w:tcPr>
          <w:p w14:paraId="59A3CE57">
            <w:pPr>
              <w:autoSpaceDE w:val="0"/>
              <w:autoSpaceDN w:val="0"/>
              <w:adjustRightInd w:val="0"/>
              <w:snapToGrid w:val="0"/>
              <w:jc w:val="left"/>
              <w:rPr>
                <w:rFonts w:ascii="宋体" w:hAnsi="宋体"/>
                <w:color w:val="auto"/>
                <w:kern w:val="0"/>
                <w:szCs w:val="21"/>
                <w:highlight w:val="none"/>
              </w:rPr>
            </w:pPr>
          </w:p>
        </w:tc>
        <w:tc>
          <w:tcPr>
            <w:tcW w:w="776" w:type="dxa"/>
            <w:vAlign w:val="top"/>
          </w:tcPr>
          <w:p w14:paraId="1E8EF8C5">
            <w:pPr>
              <w:autoSpaceDE w:val="0"/>
              <w:autoSpaceDN w:val="0"/>
              <w:adjustRightInd w:val="0"/>
              <w:snapToGrid w:val="0"/>
              <w:jc w:val="left"/>
              <w:rPr>
                <w:rFonts w:ascii="宋体" w:hAnsi="宋体"/>
                <w:color w:val="auto"/>
                <w:kern w:val="0"/>
                <w:szCs w:val="21"/>
                <w:highlight w:val="none"/>
              </w:rPr>
            </w:pPr>
          </w:p>
        </w:tc>
        <w:tc>
          <w:tcPr>
            <w:tcW w:w="778" w:type="dxa"/>
            <w:vAlign w:val="top"/>
          </w:tcPr>
          <w:p w14:paraId="126453BB">
            <w:pPr>
              <w:autoSpaceDE w:val="0"/>
              <w:autoSpaceDN w:val="0"/>
              <w:adjustRightInd w:val="0"/>
              <w:snapToGrid w:val="0"/>
              <w:jc w:val="left"/>
              <w:rPr>
                <w:rFonts w:ascii="宋体" w:hAnsi="宋体"/>
                <w:color w:val="auto"/>
                <w:kern w:val="0"/>
                <w:szCs w:val="21"/>
                <w:highlight w:val="none"/>
              </w:rPr>
            </w:pPr>
          </w:p>
        </w:tc>
        <w:tc>
          <w:tcPr>
            <w:tcW w:w="776" w:type="dxa"/>
            <w:vAlign w:val="top"/>
          </w:tcPr>
          <w:p w14:paraId="20CB6FCD">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6DEBCF1">
            <w:pPr>
              <w:autoSpaceDE w:val="0"/>
              <w:autoSpaceDN w:val="0"/>
              <w:adjustRightInd w:val="0"/>
              <w:snapToGrid w:val="0"/>
              <w:jc w:val="left"/>
              <w:rPr>
                <w:rFonts w:ascii="宋体" w:hAnsi="宋体"/>
                <w:color w:val="auto"/>
                <w:kern w:val="0"/>
                <w:szCs w:val="21"/>
                <w:highlight w:val="none"/>
              </w:rPr>
            </w:pPr>
          </w:p>
        </w:tc>
        <w:tc>
          <w:tcPr>
            <w:tcW w:w="896" w:type="dxa"/>
            <w:vAlign w:val="top"/>
          </w:tcPr>
          <w:p w14:paraId="2DF8B5A4">
            <w:pPr>
              <w:autoSpaceDE w:val="0"/>
              <w:autoSpaceDN w:val="0"/>
              <w:adjustRightInd w:val="0"/>
              <w:snapToGrid w:val="0"/>
              <w:jc w:val="left"/>
              <w:rPr>
                <w:rFonts w:ascii="宋体" w:hAnsi="宋体"/>
                <w:color w:val="auto"/>
                <w:kern w:val="0"/>
                <w:szCs w:val="21"/>
                <w:highlight w:val="none"/>
              </w:rPr>
            </w:pPr>
          </w:p>
        </w:tc>
      </w:tr>
      <w:tr w14:paraId="6FD5EA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08AC00E">
            <w:pPr>
              <w:autoSpaceDE w:val="0"/>
              <w:autoSpaceDN w:val="0"/>
              <w:adjustRightInd w:val="0"/>
              <w:snapToGrid w:val="0"/>
              <w:jc w:val="left"/>
              <w:rPr>
                <w:rFonts w:ascii="宋体" w:hAnsi="宋体"/>
                <w:color w:val="auto"/>
                <w:kern w:val="0"/>
                <w:szCs w:val="21"/>
                <w:highlight w:val="none"/>
              </w:rPr>
            </w:pPr>
          </w:p>
        </w:tc>
        <w:tc>
          <w:tcPr>
            <w:tcW w:w="734" w:type="dxa"/>
            <w:vAlign w:val="top"/>
          </w:tcPr>
          <w:p w14:paraId="0F8950DB">
            <w:pPr>
              <w:autoSpaceDE w:val="0"/>
              <w:autoSpaceDN w:val="0"/>
              <w:adjustRightInd w:val="0"/>
              <w:snapToGrid w:val="0"/>
              <w:jc w:val="left"/>
              <w:rPr>
                <w:rFonts w:ascii="宋体" w:hAnsi="宋体"/>
                <w:color w:val="auto"/>
                <w:kern w:val="0"/>
                <w:szCs w:val="21"/>
                <w:highlight w:val="none"/>
              </w:rPr>
            </w:pPr>
          </w:p>
        </w:tc>
        <w:tc>
          <w:tcPr>
            <w:tcW w:w="776" w:type="dxa"/>
            <w:vAlign w:val="top"/>
          </w:tcPr>
          <w:p w14:paraId="50F7C8B4">
            <w:pPr>
              <w:autoSpaceDE w:val="0"/>
              <w:autoSpaceDN w:val="0"/>
              <w:adjustRightInd w:val="0"/>
              <w:snapToGrid w:val="0"/>
              <w:jc w:val="left"/>
              <w:rPr>
                <w:rFonts w:ascii="宋体" w:hAnsi="宋体"/>
                <w:color w:val="auto"/>
                <w:kern w:val="0"/>
                <w:szCs w:val="21"/>
                <w:highlight w:val="none"/>
              </w:rPr>
            </w:pPr>
          </w:p>
        </w:tc>
        <w:tc>
          <w:tcPr>
            <w:tcW w:w="1167" w:type="dxa"/>
            <w:vAlign w:val="top"/>
          </w:tcPr>
          <w:p w14:paraId="12E0C19D">
            <w:pPr>
              <w:autoSpaceDE w:val="0"/>
              <w:autoSpaceDN w:val="0"/>
              <w:adjustRightInd w:val="0"/>
              <w:snapToGrid w:val="0"/>
              <w:jc w:val="left"/>
              <w:rPr>
                <w:rFonts w:ascii="宋体" w:hAnsi="宋体"/>
                <w:color w:val="auto"/>
                <w:kern w:val="0"/>
                <w:szCs w:val="21"/>
                <w:highlight w:val="none"/>
              </w:rPr>
            </w:pPr>
          </w:p>
        </w:tc>
        <w:tc>
          <w:tcPr>
            <w:tcW w:w="776" w:type="dxa"/>
            <w:vAlign w:val="top"/>
          </w:tcPr>
          <w:p w14:paraId="73DD41AB">
            <w:pPr>
              <w:autoSpaceDE w:val="0"/>
              <w:autoSpaceDN w:val="0"/>
              <w:adjustRightInd w:val="0"/>
              <w:snapToGrid w:val="0"/>
              <w:jc w:val="left"/>
              <w:rPr>
                <w:rFonts w:ascii="宋体" w:hAnsi="宋体"/>
                <w:color w:val="auto"/>
                <w:kern w:val="0"/>
                <w:szCs w:val="21"/>
                <w:highlight w:val="none"/>
              </w:rPr>
            </w:pPr>
          </w:p>
        </w:tc>
        <w:tc>
          <w:tcPr>
            <w:tcW w:w="778" w:type="dxa"/>
            <w:vAlign w:val="top"/>
          </w:tcPr>
          <w:p w14:paraId="36BB7C6E">
            <w:pPr>
              <w:autoSpaceDE w:val="0"/>
              <w:autoSpaceDN w:val="0"/>
              <w:adjustRightInd w:val="0"/>
              <w:snapToGrid w:val="0"/>
              <w:jc w:val="left"/>
              <w:rPr>
                <w:rFonts w:ascii="宋体" w:hAnsi="宋体"/>
                <w:color w:val="auto"/>
                <w:kern w:val="0"/>
                <w:szCs w:val="21"/>
                <w:highlight w:val="none"/>
              </w:rPr>
            </w:pPr>
          </w:p>
        </w:tc>
        <w:tc>
          <w:tcPr>
            <w:tcW w:w="776" w:type="dxa"/>
            <w:vAlign w:val="top"/>
          </w:tcPr>
          <w:p w14:paraId="012C12A0">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7A8A64B">
            <w:pPr>
              <w:autoSpaceDE w:val="0"/>
              <w:autoSpaceDN w:val="0"/>
              <w:adjustRightInd w:val="0"/>
              <w:snapToGrid w:val="0"/>
              <w:jc w:val="left"/>
              <w:rPr>
                <w:rFonts w:ascii="宋体" w:hAnsi="宋体"/>
                <w:color w:val="auto"/>
                <w:kern w:val="0"/>
                <w:szCs w:val="21"/>
                <w:highlight w:val="none"/>
              </w:rPr>
            </w:pPr>
          </w:p>
        </w:tc>
        <w:tc>
          <w:tcPr>
            <w:tcW w:w="896" w:type="dxa"/>
            <w:vAlign w:val="top"/>
          </w:tcPr>
          <w:p w14:paraId="4BA4E728">
            <w:pPr>
              <w:autoSpaceDE w:val="0"/>
              <w:autoSpaceDN w:val="0"/>
              <w:adjustRightInd w:val="0"/>
              <w:snapToGrid w:val="0"/>
              <w:jc w:val="left"/>
              <w:rPr>
                <w:rFonts w:ascii="宋体" w:hAnsi="宋体"/>
                <w:color w:val="auto"/>
                <w:kern w:val="0"/>
                <w:szCs w:val="21"/>
                <w:highlight w:val="none"/>
              </w:rPr>
            </w:pPr>
          </w:p>
        </w:tc>
      </w:tr>
      <w:tr w14:paraId="71270A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9B20143">
            <w:pPr>
              <w:autoSpaceDE w:val="0"/>
              <w:autoSpaceDN w:val="0"/>
              <w:adjustRightInd w:val="0"/>
              <w:snapToGrid w:val="0"/>
              <w:jc w:val="left"/>
              <w:rPr>
                <w:rFonts w:ascii="宋体" w:hAnsi="宋体"/>
                <w:color w:val="auto"/>
                <w:kern w:val="0"/>
                <w:szCs w:val="21"/>
                <w:highlight w:val="none"/>
              </w:rPr>
            </w:pPr>
          </w:p>
        </w:tc>
        <w:tc>
          <w:tcPr>
            <w:tcW w:w="734" w:type="dxa"/>
            <w:vAlign w:val="top"/>
          </w:tcPr>
          <w:p w14:paraId="3D482B2D">
            <w:pPr>
              <w:autoSpaceDE w:val="0"/>
              <w:autoSpaceDN w:val="0"/>
              <w:adjustRightInd w:val="0"/>
              <w:snapToGrid w:val="0"/>
              <w:jc w:val="left"/>
              <w:rPr>
                <w:rFonts w:ascii="宋体" w:hAnsi="宋体"/>
                <w:color w:val="auto"/>
                <w:kern w:val="0"/>
                <w:szCs w:val="21"/>
                <w:highlight w:val="none"/>
              </w:rPr>
            </w:pPr>
          </w:p>
        </w:tc>
        <w:tc>
          <w:tcPr>
            <w:tcW w:w="776" w:type="dxa"/>
            <w:vAlign w:val="top"/>
          </w:tcPr>
          <w:p w14:paraId="14FAA7FB">
            <w:pPr>
              <w:autoSpaceDE w:val="0"/>
              <w:autoSpaceDN w:val="0"/>
              <w:adjustRightInd w:val="0"/>
              <w:snapToGrid w:val="0"/>
              <w:jc w:val="left"/>
              <w:rPr>
                <w:rFonts w:ascii="宋体" w:hAnsi="宋体"/>
                <w:color w:val="auto"/>
                <w:kern w:val="0"/>
                <w:szCs w:val="21"/>
                <w:highlight w:val="none"/>
              </w:rPr>
            </w:pPr>
          </w:p>
        </w:tc>
        <w:tc>
          <w:tcPr>
            <w:tcW w:w="1167" w:type="dxa"/>
            <w:vAlign w:val="top"/>
          </w:tcPr>
          <w:p w14:paraId="1DA969DA">
            <w:pPr>
              <w:autoSpaceDE w:val="0"/>
              <w:autoSpaceDN w:val="0"/>
              <w:adjustRightInd w:val="0"/>
              <w:snapToGrid w:val="0"/>
              <w:jc w:val="left"/>
              <w:rPr>
                <w:rFonts w:ascii="宋体" w:hAnsi="宋体"/>
                <w:color w:val="auto"/>
                <w:kern w:val="0"/>
                <w:szCs w:val="21"/>
                <w:highlight w:val="none"/>
              </w:rPr>
            </w:pPr>
          </w:p>
        </w:tc>
        <w:tc>
          <w:tcPr>
            <w:tcW w:w="776" w:type="dxa"/>
            <w:vAlign w:val="top"/>
          </w:tcPr>
          <w:p w14:paraId="240D4E9D">
            <w:pPr>
              <w:autoSpaceDE w:val="0"/>
              <w:autoSpaceDN w:val="0"/>
              <w:adjustRightInd w:val="0"/>
              <w:snapToGrid w:val="0"/>
              <w:jc w:val="left"/>
              <w:rPr>
                <w:rFonts w:ascii="宋体" w:hAnsi="宋体"/>
                <w:color w:val="auto"/>
                <w:kern w:val="0"/>
                <w:szCs w:val="21"/>
                <w:highlight w:val="none"/>
              </w:rPr>
            </w:pPr>
          </w:p>
        </w:tc>
        <w:tc>
          <w:tcPr>
            <w:tcW w:w="778" w:type="dxa"/>
            <w:vAlign w:val="top"/>
          </w:tcPr>
          <w:p w14:paraId="4277D0FD">
            <w:pPr>
              <w:autoSpaceDE w:val="0"/>
              <w:autoSpaceDN w:val="0"/>
              <w:adjustRightInd w:val="0"/>
              <w:snapToGrid w:val="0"/>
              <w:jc w:val="left"/>
              <w:rPr>
                <w:rFonts w:ascii="宋体" w:hAnsi="宋体"/>
                <w:color w:val="auto"/>
                <w:kern w:val="0"/>
                <w:szCs w:val="21"/>
                <w:highlight w:val="none"/>
              </w:rPr>
            </w:pPr>
          </w:p>
        </w:tc>
        <w:tc>
          <w:tcPr>
            <w:tcW w:w="776" w:type="dxa"/>
            <w:vAlign w:val="top"/>
          </w:tcPr>
          <w:p w14:paraId="3F3AD725">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2ADCF28">
            <w:pPr>
              <w:autoSpaceDE w:val="0"/>
              <w:autoSpaceDN w:val="0"/>
              <w:adjustRightInd w:val="0"/>
              <w:snapToGrid w:val="0"/>
              <w:jc w:val="left"/>
              <w:rPr>
                <w:rFonts w:ascii="宋体" w:hAnsi="宋体"/>
                <w:color w:val="auto"/>
                <w:kern w:val="0"/>
                <w:szCs w:val="21"/>
                <w:highlight w:val="none"/>
              </w:rPr>
            </w:pPr>
          </w:p>
        </w:tc>
        <w:tc>
          <w:tcPr>
            <w:tcW w:w="896" w:type="dxa"/>
            <w:vAlign w:val="top"/>
          </w:tcPr>
          <w:p w14:paraId="32C21F2E">
            <w:pPr>
              <w:autoSpaceDE w:val="0"/>
              <w:autoSpaceDN w:val="0"/>
              <w:adjustRightInd w:val="0"/>
              <w:snapToGrid w:val="0"/>
              <w:jc w:val="left"/>
              <w:rPr>
                <w:rFonts w:ascii="宋体" w:hAnsi="宋体"/>
                <w:color w:val="auto"/>
                <w:kern w:val="0"/>
                <w:szCs w:val="21"/>
                <w:highlight w:val="none"/>
              </w:rPr>
            </w:pPr>
          </w:p>
        </w:tc>
      </w:tr>
      <w:tr w14:paraId="1EB5C2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6346461">
            <w:pPr>
              <w:autoSpaceDE w:val="0"/>
              <w:autoSpaceDN w:val="0"/>
              <w:adjustRightInd w:val="0"/>
              <w:snapToGrid w:val="0"/>
              <w:jc w:val="left"/>
              <w:rPr>
                <w:rFonts w:ascii="宋体" w:hAnsi="宋体"/>
                <w:color w:val="auto"/>
                <w:kern w:val="0"/>
                <w:szCs w:val="21"/>
                <w:highlight w:val="none"/>
              </w:rPr>
            </w:pPr>
          </w:p>
        </w:tc>
        <w:tc>
          <w:tcPr>
            <w:tcW w:w="734" w:type="dxa"/>
            <w:vAlign w:val="top"/>
          </w:tcPr>
          <w:p w14:paraId="33E592F8">
            <w:pPr>
              <w:autoSpaceDE w:val="0"/>
              <w:autoSpaceDN w:val="0"/>
              <w:adjustRightInd w:val="0"/>
              <w:snapToGrid w:val="0"/>
              <w:jc w:val="left"/>
              <w:rPr>
                <w:rFonts w:ascii="宋体" w:hAnsi="宋体"/>
                <w:color w:val="auto"/>
                <w:kern w:val="0"/>
                <w:szCs w:val="21"/>
                <w:highlight w:val="none"/>
              </w:rPr>
            </w:pPr>
          </w:p>
        </w:tc>
        <w:tc>
          <w:tcPr>
            <w:tcW w:w="776" w:type="dxa"/>
            <w:vAlign w:val="top"/>
          </w:tcPr>
          <w:p w14:paraId="57AD7B68">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B9F453B">
            <w:pPr>
              <w:autoSpaceDE w:val="0"/>
              <w:autoSpaceDN w:val="0"/>
              <w:adjustRightInd w:val="0"/>
              <w:snapToGrid w:val="0"/>
              <w:jc w:val="left"/>
              <w:rPr>
                <w:rFonts w:ascii="宋体" w:hAnsi="宋体"/>
                <w:color w:val="auto"/>
                <w:kern w:val="0"/>
                <w:szCs w:val="21"/>
                <w:highlight w:val="none"/>
              </w:rPr>
            </w:pPr>
          </w:p>
        </w:tc>
        <w:tc>
          <w:tcPr>
            <w:tcW w:w="776" w:type="dxa"/>
            <w:vAlign w:val="top"/>
          </w:tcPr>
          <w:p w14:paraId="229A5A09">
            <w:pPr>
              <w:autoSpaceDE w:val="0"/>
              <w:autoSpaceDN w:val="0"/>
              <w:adjustRightInd w:val="0"/>
              <w:snapToGrid w:val="0"/>
              <w:jc w:val="left"/>
              <w:rPr>
                <w:rFonts w:ascii="宋体" w:hAnsi="宋体"/>
                <w:color w:val="auto"/>
                <w:kern w:val="0"/>
                <w:szCs w:val="21"/>
                <w:highlight w:val="none"/>
              </w:rPr>
            </w:pPr>
          </w:p>
        </w:tc>
        <w:tc>
          <w:tcPr>
            <w:tcW w:w="778" w:type="dxa"/>
            <w:vAlign w:val="top"/>
          </w:tcPr>
          <w:p w14:paraId="3F4CDD1D">
            <w:pPr>
              <w:autoSpaceDE w:val="0"/>
              <w:autoSpaceDN w:val="0"/>
              <w:adjustRightInd w:val="0"/>
              <w:snapToGrid w:val="0"/>
              <w:jc w:val="left"/>
              <w:rPr>
                <w:rFonts w:ascii="宋体" w:hAnsi="宋体"/>
                <w:color w:val="auto"/>
                <w:kern w:val="0"/>
                <w:szCs w:val="21"/>
                <w:highlight w:val="none"/>
              </w:rPr>
            </w:pPr>
          </w:p>
        </w:tc>
        <w:tc>
          <w:tcPr>
            <w:tcW w:w="776" w:type="dxa"/>
            <w:vAlign w:val="top"/>
          </w:tcPr>
          <w:p w14:paraId="18FA3C6F">
            <w:pPr>
              <w:autoSpaceDE w:val="0"/>
              <w:autoSpaceDN w:val="0"/>
              <w:adjustRightInd w:val="0"/>
              <w:snapToGrid w:val="0"/>
              <w:jc w:val="left"/>
              <w:rPr>
                <w:rFonts w:ascii="宋体" w:hAnsi="宋体"/>
                <w:color w:val="auto"/>
                <w:kern w:val="0"/>
                <w:szCs w:val="21"/>
                <w:highlight w:val="none"/>
              </w:rPr>
            </w:pPr>
          </w:p>
        </w:tc>
        <w:tc>
          <w:tcPr>
            <w:tcW w:w="2723" w:type="dxa"/>
            <w:vAlign w:val="top"/>
          </w:tcPr>
          <w:p w14:paraId="5402C829">
            <w:pPr>
              <w:autoSpaceDE w:val="0"/>
              <w:autoSpaceDN w:val="0"/>
              <w:adjustRightInd w:val="0"/>
              <w:snapToGrid w:val="0"/>
              <w:jc w:val="left"/>
              <w:rPr>
                <w:rFonts w:ascii="宋体" w:hAnsi="宋体"/>
                <w:color w:val="auto"/>
                <w:kern w:val="0"/>
                <w:szCs w:val="21"/>
                <w:highlight w:val="none"/>
              </w:rPr>
            </w:pPr>
          </w:p>
        </w:tc>
        <w:tc>
          <w:tcPr>
            <w:tcW w:w="896" w:type="dxa"/>
            <w:vAlign w:val="top"/>
          </w:tcPr>
          <w:p w14:paraId="412C8084">
            <w:pPr>
              <w:autoSpaceDE w:val="0"/>
              <w:autoSpaceDN w:val="0"/>
              <w:adjustRightInd w:val="0"/>
              <w:snapToGrid w:val="0"/>
              <w:jc w:val="left"/>
              <w:rPr>
                <w:rFonts w:ascii="宋体" w:hAnsi="宋体"/>
                <w:color w:val="auto"/>
                <w:kern w:val="0"/>
                <w:szCs w:val="21"/>
                <w:highlight w:val="none"/>
              </w:rPr>
            </w:pPr>
          </w:p>
        </w:tc>
      </w:tr>
      <w:tr w14:paraId="69A621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C3C4D92">
            <w:pPr>
              <w:autoSpaceDE w:val="0"/>
              <w:autoSpaceDN w:val="0"/>
              <w:adjustRightInd w:val="0"/>
              <w:snapToGrid w:val="0"/>
              <w:jc w:val="left"/>
              <w:rPr>
                <w:rFonts w:ascii="宋体" w:hAnsi="宋体"/>
                <w:color w:val="auto"/>
                <w:kern w:val="0"/>
                <w:szCs w:val="21"/>
                <w:highlight w:val="none"/>
              </w:rPr>
            </w:pPr>
          </w:p>
        </w:tc>
        <w:tc>
          <w:tcPr>
            <w:tcW w:w="734" w:type="dxa"/>
            <w:vAlign w:val="top"/>
          </w:tcPr>
          <w:p w14:paraId="5DC1A2E7">
            <w:pPr>
              <w:autoSpaceDE w:val="0"/>
              <w:autoSpaceDN w:val="0"/>
              <w:adjustRightInd w:val="0"/>
              <w:snapToGrid w:val="0"/>
              <w:jc w:val="left"/>
              <w:rPr>
                <w:rFonts w:ascii="宋体" w:hAnsi="宋体"/>
                <w:color w:val="auto"/>
                <w:kern w:val="0"/>
                <w:szCs w:val="21"/>
                <w:highlight w:val="none"/>
              </w:rPr>
            </w:pPr>
          </w:p>
        </w:tc>
        <w:tc>
          <w:tcPr>
            <w:tcW w:w="776" w:type="dxa"/>
            <w:vAlign w:val="top"/>
          </w:tcPr>
          <w:p w14:paraId="03820670">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87EFDA7">
            <w:pPr>
              <w:autoSpaceDE w:val="0"/>
              <w:autoSpaceDN w:val="0"/>
              <w:adjustRightInd w:val="0"/>
              <w:snapToGrid w:val="0"/>
              <w:jc w:val="left"/>
              <w:rPr>
                <w:rFonts w:ascii="宋体" w:hAnsi="宋体"/>
                <w:color w:val="auto"/>
                <w:kern w:val="0"/>
                <w:szCs w:val="21"/>
                <w:highlight w:val="none"/>
              </w:rPr>
            </w:pPr>
          </w:p>
        </w:tc>
        <w:tc>
          <w:tcPr>
            <w:tcW w:w="776" w:type="dxa"/>
            <w:vAlign w:val="top"/>
          </w:tcPr>
          <w:p w14:paraId="42A01015">
            <w:pPr>
              <w:autoSpaceDE w:val="0"/>
              <w:autoSpaceDN w:val="0"/>
              <w:adjustRightInd w:val="0"/>
              <w:snapToGrid w:val="0"/>
              <w:jc w:val="left"/>
              <w:rPr>
                <w:rFonts w:ascii="宋体" w:hAnsi="宋体"/>
                <w:color w:val="auto"/>
                <w:kern w:val="0"/>
                <w:szCs w:val="21"/>
                <w:highlight w:val="none"/>
              </w:rPr>
            </w:pPr>
          </w:p>
        </w:tc>
        <w:tc>
          <w:tcPr>
            <w:tcW w:w="778" w:type="dxa"/>
            <w:vAlign w:val="top"/>
          </w:tcPr>
          <w:p w14:paraId="08B109C0">
            <w:pPr>
              <w:autoSpaceDE w:val="0"/>
              <w:autoSpaceDN w:val="0"/>
              <w:adjustRightInd w:val="0"/>
              <w:snapToGrid w:val="0"/>
              <w:jc w:val="left"/>
              <w:rPr>
                <w:rFonts w:ascii="宋体" w:hAnsi="宋体"/>
                <w:color w:val="auto"/>
                <w:kern w:val="0"/>
                <w:szCs w:val="21"/>
                <w:highlight w:val="none"/>
              </w:rPr>
            </w:pPr>
          </w:p>
        </w:tc>
        <w:tc>
          <w:tcPr>
            <w:tcW w:w="776" w:type="dxa"/>
            <w:vAlign w:val="top"/>
          </w:tcPr>
          <w:p w14:paraId="02D27E68">
            <w:pPr>
              <w:autoSpaceDE w:val="0"/>
              <w:autoSpaceDN w:val="0"/>
              <w:adjustRightInd w:val="0"/>
              <w:snapToGrid w:val="0"/>
              <w:jc w:val="left"/>
              <w:rPr>
                <w:rFonts w:ascii="宋体" w:hAnsi="宋体"/>
                <w:color w:val="auto"/>
                <w:kern w:val="0"/>
                <w:szCs w:val="21"/>
                <w:highlight w:val="none"/>
              </w:rPr>
            </w:pPr>
          </w:p>
        </w:tc>
        <w:tc>
          <w:tcPr>
            <w:tcW w:w="2723" w:type="dxa"/>
            <w:vAlign w:val="top"/>
          </w:tcPr>
          <w:p w14:paraId="647B1E81">
            <w:pPr>
              <w:autoSpaceDE w:val="0"/>
              <w:autoSpaceDN w:val="0"/>
              <w:adjustRightInd w:val="0"/>
              <w:snapToGrid w:val="0"/>
              <w:jc w:val="left"/>
              <w:rPr>
                <w:rFonts w:ascii="宋体" w:hAnsi="宋体"/>
                <w:color w:val="auto"/>
                <w:kern w:val="0"/>
                <w:szCs w:val="21"/>
                <w:highlight w:val="none"/>
              </w:rPr>
            </w:pPr>
          </w:p>
        </w:tc>
        <w:tc>
          <w:tcPr>
            <w:tcW w:w="896" w:type="dxa"/>
            <w:vAlign w:val="top"/>
          </w:tcPr>
          <w:p w14:paraId="34D1CC7C">
            <w:pPr>
              <w:autoSpaceDE w:val="0"/>
              <w:autoSpaceDN w:val="0"/>
              <w:adjustRightInd w:val="0"/>
              <w:snapToGrid w:val="0"/>
              <w:jc w:val="left"/>
              <w:rPr>
                <w:rFonts w:ascii="宋体" w:hAnsi="宋体"/>
                <w:color w:val="auto"/>
                <w:kern w:val="0"/>
                <w:szCs w:val="21"/>
                <w:highlight w:val="none"/>
              </w:rPr>
            </w:pPr>
          </w:p>
        </w:tc>
      </w:tr>
      <w:tr w14:paraId="54CE46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7D1AD460">
            <w:pPr>
              <w:autoSpaceDE w:val="0"/>
              <w:autoSpaceDN w:val="0"/>
              <w:adjustRightInd w:val="0"/>
              <w:snapToGrid w:val="0"/>
              <w:jc w:val="left"/>
              <w:rPr>
                <w:rFonts w:ascii="宋体" w:hAnsi="宋体"/>
                <w:color w:val="auto"/>
                <w:kern w:val="0"/>
                <w:szCs w:val="21"/>
                <w:highlight w:val="none"/>
              </w:rPr>
            </w:pPr>
          </w:p>
        </w:tc>
        <w:tc>
          <w:tcPr>
            <w:tcW w:w="734" w:type="dxa"/>
            <w:vAlign w:val="top"/>
          </w:tcPr>
          <w:p w14:paraId="42375DCA">
            <w:pPr>
              <w:autoSpaceDE w:val="0"/>
              <w:autoSpaceDN w:val="0"/>
              <w:adjustRightInd w:val="0"/>
              <w:snapToGrid w:val="0"/>
              <w:jc w:val="left"/>
              <w:rPr>
                <w:rFonts w:ascii="宋体" w:hAnsi="宋体"/>
                <w:color w:val="auto"/>
                <w:kern w:val="0"/>
                <w:szCs w:val="21"/>
                <w:highlight w:val="none"/>
              </w:rPr>
            </w:pPr>
          </w:p>
        </w:tc>
        <w:tc>
          <w:tcPr>
            <w:tcW w:w="776" w:type="dxa"/>
            <w:vAlign w:val="top"/>
          </w:tcPr>
          <w:p w14:paraId="3EE10343">
            <w:pPr>
              <w:autoSpaceDE w:val="0"/>
              <w:autoSpaceDN w:val="0"/>
              <w:adjustRightInd w:val="0"/>
              <w:snapToGrid w:val="0"/>
              <w:jc w:val="left"/>
              <w:rPr>
                <w:rFonts w:ascii="宋体" w:hAnsi="宋体"/>
                <w:color w:val="auto"/>
                <w:kern w:val="0"/>
                <w:szCs w:val="21"/>
                <w:highlight w:val="none"/>
              </w:rPr>
            </w:pPr>
          </w:p>
        </w:tc>
        <w:tc>
          <w:tcPr>
            <w:tcW w:w="1167" w:type="dxa"/>
            <w:vAlign w:val="top"/>
          </w:tcPr>
          <w:p w14:paraId="5062B14C">
            <w:pPr>
              <w:autoSpaceDE w:val="0"/>
              <w:autoSpaceDN w:val="0"/>
              <w:adjustRightInd w:val="0"/>
              <w:snapToGrid w:val="0"/>
              <w:jc w:val="left"/>
              <w:rPr>
                <w:rFonts w:ascii="宋体" w:hAnsi="宋体"/>
                <w:color w:val="auto"/>
                <w:kern w:val="0"/>
                <w:szCs w:val="21"/>
                <w:highlight w:val="none"/>
              </w:rPr>
            </w:pPr>
          </w:p>
        </w:tc>
        <w:tc>
          <w:tcPr>
            <w:tcW w:w="776" w:type="dxa"/>
            <w:vAlign w:val="top"/>
          </w:tcPr>
          <w:p w14:paraId="4608C10A">
            <w:pPr>
              <w:autoSpaceDE w:val="0"/>
              <w:autoSpaceDN w:val="0"/>
              <w:adjustRightInd w:val="0"/>
              <w:snapToGrid w:val="0"/>
              <w:jc w:val="left"/>
              <w:rPr>
                <w:rFonts w:ascii="宋体" w:hAnsi="宋体"/>
                <w:color w:val="auto"/>
                <w:kern w:val="0"/>
                <w:szCs w:val="21"/>
                <w:highlight w:val="none"/>
              </w:rPr>
            </w:pPr>
          </w:p>
        </w:tc>
        <w:tc>
          <w:tcPr>
            <w:tcW w:w="778" w:type="dxa"/>
            <w:vAlign w:val="top"/>
          </w:tcPr>
          <w:p w14:paraId="035B20A9">
            <w:pPr>
              <w:autoSpaceDE w:val="0"/>
              <w:autoSpaceDN w:val="0"/>
              <w:adjustRightInd w:val="0"/>
              <w:snapToGrid w:val="0"/>
              <w:jc w:val="left"/>
              <w:rPr>
                <w:rFonts w:ascii="宋体" w:hAnsi="宋体"/>
                <w:color w:val="auto"/>
                <w:kern w:val="0"/>
                <w:szCs w:val="21"/>
                <w:highlight w:val="none"/>
              </w:rPr>
            </w:pPr>
          </w:p>
        </w:tc>
        <w:tc>
          <w:tcPr>
            <w:tcW w:w="776" w:type="dxa"/>
            <w:vAlign w:val="top"/>
          </w:tcPr>
          <w:p w14:paraId="1B9CF37D">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88E6694">
            <w:pPr>
              <w:autoSpaceDE w:val="0"/>
              <w:autoSpaceDN w:val="0"/>
              <w:adjustRightInd w:val="0"/>
              <w:snapToGrid w:val="0"/>
              <w:jc w:val="left"/>
              <w:rPr>
                <w:rFonts w:ascii="宋体" w:hAnsi="宋体"/>
                <w:color w:val="auto"/>
                <w:kern w:val="0"/>
                <w:szCs w:val="21"/>
                <w:highlight w:val="none"/>
              </w:rPr>
            </w:pPr>
          </w:p>
        </w:tc>
        <w:tc>
          <w:tcPr>
            <w:tcW w:w="896" w:type="dxa"/>
            <w:vAlign w:val="top"/>
          </w:tcPr>
          <w:p w14:paraId="18EA053B">
            <w:pPr>
              <w:autoSpaceDE w:val="0"/>
              <w:autoSpaceDN w:val="0"/>
              <w:adjustRightInd w:val="0"/>
              <w:snapToGrid w:val="0"/>
              <w:jc w:val="left"/>
              <w:rPr>
                <w:rFonts w:ascii="宋体" w:hAnsi="宋体"/>
                <w:color w:val="auto"/>
                <w:kern w:val="0"/>
                <w:szCs w:val="21"/>
                <w:highlight w:val="none"/>
              </w:rPr>
            </w:pPr>
          </w:p>
        </w:tc>
      </w:tr>
      <w:tr w14:paraId="50966C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0527778">
            <w:pPr>
              <w:autoSpaceDE w:val="0"/>
              <w:autoSpaceDN w:val="0"/>
              <w:adjustRightInd w:val="0"/>
              <w:snapToGrid w:val="0"/>
              <w:jc w:val="left"/>
              <w:rPr>
                <w:rFonts w:ascii="宋体" w:hAnsi="宋体"/>
                <w:color w:val="auto"/>
                <w:kern w:val="0"/>
                <w:szCs w:val="21"/>
                <w:highlight w:val="none"/>
              </w:rPr>
            </w:pPr>
          </w:p>
        </w:tc>
        <w:tc>
          <w:tcPr>
            <w:tcW w:w="734" w:type="dxa"/>
            <w:vAlign w:val="top"/>
          </w:tcPr>
          <w:p w14:paraId="19AF720A">
            <w:pPr>
              <w:autoSpaceDE w:val="0"/>
              <w:autoSpaceDN w:val="0"/>
              <w:adjustRightInd w:val="0"/>
              <w:snapToGrid w:val="0"/>
              <w:jc w:val="left"/>
              <w:rPr>
                <w:rFonts w:ascii="宋体" w:hAnsi="宋体"/>
                <w:color w:val="auto"/>
                <w:kern w:val="0"/>
                <w:szCs w:val="21"/>
                <w:highlight w:val="none"/>
              </w:rPr>
            </w:pPr>
          </w:p>
        </w:tc>
        <w:tc>
          <w:tcPr>
            <w:tcW w:w="776" w:type="dxa"/>
            <w:vAlign w:val="top"/>
          </w:tcPr>
          <w:p w14:paraId="0F992A3C">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AE0176D">
            <w:pPr>
              <w:autoSpaceDE w:val="0"/>
              <w:autoSpaceDN w:val="0"/>
              <w:adjustRightInd w:val="0"/>
              <w:snapToGrid w:val="0"/>
              <w:jc w:val="left"/>
              <w:rPr>
                <w:rFonts w:ascii="宋体" w:hAnsi="宋体"/>
                <w:color w:val="auto"/>
                <w:kern w:val="0"/>
                <w:szCs w:val="21"/>
                <w:highlight w:val="none"/>
              </w:rPr>
            </w:pPr>
          </w:p>
        </w:tc>
        <w:tc>
          <w:tcPr>
            <w:tcW w:w="776" w:type="dxa"/>
            <w:vAlign w:val="top"/>
          </w:tcPr>
          <w:p w14:paraId="26E05EC1">
            <w:pPr>
              <w:autoSpaceDE w:val="0"/>
              <w:autoSpaceDN w:val="0"/>
              <w:adjustRightInd w:val="0"/>
              <w:snapToGrid w:val="0"/>
              <w:jc w:val="left"/>
              <w:rPr>
                <w:rFonts w:ascii="宋体" w:hAnsi="宋体"/>
                <w:color w:val="auto"/>
                <w:kern w:val="0"/>
                <w:szCs w:val="21"/>
                <w:highlight w:val="none"/>
              </w:rPr>
            </w:pPr>
          </w:p>
        </w:tc>
        <w:tc>
          <w:tcPr>
            <w:tcW w:w="778" w:type="dxa"/>
            <w:vAlign w:val="top"/>
          </w:tcPr>
          <w:p w14:paraId="5F0E1135">
            <w:pPr>
              <w:autoSpaceDE w:val="0"/>
              <w:autoSpaceDN w:val="0"/>
              <w:adjustRightInd w:val="0"/>
              <w:snapToGrid w:val="0"/>
              <w:jc w:val="left"/>
              <w:rPr>
                <w:rFonts w:ascii="宋体" w:hAnsi="宋体"/>
                <w:color w:val="auto"/>
                <w:kern w:val="0"/>
                <w:szCs w:val="21"/>
                <w:highlight w:val="none"/>
              </w:rPr>
            </w:pPr>
          </w:p>
        </w:tc>
        <w:tc>
          <w:tcPr>
            <w:tcW w:w="776" w:type="dxa"/>
            <w:vAlign w:val="top"/>
          </w:tcPr>
          <w:p w14:paraId="5546DCF2">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10F95D0">
            <w:pPr>
              <w:autoSpaceDE w:val="0"/>
              <w:autoSpaceDN w:val="0"/>
              <w:adjustRightInd w:val="0"/>
              <w:snapToGrid w:val="0"/>
              <w:jc w:val="left"/>
              <w:rPr>
                <w:rFonts w:ascii="宋体" w:hAnsi="宋体"/>
                <w:color w:val="auto"/>
                <w:kern w:val="0"/>
                <w:szCs w:val="21"/>
                <w:highlight w:val="none"/>
              </w:rPr>
            </w:pPr>
          </w:p>
        </w:tc>
        <w:tc>
          <w:tcPr>
            <w:tcW w:w="896" w:type="dxa"/>
            <w:vAlign w:val="top"/>
          </w:tcPr>
          <w:p w14:paraId="41AB6DAC">
            <w:pPr>
              <w:autoSpaceDE w:val="0"/>
              <w:autoSpaceDN w:val="0"/>
              <w:adjustRightInd w:val="0"/>
              <w:snapToGrid w:val="0"/>
              <w:jc w:val="left"/>
              <w:rPr>
                <w:rFonts w:ascii="宋体" w:hAnsi="宋体"/>
                <w:color w:val="auto"/>
                <w:kern w:val="0"/>
                <w:szCs w:val="21"/>
                <w:highlight w:val="none"/>
              </w:rPr>
            </w:pPr>
          </w:p>
        </w:tc>
      </w:tr>
      <w:tr w14:paraId="4BA05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3A5FB4B">
            <w:pPr>
              <w:autoSpaceDE w:val="0"/>
              <w:autoSpaceDN w:val="0"/>
              <w:adjustRightInd w:val="0"/>
              <w:snapToGrid w:val="0"/>
              <w:jc w:val="left"/>
              <w:rPr>
                <w:rFonts w:ascii="宋体" w:hAnsi="宋体"/>
                <w:color w:val="auto"/>
                <w:kern w:val="0"/>
                <w:szCs w:val="21"/>
                <w:highlight w:val="none"/>
              </w:rPr>
            </w:pPr>
          </w:p>
        </w:tc>
        <w:tc>
          <w:tcPr>
            <w:tcW w:w="734" w:type="dxa"/>
            <w:vAlign w:val="top"/>
          </w:tcPr>
          <w:p w14:paraId="7A2BA8FF">
            <w:pPr>
              <w:autoSpaceDE w:val="0"/>
              <w:autoSpaceDN w:val="0"/>
              <w:adjustRightInd w:val="0"/>
              <w:snapToGrid w:val="0"/>
              <w:jc w:val="left"/>
              <w:rPr>
                <w:rFonts w:ascii="宋体" w:hAnsi="宋体"/>
                <w:color w:val="auto"/>
                <w:kern w:val="0"/>
                <w:szCs w:val="21"/>
                <w:highlight w:val="none"/>
              </w:rPr>
            </w:pPr>
          </w:p>
        </w:tc>
        <w:tc>
          <w:tcPr>
            <w:tcW w:w="776" w:type="dxa"/>
            <w:vAlign w:val="top"/>
          </w:tcPr>
          <w:p w14:paraId="64D2D219">
            <w:pPr>
              <w:autoSpaceDE w:val="0"/>
              <w:autoSpaceDN w:val="0"/>
              <w:adjustRightInd w:val="0"/>
              <w:snapToGrid w:val="0"/>
              <w:jc w:val="left"/>
              <w:rPr>
                <w:rFonts w:ascii="宋体" w:hAnsi="宋体"/>
                <w:color w:val="auto"/>
                <w:kern w:val="0"/>
                <w:szCs w:val="21"/>
                <w:highlight w:val="none"/>
              </w:rPr>
            </w:pPr>
          </w:p>
        </w:tc>
        <w:tc>
          <w:tcPr>
            <w:tcW w:w="1167" w:type="dxa"/>
            <w:vAlign w:val="top"/>
          </w:tcPr>
          <w:p w14:paraId="6C736ED8">
            <w:pPr>
              <w:autoSpaceDE w:val="0"/>
              <w:autoSpaceDN w:val="0"/>
              <w:adjustRightInd w:val="0"/>
              <w:snapToGrid w:val="0"/>
              <w:jc w:val="left"/>
              <w:rPr>
                <w:rFonts w:ascii="宋体" w:hAnsi="宋体"/>
                <w:color w:val="auto"/>
                <w:kern w:val="0"/>
                <w:szCs w:val="21"/>
                <w:highlight w:val="none"/>
              </w:rPr>
            </w:pPr>
          </w:p>
        </w:tc>
        <w:tc>
          <w:tcPr>
            <w:tcW w:w="776" w:type="dxa"/>
            <w:vAlign w:val="top"/>
          </w:tcPr>
          <w:p w14:paraId="142334DA">
            <w:pPr>
              <w:autoSpaceDE w:val="0"/>
              <w:autoSpaceDN w:val="0"/>
              <w:adjustRightInd w:val="0"/>
              <w:snapToGrid w:val="0"/>
              <w:jc w:val="left"/>
              <w:rPr>
                <w:rFonts w:ascii="宋体" w:hAnsi="宋体"/>
                <w:color w:val="auto"/>
                <w:kern w:val="0"/>
                <w:szCs w:val="21"/>
                <w:highlight w:val="none"/>
              </w:rPr>
            </w:pPr>
          </w:p>
        </w:tc>
        <w:tc>
          <w:tcPr>
            <w:tcW w:w="778" w:type="dxa"/>
            <w:vAlign w:val="top"/>
          </w:tcPr>
          <w:p w14:paraId="6C15A030">
            <w:pPr>
              <w:autoSpaceDE w:val="0"/>
              <w:autoSpaceDN w:val="0"/>
              <w:adjustRightInd w:val="0"/>
              <w:snapToGrid w:val="0"/>
              <w:jc w:val="left"/>
              <w:rPr>
                <w:rFonts w:ascii="宋体" w:hAnsi="宋体"/>
                <w:color w:val="auto"/>
                <w:kern w:val="0"/>
                <w:szCs w:val="21"/>
                <w:highlight w:val="none"/>
              </w:rPr>
            </w:pPr>
          </w:p>
        </w:tc>
        <w:tc>
          <w:tcPr>
            <w:tcW w:w="776" w:type="dxa"/>
            <w:vAlign w:val="top"/>
          </w:tcPr>
          <w:p w14:paraId="321E19F9">
            <w:pPr>
              <w:autoSpaceDE w:val="0"/>
              <w:autoSpaceDN w:val="0"/>
              <w:adjustRightInd w:val="0"/>
              <w:snapToGrid w:val="0"/>
              <w:jc w:val="left"/>
              <w:rPr>
                <w:rFonts w:ascii="宋体" w:hAnsi="宋体"/>
                <w:color w:val="auto"/>
                <w:kern w:val="0"/>
                <w:szCs w:val="21"/>
                <w:highlight w:val="none"/>
              </w:rPr>
            </w:pPr>
          </w:p>
        </w:tc>
        <w:tc>
          <w:tcPr>
            <w:tcW w:w="2723" w:type="dxa"/>
            <w:vAlign w:val="top"/>
          </w:tcPr>
          <w:p w14:paraId="2143033C">
            <w:pPr>
              <w:autoSpaceDE w:val="0"/>
              <w:autoSpaceDN w:val="0"/>
              <w:adjustRightInd w:val="0"/>
              <w:snapToGrid w:val="0"/>
              <w:jc w:val="left"/>
              <w:rPr>
                <w:rFonts w:ascii="宋体" w:hAnsi="宋体"/>
                <w:color w:val="auto"/>
                <w:kern w:val="0"/>
                <w:szCs w:val="21"/>
                <w:highlight w:val="none"/>
              </w:rPr>
            </w:pPr>
          </w:p>
        </w:tc>
        <w:tc>
          <w:tcPr>
            <w:tcW w:w="896" w:type="dxa"/>
            <w:vAlign w:val="top"/>
          </w:tcPr>
          <w:p w14:paraId="769BEA3C">
            <w:pPr>
              <w:autoSpaceDE w:val="0"/>
              <w:autoSpaceDN w:val="0"/>
              <w:adjustRightInd w:val="0"/>
              <w:snapToGrid w:val="0"/>
              <w:jc w:val="left"/>
              <w:rPr>
                <w:rFonts w:ascii="宋体" w:hAnsi="宋体"/>
                <w:color w:val="auto"/>
                <w:kern w:val="0"/>
                <w:szCs w:val="21"/>
                <w:highlight w:val="none"/>
              </w:rPr>
            </w:pPr>
          </w:p>
        </w:tc>
      </w:tr>
      <w:tr w14:paraId="41B6E4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1398245E">
            <w:pPr>
              <w:autoSpaceDE w:val="0"/>
              <w:autoSpaceDN w:val="0"/>
              <w:adjustRightInd w:val="0"/>
              <w:snapToGrid w:val="0"/>
              <w:jc w:val="left"/>
              <w:rPr>
                <w:rFonts w:ascii="宋体" w:hAnsi="宋体"/>
                <w:color w:val="auto"/>
                <w:kern w:val="0"/>
                <w:szCs w:val="21"/>
                <w:highlight w:val="none"/>
              </w:rPr>
            </w:pPr>
          </w:p>
        </w:tc>
        <w:tc>
          <w:tcPr>
            <w:tcW w:w="734" w:type="dxa"/>
            <w:vAlign w:val="top"/>
          </w:tcPr>
          <w:p w14:paraId="5A82B3BE">
            <w:pPr>
              <w:autoSpaceDE w:val="0"/>
              <w:autoSpaceDN w:val="0"/>
              <w:adjustRightInd w:val="0"/>
              <w:snapToGrid w:val="0"/>
              <w:jc w:val="left"/>
              <w:rPr>
                <w:rFonts w:ascii="宋体" w:hAnsi="宋体"/>
                <w:color w:val="auto"/>
                <w:kern w:val="0"/>
                <w:szCs w:val="21"/>
                <w:highlight w:val="none"/>
              </w:rPr>
            </w:pPr>
          </w:p>
        </w:tc>
        <w:tc>
          <w:tcPr>
            <w:tcW w:w="776" w:type="dxa"/>
            <w:vAlign w:val="top"/>
          </w:tcPr>
          <w:p w14:paraId="6F5B2D9A">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6465AF3">
            <w:pPr>
              <w:autoSpaceDE w:val="0"/>
              <w:autoSpaceDN w:val="0"/>
              <w:adjustRightInd w:val="0"/>
              <w:snapToGrid w:val="0"/>
              <w:jc w:val="left"/>
              <w:rPr>
                <w:rFonts w:ascii="宋体" w:hAnsi="宋体"/>
                <w:color w:val="auto"/>
                <w:kern w:val="0"/>
                <w:szCs w:val="21"/>
                <w:highlight w:val="none"/>
              </w:rPr>
            </w:pPr>
          </w:p>
        </w:tc>
        <w:tc>
          <w:tcPr>
            <w:tcW w:w="776" w:type="dxa"/>
            <w:vAlign w:val="top"/>
          </w:tcPr>
          <w:p w14:paraId="36E2EF49">
            <w:pPr>
              <w:autoSpaceDE w:val="0"/>
              <w:autoSpaceDN w:val="0"/>
              <w:adjustRightInd w:val="0"/>
              <w:snapToGrid w:val="0"/>
              <w:jc w:val="left"/>
              <w:rPr>
                <w:rFonts w:ascii="宋体" w:hAnsi="宋体"/>
                <w:color w:val="auto"/>
                <w:kern w:val="0"/>
                <w:szCs w:val="21"/>
                <w:highlight w:val="none"/>
              </w:rPr>
            </w:pPr>
          </w:p>
        </w:tc>
        <w:tc>
          <w:tcPr>
            <w:tcW w:w="778" w:type="dxa"/>
            <w:vAlign w:val="top"/>
          </w:tcPr>
          <w:p w14:paraId="1DA6A45F">
            <w:pPr>
              <w:autoSpaceDE w:val="0"/>
              <w:autoSpaceDN w:val="0"/>
              <w:adjustRightInd w:val="0"/>
              <w:snapToGrid w:val="0"/>
              <w:jc w:val="left"/>
              <w:rPr>
                <w:rFonts w:ascii="宋体" w:hAnsi="宋体"/>
                <w:color w:val="auto"/>
                <w:kern w:val="0"/>
                <w:szCs w:val="21"/>
                <w:highlight w:val="none"/>
              </w:rPr>
            </w:pPr>
          </w:p>
        </w:tc>
        <w:tc>
          <w:tcPr>
            <w:tcW w:w="776" w:type="dxa"/>
            <w:vAlign w:val="top"/>
          </w:tcPr>
          <w:p w14:paraId="27E5343E">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93ED139">
            <w:pPr>
              <w:autoSpaceDE w:val="0"/>
              <w:autoSpaceDN w:val="0"/>
              <w:adjustRightInd w:val="0"/>
              <w:snapToGrid w:val="0"/>
              <w:jc w:val="left"/>
              <w:rPr>
                <w:rFonts w:ascii="宋体" w:hAnsi="宋体"/>
                <w:color w:val="auto"/>
                <w:kern w:val="0"/>
                <w:szCs w:val="21"/>
                <w:highlight w:val="none"/>
              </w:rPr>
            </w:pPr>
          </w:p>
        </w:tc>
        <w:tc>
          <w:tcPr>
            <w:tcW w:w="896" w:type="dxa"/>
            <w:vAlign w:val="top"/>
          </w:tcPr>
          <w:p w14:paraId="58FD723E">
            <w:pPr>
              <w:autoSpaceDE w:val="0"/>
              <w:autoSpaceDN w:val="0"/>
              <w:adjustRightInd w:val="0"/>
              <w:snapToGrid w:val="0"/>
              <w:jc w:val="left"/>
              <w:rPr>
                <w:rFonts w:ascii="宋体" w:hAnsi="宋体"/>
                <w:color w:val="auto"/>
                <w:kern w:val="0"/>
                <w:szCs w:val="21"/>
                <w:highlight w:val="none"/>
              </w:rPr>
            </w:pPr>
          </w:p>
        </w:tc>
      </w:tr>
      <w:tr w14:paraId="43F0B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798D6609">
            <w:pPr>
              <w:autoSpaceDE w:val="0"/>
              <w:autoSpaceDN w:val="0"/>
              <w:adjustRightInd w:val="0"/>
              <w:snapToGrid w:val="0"/>
              <w:jc w:val="left"/>
              <w:rPr>
                <w:rFonts w:ascii="宋体" w:hAnsi="宋体"/>
                <w:color w:val="auto"/>
                <w:kern w:val="0"/>
                <w:szCs w:val="21"/>
                <w:highlight w:val="none"/>
              </w:rPr>
            </w:pPr>
          </w:p>
        </w:tc>
        <w:tc>
          <w:tcPr>
            <w:tcW w:w="734" w:type="dxa"/>
            <w:vAlign w:val="top"/>
          </w:tcPr>
          <w:p w14:paraId="6C6363A3">
            <w:pPr>
              <w:autoSpaceDE w:val="0"/>
              <w:autoSpaceDN w:val="0"/>
              <w:adjustRightInd w:val="0"/>
              <w:snapToGrid w:val="0"/>
              <w:jc w:val="left"/>
              <w:rPr>
                <w:rFonts w:ascii="宋体" w:hAnsi="宋体"/>
                <w:color w:val="auto"/>
                <w:kern w:val="0"/>
                <w:szCs w:val="21"/>
                <w:highlight w:val="none"/>
              </w:rPr>
            </w:pPr>
          </w:p>
        </w:tc>
        <w:tc>
          <w:tcPr>
            <w:tcW w:w="776" w:type="dxa"/>
            <w:vAlign w:val="top"/>
          </w:tcPr>
          <w:p w14:paraId="67C653A3">
            <w:pPr>
              <w:autoSpaceDE w:val="0"/>
              <w:autoSpaceDN w:val="0"/>
              <w:adjustRightInd w:val="0"/>
              <w:snapToGrid w:val="0"/>
              <w:jc w:val="left"/>
              <w:rPr>
                <w:rFonts w:ascii="宋体" w:hAnsi="宋体"/>
                <w:color w:val="auto"/>
                <w:kern w:val="0"/>
                <w:szCs w:val="21"/>
                <w:highlight w:val="none"/>
              </w:rPr>
            </w:pPr>
          </w:p>
        </w:tc>
        <w:tc>
          <w:tcPr>
            <w:tcW w:w="1167" w:type="dxa"/>
            <w:vAlign w:val="top"/>
          </w:tcPr>
          <w:p w14:paraId="61CD4128">
            <w:pPr>
              <w:autoSpaceDE w:val="0"/>
              <w:autoSpaceDN w:val="0"/>
              <w:adjustRightInd w:val="0"/>
              <w:snapToGrid w:val="0"/>
              <w:jc w:val="left"/>
              <w:rPr>
                <w:rFonts w:ascii="宋体" w:hAnsi="宋体"/>
                <w:color w:val="auto"/>
                <w:kern w:val="0"/>
                <w:szCs w:val="21"/>
                <w:highlight w:val="none"/>
              </w:rPr>
            </w:pPr>
          </w:p>
        </w:tc>
        <w:tc>
          <w:tcPr>
            <w:tcW w:w="776" w:type="dxa"/>
            <w:vAlign w:val="top"/>
          </w:tcPr>
          <w:p w14:paraId="35B07F8A">
            <w:pPr>
              <w:autoSpaceDE w:val="0"/>
              <w:autoSpaceDN w:val="0"/>
              <w:adjustRightInd w:val="0"/>
              <w:snapToGrid w:val="0"/>
              <w:jc w:val="left"/>
              <w:rPr>
                <w:rFonts w:ascii="宋体" w:hAnsi="宋体"/>
                <w:color w:val="auto"/>
                <w:kern w:val="0"/>
                <w:szCs w:val="21"/>
                <w:highlight w:val="none"/>
              </w:rPr>
            </w:pPr>
          </w:p>
        </w:tc>
        <w:tc>
          <w:tcPr>
            <w:tcW w:w="778" w:type="dxa"/>
            <w:vAlign w:val="top"/>
          </w:tcPr>
          <w:p w14:paraId="1F1FD1A9">
            <w:pPr>
              <w:autoSpaceDE w:val="0"/>
              <w:autoSpaceDN w:val="0"/>
              <w:adjustRightInd w:val="0"/>
              <w:snapToGrid w:val="0"/>
              <w:jc w:val="left"/>
              <w:rPr>
                <w:rFonts w:ascii="宋体" w:hAnsi="宋体"/>
                <w:color w:val="auto"/>
                <w:kern w:val="0"/>
                <w:szCs w:val="21"/>
                <w:highlight w:val="none"/>
              </w:rPr>
            </w:pPr>
          </w:p>
        </w:tc>
        <w:tc>
          <w:tcPr>
            <w:tcW w:w="776" w:type="dxa"/>
            <w:vAlign w:val="top"/>
          </w:tcPr>
          <w:p w14:paraId="6E5BBCE3">
            <w:pPr>
              <w:autoSpaceDE w:val="0"/>
              <w:autoSpaceDN w:val="0"/>
              <w:adjustRightInd w:val="0"/>
              <w:snapToGrid w:val="0"/>
              <w:jc w:val="left"/>
              <w:rPr>
                <w:rFonts w:ascii="宋体" w:hAnsi="宋体"/>
                <w:color w:val="auto"/>
                <w:kern w:val="0"/>
                <w:szCs w:val="21"/>
                <w:highlight w:val="none"/>
              </w:rPr>
            </w:pPr>
          </w:p>
        </w:tc>
        <w:tc>
          <w:tcPr>
            <w:tcW w:w="2723" w:type="dxa"/>
            <w:vAlign w:val="top"/>
          </w:tcPr>
          <w:p w14:paraId="7C61328C">
            <w:pPr>
              <w:autoSpaceDE w:val="0"/>
              <w:autoSpaceDN w:val="0"/>
              <w:adjustRightInd w:val="0"/>
              <w:snapToGrid w:val="0"/>
              <w:jc w:val="left"/>
              <w:rPr>
                <w:rFonts w:ascii="宋体" w:hAnsi="宋体"/>
                <w:color w:val="auto"/>
                <w:kern w:val="0"/>
                <w:szCs w:val="21"/>
                <w:highlight w:val="none"/>
              </w:rPr>
            </w:pPr>
          </w:p>
        </w:tc>
        <w:tc>
          <w:tcPr>
            <w:tcW w:w="896" w:type="dxa"/>
            <w:vAlign w:val="top"/>
          </w:tcPr>
          <w:p w14:paraId="762617B1">
            <w:pPr>
              <w:autoSpaceDE w:val="0"/>
              <w:autoSpaceDN w:val="0"/>
              <w:adjustRightInd w:val="0"/>
              <w:snapToGrid w:val="0"/>
              <w:jc w:val="left"/>
              <w:rPr>
                <w:rFonts w:ascii="宋体" w:hAnsi="宋体"/>
                <w:color w:val="auto"/>
                <w:kern w:val="0"/>
                <w:szCs w:val="21"/>
                <w:highlight w:val="none"/>
              </w:rPr>
            </w:pPr>
          </w:p>
        </w:tc>
      </w:tr>
    </w:tbl>
    <w:p w14:paraId="755722D2">
      <w:pPr>
        <w:spacing w:line="20" w:lineRule="exact"/>
        <w:jc w:val="center"/>
        <w:rPr>
          <w:rFonts w:ascii="宋体" w:hAnsi="宋体"/>
          <w:color w:val="auto"/>
          <w:szCs w:val="21"/>
          <w:highlight w:val="none"/>
        </w:rPr>
      </w:pPr>
    </w:p>
    <w:p w14:paraId="2F5FEEBF">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bookmarkEnd w:id="1730"/>
      <w:bookmarkEnd w:id="1731"/>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6530FF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C4F16FF">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5A351E9E">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62580E1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5791E83D">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47B49FA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6AD4DA6E">
            <w:pPr>
              <w:autoSpaceDE w:val="0"/>
              <w:autoSpaceDN w:val="0"/>
              <w:adjustRightInd w:val="0"/>
              <w:snapToGrid w:val="0"/>
              <w:jc w:val="center"/>
              <w:rPr>
                <w:rFonts w:ascii="宋体" w:hAnsi="宋体"/>
                <w:color w:val="auto"/>
                <w:kern w:val="0"/>
                <w:szCs w:val="21"/>
                <w:highlight w:val="none"/>
              </w:rPr>
            </w:pPr>
          </w:p>
        </w:tc>
      </w:tr>
      <w:tr w14:paraId="2493E2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7F2E6F3">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7F6D820D">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50A7AB9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18E85445">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252F2E0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6C186833">
            <w:pPr>
              <w:autoSpaceDE w:val="0"/>
              <w:autoSpaceDN w:val="0"/>
              <w:adjustRightInd w:val="0"/>
              <w:snapToGrid w:val="0"/>
              <w:jc w:val="center"/>
              <w:rPr>
                <w:rFonts w:ascii="宋体" w:hAnsi="宋体"/>
                <w:color w:val="auto"/>
                <w:kern w:val="0"/>
                <w:szCs w:val="21"/>
                <w:highlight w:val="none"/>
              </w:rPr>
            </w:pPr>
          </w:p>
        </w:tc>
      </w:tr>
      <w:tr w14:paraId="1CA253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5B22700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722F4802">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189B8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53C34AA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794AC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31A6D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392CD3E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00E74D0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177D35E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7F62E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E138F1">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6F00E7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346510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4AFDEE4">
            <w:pPr>
              <w:autoSpaceDE w:val="0"/>
              <w:autoSpaceDN w:val="0"/>
              <w:adjustRightInd w:val="0"/>
              <w:snapToGrid w:val="0"/>
              <w:jc w:val="center"/>
              <w:rPr>
                <w:rFonts w:ascii="宋体" w:hAnsi="宋体"/>
                <w:color w:val="auto"/>
                <w:kern w:val="0"/>
                <w:szCs w:val="21"/>
                <w:highlight w:val="none"/>
              </w:rPr>
            </w:pPr>
          </w:p>
        </w:tc>
      </w:tr>
      <w:tr w14:paraId="2EC93E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87E98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E3E028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086BBD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81DC577">
            <w:pPr>
              <w:autoSpaceDE w:val="0"/>
              <w:autoSpaceDN w:val="0"/>
              <w:adjustRightInd w:val="0"/>
              <w:snapToGrid w:val="0"/>
              <w:jc w:val="center"/>
              <w:rPr>
                <w:rFonts w:ascii="宋体" w:hAnsi="宋体"/>
                <w:color w:val="auto"/>
                <w:kern w:val="0"/>
                <w:szCs w:val="21"/>
                <w:highlight w:val="none"/>
              </w:rPr>
            </w:pPr>
          </w:p>
        </w:tc>
      </w:tr>
      <w:tr w14:paraId="36ECC0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B83C2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E164BF6">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C9943F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73DF9C7">
            <w:pPr>
              <w:autoSpaceDE w:val="0"/>
              <w:autoSpaceDN w:val="0"/>
              <w:adjustRightInd w:val="0"/>
              <w:snapToGrid w:val="0"/>
              <w:jc w:val="center"/>
              <w:rPr>
                <w:rFonts w:ascii="宋体" w:hAnsi="宋体"/>
                <w:color w:val="auto"/>
                <w:kern w:val="0"/>
                <w:szCs w:val="21"/>
                <w:highlight w:val="none"/>
              </w:rPr>
            </w:pPr>
          </w:p>
        </w:tc>
      </w:tr>
      <w:tr w14:paraId="73D686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989EAE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2170A96">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8B671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7ED5932">
            <w:pPr>
              <w:autoSpaceDE w:val="0"/>
              <w:autoSpaceDN w:val="0"/>
              <w:adjustRightInd w:val="0"/>
              <w:snapToGrid w:val="0"/>
              <w:jc w:val="center"/>
              <w:rPr>
                <w:rFonts w:ascii="宋体" w:hAnsi="宋体"/>
                <w:color w:val="auto"/>
                <w:kern w:val="0"/>
                <w:szCs w:val="21"/>
                <w:highlight w:val="none"/>
              </w:rPr>
            </w:pPr>
          </w:p>
        </w:tc>
      </w:tr>
      <w:tr w14:paraId="53E3CE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D23B4A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43E1BB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0623EE">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746D4CE">
            <w:pPr>
              <w:autoSpaceDE w:val="0"/>
              <w:autoSpaceDN w:val="0"/>
              <w:adjustRightInd w:val="0"/>
              <w:snapToGrid w:val="0"/>
              <w:jc w:val="center"/>
              <w:rPr>
                <w:rFonts w:ascii="宋体" w:hAnsi="宋体"/>
                <w:color w:val="auto"/>
                <w:kern w:val="0"/>
                <w:szCs w:val="21"/>
                <w:highlight w:val="none"/>
              </w:rPr>
            </w:pPr>
          </w:p>
        </w:tc>
      </w:tr>
      <w:tr w14:paraId="67D091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BE7822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C8D69DB">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F9F23F7">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9944DA0">
            <w:pPr>
              <w:autoSpaceDE w:val="0"/>
              <w:autoSpaceDN w:val="0"/>
              <w:adjustRightInd w:val="0"/>
              <w:snapToGrid w:val="0"/>
              <w:jc w:val="center"/>
              <w:rPr>
                <w:rFonts w:ascii="宋体" w:hAnsi="宋体"/>
                <w:color w:val="auto"/>
                <w:kern w:val="0"/>
                <w:szCs w:val="21"/>
                <w:highlight w:val="none"/>
              </w:rPr>
            </w:pPr>
          </w:p>
        </w:tc>
      </w:tr>
      <w:tr w14:paraId="4CA2FE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73259D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4C6D28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96A877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4A34121">
            <w:pPr>
              <w:autoSpaceDE w:val="0"/>
              <w:autoSpaceDN w:val="0"/>
              <w:adjustRightInd w:val="0"/>
              <w:snapToGrid w:val="0"/>
              <w:jc w:val="center"/>
              <w:rPr>
                <w:rFonts w:ascii="宋体" w:hAnsi="宋体"/>
                <w:color w:val="auto"/>
                <w:kern w:val="0"/>
                <w:szCs w:val="21"/>
                <w:highlight w:val="none"/>
              </w:rPr>
            </w:pPr>
          </w:p>
        </w:tc>
      </w:tr>
      <w:tr w14:paraId="736C70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AFFE6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B854A3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49E490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FB54313">
            <w:pPr>
              <w:autoSpaceDE w:val="0"/>
              <w:autoSpaceDN w:val="0"/>
              <w:adjustRightInd w:val="0"/>
              <w:snapToGrid w:val="0"/>
              <w:jc w:val="center"/>
              <w:rPr>
                <w:rFonts w:ascii="宋体" w:hAnsi="宋体"/>
                <w:color w:val="auto"/>
                <w:kern w:val="0"/>
                <w:szCs w:val="21"/>
                <w:highlight w:val="none"/>
              </w:rPr>
            </w:pPr>
          </w:p>
        </w:tc>
      </w:tr>
      <w:tr w14:paraId="231908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3396DA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C98048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A1B738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17BA039">
            <w:pPr>
              <w:autoSpaceDE w:val="0"/>
              <w:autoSpaceDN w:val="0"/>
              <w:adjustRightInd w:val="0"/>
              <w:snapToGrid w:val="0"/>
              <w:jc w:val="center"/>
              <w:rPr>
                <w:rFonts w:ascii="宋体" w:hAnsi="宋体"/>
                <w:color w:val="auto"/>
                <w:kern w:val="0"/>
                <w:szCs w:val="21"/>
                <w:highlight w:val="none"/>
              </w:rPr>
            </w:pPr>
          </w:p>
        </w:tc>
      </w:tr>
      <w:tr w14:paraId="7210A2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7E7519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82A3FFB">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27D0A0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96588CC">
            <w:pPr>
              <w:autoSpaceDE w:val="0"/>
              <w:autoSpaceDN w:val="0"/>
              <w:adjustRightInd w:val="0"/>
              <w:snapToGrid w:val="0"/>
              <w:jc w:val="center"/>
              <w:rPr>
                <w:rFonts w:ascii="宋体" w:hAnsi="宋体"/>
                <w:color w:val="auto"/>
                <w:kern w:val="0"/>
                <w:szCs w:val="21"/>
                <w:highlight w:val="none"/>
              </w:rPr>
            </w:pPr>
          </w:p>
        </w:tc>
      </w:tr>
      <w:tr w14:paraId="03C42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87B38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C3372B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6BEDF1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6F657D3">
            <w:pPr>
              <w:autoSpaceDE w:val="0"/>
              <w:autoSpaceDN w:val="0"/>
              <w:adjustRightInd w:val="0"/>
              <w:snapToGrid w:val="0"/>
              <w:jc w:val="center"/>
              <w:rPr>
                <w:rFonts w:ascii="宋体" w:hAnsi="宋体"/>
                <w:color w:val="auto"/>
                <w:kern w:val="0"/>
                <w:szCs w:val="21"/>
                <w:highlight w:val="none"/>
              </w:rPr>
            </w:pPr>
          </w:p>
        </w:tc>
      </w:tr>
      <w:tr w14:paraId="219CAD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46B5B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27CC75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659130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79DDA10">
            <w:pPr>
              <w:autoSpaceDE w:val="0"/>
              <w:autoSpaceDN w:val="0"/>
              <w:adjustRightInd w:val="0"/>
              <w:snapToGrid w:val="0"/>
              <w:jc w:val="center"/>
              <w:rPr>
                <w:rFonts w:ascii="宋体" w:hAnsi="宋体"/>
                <w:color w:val="auto"/>
                <w:kern w:val="0"/>
                <w:szCs w:val="21"/>
                <w:highlight w:val="none"/>
              </w:rPr>
            </w:pPr>
          </w:p>
        </w:tc>
      </w:tr>
      <w:tr w14:paraId="250867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F8546C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5C5E5F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437F43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38E38C3">
            <w:pPr>
              <w:autoSpaceDE w:val="0"/>
              <w:autoSpaceDN w:val="0"/>
              <w:adjustRightInd w:val="0"/>
              <w:snapToGrid w:val="0"/>
              <w:jc w:val="center"/>
              <w:rPr>
                <w:rFonts w:ascii="宋体" w:hAnsi="宋体"/>
                <w:color w:val="auto"/>
                <w:kern w:val="0"/>
                <w:szCs w:val="21"/>
                <w:highlight w:val="none"/>
              </w:rPr>
            </w:pPr>
          </w:p>
        </w:tc>
      </w:tr>
    </w:tbl>
    <w:p w14:paraId="6142393B">
      <w:pPr>
        <w:spacing w:line="360" w:lineRule="auto"/>
        <w:rPr>
          <w:rFonts w:ascii="宋体" w:hAnsi="宋体"/>
          <w:color w:val="auto"/>
          <w:highlight w:val="none"/>
        </w:rPr>
      </w:pPr>
      <w:bookmarkStart w:id="1735" w:name="_Toc224103515"/>
    </w:p>
    <w:bookmarkEnd w:id="1735"/>
    <w:p w14:paraId="65DB73C1">
      <w:pPr>
        <w:pStyle w:val="5"/>
        <w:spacing w:before="0" w:after="0" w:line="360" w:lineRule="auto"/>
        <w:jc w:val="center"/>
        <w:rPr>
          <w:rFonts w:ascii="宋体" w:hAnsi="宋体"/>
          <w:b w:val="0"/>
          <w:color w:val="auto"/>
          <w:highlight w:val="none"/>
        </w:rPr>
      </w:pPr>
      <w:bookmarkStart w:id="1736" w:name="_Toc287607893"/>
      <w:bookmarkStart w:id="1737" w:name="_Toc287620839"/>
      <w:bookmarkStart w:id="1738" w:name="_Toc224103520"/>
      <w:bookmarkStart w:id="1739" w:name="_Toc277082663"/>
      <w:bookmarkStart w:id="1740" w:name="_Toc430530552"/>
      <w:bookmarkStart w:id="1741" w:name="_Toc57905935"/>
      <w:bookmarkStart w:id="1742" w:name="_Toc509218866"/>
      <w:bookmarkStart w:id="1743" w:name="_Toc534185843"/>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1736"/>
      <w:bookmarkEnd w:id="1737"/>
      <w:bookmarkEnd w:id="1738"/>
      <w:bookmarkEnd w:id="1739"/>
      <w:bookmarkEnd w:id="1740"/>
      <w:r>
        <w:rPr>
          <w:rFonts w:hint="eastAsia" w:ascii="宋体" w:hAnsi="宋体"/>
          <w:b w:val="0"/>
          <w:color w:val="auto"/>
          <w:highlight w:val="none"/>
        </w:rPr>
        <w:t>承诺</w:t>
      </w:r>
      <w:bookmarkEnd w:id="1741"/>
    </w:p>
    <w:p w14:paraId="712A054C">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人名称）</w:t>
      </w:r>
      <w:r>
        <w:rPr>
          <w:rFonts w:hint="eastAsia" w:ascii="宋体" w:hAnsi="宋体"/>
          <w:color w:val="auto"/>
          <w:szCs w:val="21"/>
          <w:highlight w:val="none"/>
        </w:rPr>
        <w:t>：</w:t>
      </w:r>
    </w:p>
    <w:p w14:paraId="741F7E3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竞选人</w:t>
      </w:r>
      <w:r>
        <w:rPr>
          <w:rFonts w:hint="eastAsia" w:ascii="宋体" w:hAnsi="宋体"/>
          <w:color w:val="auto"/>
          <w:szCs w:val="21"/>
          <w:highlight w:val="none"/>
          <w:u w:val="single"/>
        </w:rPr>
        <w:t>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4A6B264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036AFA51">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6E1B346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投标信用管理暂行办法》规定的重点关注名单且记分达到12分且在记分有效期内；</w:t>
      </w:r>
    </w:p>
    <w:p w14:paraId="02F0894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w:t>
      </w:r>
      <w:r>
        <w:rPr>
          <w:rFonts w:hint="eastAsia" w:ascii="宋体" w:hAnsi="宋体"/>
          <w:color w:val="auto"/>
          <w:szCs w:val="21"/>
          <w:highlight w:val="none"/>
          <w:lang w:eastAsia="zh-CN"/>
        </w:rPr>
        <w:t>比选</w:t>
      </w:r>
      <w:r>
        <w:rPr>
          <w:rFonts w:hint="eastAsia" w:ascii="宋体" w:hAnsi="宋体"/>
          <w:color w:val="auto"/>
          <w:szCs w:val="21"/>
          <w:highlight w:val="none"/>
        </w:rPr>
        <w:t>投标信用管理暂行办法》规定的黑名单且在记分有效期内；</w:t>
      </w:r>
    </w:p>
    <w:p w14:paraId="69C2314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72398A9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14:paraId="49A2AA1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2、我公司拟派的项目经理按注册建造师的相关规定到岗履职和未被禁止参与投标。</w:t>
      </w:r>
    </w:p>
    <w:p w14:paraId="713A4A7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2.1拟派的项目经理中标后在本项目任职，签订合同时拟派的项目经理必须与</w:t>
      </w:r>
      <w:r>
        <w:rPr>
          <w:rFonts w:hint="eastAsia" w:ascii="宋体" w:hAnsi="宋体"/>
          <w:color w:val="auto"/>
          <w:szCs w:val="21"/>
          <w:highlight w:val="none"/>
          <w:lang w:eastAsia="zh-CN"/>
        </w:rPr>
        <w:t>竞选文件</w:t>
      </w:r>
      <w:r>
        <w:rPr>
          <w:rFonts w:hint="eastAsia" w:ascii="宋体" w:hAnsi="宋体"/>
          <w:color w:val="auto"/>
          <w:szCs w:val="21"/>
          <w:highlight w:val="none"/>
        </w:rPr>
        <w:t>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37A07B1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2.2拟派的项目经理未被重庆市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258A701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2.3为保证我公司拟派的项目经理到本项目到岗履职，我公司还承诺：</w:t>
      </w:r>
    </w:p>
    <w:p w14:paraId="5BC0814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rPr>
        <w:t xml:space="preserve"> 14 </w:t>
      </w:r>
      <w:r>
        <w:rPr>
          <w:rFonts w:hint="eastAsia" w:ascii="宋体" w:hAnsi="宋体"/>
          <w:color w:val="auto"/>
          <w:szCs w:val="21"/>
          <w:highlight w:val="none"/>
        </w:rPr>
        <w:t>日</w:t>
      </w:r>
      <w:r>
        <w:rPr>
          <w:rFonts w:hint="eastAsia" w:ascii="宋体" w:hAnsi="宋体"/>
          <w:i/>
          <w:iCs/>
          <w:color w:val="auto"/>
          <w:szCs w:val="21"/>
          <w:highlight w:val="none"/>
          <w:lang w:val="en-US" w:eastAsia="zh-CN"/>
        </w:rPr>
        <w:t>[提示：</w:t>
      </w:r>
      <w:r>
        <w:rPr>
          <w:rFonts w:hint="eastAsia" w:ascii="宋体" w:hAnsi="宋体"/>
          <w:i/>
          <w:iCs/>
          <w:color w:val="auto"/>
          <w:szCs w:val="21"/>
          <w:highlight w:val="none"/>
        </w:rPr>
        <w:t>7～30日</w:t>
      </w:r>
      <w:r>
        <w:rPr>
          <w:rFonts w:hint="eastAsia" w:ascii="宋体" w:hAnsi="宋体"/>
          <w:i/>
          <w:iCs/>
          <w:color w:val="auto"/>
          <w:szCs w:val="21"/>
          <w:highlight w:val="none"/>
          <w:lang w:val="en-US" w:eastAsia="zh-CN"/>
        </w:rPr>
        <w:t>]</w:t>
      </w:r>
      <w:r>
        <w:rPr>
          <w:rFonts w:hint="eastAsia" w:ascii="宋体" w:hAnsi="宋体"/>
          <w:color w:val="auto"/>
          <w:szCs w:val="21"/>
          <w:highlight w:val="none"/>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highlight w:val="none"/>
          <w:lang w:eastAsia="zh-CN"/>
        </w:rPr>
        <w:t>竞争性比选文件</w:t>
      </w:r>
      <w:r>
        <w:rPr>
          <w:rFonts w:hint="eastAsia" w:ascii="宋体" w:hAnsi="宋体"/>
          <w:color w:val="auto"/>
          <w:szCs w:val="21"/>
          <w:highlight w:val="none"/>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5D783A5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若我公司拟派项目经理放弃在其他项目任职的将提供：①经业主或建设单位同意任职变更的文件；②负责项目监管的行业行政主管部门出具同意任职变更的证明材料。</w:t>
      </w:r>
    </w:p>
    <w:p w14:paraId="3119E8F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若我公司拟派项目经理放弃在其他项目中标或拟中标的将提供：①经中标或拟中标的其他项目建设单位同意的放弃中标函。</w:t>
      </w:r>
    </w:p>
    <w:p w14:paraId="56DA7606">
      <w:pPr>
        <w:numPr>
          <w:ilvl w:val="0"/>
          <w:numId w:val="3"/>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造成损失的，我公司依法承担违约赔偿责任。</w:t>
      </w:r>
    </w:p>
    <w:p w14:paraId="0A90AD7A">
      <w:pPr>
        <w:numPr>
          <w:ilvl w:val="0"/>
          <w:numId w:val="3"/>
        </w:num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w:t>
      </w:r>
      <w:r>
        <w:rPr>
          <w:rFonts w:hint="eastAsia" w:ascii="宋体" w:hAnsi="宋体"/>
          <w:color w:val="auto"/>
          <w:szCs w:val="21"/>
          <w:highlight w:val="none"/>
          <w:lang w:eastAsia="zh-CN"/>
        </w:rPr>
        <w:t>竞争性比选文件</w:t>
      </w:r>
      <w:r>
        <w:rPr>
          <w:rFonts w:hint="eastAsia" w:ascii="宋体" w:hAnsi="宋体"/>
          <w:color w:val="auto"/>
          <w:szCs w:val="21"/>
          <w:highlight w:val="none"/>
        </w:rPr>
        <w:t>中规定工程量清单不允许修改的内容不得修改，每项工程量清单综合单价报价不得高于对应工程量清单综合单价最高限价。</w:t>
      </w:r>
      <w:r>
        <w:rPr>
          <w:rFonts w:hint="eastAsia" w:ascii="宋体" w:hAnsi="宋体"/>
          <w:color w:val="auto"/>
          <w:szCs w:val="21"/>
          <w:highlight w:val="none"/>
          <w:lang w:val="en-US" w:eastAsia="zh-CN"/>
        </w:rPr>
        <w:t>贵单位</w:t>
      </w:r>
      <w:r>
        <w:rPr>
          <w:rFonts w:hint="eastAsia" w:ascii="宋体" w:hAnsi="宋体"/>
          <w:color w:val="auto"/>
          <w:szCs w:val="21"/>
          <w:highlight w:val="none"/>
        </w:rPr>
        <w:t>可在合同签订前对我公司已标价工程量清单进行清标。若发现我公司的工程量清单综合单价报价超过</w:t>
      </w:r>
      <w:r>
        <w:rPr>
          <w:rFonts w:hint="eastAsia" w:ascii="宋体" w:hAnsi="宋体"/>
          <w:color w:val="auto"/>
          <w:szCs w:val="21"/>
          <w:highlight w:val="none"/>
          <w:lang w:eastAsia="zh-CN"/>
        </w:rPr>
        <w:t>比选</w:t>
      </w:r>
      <w:r>
        <w:rPr>
          <w:rFonts w:hint="eastAsia" w:ascii="宋体" w:hAnsi="宋体"/>
          <w:color w:val="auto"/>
          <w:szCs w:val="21"/>
          <w:highlight w:val="none"/>
        </w:rPr>
        <w:t>时给出的工程量清单综合单价最高限价的，在工程结算时</w:t>
      </w:r>
      <w:r>
        <w:rPr>
          <w:rFonts w:hint="eastAsia" w:ascii="宋体" w:hAnsi="宋体"/>
          <w:color w:val="auto"/>
          <w:szCs w:val="21"/>
          <w:highlight w:val="none"/>
          <w:lang w:val="en-US" w:eastAsia="zh-CN"/>
        </w:rPr>
        <w:t>贵单位</w:t>
      </w:r>
      <w:r>
        <w:rPr>
          <w:rFonts w:hint="eastAsia" w:ascii="宋体" w:hAnsi="宋体"/>
          <w:color w:val="auto"/>
          <w:szCs w:val="21"/>
          <w:highlight w:val="none"/>
        </w:rPr>
        <w:t>以发出的工程量清单综合单价最高限价为基础，按照我公司的中标总报价与本工程的总价最高限价的下浮比例进行同比例下调，我公司无条件接受，否则按我公司违约处理。</w:t>
      </w:r>
    </w:p>
    <w:p w14:paraId="77C81F2B">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w:t>
      </w:r>
      <w:r>
        <w:rPr>
          <w:rFonts w:hint="eastAsia" w:ascii="宋体" w:hAnsi="宋体"/>
          <w:color w:val="auto"/>
          <w:szCs w:val="21"/>
          <w:highlight w:val="none"/>
          <w:u w:val="single"/>
          <w:lang w:eastAsia="zh-CN"/>
        </w:rPr>
        <w:t>比选</w:t>
      </w:r>
      <w:r>
        <w:rPr>
          <w:rFonts w:hint="eastAsia" w:ascii="宋体" w:hAnsi="宋体"/>
          <w:color w:val="auto"/>
          <w:szCs w:val="21"/>
          <w:highlight w:val="none"/>
          <w:u w:val="single"/>
        </w:rPr>
        <w:t>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375D78E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6、我公司不存在第二章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1.4.3 项规定的任何一种情形。</w:t>
      </w:r>
    </w:p>
    <w:p w14:paraId="13EFBC5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 xml:space="preserve">符合第二章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1.3.1 项的规定。</w:t>
      </w:r>
    </w:p>
    <w:p w14:paraId="746C00BA">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8、我公司的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符合第四章 合同条款及格式规定，</w:t>
      </w:r>
      <w:r>
        <w:rPr>
          <w:rFonts w:hint="eastAsia" w:ascii="宋体" w:hAnsi="宋体"/>
          <w:color w:val="auto"/>
          <w:szCs w:val="21"/>
          <w:highlight w:val="none"/>
          <w:lang w:eastAsia="zh-CN"/>
        </w:rPr>
        <w:t>竞选文件</w:t>
      </w:r>
      <w:r>
        <w:rPr>
          <w:rFonts w:hint="eastAsia" w:ascii="宋体" w:hAnsi="宋体"/>
          <w:color w:val="auto"/>
          <w:szCs w:val="21"/>
          <w:highlight w:val="none"/>
        </w:rPr>
        <w:t>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6C903570">
      <w:pPr>
        <w:widowControl w:val="0"/>
        <w:wordWrap/>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9、我公司的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符合第七章 技术标准和要求（如有）。</w:t>
      </w:r>
    </w:p>
    <w:p w14:paraId="3D7633A8">
      <w:pPr>
        <w:widowControl w:val="0"/>
        <w:wordWrap/>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10、我公司接受竞争性比选文件中关于“不平衡报价”的相关约定（如有）。</w:t>
      </w:r>
    </w:p>
    <w:p w14:paraId="235B55F5">
      <w:pPr>
        <w:snapToGrid w:val="0"/>
        <w:spacing w:line="38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11、我公司接受竞争性比选文件中关于“不允许负数报价”的相关要求（如有）。</w:t>
      </w:r>
    </w:p>
    <w:p w14:paraId="01A38E6B">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1742"/>
    <w:bookmarkEnd w:id="1743"/>
    <w:p w14:paraId="2DD0DF82">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B58A702">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1B22DCA">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194BD8E1">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2ADEA5AB">
      <w:pPr>
        <w:rPr>
          <w:color w:val="auto"/>
          <w:highlight w:val="none"/>
        </w:rPr>
      </w:pPr>
      <w:r>
        <w:rPr>
          <w:color w:val="auto"/>
          <w:highlight w:val="none"/>
        </w:rPr>
        <w:br w:type="page"/>
      </w:r>
    </w:p>
    <w:p w14:paraId="42778992">
      <w:pPr>
        <w:pStyle w:val="5"/>
        <w:spacing w:before="0" w:line="360" w:lineRule="auto"/>
        <w:jc w:val="center"/>
        <w:rPr>
          <w:rFonts w:ascii="宋体" w:hAnsi="宋体"/>
          <w:b w:val="0"/>
          <w:color w:val="auto"/>
          <w:highlight w:val="none"/>
        </w:rPr>
      </w:pPr>
      <w:bookmarkStart w:id="1744" w:name="_Toc57905936"/>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1744"/>
    </w:p>
    <w:p w14:paraId="32951A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投标保证金</w:t>
      </w:r>
    </w:p>
    <w:p w14:paraId="57EB1725">
      <w:pPr>
        <w:spacing w:line="360" w:lineRule="auto"/>
        <w:ind w:firstLine="420" w:firstLineChars="200"/>
        <w:rPr>
          <w:rFonts w:ascii="宋体" w:hAnsi="宋体"/>
          <w:i/>
          <w:color w:val="auto"/>
          <w:szCs w:val="21"/>
          <w:highlight w:val="none"/>
        </w:rPr>
      </w:pPr>
      <w:r>
        <w:rPr>
          <w:rFonts w:hint="eastAsia" w:ascii="宋体" w:hAnsi="宋体"/>
          <w:i/>
          <w:color w:val="auto"/>
          <w:szCs w:val="21"/>
          <w:highlight w:val="none"/>
        </w:rPr>
        <w:t>[提示：以转账支票或电汇形式交纳投标保证金的提供以下资料]</w:t>
      </w:r>
    </w:p>
    <w:p w14:paraId="10D5D6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企业基本账户开户证明文件复印件。</w:t>
      </w:r>
    </w:p>
    <w:bookmarkEnd w:id="656"/>
    <w:bookmarkEnd w:id="657"/>
    <w:bookmarkEnd w:id="658"/>
    <w:p w14:paraId="7FC5A694">
      <w:pPr>
        <w:spacing w:line="240" w:lineRule="auto"/>
        <w:ind w:firstLine="0" w:firstLineChars="0"/>
        <w:rPr>
          <w:rFonts w:ascii="宋体" w:hAnsi="宋体"/>
          <w:b/>
          <w:color w:val="auto"/>
          <w:highlight w:val="none"/>
        </w:rPr>
      </w:pPr>
    </w:p>
    <w:p w14:paraId="39993737">
      <w:pPr>
        <w:spacing w:line="240" w:lineRule="auto"/>
        <w:ind w:firstLine="0" w:firstLineChars="0"/>
        <w:rPr>
          <w:rFonts w:ascii="宋体" w:hAnsi="宋体"/>
          <w:b/>
          <w:color w:val="auto"/>
          <w:highlight w:val="none"/>
        </w:rPr>
      </w:pPr>
    </w:p>
    <w:p w14:paraId="4BE699CF">
      <w:pPr>
        <w:spacing w:line="240" w:lineRule="auto"/>
        <w:ind w:firstLine="0" w:firstLineChars="0"/>
        <w:rPr>
          <w:rFonts w:ascii="宋体" w:hAnsi="宋体"/>
          <w:b/>
          <w:color w:val="auto"/>
          <w:highlight w:val="none"/>
        </w:rPr>
      </w:pPr>
    </w:p>
    <w:p w14:paraId="4D26FF03">
      <w:pPr>
        <w:spacing w:line="240" w:lineRule="auto"/>
        <w:ind w:firstLine="0" w:firstLineChars="0"/>
        <w:rPr>
          <w:rFonts w:ascii="宋体" w:hAnsi="宋体"/>
          <w:b/>
          <w:color w:val="auto"/>
          <w:highlight w:val="none"/>
        </w:rPr>
      </w:pPr>
    </w:p>
    <w:p w14:paraId="5F380F91">
      <w:pPr>
        <w:spacing w:line="240" w:lineRule="auto"/>
        <w:ind w:firstLine="0" w:firstLineChars="0"/>
        <w:rPr>
          <w:rFonts w:ascii="宋体" w:hAnsi="宋体"/>
          <w:b/>
          <w:color w:val="auto"/>
          <w:highlight w:val="none"/>
        </w:rPr>
      </w:pPr>
    </w:p>
    <w:p w14:paraId="40841C86">
      <w:pPr>
        <w:spacing w:line="240" w:lineRule="auto"/>
        <w:ind w:firstLine="0" w:firstLineChars="0"/>
        <w:rPr>
          <w:rFonts w:ascii="宋体" w:hAnsi="宋体"/>
          <w:b/>
          <w:color w:val="auto"/>
          <w:highlight w:val="none"/>
        </w:rPr>
      </w:pPr>
    </w:p>
    <w:p w14:paraId="2AFDBBBC">
      <w:pPr>
        <w:spacing w:line="240" w:lineRule="auto"/>
        <w:ind w:firstLine="0" w:firstLineChars="0"/>
        <w:rPr>
          <w:rFonts w:ascii="宋体" w:hAnsi="宋体"/>
          <w:b/>
          <w:color w:val="auto"/>
          <w:highlight w:val="none"/>
        </w:rPr>
      </w:pPr>
    </w:p>
    <w:p w14:paraId="26D6C8D0">
      <w:pPr>
        <w:spacing w:line="240" w:lineRule="auto"/>
        <w:ind w:firstLine="0" w:firstLineChars="0"/>
        <w:rPr>
          <w:rFonts w:ascii="宋体" w:hAnsi="宋体"/>
          <w:b/>
          <w:color w:val="auto"/>
          <w:highlight w:val="none"/>
        </w:rPr>
      </w:pPr>
    </w:p>
    <w:p w14:paraId="161AAE05">
      <w:pPr>
        <w:spacing w:line="240" w:lineRule="auto"/>
        <w:ind w:firstLine="0" w:firstLineChars="0"/>
        <w:rPr>
          <w:rFonts w:ascii="宋体" w:hAnsi="宋体"/>
          <w:b/>
          <w:color w:val="auto"/>
          <w:highlight w:val="none"/>
        </w:rPr>
      </w:pPr>
    </w:p>
    <w:p w14:paraId="54A4A639">
      <w:pPr>
        <w:spacing w:line="240" w:lineRule="auto"/>
        <w:ind w:firstLine="0" w:firstLineChars="0"/>
        <w:rPr>
          <w:rFonts w:ascii="宋体" w:hAnsi="宋体"/>
          <w:b/>
          <w:color w:val="auto"/>
          <w:highlight w:val="none"/>
        </w:rPr>
      </w:pPr>
    </w:p>
    <w:p w14:paraId="65D77120">
      <w:pPr>
        <w:spacing w:line="240" w:lineRule="auto"/>
        <w:ind w:firstLine="0" w:firstLineChars="0"/>
        <w:rPr>
          <w:rFonts w:ascii="宋体" w:hAnsi="宋体"/>
          <w:b/>
          <w:color w:val="auto"/>
          <w:highlight w:val="none"/>
        </w:rPr>
      </w:pPr>
    </w:p>
    <w:p w14:paraId="5C18D782">
      <w:pPr>
        <w:spacing w:line="240" w:lineRule="auto"/>
        <w:ind w:firstLine="0" w:firstLineChars="0"/>
        <w:rPr>
          <w:rFonts w:ascii="宋体" w:hAnsi="宋体"/>
          <w:b/>
          <w:color w:val="auto"/>
          <w:highlight w:val="none"/>
        </w:rPr>
      </w:pPr>
    </w:p>
    <w:p w14:paraId="3F48B52A">
      <w:pPr>
        <w:spacing w:line="240" w:lineRule="auto"/>
        <w:ind w:firstLine="0" w:firstLineChars="0"/>
        <w:rPr>
          <w:rFonts w:ascii="宋体" w:hAnsi="宋体"/>
          <w:b/>
          <w:color w:val="auto"/>
          <w:highlight w:val="none"/>
        </w:rPr>
      </w:pPr>
    </w:p>
    <w:p w14:paraId="075F29D5">
      <w:pPr>
        <w:spacing w:line="240" w:lineRule="auto"/>
        <w:ind w:firstLine="0" w:firstLineChars="0"/>
        <w:rPr>
          <w:rFonts w:ascii="宋体" w:hAnsi="宋体"/>
          <w:b/>
          <w:color w:val="auto"/>
          <w:highlight w:val="none"/>
        </w:rPr>
      </w:pPr>
    </w:p>
    <w:p w14:paraId="116EC6E3">
      <w:pPr>
        <w:spacing w:line="240" w:lineRule="auto"/>
        <w:ind w:firstLine="0" w:firstLineChars="0"/>
        <w:rPr>
          <w:rFonts w:ascii="宋体" w:hAnsi="宋体"/>
          <w:b/>
          <w:color w:val="auto"/>
          <w:highlight w:val="none"/>
        </w:rPr>
      </w:pPr>
    </w:p>
    <w:p w14:paraId="429B2DEB">
      <w:pPr>
        <w:spacing w:line="240" w:lineRule="auto"/>
        <w:ind w:firstLine="0" w:firstLineChars="0"/>
        <w:rPr>
          <w:rFonts w:ascii="宋体" w:hAnsi="宋体"/>
          <w:b/>
          <w:color w:val="auto"/>
          <w:highlight w:val="none"/>
        </w:rPr>
      </w:pPr>
    </w:p>
    <w:p w14:paraId="4E3B7112">
      <w:pPr>
        <w:spacing w:line="240" w:lineRule="auto"/>
        <w:ind w:firstLine="0" w:firstLineChars="0"/>
        <w:rPr>
          <w:rFonts w:ascii="宋体" w:hAnsi="宋体"/>
          <w:b/>
          <w:color w:val="auto"/>
          <w:highlight w:val="none"/>
        </w:rPr>
      </w:pPr>
    </w:p>
    <w:p w14:paraId="78C865F9">
      <w:pPr>
        <w:spacing w:line="240" w:lineRule="auto"/>
        <w:ind w:firstLine="0" w:firstLineChars="0"/>
        <w:rPr>
          <w:rFonts w:ascii="宋体" w:hAnsi="宋体"/>
          <w:b/>
          <w:color w:val="auto"/>
          <w:highlight w:val="none"/>
        </w:rPr>
      </w:pPr>
    </w:p>
    <w:p w14:paraId="62558EFC">
      <w:pPr>
        <w:spacing w:line="240" w:lineRule="auto"/>
        <w:ind w:firstLine="0" w:firstLineChars="0"/>
        <w:rPr>
          <w:rFonts w:ascii="宋体" w:hAnsi="宋体"/>
          <w:b/>
          <w:color w:val="auto"/>
          <w:highlight w:val="none"/>
        </w:rPr>
      </w:pPr>
    </w:p>
    <w:p w14:paraId="40E5D288">
      <w:pPr>
        <w:spacing w:line="240" w:lineRule="auto"/>
        <w:ind w:firstLine="0" w:firstLineChars="0"/>
        <w:rPr>
          <w:rFonts w:ascii="宋体" w:hAnsi="宋体"/>
          <w:b/>
          <w:color w:val="auto"/>
          <w:highlight w:val="none"/>
        </w:rPr>
      </w:pPr>
    </w:p>
    <w:p w14:paraId="5187372D">
      <w:pPr>
        <w:spacing w:line="240" w:lineRule="auto"/>
        <w:ind w:firstLine="0" w:firstLineChars="0"/>
        <w:rPr>
          <w:rFonts w:ascii="宋体" w:hAnsi="宋体"/>
          <w:b/>
          <w:color w:val="auto"/>
          <w:highlight w:val="none"/>
        </w:rPr>
      </w:pPr>
    </w:p>
    <w:p w14:paraId="3805219A">
      <w:pPr>
        <w:pStyle w:val="2"/>
      </w:pPr>
    </w:p>
    <w:p w14:paraId="6F07F5F6">
      <w:pPr>
        <w:spacing w:line="240" w:lineRule="auto"/>
        <w:ind w:firstLine="0" w:firstLineChars="0"/>
        <w:rPr>
          <w:rFonts w:ascii="宋体" w:hAnsi="宋体"/>
          <w:b/>
          <w:color w:val="auto"/>
          <w:highlight w:val="none"/>
        </w:rPr>
      </w:pPr>
    </w:p>
    <w:p w14:paraId="0B4DD8C0">
      <w:pPr>
        <w:spacing w:line="240" w:lineRule="auto"/>
        <w:ind w:firstLine="0" w:firstLineChars="0"/>
        <w:rPr>
          <w:rFonts w:ascii="宋体" w:hAnsi="宋体"/>
          <w:b/>
          <w:color w:val="auto"/>
          <w:highlight w:val="none"/>
        </w:rPr>
      </w:pPr>
    </w:p>
    <w:p w14:paraId="1F598574">
      <w:pPr>
        <w:spacing w:line="240" w:lineRule="auto"/>
        <w:ind w:firstLine="0" w:firstLineChars="0"/>
        <w:rPr>
          <w:rFonts w:ascii="宋体" w:hAnsi="宋体"/>
          <w:b/>
          <w:color w:val="auto"/>
          <w:highlight w:val="none"/>
        </w:rPr>
      </w:pPr>
    </w:p>
    <w:p w14:paraId="29EA5EE1">
      <w:pPr>
        <w:spacing w:line="240" w:lineRule="auto"/>
        <w:ind w:firstLine="0" w:firstLineChars="0"/>
        <w:rPr>
          <w:rFonts w:ascii="宋体" w:hAnsi="宋体"/>
          <w:b/>
          <w:color w:val="auto"/>
          <w:highlight w:val="none"/>
        </w:rPr>
      </w:pPr>
    </w:p>
    <w:p w14:paraId="287ED6DF">
      <w:pPr>
        <w:spacing w:line="240" w:lineRule="auto"/>
        <w:ind w:firstLine="0" w:firstLineChars="0"/>
        <w:rPr>
          <w:rFonts w:ascii="宋体" w:hAnsi="宋体"/>
          <w:b/>
          <w:color w:val="auto"/>
          <w:highlight w:val="none"/>
        </w:rPr>
      </w:pPr>
    </w:p>
    <w:p w14:paraId="30A4E9F7">
      <w:pPr>
        <w:spacing w:line="240" w:lineRule="auto"/>
        <w:ind w:firstLine="0" w:firstLineChars="0"/>
        <w:rPr>
          <w:rFonts w:ascii="宋体" w:hAnsi="宋体"/>
          <w:b/>
          <w:color w:val="auto"/>
          <w:highlight w:val="none"/>
        </w:rPr>
      </w:pPr>
    </w:p>
    <w:p w14:paraId="1790441C">
      <w:pPr>
        <w:spacing w:line="240" w:lineRule="auto"/>
        <w:ind w:firstLine="0" w:firstLineChars="0"/>
        <w:rPr>
          <w:rFonts w:ascii="宋体" w:hAnsi="宋体"/>
          <w:b/>
          <w:color w:val="auto"/>
          <w:highlight w:val="none"/>
        </w:rPr>
      </w:pPr>
    </w:p>
    <w:p w14:paraId="6CC39BBE">
      <w:pPr>
        <w:spacing w:line="240" w:lineRule="auto"/>
        <w:ind w:firstLine="0" w:firstLineChars="0"/>
        <w:rPr>
          <w:rFonts w:ascii="宋体" w:hAnsi="宋体"/>
          <w:b/>
          <w:color w:val="auto"/>
          <w:highlight w:val="none"/>
        </w:rPr>
      </w:pPr>
    </w:p>
    <w:p w14:paraId="49108D17">
      <w:pPr>
        <w:spacing w:line="240" w:lineRule="auto"/>
        <w:ind w:firstLine="0" w:firstLineChars="0"/>
        <w:rPr>
          <w:rFonts w:ascii="宋体" w:hAnsi="宋体"/>
          <w:b/>
          <w:color w:val="auto"/>
          <w:highlight w:val="none"/>
        </w:rPr>
      </w:pPr>
    </w:p>
    <w:p w14:paraId="7C1D7E14">
      <w:pPr>
        <w:spacing w:line="240" w:lineRule="auto"/>
        <w:ind w:firstLine="0" w:firstLineChars="0"/>
        <w:rPr>
          <w:rFonts w:ascii="宋体" w:hAnsi="宋体"/>
          <w:b/>
          <w:color w:val="auto"/>
          <w:highlight w:val="none"/>
        </w:rPr>
      </w:pPr>
    </w:p>
    <w:p w14:paraId="0F6455B4">
      <w:pPr>
        <w:spacing w:line="240" w:lineRule="auto"/>
        <w:ind w:firstLine="0" w:firstLineChars="0"/>
        <w:rPr>
          <w:rFonts w:ascii="宋体" w:hAnsi="宋体"/>
          <w:b/>
          <w:color w:val="auto"/>
          <w:highlight w:val="none"/>
        </w:rPr>
      </w:pPr>
    </w:p>
    <w:p w14:paraId="0BC551EB">
      <w:pPr>
        <w:spacing w:line="240" w:lineRule="auto"/>
        <w:ind w:firstLine="0" w:firstLineChars="0"/>
        <w:rPr>
          <w:rFonts w:ascii="宋体" w:hAnsi="宋体"/>
          <w:b/>
          <w:color w:val="auto"/>
          <w:highlight w:val="none"/>
        </w:rPr>
      </w:pPr>
    </w:p>
    <w:p w14:paraId="28D172D1">
      <w:pPr>
        <w:spacing w:line="240" w:lineRule="auto"/>
        <w:ind w:firstLine="0" w:firstLineChars="0"/>
        <w:rPr>
          <w:rFonts w:ascii="宋体" w:hAnsi="宋体"/>
          <w:b/>
          <w:color w:val="auto"/>
          <w:highlight w:val="none"/>
        </w:rPr>
      </w:pPr>
    </w:p>
    <w:p w14:paraId="5FF9303E">
      <w:pPr>
        <w:spacing w:line="240" w:lineRule="auto"/>
        <w:ind w:firstLine="0" w:firstLineChars="0"/>
        <w:rPr>
          <w:rFonts w:ascii="宋体" w:hAnsi="宋体"/>
          <w:b/>
          <w:color w:val="auto"/>
          <w:highlight w:val="none"/>
        </w:rPr>
      </w:pPr>
    </w:p>
    <w:p w14:paraId="7EC864E1">
      <w:pPr>
        <w:spacing w:line="240" w:lineRule="auto"/>
        <w:ind w:firstLine="0" w:firstLineChars="0"/>
        <w:rPr>
          <w:rFonts w:ascii="宋体" w:hAnsi="宋体"/>
          <w:b/>
          <w:color w:val="auto"/>
          <w:highlight w:val="none"/>
        </w:rPr>
      </w:pPr>
    </w:p>
    <w:p w14:paraId="482339D4">
      <w:pPr>
        <w:jc w:val="left"/>
        <w:rPr>
          <w:rFonts w:hint="default" w:ascii="宋体" w:hAnsi="宋体" w:eastAsia="宋体" w:cs="宋体"/>
          <w:b/>
          <w:bCs/>
          <w:color w:val="auto"/>
          <w:spacing w:val="2"/>
          <w:sz w:val="36"/>
          <w:szCs w:val="36"/>
          <w:highlight w:val="none"/>
          <w:lang w:val="en-US" w:eastAsia="zh-CN"/>
        </w:rPr>
      </w:pPr>
      <w:r>
        <w:rPr>
          <w:rFonts w:hint="eastAsia" w:ascii="宋体" w:hAnsi="宋体" w:cs="宋体"/>
          <w:b/>
          <w:bCs/>
          <w:color w:val="auto"/>
          <w:spacing w:val="2"/>
          <w:sz w:val="36"/>
          <w:szCs w:val="36"/>
          <w:highlight w:val="none"/>
          <w:lang w:val="en-US" w:eastAsia="zh-CN"/>
        </w:rPr>
        <w:t>附件</w:t>
      </w:r>
    </w:p>
    <w:p w14:paraId="73FE5174">
      <w:pPr>
        <w:jc w:val="center"/>
        <w:rPr>
          <w:rFonts w:hint="eastAsia" w:ascii="宋体" w:hAnsi="宋体" w:eastAsia="宋体" w:cs="宋体"/>
          <w:b/>
          <w:bCs/>
          <w:color w:val="auto"/>
          <w:spacing w:val="2"/>
          <w:sz w:val="36"/>
          <w:szCs w:val="36"/>
          <w:highlight w:val="none"/>
          <w:lang w:eastAsia="zh-CN"/>
        </w:rPr>
      </w:pPr>
      <w:r>
        <w:rPr>
          <w:rFonts w:hint="eastAsia" w:ascii="宋体" w:hAnsi="宋体" w:eastAsia="宋体" w:cs="宋体"/>
          <w:b/>
          <w:bCs/>
          <w:color w:val="auto"/>
          <w:spacing w:val="2"/>
          <w:sz w:val="36"/>
          <w:szCs w:val="36"/>
          <w:highlight w:val="none"/>
          <w:lang w:eastAsia="zh-CN"/>
        </w:rPr>
        <w:t>竞争性比选文件发售登记表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5969"/>
      </w:tblGrid>
      <w:tr w14:paraId="2022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jc w:val="center"/>
        </w:trPr>
        <w:tc>
          <w:tcPr>
            <w:tcW w:w="2442" w:type="dxa"/>
            <w:noWrap w:val="0"/>
            <w:vAlign w:val="center"/>
          </w:tcPr>
          <w:p w14:paraId="37BABF43">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项目名称：</w:t>
            </w:r>
          </w:p>
        </w:tc>
        <w:tc>
          <w:tcPr>
            <w:tcW w:w="5969" w:type="dxa"/>
            <w:noWrap w:val="0"/>
            <w:vAlign w:val="center"/>
          </w:tcPr>
          <w:p w14:paraId="02137F87">
            <w:pPr>
              <w:jc w:val="both"/>
              <w:rPr>
                <w:rFonts w:hint="eastAsia" w:ascii="宋体" w:hAnsi="宋体" w:eastAsia="宋体" w:cs="宋体"/>
                <w:color w:val="auto"/>
                <w:spacing w:val="2"/>
                <w:szCs w:val="21"/>
                <w:highlight w:val="none"/>
                <w:vertAlign w:val="baseline"/>
                <w:lang w:eastAsia="zh-CN"/>
              </w:rPr>
            </w:pPr>
          </w:p>
        </w:tc>
      </w:tr>
      <w:tr w14:paraId="6B57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exact"/>
          <w:jc w:val="center"/>
        </w:trPr>
        <w:tc>
          <w:tcPr>
            <w:tcW w:w="2442" w:type="dxa"/>
            <w:noWrap w:val="0"/>
            <w:vAlign w:val="center"/>
          </w:tcPr>
          <w:p w14:paraId="1C0A49F4">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报名单位：</w:t>
            </w:r>
          </w:p>
        </w:tc>
        <w:tc>
          <w:tcPr>
            <w:tcW w:w="5969" w:type="dxa"/>
            <w:noWrap w:val="0"/>
            <w:vAlign w:val="center"/>
          </w:tcPr>
          <w:p w14:paraId="16C0E6A5">
            <w:pPr>
              <w:jc w:val="both"/>
              <w:rPr>
                <w:rFonts w:hint="eastAsia" w:ascii="宋体" w:hAnsi="宋体" w:eastAsia="宋体" w:cs="宋体"/>
                <w:color w:val="auto"/>
                <w:spacing w:val="2"/>
                <w:szCs w:val="21"/>
                <w:highlight w:val="none"/>
                <w:vertAlign w:val="baseline"/>
                <w:lang w:val="en-US" w:eastAsia="zh-CN"/>
              </w:rPr>
            </w:pPr>
            <w:r>
              <w:rPr>
                <w:rFonts w:hint="eastAsia" w:ascii="宋体" w:hAnsi="宋体" w:eastAsia="宋体" w:cs="宋体"/>
                <w:color w:val="auto"/>
                <w:spacing w:val="2"/>
                <w:szCs w:val="21"/>
                <w:highlight w:val="none"/>
                <w:vertAlign w:val="baseline"/>
                <w:lang w:val="en-US" w:eastAsia="zh-CN"/>
              </w:rPr>
              <w:t xml:space="preserve">                    </w:t>
            </w:r>
          </w:p>
          <w:p w14:paraId="08145FB2">
            <w:pPr>
              <w:jc w:val="both"/>
              <w:rPr>
                <w:rFonts w:hint="eastAsia" w:ascii="宋体" w:hAnsi="宋体" w:eastAsia="宋体" w:cs="宋体"/>
                <w:color w:val="auto"/>
                <w:spacing w:val="2"/>
                <w:szCs w:val="21"/>
                <w:highlight w:val="none"/>
                <w:vertAlign w:val="baseline"/>
                <w:lang w:val="en-US" w:eastAsia="zh-CN"/>
              </w:rPr>
            </w:pPr>
          </w:p>
          <w:p w14:paraId="25AE3B61">
            <w:pPr>
              <w:jc w:val="both"/>
              <w:rPr>
                <w:rFonts w:hint="eastAsia" w:ascii="宋体" w:hAnsi="宋体" w:eastAsia="宋体" w:cs="宋体"/>
                <w:color w:val="auto"/>
                <w:spacing w:val="2"/>
                <w:szCs w:val="21"/>
                <w:highlight w:val="none"/>
                <w:vertAlign w:val="baseline"/>
                <w:lang w:val="en-US" w:eastAsia="zh-CN"/>
              </w:rPr>
            </w:pPr>
          </w:p>
          <w:p w14:paraId="0AD6C4EC">
            <w:pPr>
              <w:jc w:val="both"/>
              <w:rPr>
                <w:rFonts w:hint="eastAsia" w:ascii="宋体" w:hAnsi="宋体" w:eastAsia="宋体" w:cs="宋体"/>
                <w:color w:val="auto"/>
                <w:spacing w:val="2"/>
                <w:szCs w:val="21"/>
                <w:highlight w:val="none"/>
                <w:vertAlign w:val="baseline"/>
                <w:lang w:val="en-US" w:eastAsia="zh-CN"/>
              </w:rPr>
            </w:pPr>
          </w:p>
          <w:p w14:paraId="1E72AC42">
            <w:pPr>
              <w:jc w:val="right"/>
              <w:rPr>
                <w:rFonts w:hint="eastAsia" w:ascii="宋体" w:hAnsi="宋体" w:eastAsia="宋体" w:cs="宋体"/>
                <w:color w:val="auto"/>
                <w:spacing w:val="2"/>
                <w:szCs w:val="21"/>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（填写单位全称并加盖公章）</w:t>
            </w:r>
          </w:p>
        </w:tc>
      </w:tr>
      <w:tr w14:paraId="51E7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2442" w:type="dxa"/>
            <w:noWrap w:val="0"/>
            <w:vAlign w:val="center"/>
          </w:tcPr>
          <w:p w14:paraId="59F03873">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地址：</w:t>
            </w:r>
          </w:p>
        </w:tc>
        <w:tc>
          <w:tcPr>
            <w:tcW w:w="5969" w:type="dxa"/>
            <w:noWrap w:val="0"/>
            <w:vAlign w:val="center"/>
          </w:tcPr>
          <w:p w14:paraId="31FA4ABA">
            <w:pPr>
              <w:jc w:val="both"/>
              <w:rPr>
                <w:rFonts w:hint="eastAsia" w:ascii="宋体" w:hAnsi="宋体" w:eastAsia="宋体" w:cs="宋体"/>
                <w:color w:val="auto"/>
                <w:spacing w:val="2"/>
                <w:szCs w:val="21"/>
                <w:highlight w:val="none"/>
                <w:vertAlign w:val="baseline"/>
                <w:lang w:eastAsia="zh-CN"/>
              </w:rPr>
            </w:pPr>
          </w:p>
        </w:tc>
      </w:tr>
      <w:tr w14:paraId="0F4A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42" w:type="dxa"/>
            <w:noWrap w:val="0"/>
            <w:vAlign w:val="center"/>
          </w:tcPr>
          <w:p w14:paraId="341E1741">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联系人：</w:t>
            </w:r>
          </w:p>
        </w:tc>
        <w:tc>
          <w:tcPr>
            <w:tcW w:w="5969" w:type="dxa"/>
            <w:noWrap w:val="0"/>
            <w:vAlign w:val="center"/>
          </w:tcPr>
          <w:p w14:paraId="1F0E0B7A">
            <w:pPr>
              <w:jc w:val="both"/>
              <w:rPr>
                <w:rFonts w:hint="eastAsia" w:ascii="宋体" w:hAnsi="宋体" w:eastAsia="宋体" w:cs="宋体"/>
                <w:color w:val="auto"/>
                <w:spacing w:val="2"/>
                <w:szCs w:val="21"/>
                <w:highlight w:val="none"/>
                <w:vertAlign w:val="baseline"/>
                <w:lang w:eastAsia="zh-CN"/>
              </w:rPr>
            </w:pPr>
          </w:p>
        </w:tc>
      </w:tr>
      <w:tr w14:paraId="5910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442" w:type="dxa"/>
            <w:noWrap w:val="0"/>
            <w:vAlign w:val="center"/>
          </w:tcPr>
          <w:p w14:paraId="03632C54">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联系电话（手机）：</w:t>
            </w:r>
          </w:p>
        </w:tc>
        <w:tc>
          <w:tcPr>
            <w:tcW w:w="5969" w:type="dxa"/>
            <w:noWrap w:val="0"/>
            <w:vAlign w:val="center"/>
          </w:tcPr>
          <w:p w14:paraId="45B43218">
            <w:pPr>
              <w:jc w:val="both"/>
              <w:rPr>
                <w:rFonts w:hint="eastAsia" w:ascii="宋体" w:hAnsi="宋体" w:eastAsia="宋体" w:cs="宋体"/>
                <w:color w:val="auto"/>
                <w:spacing w:val="2"/>
                <w:szCs w:val="21"/>
                <w:highlight w:val="none"/>
                <w:vertAlign w:val="baseline"/>
                <w:lang w:eastAsia="zh-CN"/>
              </w:rPr>
            </w:pPr>
            <w:bookmarkStart w:id="1745" w:name="_GoBack"/>
            <w:bookmarkEnd w:id="1745"/>
          </w:p>
        </w:tc>
      </w:tr>
      <w:tr w14:paraId="41E3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jc w:val="center"/>
        </w:trPr>
        <w:tc>
          <w:tcPr>
            <w:tcW w:w="2442" w:type="dxa"/>
            <w:noWrap w:val="0"/>
            <w:vAlign w:val="center"/>
          </w:tcPr>
          <w:p w14:paraId="1D1DAE55">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邮箱：</w:t>
            </w:r>
          </w:p>
        </w:tc>
        <w:tc>
          <w:tcPr>
            <w:tcW w:w="5969" w:type="dxa"/>
            <w:noWrap w:val="0"/>
            <w:vAlign w:val="center"/>
          </w:tcPr>
          <w:p w14:paraId="1A4E0C92">
            <w:pPr>
              <w:jc w:val="both"/>
              <w:rPr>
                <w:rFonts w:hint="eastAsia" w:ascii="宋体" w:hAnsi="宋体" w:eastAsia="宋体" w:cs="宋体"/>
                <w:color w:val="auto"/>
                <w:spacing w:val="2"/>
                <w:szCs w:val="21"/>
                <w:highlight w:val="none"/>
                <w:vertAlign w:val="baseline"/>
                <w:lang w:eastAsia="zh-CN"/>
              </w:rPr>
            </w:pPr>
          </w:p>
        </w:tc>
      </w:tr>
      <w:tr w14:paraId="14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jc w:val="center"/>
        </w:trPr>
        <w:tc>
          <w:tcPr>
            <w:tcW w:w="8411" w:type="dxa"/>
            <w:gridSpan w:val="2"/>
            <w:noWrap w:val="0"/>
            <w:vAlign w:val="center"/>
          </w:tcPr>
          <w:p w14:paraId="65A1A845">
            <w:pPr>
              <w:jc w:val="both"/>
              <w:rPr>
                <w:rFonts w:hint="eastAsia" w:ascii="宋体" w:hAnsi="宋体" w:eastAsia="宋体" w:cs="宋体"/>
                <w:color w:val="auto"/>
                <w:spacing w:val="2"/>
                <w:sz w:val="28"/>
                <w:szCs w:val="28"/>
                <w:highlight w:val="none"/>
                <w:vertAlign w:val="baseline"/>
                <w:lang w:val="en-US" w:eastAsia="zh-CN"/>
              </w:rPr>
            </w:pPr>
            <w:r>
              <w:rPr>
                <w:rFonts w:hint="eastAsia" w:ascii="宋体" w:hAnsi="宋体" w:eastAsia="宋体" w:cs="宋体"/>
                <w:color w:val="auto"/>
                <w:spacing w:val="2"/>
                <w:sz w:val="28"/>
                <w:szCs w:val="28"/>
                <w:highlight w:val="none"/>
                <w:vertAlign w:val="baseline"/>
                <w:lang w:val="en-US" w:eastAsia="zh-CN"/>
              </w:rPr>
              <w:t>附件：企业营业执照</w:t>
            </w:r>
          </w:p>
        </w:tc>
      </w:tr>
    </w:tbl>
    <w:p w14:paraId="49B5B8B6">
      <w:pPr>
        <w:spacing w:line="240" w:lineRule="auto"/>
        <w:ind w:firstLine="0" w:firstLineChars="0"/>
        <w:rPr>
          <w:rFonts w:ascii="宋体" w:hAnsi="宋体"/>
          <w:b/>
          <w:color w:val="auto"/>
          <w:highlight w:val="none"/>
        </w:rPr>
      </w:pPr>
    </w:p>
    <w:p w14:paraId="33F8C8DA">
      <w:pPr>
        <w:spacing w:line="240" w:lineRule="auto"/>
        <w:ind w:firstLine="0" w:firstLineChars="0"/>
        <w:rPr>
          <w:rFonts w:ascii="宋体" w:hAnsi="宋体"/>
          <w:b/>
          <w:color w:val="auto"/>
          <w:highlight w:val="none"/>
        </w:rPr>
      </w:pPr>
      <w:r>
        <w:rPr>
          <w:rFonts w:ascii="Times New Roman" w:hAnsi="Times New Roman" w:eastAsia="宋体" w:cs="Times New Roman"/>
          <w:color w:val="auto"/>
          <w:kern w:val="2"/>
          <w:sz w:val="21"/>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 name="矩形 111"/>
                <wp:cNvGraphicFramePr/>
                <a:graphic xmlns:a="http://schemas.openxmlformats.org/drawingml/2006/main">
                  <a:graphicData uri="http://schemas.microsoft.com/office/word/2010/wordprocessingShape">
                    <wps:wsp>
                      <wps:cNvSpPr/>
                      <wps:spPr>
                        <a:xfrm>
                          <a:off x="0" y="0"/>
                          <a:ext cx="2134235" cy="792480"/>
                        </a:xfrm>
                        <a:prstGeom prst="rect">
                          <a:avLst/>
                        </a:prstGeom>
                        <a:noFill/>
                        <a:ln>
                          <a:noFill/>
                        </a:ln>
                      </wps:spPr>
                      <wps:txbx>
                        <w:txbxContent>
                          <w:p w14:paraId="751E2BE8">
                            <w:pPr>
                              <w:jc w:val="both"/>
                              <w:rPr>
                                <w:rFonts w:ascii="仿宋" w:hAnsi="仿宋" w:eastAsia="仿宋" w:cs="仿宋"/>
                                <w:sz w:val="84"/>
                                <w:szCs w:val="84"/>
                              </w:rPr>
                            </w:pPr>
                          </w:p>
                        </w:txbxContent>
                      </wps:txbx>
                      <wps:bodyPr wrap="none" lIns="0" tIns="0" rIns="0" bIns="0" upright="1">
                        <a:spAutoFit/>
                      </wps:bodyPr>
                    </wps:wsp>
                  </a:graphicData>
                </a:graphic>
              </wp:anchor>
            </w:drawing>
          </mc:Choice>
          <mc:Fallback>
            <w:pict>
              <v:rect id="矩形 111" o:spid="_x0000_s1026" o:spt="1" style="position:absolute;left:0pt;margin-left:142.2pt;margin-top:106.4pt;height:62.4pt;width:168.05pt;mso-position-horizontal-relative:char;mso-position-vertical-relative:line;mso-wrap-style:none;z-index:251659264;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5fHVy2AAAAAsBAAAPAAAAAAAAAAEAIAAAACIAAABkcnMvZG93&#10;bnJldi54bWxQSwECFAAUAAAACACHTuJA6woIFccBAACNAwAADgAAAAAAAAABACAAAAAnAQAAZHJz&#10;L2Uyb0RvYy54bWxQSwUGAAAAAAYABgBZAQAAYAUAAAAA&#10;">
                <v:fill on="f" focussize="0,0"/>
                <v:stroke on="f"/>
                <v:imagedata o:title=""/>
                <o:lock v:ext="edit" aspectratio="f"/>
                <v:textbox inset="0mm,0mm,0mm,0mm" style="mso-fit-shape-to-text:t;">
                  <w:txbxContent>
                    <w:p w14:paraId="751E2BE8">
                      <w:pPr>
                        <w:jc w:val="both"/>
                        <w:rPr>
                          <w:rFonts w:ascii="仿宋" w:hAnsi="仿宋" w:eastAsia="仿宋" w:cs="仿宋"/>
                          <w:sz w:val="84"/>
                          <w:szCs w:val="84"/>
                        </w:rPr>
                      </w:pPr>
                    </w:p>
                  </w:txbxContent>
                </v:textbox>
              </v:rect>
            </w:pict>
          </mc:Fallback>
        </mc:AlternateContent>
      </w:r>
    </w:p>
    <w:sectPr>
      <w:headerReference r:id="rId8" w:type="default"/>
      <w:footerReference r:id="rId9"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auto"/>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437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7651C">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1DB2A06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B2D3">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BF51">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3ABDAF6E">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4D32">
    <w:pPr>
      <w:pStyle w:val="29"/>
      <w:rPr>
        <w:rFonts w:eastAsia="仿宋_GB2312"/>
        <w:sz w:val="24"/>
      </w:rPr>
    </w:pP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1CF1BC5">
                          <w:pPr>
                            <w:pStyle w:val="29"/>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Lw7HPEAQAAjwMAAA4AAABkcnMvZTJvRG9jLnhtbK1TzY7TMBC+I/EO&#10;lu80aVd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HLq5PmYXh3jEQic0sTRthpMN1TVjftVFqEp3nuevyPt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OLw7HPEAQAAjwMAAA4AAAAAAAAAAQAgAAAAHwEAAGRycy9lMm9Eb2MueG1s&#10;UEsFBgAAAAAGAAYAWQEAAFUFAAAAAA==&#10;">
              <v:fill on="f" focussize="0,0"/>
              <v:stroke on="f"/>
              <v:imagedata o:title=""/>
              <o:lock v:ext="edit" aspectratio="f"/>
              <v:textbox inset="0mm,0mm,0mm,0mm" style="mso-fit-shape-to-text:t;">
                <w:txbxContent>
                  <w:p w14:paraId="51CF1BC5">
                    <w:pPr>
                      <w:pStyle w:val="29"/>
                    </w:pPr>
                    <w:r>
                      <w:fldChar w:fldCharType="begin"/>
                    </w:r>
                    <w:r>
                      <w:instrText xml:space="preserve"> PAGE  \* MERGEFORMAT </w:instrText>
                    </w:r>
                    <w:r>
                      <w:fldChar w:fldCharType="separate"/>
                    </w:r>
                    <w:r>
                      <w:t>52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6D3F">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956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3A38"/>
    <w:multiLevelType w:val="singleLevel"/>
    <w:tmpl w:val="B6C63A38"/>
    <w:lvl w:ilvl="0" w:tentative="0">
      <w:start w:val="3"/>
      <w:numFmt w:val="chineseCounting"/>
      <w:suff w:val="nothing"/>
      <w:lvlText w:val="%1、"/>
      <w:lvlJc w:val="left"/>
      <w:rPr>
        <w:rFonts w:hint="eastAsia"/>
      </w:rPr>
    </w:lvl>
  </w:abstractNum>
  <w:abstractNum w:abstractNumId="1">
    <w:nsid w:val="5F471D00"/>
    <w:multiLevelType w:val="singleLevel"/>
    <w:tmpl w:val="5F471D00"/>
    <w:lvl w:ilvl="0" w:tentative="0">
      <w:start w:val="3"/>
      <w:numFmt w:val="decimal"/>
      <w:suff w:val="nothing"/>
      <w:lvlText w:val="%1、"/>
      <w:lvlJc w:val="left"/>
    </w:lvl>
  </w:abstractNum>
  <w:abstractNum w:abstractNumId="2">
    <w:nsid w:val="692F9CA8"/>
    <w:multiLevelType w:val="singleLevel"/>
    <w:tmpl w:val="692F9CA8"/>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BB5"/>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995"/>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17A80"/>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0454CD"/>
    <w:rsid w:val="013F4369"/>
    <w:rsid w:val="01A26771"/>
    <w:rsid w:val="02197498"/>
    <w:rsid w:val="02936A01"/>
    <w:rsid w:val="029B6737"/>
    <w:rsid w:val="029E16D8"/>
    <w:rsid w:val="02D3433D"/>
    <w:rsid w:val="02DE3713"/>
    <w:rsid w:val="02E7478A"/>
    <w:rsid w:val="02F54FC6"/>
    <w:rsid w:val="03000A08"/>
    <w:rsid w:val="03127926"/>
    <w:rsid w:val="03454DED"/>
    <w:rsid w:val="03A2514E"/>
    <w:rsid w:val="03C545D6"/>
    <w:rsid w:val="03D65079"/>
    <w:rsid w:val="046D5737"/>
    <w:rsid w:val="04717E20"/>
    <w:rsid w:val="05AB059E"/>
    <w:rsid w:val="05DC71B6"/>
    <w:rsid w:val="06074CAF"/>
    <w:rsid w:val="06665122"/>
    <w:rsid w:val="069601C6"/>
    <w:rsid w:val="06C43DE0"/>
    <w:rsid w:val="06C64491"/>
    <w:rsid w:val="074A1FE5"/>
    <w:rsid w:val="077305E3"/>
    <w:rsid w:val="07EA2C20"/>
    <w:rsid w:val="080A52B6"/>
    <w:rsid w:val="082C4FE6"/>
    <w:rsid w:val="08A50BC8"/>
    <w:rsid w:val="095567BF"/>
    <w:rsid w:val="09ED69F7"/>
    <w:rsid w:val="0A037FC9"/>
    <w:rsid w:val="0A083831"/>
    <w:rsid w:val="0A6D18E6"/>
    <w:rsid w:val="0A82564E"/>
    <w:rsid w:val="0A93506B"/>
    <w:rsid w:val="0B6C7DF0"/>
    <w:rsid w:val="0B9E48FD"/>
    <w:rsid w:val="0BB622A7"/>
    <w:rsid w:val="0C3E42BE"/>
    <w:rsid w:val="0C485EB3"/>
    <w:rsid w:val="0D4806BF"/>
    <w:rsid w:val="0DFF319D"/>
    <w:rsid w:val="0E024D74"/>
    <w:rsid w:val="0E0B0A7A"/>
    <w:rsid w:val="0E484301"/>
    <w:rsid w:val="0E5F1249"/>
    <w:rsid w:val="0EBC4BEA"/>
    <w:rsid w:val="0EE95D7A"/>
    <w:rsid w:val="102B5AE8"/>
    <w:rsid w:val="105E23FD"/>
    <w:rsid w:val="10611A0A"/>
    <w:rsid w:val="10AC5059"/>
    <w:rsid w:val="10F71321"/>
    <w:rsid w:val="113464A3"/>
    <w:rsid w:val="116D0F4A"/>
    <w:rsid w:val="127A292F"/>
    <w:rsid w:val="1282121E"/>
    <w:rsid w:val="12D75D0C"/>
    <w:rsid w:val="12E629AF"/>
    <w:rsid w:val="13012641"/>
    <w:rsid w:val="13FD7A4B"/>
    <w:rsid w:val="1446484C"/>
    <w:rsid w:val="146E3E3D"/>
    <w:rsid w:val="14DC6FEA"/>
    <w:rsid w:val="14FA1F7A"/>
    <w:rsid w:val="152B4878"/>
    <w:rsid w:val="152F2422"/>
    <w:rsid w:val="15E82AFC"/>
    <w:rsid w:val="15F36B10"/>
    <w:rsid w:val="15F67B8F"/>
    <w:rsid w:val="15F873A5"/>
    <w:rsid w:val="16CD33F4"/>
    <w:rsid w:val="16E1457B"/>
    <w:rsid w:val="16F26FDC"/>
    <w:rsid w:val="17721137"/>
    <w:rsid w:val="17E75995"/>
    <w:rsid w:val="186915A2"/>
    <w:rsid w:val="18E90CD1"/>
    <w:rsid w:val="19450E59"/>
    <w:rsid w:val="19483FD9"/>
    <w:rsid w:val="19524AC9"/>
    <w:rsid w:val="19813FB0"/>
    <w:rsid w:val="1A3D4C07"/>
    <w:rsid w:val="1AFA5418"/>
    <w:rsid w:val="1B2C0C6E"/>
    <w:rsid w:val="1B5A4D98"/>
    <w:rsid w:val="1B610368"/>
    <w:rsid w:val="1B770817"/>
    <w:rsid w:val="1B9E5DA3"/>
    <w:rsid w:val="1BA64C58"/>
    <w:rsid w:val="1BA96B88"/>
    <w:rsid w:val="1C6A496F"/>
    <w:rsid w:val="1CED392F"/>
    <w:rsid w:val="1D552DD9"/>
    <w:rsid w:val="1D6848BB"/>
    <w:rsid w:val="1DC16C4C"/>
    <w:rsid w:val="1DD063A3"/>
    <w:rsid w:val="1E27372D"/>
    <w:rsid w:val="1EA447DE"/>
    <w:rsid w:val="1EA96F39"/>
    <w:rsid w:val="1ED05C6C"/>
    <w:rsid w:val="1F125176"/>
    <w:rsid w:val="1F334A54"/>
    <w:rsid w:val="1F374DC3"/>
    <w:rsid w:val="1F525625"/>
    <w:rsid w:val="1F730AA4"/>
    <w:rsid w:val="1FFE6BEE"/>
    <w:rsid w:val="204F166B"/>
    <w:rsid w:val="20BA340F"/>
    <w:rsid w:val="210E1A59"/>
    <w:rsid w:val="216F7993"/>
    <w:rsid w:val="217575A6"/>
    <w:rsid w:val="21825E03"/>
    <w:rsid w:val="21BB220E"/>
    <w:rsid w:val="221D5633"/>
    <w:rsid w:val="23202CD5"/>
    <w:rsid w:val="2366189C"/>
    <w:rsid w:val="23FE1AD5"/>
    <w:rsid w:val="24A10DF8"/>
    <w:rsid w:val="24E7219B"/>
    <w:rsid w:val="251559F2"/>
    <w:rsid w:val="2584600A"/>
    <w:rsid w:val="26C171CB"/>
    <w:rsid w:val="26DE174A"/>
    <w:rsid w:val="278422F1"/>
    <w:rsid w:val="2805374C"/>
    <w:rsid w:val="28054429"/>
    <w:rsid w:val="28327F9F"/>
    <w:rsid w:val="285A1251"/>
    <w:rsid w:val="286E52FC"/>
    <w:rsid w:val="28ED14F5"/>
    <w:rsid w:val="29115E06"/>
    <w:rsid w:val="299054A7"/>
    <w:rsid w:val="2A070FB7"/>
    <w:rsid w:val="2ABB7DF2"/>
    <w:rsid w:val="2ADE448E"/>
    <w:rsid w:val="2BD902EC"/>
    <w:rsid w:val="2C484E62"/>
    <w:rsid w:val="2D0C6C82"/>
    <w:rsid w:val="2D680B8A"/>
    <w:rsid w:val="2D7C0659"/>
    <w:rsid w:val="2D960FD0"/>
    <w:rsid w:val="2E0D0384"/>
    <w:rsid w:val="2E135BB8"/>
    <w:rsid w:val="2E1D524D"/>
    <w:rsid w:val="2E386092"/>
    <w:rsid w:val="2EE737A0"/>
    <w:rsid w:val="2EF21CAB"/>
    <w:rsid w:val="2EFC30B5"/>
    <w:rsid w:val="2F1666E3"/>
    <w:rsid w:val="2F3841ED"/>
    <w:rsid w:val="2F58187C"/>
    <w:rsid w:val="2F77273B"/>
    <w:rsid w:val="2FFC0658"/>
    <w:rsid w:val="30B1408E"/>
    <w:rsid w:val="30CE71F9"/>
    <w:rsid w:val="30EF67E5"/>
    <w:rsid w:val="310311E3"/>
    <w:rsid w:val="31F4722E"/>
    <w:rsid w:val="320B7848"/>
    <w:rsid w:val="32713DBA"/>
    <w:rsid w:val="328D7DE2"/>
    <w:rsid w:val="32BA571C"/>
    <w:rsid w:val="32EE6C13"/>
    <w:rsid w:val="33AC5103"/>
    <w:rsid w:val="33C53375"/>
    <w:rsid w:val="344D3544"/>
    <w:rsid w:val="34562CDE"/>
    <w:rsid w:val="34C12DD7"/>
    <w:rsid w:val="34DA5C46"/>
    <w:rsid w:val="35977BFB"/>
    <w:rsid w:val="35DB1C68"/>
    <w:rsid w:val="35EC697A"/>
    <w:rsid w:val="364F21BD"/>
    <w:rsid w:val="369577DA"/>
    <w:rsid w:val="36F4767F"/>
    <w:rsid w:val="378418A7"/>
    <w:rsid w:val="383C102E"/>
    <w:rsid w:val="38460FDE"/>
    <w:rsid w:val="386709AA"/>
    <w:rsid w:val="387D642F"/>
    <w:rsid w:val="38D86C09"/>
    <w:rsid w:val="3919772A"/>
    <w:rsid w:val="39754190"/>
    <w:rsid w:val="39A22AAB"/>
    <w:rsid w:val="3A310809"/>
    <w:rsid w:val="3A7645E5"/>
    <w:rsid w:val="3AA01AB2"/>
    <w:rsid w:val="3AC705C2"/>
    <w:rsid w:val="3B184BF7"/>
    <w:rsid w:val="3B3339E2"/>
    <w:rsid w:val="3B4130B9"/>
    <w:rsid w:val="3BBF0327"/>
    <w:rsid w:val="3BE45E34"/>
    <w:rsid w:val="3D4027C3"/>
    <w:rsid w:val="3DB46376"/>
    <w:rsid w:val="3DDA6CB7"/>
    <w:rsid w:val="3DFB39FD"/>
    <w:rsid w:val="3E287CA5"/>
    <w:rsid w:val="3E5654D6"/>
    <w:rsid w:val="3E8864C1"/>
    <w:rsid w:val="3E954FBB"/>
    <w:rsid w:val="3E971150"/>
    <w:rsid w:val="3EAB2F80"/>
    <w:rsid w:val="3ED16F9F"/>
    <w:rsid w:val="3ED95EA9"/>
    <w:rsid w:val="3EFE309E"/>
    <w:rsid w:val="3F512870"/>
    <w:rsid w:val="3F5C15E6"/>
    <w:rsid w:val="3F6236D0"/>
    <w:rsid w:val="3F94702A"/>
    <w:rsid w:val="3FE06D3B"/>
    <w:rsid w:val="3FE2521F"/>
    <w:rsid w:val="40703903"/>
    <w:rsid w:val="40D309FB"/>
    <w:rsid w:val="40D82405"/>
    <w:rsid w:val="40DA0D7C"/>
    <w:rsid w:val="40F24318"/>
    <w:rsid w:val="41D71CA1"/>
    <w:rsid w:val="41FB4B0B"/>
    <w:rsid w:val="4233454F"/>
    <w:rsid w:val="42A77BCB"/>
    <w:rsid w:val="42CC72F1"/>
    <w:rsid w:val="430F7403"/>
    <w:rsid w:val="43527DA5"/>
    <w:rsid w:val="446454B9"/>
    <w:rsid w:val="44B9224B"/>
    <w:rsid w:val="44D81A76"/>
    <w:rsid w:val="45093CD4"/>
    <w:rsid w:val="454D7023"/>
    <w:rsid w:val="467F25DF"/>
    <w:rsid w:val="46F07AD6"/>
    <w:rsid w:val="471C55FE"/>
    <w:rsid w:val="47C72666"/>
    <w:rsid w:val="48826C2D"/>
    <w:rsid w:val="489573EB"/>
    <w:rsid w:val="49CF100D"/>
    <w:rsid w:val="49E67305"/>
    <w:rsid w:val="4A934962"/>
    <w:rsid w:val="4AE7656F"/>
    <w:rsid w:val="4AF83480"/>
    <w:rsid w:val="4B85051F"/>
    <w:rsid w:val="4BC93EC7"/>
    <w:rsid w:val="4C1827E3"/>
    <w:rsid w:val="4C6C08D0"/>
    <w:rsid w:val="4C806421"/>
    <w:rsid w:val="4CA0475B"/>
    <w:rsid w:val="4CA9593B"/>
    <w:rsid w:val="4CDF4A30"/>
    <w:rsid w:val="4D0E1A0D"/>
    <w:rsid w:val="4D450A84"/>
    <w:rsid w:val="4DFB11F6"/>
    <w:rsid w:val="4E774DAA"/>
    <w:rsid w:val="4EF13B48"/>
    <w:rsid w:val="4F035942"/>
    <w:rsid w:val="4FB76013"/>
    <w:rsid w:val="50DE6667"/>
    <w:rsid w:val="50EB36A6"/>
    <w:rsid w:val="513F7105"/>
    <w:rsid w:val="51624BA2"/>
    <w:rsid w:val="51F53C68"/>
    <w:rsid w:val="52B23E5A"/>
    <w:rsid w:val="52D80BEE"/>
    <w:rsid w:val="532F6D06"/>
    <w:rsid w:val="53507FF2"/>
    <w:rsid w:val="536C28E0"/>
    <w:rsid w:val="538928D5"/>
    <w:rsid w:val="53F97408"/>
    <w:rsid w:val="546B6E19"/>
    <w:rsid w:val="548254F0"/>
    <w:rsid w:val="5485514F"/>
    <w:rsid w:val="548D558B"/>
    <w:rsid w:val="549A6C2B"/>
    <w:rsid w:val="54C36344"/>
    <w:rsid w:val="54F621D1"/>
    <w:rsid w:val="55082A65"/>
    <w:rsid w:val="55BB6A2D"/>
    <w:rsid w:val="55C53EA6"/>
    <w:rsid w:val="565B7FD3"/>
    <w:rsid w:val="578E1FA2"/>
    <w:rsid w:val="57D4668D"/>
    <w:rsid w:val="5866141B"/>
    <w:rsid w:val="58A81A34"/>
    <w:rsid w:val="59016536"/>
    <w:rsid w:val="59077622"/>
    <w:rsid w:val="590C29FE"/>
    <w:rsid w:val="59382F53"/>
    <w:rsid w:val="59A537CB"/>
    <w:rsid w:val="59F26FCA"/>
    <w:rsid w:val="5A2B7E5E"/>
    <w:rsid w:val="5AA07F40"/>
    <w:rsid w:val="5AD22969"/>
    <w:rsid w:val="5B071AB3"/>
    <w:rsid w:val="5B1F1D55"/>
    <w:rsid w:val="5B650D9F"/>
    <w:rsid w:val="5B7C4A30"/>
    <w:rsid w:val="5B8A26BD"/>
    <w:rsid w:val="5BB22BCA"/>
    <w:rsid w:val="5BDE0537"/>
    <w:rsid w:val="5BED4D57"/>
    <w:rsid w:val="5C153CBD"/>
    <w:rsid w:val="5C532B82"/>
    <w:rsid w:val="5CCC3817"/>
    <w:rsid w:val="5D0E6CE6"/>
    <w:rsid w:val="5D4D387D"/>
    <w:rsid w:val="5D6851F5"/>
    <w:rsid w:val="5DCA244C"/>
    <w:rsid w:val="5E531B97"/>
    <w:rsid w:val="5EE66E12"/>
    <w:rsid w:val="5F144DEA"/>
    <w:rsid w:val="5F3C1128"/>
    <w:rsid w:val="5F6917F1"/>
    <w:rsid w:val="5F7E3018"/>
    <w:rsid w:val="603D5158"/>
    <w:rsid w:val="606F72DB"/>
    <w:rsid w:val="60F1388E"/>
    <w:rsid w:val="611A4C01"/>
    <w:rsid w:val="61A77079"/>
    <w:rsid w:val="62D6732E"/>
    <w:rsid w:val="638279B4"/>
    <w:rsid w:val="639C64A0"/>
    <w:rsid w:val="63E36016"/>
    <w:rsid w:val="6421269A"/>
    <w:rsid w:val="642372D3"/>
    <w:rsid w:val="64760C38"/>
    <w:rsid w:val="647944DB"/>
    <w:rsid w:val="64B718B4"/>
    <w:rsid w:val="64C00105"/>
    <w:rsid w:val="64E023C3"/>
    <w:rsid w:val="64E04304"/>
    <w:rsid w:val="651708B8"/>
    <w:rsid w:val="65454382"/>
    <w:rsid w:val="655D7FBE"/>
    <w:rsid w:val="65A41D40"/>
    <w:rsid w:val="65FF1E91"/>
    <w:rsid w:val="661F0E5C"/>
    <w:rsid w:val="664F7993"/>
    <w:rsid w:val="67203250"/>
    <w:rsid w:val="6759039D"/>
    <w:rsid w:val="687A681D"/>
    <w:rsid w:val="68994EF5"/>
    <w:rsid w:val="68B166E3"/>
    <w:rsid w:val="68BB4E93"/>
    <w:rsid w:val="69201173"/>
    <w:rsid w:val="6A10568B"/>
    <w:rsid w:val="6AA15FA4"/>
    <w:rsid w:val="6ABD617F"/>
    <w:rsid w:val="6AC25622"/>
    <w:rsid w:val="6AEC3960"/>
    <w:rsid w:val="6B57195A"/>
    <w:rsid w:val="6B8320C0"/>
    <w:rsid w:val="6B9B0A6E"/>
    <w:rsid w:val="6BD154CC"/>
    <w:rsid w:val="6C531DB0"/>
    <w:rsid w:val="6C6C46CF"/>
    <w:rsid w:val="6CC92D08"/>
    <w:rsid w:val="6D54782E"/>
    <w:rsid w:val="6E071562"/>
    <w:rsid w:val="6ED36C87"/>
    <w:rsid w:val="6F083740"/>
    <w:rsid w:val="70375FC5"/>
    <w:rsid w:val="7055204A"/>
    <w:rsid w:val="706D44BF"/>
    <w:rsid w:val="70904B27"/>
    <w:rsid w:val="70A46152"/>
    <w:rsid w:val="70C31D6B"/>
    <w:rsid w:val="70F74CDB"/>
    <w:rsid w:val="71760D33"/>
    <w:rsid w:val="71904B0C"/>
    <w:rsid w:val="71C73801"/>
    <w:rsid w:val="71E01DE7"/>
    <w:rsid w:val="7233601F"/>
    <w:rsid w:val="73774085"/>
    <w:rsid w:val="74533F62"/>
    <w:rsid w:val="74891E24"/>
    <w:rsid w:val="75117320"/>
    <w:rsid w:val="76C667BC"/>
    <w:rsid w:val="770164D0"/>
    <w:rsid w:val="771F0CBB"/>
    <w:rsid w:val="77646FC0"/>
    <w:rsid w:val="776F0CF3"/>
    <w:rsid w:val="77E40775"/>
    <w:rsid w:val="783518E1"/>
    <w:rsid w:val="783A3050"/>
    <w:rsid w:val="78603A6B"/>
    <w:rsid w:val="78DB67FF"/>
    <w:rsid w:val="79EB1329"/>
    <w:rsid w:val="79FE79DA"/>
    <w:rsid w:val="7A41719B"/>
    <w:rsid w:val="7A735C17"/>
    <w:rsid w:val="7A887546"/>
    <w:rsid w:val="7AA71D7C"/>
    <w:rsid w:val="7AAD5FEE"/>
    <w:rsid w:val="7B263453"/>
    <w:rsid w:val="7BF9402F"/>
    <w:rsid w:val="7C403AE5"/>
    <w:rsid w:val="7C5C3542"/>
    <w:rsid w:val="7CC443BD"/>
    <w:rsid w:val="7CF312BE"/>
    <w:rsid w:val="7D9120E2"/>
    <w:rsid w:val="7D913F95"/>
    <w:rsid w:val="7E695E0F"/>
    <w:rsid w:val="7E910D86"/>
    <w:rsid w:val="7EC31904"/>
    <w:rsid w:val="7FC84EBC"/>
    <w:rsid w:val="7FF975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00"/>
    <w:qFormat/>
    <w:uiPriority w:val="0"/>
    <w:pPr>
      <w:keepNext/>
      <w:keepLines/>
      <w:spacing w:before="260" w:after="260" w:line="416" w:lineRule="auto"/>
      <w:outlineLvl w:val="2"/>
    </w:pPr>
    <w:rPr>
      <w:b/>
      <w:bCs/>
      <w:sz w:val="32"/>
      <w:szCs w:val="32"/>
    </w:rPr>
  </w:style>
  <w:style w:type="paragraph" w:styleId="6">
    <w:name w:val="heading 4"/>
    <w:basedOn w:val="1"/>
    <w:next w:val="1"/>
    <w:link w:val="186"/>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9"/>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02"/>
    <w:qFormat/>
    <w:uiPriority w:val="0"/>
    <w:pPr>
      <w:keepNext/>
      <w:keepLines/>
      <w:ind w:firstLine="200" w:firstLineChars="200"/>
      <w:outlineLvl w:val="5"/>
    </w:pPr>
    <w:rPr>
      <w:rFonts w:hAnsi="Arial"/>
    </w:rPr>
  </w:style>
  <w:style w:type="paragraph" w:styleId="10">
    <w:name w:val="heading 7"/>
    <w:basedOn w:val="1"/>
    <w:next w:val="1"/>
    <w:link w:val="279"/>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7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05"/>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1"/>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11"/>
    <w:qFormat/>
    <w:uiPriority w:val="0"/>
    <w:pPr>
      <w:shd w:val="clear" w:color="auto" w:fill="000080"/>
    </w:pPr>
  </w:style>
  <w:style w:type="paragraph" w:styleId="16">
    <w:name w:val="annotation text"/>
    <w:basedOn w:val="1"/>
    <w:link w:val="296"/>
    <w:qFormat/>
    <w:uiPriority w:val="99"/>
    <w:pPr>
      <w:jc w:val="left"/>
    </w:pPr>
  </w:style>
  <w:style w:type="paragraph" w:styleId="17">
    <w:name w:val="Body Text 3"/>
    <w:basedOn w:val="1"/>
    <w:link w:val="315"/>
    <w:qFormat/>
    <w:uiPriority w:val="0"/>
    <w:pPr>
      <w:spacing w:after="120"/>
    </w:pPr>
    <w:rPr>
      <w:sz w:val="16"/>
      <w:szCs w:val="16"/>
    </w:rPr>
  </w:style>
  <w:style w:type="paragraph" w:styleId="18">
    <w:name w:val="Body Text Indent"/>
    <w:basedOn w:val="1"/>
    <w:link w:val="276"/>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spacing w:before="0" w:after="0" w:line="240" w:lineRule="auto"/>
      <w:ind w:left="420"/>
      <w:jc w:val="left"/>
      <w:outlineLvl w:val="9"/>
    </w:pPr>
    <w:rPr>
      <w:b w:val="0"/>
      <w:bCs w:val="0"/>
      <w:i/>
      <w:iCs/>
      <w:sz w:val="20"/>
      <w:szCs w:val="20"/>
    </w:rPr>
  </w:style>
  <w:style w:type="paragraph" w:styleId="23">
    <w:name w:val="Plain Text"/>
    <w:basedOn w:val="1"/>
    <w:link w:val="311"/>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4"/>
    <w:qFormat/>
    <w:uiPriority w:val="0"/>
    <w:pPr>
      <w:ind w:left="100" w:leftChars="2500"/>
    </w:pPr>
  </w:style>
  <w:style w:type="paragraph" w:styleId="26">
    <w:name w:val="Body Text Indent 2"/>
    <w:basedOn w:val="1"/>
    <w:link w:val="278"/>
    <w:qFormat/>
    <w:uiPriority w:val="0"/>
    <w:pPr>
      <w:widowControl/>
      <w:spacing w:line="480" w:lineRule="auto"/>
      <w:ind w:firstLine="560"/>
      <w:jc w:val="left"/>
    </w:pPr>
    <w:rPr>
      <w:kern w:val="0"/>
      <w:sz w:val="28"/>
    </w:rPr>
  </w:style>
  <w:style w:type="paragraph" w:styleId="27">
    <w:name w:val="endnote text"/>
    <w:basedOn w:val="1"/>
    <w:link w:val="188"/>
    <w:qFormat/>
    <w:uiPriority w:val="0"/>
    <w:pPr>
      <w:widowControl/>
      <w:snapToGrid w:val="0"/>
      <w:jc w:val="left"/>
    </w:pPr>
    <w:rPr>
      <w:rFonts w:ascii="Arial" w:hAnsi="Arial" w:cs="Arial"/>
      <w:kern w:val="0"/>
      <w:sz w:val="20"/>
      <w:lang w:eastAsia="en-US"/>
    </w:rPr>
  </w:style>
  <w:style w:type="paragraph" w:styleId="28">
    <w:name w:val="Balloon Text"/>
    <w:basedOn w:val="1"/>
    <w:link w:val="215"/>
    <w:qFormat/>
    <w:uiPriority w:val="0"/>
    <w:rPr>
      <w:sz w:val="18"/>
      <w:szCs w:val="18"/>
    </w:rPr>
  </w:style>
  <w:style w:type="paragraph" w:styleId="29">
    <w:name w:val="footer"/>
    <w:basedOn w:val="1"/>
    <w:link w:val="203"/>
    <w:qFormat/>
    <w:uiPriority w:val="0"/>
    <w:pPr>
      <w:tabs>
        <w:tab w:val="center" w:pos="4153"/>
        <w:tab w:val="right" w:pos="8306"/>
      </w:tabs>
      <w:snapToGrid w:val="0"/>
      <w:jc w:val="left"/>
    </w:pPr>
    <w:rPr>
      <w:sz w:val="18"/>
      <w:szCs w:val="18"/>
    </w:rPr>
  </w:style>
  <w:style w:type="paragraph" w:styleId="30">
    <w:name w:val="header"/>
    <w:basedOn w:val="1"/>
    <w:link w:val="24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8"/>
    <w:qFormat/>
    <w:uiPriority w:val="0"/>
    <w:pPr>
      <w:widowControl/>
      <w:jc w:val="center"/>
    </w:pPr>
    <w:rPr>
      <w:kern w:val="0"/>
      <w:sz w:val="20"/>
      <w:u w:val="single"/>
      <w:lang w:eastAsia="en-US"/>
    </w:rPr>
  </w:style>
  <w:style w:type="paragraph" w:styleId="34">
    <w:name w:val="footnote text"/>
    <w:basedOn w:val="1"/>
    <w:link w:val="223"/>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75"/>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71"/>
    <w:qFormat/>
    <w:uiPriority w:val="0"/>
    <w:rPr>
      <w:i/>
      <w:iCs/>
      <w:sz w:val="26"/>
    </w:rPr>
  </w:style>
  <w:style w:type="paragraph" w:styleId="40">
    <w:name w:val="HTML Preformatted"/>
    <w:basedOn w:val="1"/>
    <w:link w:val="17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8"/>
    <w:qFormat/>
    <w:uiPriority w:val="0"/>
    <w:pPr>
      <w:widowControl/>
      <w:jc w:val="center"/>
    </w:pPr>
    <w:rPr>
      <w:kern w:val="0"/>
      <w:sz w:val="20"/>
      <w:u w:val="single"/>
      <w:lang w:eastAsia="en-US"/>
    </w:rPr>
  </w:style>
  <w:style w:type="paragraph" w:styleId="44">
    <w:name w:val="annotation subject"/>
    <w:basedOn w:val="16"/>
    <w:next w:val="16"/>
    <w:link w:val="270"/>
    <w:qFormat/>
    <w:uiPriority w:val="0"/>
    <w:rPr>
      <w:b/>
      <w:bCs/>
    </w:rPr>
  </w:style>
  <w:style w:type="paragraph" w:styleId="45">
    <w:name w:val="Body Text First Indent"/>
    <w:basedOn w:val="2"/>
    <w:qFormat/>
    <w:uiPriority w:val="99"/>
    <w:pPr>
      <w:ind w:firstLine="420" w:firstLineChars="100"/>
    </w:p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7"/>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7"/>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4"/>
    <w:next w:val="20"/>
    <w:link w:val="250"/>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3">
    <w:name w:val="_Style 124"/>
    <w:basedOn w:val="1"/>
    <w:next w:val="1"/>
    <w:link w:val="204"/>
    <w:qFormat/>
    <w:uiPriority w:val="0"/>
    <w:rPr>
      <w:i/>
      <w:iCs/>
      <w:color w:val="000000"/>
      <w:szCs w:val="22"/>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305"/>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qFormat/>
    <w:uiPriority w:val="0"/>
    <w:pPr>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72"/>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304"/>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3">
    <w:name w:val="List Paragraph"/>
    <w:basedOn w:val="1"/>
    <w:qFormat/>
    <w:uiPriority w:val="99"/>
    <w:pPr>
      <w:ind w:firstLine="420" w:firstLineChars="200"/>
    </w:pPr>
    <w:rPr>
      <w:sz w:val="28"/>
      <w:szCs w:val="28"/>
    </w:rPr>
  </w:style>
  <w:style w:type="paragraph" w:customStyle="1" w:styleId="144">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45">
    <w:name w:val="标准节"/>
    <w:basedOn w:val="146"/>
    <w:qFormat/>
    <w:uiPriority w:val="0"/>
    <w:pPr>
      <w:jc w:val="center"/>
    </w:pPr>
    <w:rPr>
      <w:sz w:val="30"/>
      <w:szCs w:val="32"/>
    </w:rPr>
  </w:style>
  <w:style w:type="paragraph" w:customStyle="1" w:styleId="146">
    <w:name w:val="招标节"/>
    <w:basedOn w:val="1"/>
    <w:next w:val="1"/>
    <w:qFormat/>
    <w:uiPriority w:val="0"/>
    <w:pPr>
      <w:spacing w:before="156" w:beforeLines="50" w:after="156" w:afterLines="50"/>
      <w:outlineLvl w:val="1"/>
    </w:pPr>
    <w:rPr>
      <w:rFonts w:ascii="宋体" w:hAnsi="宋体"/>
      <w:b/>
      <w:sz w:val="24"/>
    </w:rPr>
  </w:style>
  <w:style w:type="paragraph" w:customStyle="1" w:styleId="147">
    <w:name w:val="Quote"/>
    <w:basedOn w:val="1"/>
    <w:next w:val="1"/>
    <w:qFormat/>
    <w:uiPriority w:val="0"/>
    <w:pPr>
      <w:wordWrap w:val="0"/>
      <w:spacing w:before="200" w:after="160"/>
      <w:ind w:left="864" w:right="864"/>
      <w:jc w:val="center"/>
    </w:pPr>
    <w:rPr>
      <w:i/>
      <w:sz w:val="21"/>
    </w:rPr>
  </w:style>
  <w:style w:type="paragraph" w:customStyle="1" w:styleId="148">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正文文本 Char2"/>
    <w:qFormat/>
    <w:uiPriority w:val="99"/>
    <w:rPr>
      <w:kern w:val="2"/>
      <w:sz w:val="21"/>
      <w:szCs w:val="24"/>
    </w:rPr>
  </w:style>
  <w:style w:type="character" w:customStyle="1" w:styleId="150">
    <w:name w:val="尾注文本 Char1"/>
    <w:qFormat/>
    <w:uiPriority w:val="0"/>
    <w:rPr>
      <w:rFonts w:ascii="Arial" w:hAnsi="Arial" w:cs="Arial"/>
      <w:szCs w:val="24"/>
      <w:lang w:eastAsia="en-US"/>
    </w:rPr>
  </w:style>
  <w:style w:type="character" w:customStyle="1" w:styleId="151">
    <w:name w:val="脚注文本 Char"/>
    <w:qFormat/>
    <w:uiPriority w:val="0"/>
    <w:rPr>
      <w:rFonts w:ascii="Arial" w:hAnsi="Arial" w:eastAsia="宋体" w:cs="Arial"/>
      <w:sz w:val="18"/>
      <w:szCs w:val="18"/>
      <w:lang w:eastAsia="en-US"/>
    </w:rPr>
  </w:style>
  <w:style w:type="character" w:customStyle="1" w:styleId="152">
    <w:name w:val="Char Char17"/>
    <w:qFormat/>
    <w:uiPriority w:val="0"/>
    <w:rPr>
      <w:kern w:val="2"/>
      <w:sz w:val="26"/>
      <w:szCs w:val="24"/>
    </w:rPr>
  </w:style>
  <w:style w:type="character" w:customStyle="1" w:styleId="153">
    <w:name w:val="副标题 Char1"/>
    <w:qFormat/>
    <w:uiPriority w:val="0"/>
    <w:rPr>
      <w:szCs w:val="24"/>
      <w:u w:val="single"/>
      <w:lang w:eastAsia="en-US"/>
    </w:rPr>
  </w:style>
  <w:style w:type="character" w:customStyle="1" w:styleId="154">
    <w:name w:val="标题 Char1"/>
    <w:qFormat/>
    <w:uiPriority w:val="10"/>
    <w:rPr>
      <w:szCs w:val="24"/>
      <w:u w:val="single"/>
      <w:lang w:eastAsia="en-US"/>
    </w:rPr>
  </w:style>
  <w:style w:type="character" w:customStyle="1" w:styleId="155">
    <w:name w:val="Char Char24"/>
    <w:qFormat/>
    <w:uiPriority w:val="0"/>
    <w:rPr>
      <w:b/>
      <w:bCs/>
      <w:kern w:val="44"/>
      <w:sz w:val="44"/>
      <w:szCs w:val="44"/>
    </w:rPr>
  </w:style>
  <w:style w:type="character" w:customStyle="1" w:styleId="156">
    <w:name w:val="批注主题 Char"/>
    <w:qFormat/>
    <w:uiPriority w:val="0"/>
    <w:rPr>
      <w:rFonts w:ascii="宋体" w:hAnsi="宋体" w:eastAsia="宋体"/>
      <w:kern w:val="2"/>
      <w:sz w:val="24"/>
      <w:szCs w:val="28"/>
      <w:lang w:val="en-US" w:eastAsia="zh-CN" w:bidi="ar-SA"/>
    </w:rPr>
  </w:style>
  <w:style w:type="character" w:customStyle="1" w:styleId="157">
    <w:name w:val="引用 Char1"/>
    <w:link w:val="82"/>
    <w:qFormat/>
    <w:uiPriority w:val="29"/>
    <w:rPr>
      <w:i/>
      <w:iCs/>
      <w:color w:val="000000"/>
      <w:kern w:val="2"/>
      <w:sz w:val="21"/>
    </w:rPr>
  </w:style>
  <w:style w:type="character" w:customStyle="1" w:styleId="158">
    <w:name w:val="Char Char23"/>
    <w:qFormat/>
    <w:uiPriority w:val="0"/>
    <w:rPr>
      <w:rFonts w:ascii="Cambria" w:hAnsi="Cambria" w:eastAsia="宋体" w:cs="Times New Roman"/>
      <w:b/>
      <w:bCs/>
      <w:kern w:val="2"/>
      <w:sz w:val="32"/>
      <w:szCs w:val="32"/>
    </w:rPr>
  </w:style>
  <w:style w:type="character" w:customStyle="1" w:styleId="159">
    <w:name w:val="ITTHEADER2 Char"/>
    <w:qFormat/>
    <w:uiPriority w:val="0"/>
    <w:rPr>
      <w:rFonts w:ascii="仿宋_GB2312" w:eastAsia="仿宋_GB2312" w:cs="MingLiU"/>
      <w:b/>
      <w:spacing w:val="1"/>
      <w:w w:val="99"/>
      <w:sz w:val="28"/>
      <w:szCs w:val="32"/>
      <w:lang w:val="en-US" w:eastAsia="zh-CN" w:bidi="ar-SA"/>
    </w:rPr>
  </w:style>
  <w:style w:type="character" w:customStyle="1" w:styleId="160">
    <w:name w:val="标题 9 Char1"/>
    <w:qFormat/>
    <w:uiPriority w:val="0"/>
    <w:rPr>
      <w:rFonts w:ascii="Times New Roman" w:hAnsi="Times New Roman" w:eastAsia="仿宋_GB2312" w:cs="Times New Roman"/>
      <w:sz w:val="30"/>
      <w:szCs w:val="20"/>
    </w:rPr>
  </w:style>
  <w:style w:type="character" w:customStyle="1" w:styleId="161">
    <w:name w:val="正文文本 Char1"/>
    <w:qFormat/>
    <w:uiPriority w:val="0"/>
    <w:rPr>
      <w:kern w:val="2"/>
      <w:sz w:val="21"/>
      <w:szCs w:val="22"/>
    </w:rPr>
  </w:style>
  <w:style w:type="character" w:customStyle="1" w:styleId="162">
    <w:name w:val="引用 Char2"/>
    <w:qFormat/>
    <w:uiPriority w:val="99"/>
    <w:rPr>
      <w:i/>
      <w:iCs/>
      <w:color w:val="000000"/>
      <w:kern w:val="2"/>
      <w:sz w:val="21"/>
      <w:szCs w:val="24"/>
    </w:rPr>
  </w:style>
  <w:style w:type="character" w:customStyle="1" w:styleId="163">
    <w:name w:val="正文文本 Char3"/>
    <w:semiHidden/>
    <w:qFormat/>
    <w:uiPriority w:val="99"/>
    <w:rPr>
      <w:rFonts w:ascii="Calibri" w:hAnsi="Calibri" w:eastAsia="宋体" w:cs="Times New Roman"/>
      <w:szCs w:val="24"/>
    </w:rPr>
  </w:style>
  <w:style w:type="character" w:customStyle="1" w:styleId="164">
    <w:name w:val="日期 字符"/>
    <w:link w:val="25"/>
    <w:qFormat/>
    <w:uiPriority w:val="0"/>
    <w:rPr>
      <w:rFonts w:eastAsia="宋体"/>
      <w:kern w:val="2"/>
      <w:sz w:val="21"/>
      <w:szCs w:val="24"/>
      <w:lang w:val="en-US" w:eastAsia="zh-CN" w:bidi="ar-SA"/>
    </w:rPr>
  </w:style>
  <w:style w:type="character" w:customStyle="1" w:styleId="165">
    <w:name w:val="标题 2 Char"/>
    <w:qFormat/>
    <w:uiPriority w:val="0"/>
    <w:rPr>
      <w:rFonts w:ascii="仿宋_GB2312" w:hAnsi="Calibri" w:eastAsia="仿宋_GB2312" w:cs="Times New Roman"/>
      <w:b/>
      <w:spacing w:val="1"/>
      <w:w w:val="99"/>
      <w:kern w:val="0"/>
      <w:sz w:val="28"/>
      <w:szCs w:val="32"/>
    </w:rPr>
  </w:style>
  <w:style w:type="character" w:customStyle="1" w:styleId="166">
    <w:name w:val="标题 7 Char"/>
    <w:qFormat/>
    <w:uiPriority w:val="0"/>
    <w:rPr>
      <w:rFonts w:ascii="Calibri" w:hAnsi="Calibri" w:eastAsia="宋体" w:cs="Times New Roman"/>
      <w:b/>
      <w:bCs/>
      <w:sz w:val="24"/>
      <w:szCs w:val="24"/>
    </w:rPr>
  </w:style>
  <w:style w:type="character" w:customStyle="1" w:styleId="167">
    <w:name w:val="批注框文本 Char1"/>
    <w:qFormat/>
    <w:uiPriority w:val="0"/>
    <w:rPr>
      <w:kern w:val="2"/>
      <w:sz w:val="18"/>
      <w:szCs w:val="18"/>
    </w:rPr>
  </w:style>
  <w:style w:type="character" w:customStyle="1" w:styleId="168">
    <w:name w:val="日期 Char1"/>
    <w:qFormat/>
    <w:uiPriority w:val="0"/>
    <w:rPr>
      <w:kern w:val="2"/>
      <w:sz w:val="21"/>
      <w:szCs w:val="22"/>
    </w:rPr>
  </w:style>
  <w:style w:type="character" w:customStyle="1" w:styleId="169">
    <w:name w:val="_Style 171"/>
    <w:qFormat/>
    <w:uiPriority w:val="0"/>
    <w:rPr>
      <w:b/>
      <w:bCs/>
      <w:i/>
      <w:iCs/>
      <w:color w:val="4F81BD"/>
    </w:rPr>
  </w:style>
  <w:style w:type="character" w:customStyle="1" w:styleId="170">
    <w:name w:val="Char Char22"/>
    <w:qFormat/>
    <w:uiPriority w:val="0"/>
    <w:rPr>
      <w:b/>
      <w:bCs/>
      <w:kern w:val="2"/>
      <w:sz w:val="32"/>
      <w:szCs w:val="32"/>
    </w:rPr>
  </w:style>
  <w:style w:type="character" w:customStyle="1" w:styleId="171">
    <w:name w:val="标题 6 Char1"/>
    <w:qFormat/>
    <w:uiPriority w:val="0"/>
    <w:rPr>
      <w:rFonts w:ascii="Times New Roman" w:hAnsi="Arial" w:eastAsia="仿宋_GB2312" w:cs="Times New Roman"/>
      <w:sz w:val="30"/>
      <w:szCs w:val="20"/>
    </w:rPr>
  </w:style>
  <w:style w:type="character" w:customStyle="1" w:styleId="172">
    <w:name w:val="标题5 Char Char"/>
    <w:link w:val="117"/>
    <w:qFormat/>
    <w:uiPriority w:val="0"/>
    <w:rPr>
      <w:rFonts w:ascii="Arial" w:hAnsi="Arial"/>
      <w:b/>
      <w:bCs/>
      <w:sz w:val="24"/>
      <w:szCs w:val="32"/>
      <w:lang w:bidi="ar-SA"/>
    </w:rPr>
  </w:style>
  <w:style w:type="character" w:customStyle="1" w:styleId="173">
    <w:name w:val="正文文本缩进 Char1"/>
    <w:qFormat/>
    <w:uiPriority w:val="0"/>
    <w:rPr>
      <w:kern w:val="2"/>
      <w:sz w:val="21"/>
      <w:szCs w:val="24"/>
    </w:rPr>
  </w:style>
  <w:style w:type="character" w:customStyle="1" w:styleId="174">
    <w:name w:val="标题 4 Char1"/>
    <w:qFormat/>
    <w:uiPriority w:val="0"/>
    <w:rPr>
      <w:rFonts w:ascii="宋体" w:hAnsi="宋体" w:eastAsia="宋体" w:cs="宋体"/>
      <w:b/>
      <w:bCs/>
      <w:sz w:val="24"/>
      <w:szCs w:val="24"/>
    </w:rPr>
  </w:style>
  <w:style w:type="character" w:customStyle="1" w:styleId="175">
    <w:name w:val="尾注文本 Char"/>
    <w:qFormat/>
    <w:uiPriority w:val="0"/>
    <w:rPr>
      <w:kern w:val="2"/>
      <w:sz w:val="21"/>
      <w:szCs w:val="24"/>
    </w:rPr>
  </w:style>
  <w:style w:type="character" w:customStyle="1" w:styleId="176">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7">
    <w:name w:val="尾注文本 Char2"/>
    <w:semiHidden/>
    <w:qFormat/>
    <w:uiPriority w:val="99"/>
    <w:rPr>
      <w:rFonts w:ascii="Calibri" w:hAnsi="Calibri" w:eastAsia="宋体" w:cs="Times New Roman"/>
      <w:szCs w:val="24"/>
    </w:rPr>
  </w:style>
  <w:style w:type="character" w:customStyle="1" w:styleId="178">
    <w:name w:val="明显强调1"/>
    <w:qFormat/>
    <w:uiPriority w:val="0"/>
    <w:rPr>
      <w:b/>
      <w:bCs/>
      <w:i/>
      <w:iCs/>
      <w:color w:val="4F81BD"/>
    </w:rPr>
  </w:style>
  <w:style w:type="character" w:customStyle="1" w:styleId="179">
    <w:name w:val="正文文本 Char"/>
    <w:qFormat/>
    <w:uiPriority w:val="0"/>
    <w:rPr>
      <w:sz w:val="26"/>
      <w:szCs w:val="24"/>
    </w:rPr>
  </w:style>
  <w:style w:type="character" w:customStyle="1" w:styleId="180">
    <w:name w:val="脚注文本 Char2"/>
    <w:semiHidden/>
    <w:qFormat/>
    <w:uiPriority w:val="99"/>
    <w:rPr>
      <w:rFonts w:ascii="Calibri" w:hAnsi="Calibri" w:eastAsia="宋体" w:cs="Times New Roman"/>
      <w:sz w:val="18"/>
      <w:szCs w:val="18"/>
    </w:rPr>
  </w:style>
  <w:style w:type="character" w:customStyle="1" w:styleId="181">
    <w:name w:val="正文文本 2 Char1"/>
    <w:semiHidden/>
    <w:qFormat/>
    <w:uiPriority w:val="99"/>
    <w:rPr>
      <w:rFonts w:ascii="Calibri" w:hAnsi="Calibri" w:eastAsia="宋体" w:cs="Times New Roman"/>
      <w:szCs w:val="24"/>
    </w:rPr>
  </w:style>
  <w:style w:type="character" w:customStyle="1" w:styleId="182">
    <w:name w:val="_Style 248"/>
    <w:qFormat/>
    <w:uiPriority w:val="0"/>
    <w:rPr>
      <w:b/>
      <w:bCs/>
      <w:smallCaps/>
      <w:spacing w:val="5"/>
    </w:rPr>
  </w:style>
  <w:style w:type="character" w:customStyle="1" w:styleId="183">
    <w:name w:val="明显引用 Char3"/>
    <w:qFormat/>
    <w:uiPriority w:val="30"/>
    <w:rPr>
      <w:rFonts w:ascii="Calibri" w:hAnsi="Calibri" w:eastAsia="宋体" w:cs="Times New Roman"/>
      <w:b/>
      <w:bCs/>
      <w:i/>
      <w:iCs/>
      <w:color w:val="4F81BD"/>
      <w:szCs w:val="24"/>
    </w:rPr>
  </w:style>
  <w:style w:type="character" w:customStyle="1" w:styleId="184">
    <w:name w:val="_Style 254"/>
    <w:qFormat/>
    <w:uiPriority w:val="0"/>
    <w:rPr>
      <w:b/>
      <w:bCs/>
      <w:smallCaps/>
      <w:color w:val="C0504D"/>
      <w:spacing w:val="5"/>
      <w:u w:val="single"/>
    </w:rPr>
  </w:style>
  <w:style w:type="character" w:customStyle="1" w:styleId="185">
    <w:name w:val="正文文本缩进 Char2"/>
    <w:semiHidden/>
    <w:qFormat/>
    <w:uiPriority w:val="99"/>
    <w:rPr>
      <w:rFonts w:ascii="Calibri" w:hAnsi="Calibri" w:eastAsia="宋体" w:cs="Times New Roman"/>
      <w:szCs w:val="24"/>
    </w:rPr>
  </w:style>
  <w:style w:type="character" w:customStyle="1" w:styleId="186">
    <w:name w:val="标题 4 字符"/>
    <w:link w:val="6"/>
    <w:qFormat/>
    <w:uiPriority w:val="0"/>
    <w:rPr>
      <w:rFonts w:ascii="宋体" w:hAnsi="宋体" w:eastAsia="宋体" w:cs="宋体"/>
      <w:b/>
      <w:bCs/>
      <w:sz w:val="24"/>
      <w:szCs w:val="24"/>
      <w:lang w:val="en-US" w:eastAsia="zh-CN" w:bidi="ar-SA"/>
    </w:rPr>
  </w:style>
  <w:style w:type="character" w:customStyle="1" w:styleId="187">
    <w:name w:val="正文文本缩进 3 Char"/>
    <w:qFormat/>
    <w:uiPriority w:val="0"/>
    <w:rPr>
      <w:kern w:val="2"/>
      <w:sz w:val="16"/>
      <w:szCs w:val="16"/>
    </w:rPr>
  </w:style>
  <w:style w:type="character" w:customStyle="1" w:styleId="188">
    <w:name w:val="尾注文本 字符"/>
    <w:link w:val="27"/>
    <w:qFormat/>
    <w:uiPriority w:val="0"/>
    <w:rPr>
      <w:rFonts w:ascii="Arial" w:hAnsi="Arial" w:eastAsia="宋体" w:cs="Arial"/>
      <w:szCs w:val="24"/>
      <w:lang w:val="en-US" w:eastAsia="en-US" w:bidi="ar-SA"/>
    </w:rPr>
  </w:style>
  <w:style w:type="character" w:customStyle="1" w:styleId="189">
    <w:name w:val="引用 Char3"/>
    <w:qFormat/>
    <w:uiPriority w:val="29"/>
    <w:rPr>
      <w:rFonts w:ascii="Calibri" w:hAnsi="Calibri" w:eastAsia="宋体" w:cs="Times New Roman"/>
      <w:i/>
      <w:iCs/>
      <w:color w:val="000000"/>
      <w:szCs w:val="24"/>
    </w:rPr>
  </w:style>
  <w:style w:type="character" w:customStyle="1" w:styleId="190">
    <w:name w:val="Char Char32"/>
    <w:qFormat/>
    <w:uiPriority w:val="0"/>
    <w:rPr>
      <w:rFonts w:ascii="仿宋_GB2312" w:eastAsia="仿宋_GB2312" w:cs="MingLiU"/>
      <w:b/>
      <w:spacing w:val="1"/>
      <w:w w:val="99"/>
      <w:sz w:val="28"/>
      <w:szCs w:val="32"/>
    </w:rPr>
  </w:style>
  <w:style w:type="character" w:customStyle="1" w:styleId="191">
    <w:name w:val="日期 Char"/>
    <w:qFormat/>
    <w:uiPriority w:val="0"/>
    <w:rPr>
      <w:rFonts w:eastAsia="宋体"/>
      <w:szCs w:val="24"/>
    </w:rPr>
  </w:style>
  <w:style w:type="character" w:customStyle="1" w:styleId="192">
    <w:name w:val="页脚 Char"/>
    <w:qFormat/>
    <w:uiPriority w:val="0"/>
    <w:rPr>
      <w:sz w:val="18"/>
      <w:szCs w:val="18"/>
    </w:rPr>
  </w:style>
  <w:style w:type="character" w:customStyle="1" w:styleId="193">
    <w:name w:val="style121"/>
    <w:qFormat/>
    <w:uiPriority w:val="0"/>
    <w:rPr>
      <w:rFonts w:hint="eastAsia" w:ascii="宋体" w:hAnsi="宋体" w:eastAsia="宋体"/>
      <w:sz w:val="18"/>
      <w:szCs w:val="18"/>
    </w:rPr>
  </w:style>
  <w:style w:type="character" w:customStyle="1" w:styleId="194">
    <w:name w:val="ss16"/>
    <w:qFormat/>
    <w:uiPriority w:val="0"/>
    <w:rPr>
      <w:rFonts w:hint="eastAsia" w:ascii="宋体" w:hAnsi="宋体" w:eastAsia="宋体"/>
      <w:color w:val="000000"/>
      <w:sz w:val="9"/>
      <w:szCs w:val="9"/>
    </w:rPr>
  </w:style>
  <w:style w:type="character" w:customStyle="1" w:styleId="195">
    <w:name w:val="textcontents"/>
    <w:qFormat/>
    <w:uiPriority w:val="0"/>
    <w:rPr>
      <w:rFonts w:cs="Times New Roman"/>
    </w:rPr>
  </w:style>
  <w:style w:type="character" w:customStyle="1" w:styleId="196">
    <w:name w:val="14t1"/>
    <w:qFormat/>
    <w:uiPriority w:val="0"/>
    <w:rPr>
      <w:rFonts w:hint="eastAsia" w:ascii="宋体" w:hAnsi="宋体" w:eastAsia="宋体"/>
      <w:sz w:val="11"/>
      <w:szCs w:val="11"/>
    </w:rPr>
  </w:style>
  <w:style w:type="character" w:customStyle="1" w:styleId="197">
    <w:name w:val="不明显参考1"/>
    <w:qFormat/>
    <w:uiPriority w:val="0"/>
    <w:rPr>
      <w:smallCaps/>
      <w:color w:val="C0504D"/>
      <w:u w:val="single"/>
    </w:rPr>
  </w:style>
  <w:style w:type="character" w:customStyle="1" w:styleId="198">
    <w:name w:val="unnamed1"/>
    <w:basedOn w:val="48"/>
    <w:qFormat/>
    <w:uiPriority w:val="0"/>
  </w:style>
  <w:style w:type="character" w:customStyle="1" w:styleId="199">
    <w:name w:val="批注主题 Char3"/>
    <w:semiHidden/>
    <w:qFormat/>
    <w:uiPriority w:val="99"/>
    <w:rPr>
      <w:rFonts w:ascii="Calibri" w:hAnsi="Calibri" w:eastAsia="宋体" w:cs="Times New Roman"/>
      <w:b/>
      <w:bCs/>
      <w:szCs w:val="24"/>
    </w:rPr>
  </w:style>
  <w:style w:type="character" w:customStyle="1" w:styleId="200">
    <w:name w:val="标题 3 字符"/>
    <w:link w:val="5"/>
    <w:qFormat/>
    <w:uiPriority w:val="0"/>
    <w:rPr>
      <w:rFonts w:eastAsia="宋体"/>
      <w:b/>
      <w:bCs/>
      <w:kern w:val="2"/>
      <w:sz w:val="32"/>
      <w:szCs w:val="32"/>
      <w:lang w:val="en-US" w:eastAsia="zh-CN" w:bidi="ar-SA"/>
    </w:rPr>
  </w:style>
  <w:style w:type="character" w:customStyle="1" w:styleId="201">
    <w:name w:val="标题 2 字符"/>
    <w:link w:val="4"/>
    <w:qFormat/>
    <w:uiPriority w:val="0"/>
    <w:rPr>
      <w:rFonts w:ascii="Cambria" w:hAnsi="Cambria" w:eastAsia="宋体"/>
      <w:b/>
      <w:bCs/>
      <w:kern w:val="2"/>
      <w:sz w:val="32"/>
      <w:szCs w:val="32"/>
      <w:lang w:val="en-US" w:eastAsia="zh-CN" w:bidi="ar-SA"/>
    </w:rPr>
  </w:style>
  <w:style w:type="character" w:customStyle="1" w:styleId="202">
    <w:name w:val="标题 6 字符"/>
    <w:link w:val="8"/>
    <w:qFormat/>
    <w:uiPriority w:val="0"/>
    <w:rPr>
      <w:rFonts w:hAnsi="Arial" w:eastAsia="仿宋_GB2312"/>
      <w:sz w:val="30"/>
      <w:lang w:val="en-US" w:eastAsia="zh-CN" w:bidi="ar-SA"/>
    </w:rPr>
  </w:style>
  <w:style w:type="character" w:customStyle="1" w:styleId="203">
    <w:name w:val="页脚 字符"/>
    <w:link w:val="29"/>
    <w:qFormat/>
    <w:uiPriority w:val="0"/>
    <w:rPr>
      <w:rFonts w:eastAsia="宋体"/>
      <w:kern w:val="2"/>
      <w:sz w:val="18"/>
      <w:szCs w:val="18"/>
      <w:lang w:val="en-US" w:eastAsia="zh-CN" w:bidi="ar-SA"/>
    </w:rPr>
  </w:style>
  <w:style w:type="character" w:customStyle="1" w:styleId="204">
    <w:name w:val="引用 Char4"/>
    <w:link w:val="103"/>
    <w:qFormat/>
    <w:uiPriority w:val="0"/>
    <w:rPr>
      <w:i/>
      <w:iCs/>
      <w:color w:val="000000"/>
      <w:kern w:val="2"/>
      <w:sz w:val="21"/>
      <w:szCs w:val="22"/>
      <w:lang w:bidi="ar-SA"/>
    </w:rPr>
  </w:style>
  <w:style w:type="character" w:customStyle="1" w:styleId="205">
    <w:name w:val="标题 9 字符"/>
    <w:link w:val="12"/>
    <w:qFormat/>
    <w:uiPriority w:val="0"/>
    <w:rPr>
      <w:rFonts w:eastAsia="仿宋_GB2312"/>
      <w:sz w:val="30"/>
      <w:lang w:val="en-US" w:eastAsia="zh-CN" w:bidi="ar-SA"/>
    </w:rPr>
  </w:style>
  <w:style w:type="character" w:customStyle="1" w:styleId="206">
    <w:name w:val="标题 3 Char"/>
    <w:qFormat/>
    <w:uiPriority w:val="0"/>
    <w:rPr>
      <w:rFonts w:ascii="仿宋_GB2312" w:hAnsi="Calibri" w:eastAsia="仿宋_GB2312" w:cs="Times New Roman"/>
      <w:b/>
      <w:kern w:val="0"/>
      <w:sz w:val="24"/>
      <w:szCs w:val="28"/>
    </w:rPr>
  </w:style>
  <w:style w:type="character" w:customStyle="1" w:styleId="207">
    <w:name w:val="批注文字 Char2"/>
    <w:qFormat/>
    <w:uiPriority w:val="0"/>
    <w:rPr>
      <w:rFonts w:ascii="Calibri" w:hAnsi="Calibri" w:eastAsia="宋体" w:cs="Times New Roman"/>
      <w:szCs w:val="24"/>
    </w:rPr>
  </w:style>
  <w:style w:type="character" w:customStyle="1" w:styleId="208">
    <w:name w:val="normaltext1"/>
    <w:qFormat/>
    <w:uiPriority w:val="0"/>
    <w:rPr>
      <w:rFonts w:hint="default" w:ascii="ˎ̥" w:hAnsi="ˎ̥"/>
      <w:sz w:val="9"/>
      <w:szCs w:val="9"/>
    </w:rPr>
  </w:style>
  <w:style w:type="character" w:customStyle="1" w:styleId="209">
    <w:name w:val="ca-141"/>
    <w:qFormat/>
    <w:uiPriority w:val="0"/>
    <w:rPr>
      <w:rFonts w:hint="eastAsia" w:ascii="仿宋_GB2312" w:eastAsia="仿宋_GB2312"/>
      <w:sz w:val="21"/>
      <w:szCs w:val="21"/>
    </w:rPr>
  </w:style>
  <w:style w:type="character" w:customStyle="1" w:styleId="210">
    <w:name w:val="main_tdbg_7601"/>
    <w:qFormat/>
    <w:uiPriority w:val="0"/>
    <w:rPr>
      <w:sz w:val="14"/>
      <w:szCs w:val="14"/>
    </w:rPr>
  </w:style>
  <w:style w:type="character" w:customStyle="1" w:styleId="211">
    <w:name w:val="文档结构图 字符"/>
    <w:link w:val="15"/>
    <w:qFormat/>
    <w:uiPriority w:val="0"/>
    <w:rPr>
      <w:rFonts w:eastAsia="宋体"/>
      <w:kern w:val="2"/>
      <w:sz w:val="21"/>
      <w:szCs w:val="24"/>
      <w:lang w:val="en-US" w:eastAsia="zh-CN" w:bidi="ar-SA"/>
    </w:rPr>
  </w:style>
  <w:style w:type="character" w:customStyle="1" w:styleId="212">
    <w:name w:val="批注框文本 Char3"/>
    <w:semiHidden/>
    <w:qFormat/>
    <w:uiPriority w:val="99"/>
    <w:rPr>
      <w:rFonts w:ascii="Calibri" w:hAnsi="Calibri" w:eastAsia="宋体" w:cs="Times New Roman"/>
      <w:sz w:val="18"/>
      <w:szCs w:val="18"/>
    </w:rPr>
  </w:style>
  <w:style w:type="character" w:customStyle="1" w:styleId="213">
    <w:name w:val="Char Char9"/>
    <w:qFormat/>
    <w:locked/>
    <w:uiPriority w:val="0"/>
    <w:rPr>
      <w:rFonts w:ascii="仿宋_GB2312" w:eastAsia="仿宋_GB2312" w:cs="MingLiU"/>
      <w:b/>
      <w:sz w:val="24"/>
      <w:szCs w:val="28"/>
      <w:lang w:val="en-US" w:eastAsia="zh-CN" w:bidi="ar-SA"/>
    </w:rPr>
  </w:style>
  <w:style w:type="character" w:customStyle="1" w:styleId="214">
    <w:name w:val="title11"/>
    <w:qFormat/>
    <w:uiPriority w:val="0"/>
    <w:rPr>
      <w:b/>
      <w:bCs/>
      <w:color w:val="FFFFFF"/>
      <w:sz w:val="11"/>
      <w:szCs w:val="11"/>
    </w:rPr>
  </w:style>
  <w:style w:type="character" w:customStyle="1" w:styleId="215">
    <w:name w:val="批注框文本 字符"/>
    <w:link w:val="28"/>
    <w:qFormat/>
    <w:uiPriority w:val="0"/>
    <w:rPr>
      <w:rFonts w:eastAsia="宋体"/>
      <w:kern w:val="2"/>
      <w:sz w:val="18"/>
      <w:szCs w:val="18"/>
      <w:lang w:val="en-US" w:eastAsia="zh-CN" w:bidi="ar-SA"/>
    </w:rPr>
  </w:style>
  <w:style w:type="character" w:customStyle="1" w:styleId="216">
    <w:name w:val="标题 8 Char1"/>
    <w:qFormat/>
    <w:uiPriority w:val="0"/>
    <w:rPr>
      <w:rFonts w:ascii="Times New Roman" w:hAnsi="Arial" w:eastAsia="仿宋_GB2312" w:cs="Times New Roman"/>
      <w:sz w:val="30"/>
      <w:szCs w:val="20"/>
    </w:rPr>
  </w:style>
  <w:style w:type="character" w:customStyle="1" w:styleId="217">
    <w:name w:val="标题 Char2"/>
    <w:qFormat/>
    <w:uiPriority w:val="10"/>
    <w:rPr>
      <w:rFonts w:ascii="Cambria" w:hAnsi="Cambria" w:eastAsia="宋体" w:cs="Times New Roman"/>
      <w:b/>
      <w:bCs/>
      <w:sz w:val="32"/>
      <w:szCs w:val="32"/>
    </w:rPr>
  </w:style>
  <w:style w:type="character" w:customStyle="1" w:styleId="218">
    <w:name w:val="标题 字符"/>
    <w:link w:val="43"/>
    <w:qFormat/>
    <w:uiPriority w:val="0"/>
    <w:rPr>
      <w:rFonts w:eastAsia="宋体"/>
      <w:szCs w:val="24"/>
      <w:u w:val="single"/>
      <w:lang w:val="en-US" w:eastAsia="en-US" w:bidi="ar-SA"/>
    </w:rPr>
  </w:style>
  <w:style w:type="character" w:customStyle="1" w:styleId="219">
    <w:name w:val="批注主题 Char1"/>
    <w:qFormat/>
    <w:uiPriority w:val="0"/>
    <w:rPr>
      <w:b/>
      <w:bCs/>
      <w:kern w:val="2"/>
      <w:sz w:val="21"/>
      <w:szCs w:val="22"/>
    </w:rPr>
  </w:style>
  <w:style w:type="character" w:customStyle="1" w:styleId="220">
    <w:name w:val="副标题 Char"/>
    <w:qFormat/>
    <w:uiPriority w:val="0"/>
    <w:rPr>
      <w:rFonts w:ascii="Cambria" w:hAnsi="Cambria" w:eastAsia="宋体" w:cs="Times New Roman"/>
      <w:b/>
      <w:bCs/>
      <w:kern w:val="28"/>
      <w:sz w:val="32"/>
      <w:szCs w:val="32"/>
    </w:rPr>
  </w:style>
  <w:style w:type="character" w:customStyle="1" w:styleId="221">
    <w:name w:val="正文文本 字符"/>
    <w:link w:val="2"/>
    <w:qFormat/>
    <w:uiPriority w:val="0"/>
    <w:rPr>
      <w:rFonts w:eastAsia="宋体"/>
      <w:kern w:val="2"/>
      <w:sz w:val="21"/>
      <w:szCs w:val="24"/>
      <w:lang w:val="en-US" w:eastAsia="zh-CN" w:bidi="ar-SA"/>
    </w:rPr>
  </w:style>
  <w:style w:type="character" w:customStyle="1" w:styleId="222">
    <w:name w:val="纯文本 Char1"/>
    <w:qFormat/>
    <w:uiPriority w:val="0"/>
    <w:rPr>
      <w:rFonts w:ascii="宋体" w:hAnsi="Courier New" w:cs="Courier New"/>
      <w:kern w:val="2"/>
      <w:sz w:val="21"/>
      <w:szCs w:val="21"/>
    </w:rPr>
  </w:style>
  <w:style w:type="character" w:customStyle="1" w:styleId="223">
    <w:name w:val="脚注文本 字符"/>
    <w:link w:val="34"/>
    <w:qFormat/>
    <w:uiPriority w:val="0"/>
    <w:rPr>
      <w:rFonts w:ascii="Arial" w:hAnsi="Arial" w:eastAsia="宋体" w:cs="Arial"/>
      <w:sz w:val="18"/>
      <w:szCs w:val="18"/>
      <w:lang w:val="en-US" w:eastAsia="en-US" w:bidi="ar-SA"/>
    </w:rPr>
  </w:style>
  <w:style w:type="character" w:customStyle="1" w:styleId="224">
    <w:name w:val="标题 2 Char1"/>
    <w:qFormat/>
    <w:uiPriority w:val="0"/>
    <w:rPr>
      <w:rFonts w:ascii="Cambria" w:hAnsi="Cambria" w:eastAsia="宋体" w:cs="Times New Roman"/>
      <w:b/>
      <w:bCs/>
      <w:kern w:val="2"/>
      <w:sz w:val="32"/>
      <w:szCs w:val="32"/>
    </w:rPr>
  </w:style>
  <w:style w:type="character" w:customStyle="1" w:styleId="225">
    <w:name w:val="脚注文本 Char1"/>
    <w:qFormat/>
    <w:uiPriority w:val="0"/>
    <w:rPr>
      <w:rFonts w:ascii="Arial" w:hAnsi="Arial" w:cs="Arial"/>
      <w:sz w:val="18"/>
      <w:szCs w:val="18"/>
      <w:lang w:eastAsia="en-US"/>
    </w:rPr>
  </w:style>
  <w:style w:type="character" w:customStyle="1" w:styleId="226">
    <w:name w:val="HTML 预设格式 Char2"/>
    <w:semiHidden/>
    <w:qFormat/>
    <w:uiPriority w:val="99"/>
    <w:rPr>
      <w:rFonts w:ascii="Courier New" w:hAnsi="Courier New" w:eastAsia="宋体" w:cs="Courier New"/>
      <w:sz w:val="20"/>
      <w:szCs w:val="20"/>
    </w:rPr>
  </w:style>
  <w:style w:type="character" w:customStyle="1" w:styleId="227">
    <w:name w:val="标题 8 Char"/>
    <w:qFormat/>
    <w:uiPriority w:val="0"/>
    <w:rPr>
      <w:rFonts w:ascii="Arial" w:hAnsi="Arial" w:eastAsia="黑体" w:cs="Times New Roman"/>
      <w:sz w:val="24"/>
      <w:szCs w:val="24"/>
    </w:rPr>
  </w:style>
  <w:style w:type="character" w:customStyle="1" w:styleId="228">
    <w:name w:val="s3"/>
    <w:qFormat/>
    <w:uiPriority w:val="0"/>
  </w:style>
  <w:style w:type="character" w:customStyle="1" w:styleId="229">
    <w:name w:val="标题 4 Char"/>
    <w:qFormat/>
    <w:uiPriority w:val="0"/>
    <w:rPr>
      <w:rFonts w:ascii="仿宋_GB2312" w:hAnsi="Calibri" w:eastAsia="仿宋_GB2312" w:cs="Times New Roman"/>
      <w:b/>
      <w:kern w:val="0"/>
      <w:sz w:val="24"/>
      <w:szCs w:val="28"/>
    </w:rPr>
  </w:style>
  <w:style w:type="character" w:customStyle="1" w:styleId="230">
    <w:name w:val="正文文本缩进 2 Char"/>
    <w:qFormat/>
    <w:uiPriority w:val="0"/>
    <w:rPr>
      <w:kern w:val="2"/>
      <w:sz w:val="21"/>
      <w:szCs w:val="24"/>
    </w:rPr>
  </w:style>
  <w:style w:type="character" w:customStyle="1" w:styleId="231">
    <w:name w:val="style21"/>
    <w:qFormat/>
    <w:uiPriority w:val="0"/>
    <w:rPr>
      <w:b/>
      <w:bCs/>
      <w:sz w:val="28"/>
      <w:szCs w:val="28"/>
    </w:rPr>
  </w:style>
  <w:style w:type="character" w:customStyle="1" w:styleId="232">
    <w:name w:val="正文文本缩进 2 Char2"/>
    <w:semiHidden/>
    <w:qFormat/>
    <w:uiPriority w:val="99"/>
    <w:rPr>
      <w:rFonts w:ascii="Calibri" w:hAnsi="Calibri" w:eastAsia="宋体" w:cs="Times New Roman"/>
      <w:szCs w:val="24"/>
    </w:rPr>
  </w:style>
  <w:style w:type="character" w:customStyle="1" w:styleId="233">
    <w:name w:val="ht1"/>
    <w:qFormat/>
    <w:uiPriority w:val="0"/>
    <w:rPr>
      <w:rFonts w:ascii="黑体" w:eastAsia="黑体"/>
      <w:b/>
      <w:bCs/>
    </w:rPr>
  </w:style>
  <w:style w:type="character" w:customStyle="1" w:styleId="234">
    <w:name w:val="文档结构图 Char3"/>
    <w:semiHidden/>
    <w:qFormat/>
    <w:uiPriority w:val="99"/>
    <w:rPr>
      <w:rFonts w:ascii="宋体" w:hAnsi="Calibri" w:eastAsia="宋体" w:cs="Times New Roman"/>
      <w:sz w:val="18"/>
      <w:szCs w:val="18"/>
    </w:rPr>
  </w:style>
  <w:style w:type="character" w:customStyle="1" w:styleId="235">
    <w:name w:val="书籍标题1"/>
    <w:qFormat/>
    <w:uiPriority w:val="0"/>
    <w:rPr>
      <w:b/>
      <w:bCs/>
      <w:smallCaps/>
      <w:spacing w:val="5"/>
    </w:rPr>
  </w:style>
  <w:style w:type="character" w:customStyle="1" w:styleId="236">
    <w:name w:val="标题 7 Char1"/>
    <w:qFormat/>
    <w:uiPriority w:val="0"/>
    <w:rPr>
      <w:rFonts w:ascii="Times New Roman" w:hAnsi="Times New Roman" w:eastAsia="仿宋_GB2312" w:cs="Times New Roman"/>
      <w:sz w:val="30"/>
      <w:szCs w:val="20"/>
    </w:rPr>
  </w:style>
  <w:style w:type="character" w:customStyle="1" w:styleId="237">
    <w:name w:val="明显引用 Char2"/>
    <w:qFormat/>
    <w:uiPriority w:val="99"/>
    <w:rPr>
      <w:b/>
      <w:bCs/>
      <w:i/>
      <w:iCs/>
      <w:color w:val="4F81BD"/>
      <w:kern w:val="2"/>
      <w:sz w:val="21"/>
      <w:szCs w:val="24"/>
    </w:rPr>
  </w:style>
  <w:style w:type="character" w:customStyle="1" w:styleId="238">
    <w:name w:val="不明显强调1"/>
    <w:qFormat/>
    <w:uiPriority w:val="0"/>
    <w:rPr>
      <w:i/>
      <w:iCs/>
      <w:color w:val="808080"/>
    </w:rPr>
  </w:style>
  <w:style w:type="character" w:customStyle="1" w:styleId="239">
    <w:name w:val="普通文字 Char Char2"/>
    <w:qFormat/>
    <w:uiPriority w:val="0"/>
    <w:rPr>
      <w:rFonts w:ascii="宋体" w:hAnsi="Courier New"/>
      <w:kern w:val="2"/>
      <w:sz w:val="28"/>
      <w:szCs w:val="28"/>
    </w:rPr>
  </w:style>
  <w:style w:type="character" w:customStyle="1" w:styleId="240">
    <w:name w:val="标题 6 Char"/>
    <w:qFormat/>
    <w:uiPriority w:val="0"/>
    <w:rPr>
      <w:rFonts w:ascii="Arial" w:hAnsi="Arial" w:eastAsia="黑体" w:cs="Times New Roman"/>
      <w:b/>
      <w:bCs/>
      <w:sz w:val="24"/>
      <w:szCs w:val="24"/>
    </w:rPr>
  </w:style>
  <w:style w:type="character" w:customStyle="1" w:styleId="241">
    <w:name w:val="l1"/>
    <w:basedOn w:val="48"/>
    <w:qFormat/>
    <w:uiPriority w:val="0"/>
  </w:style>
  <w:style w:type="character" w:customStyle="1" w:styleId="242">
    <w:name w:val="未处理的提及1"/>
    <w:unhideWhenUsed/>
    <w:qFormat/>
    <w:uiPriority w:val="99"/>
    <w:rPr>
      <w:color w:val="808080"/>
      <w:shd w:val="clear" w:color="auto" w:fill="E6E6E6"/>
    </w:rPr>
  </w:style>
  <w:style w:type="character" w:customStyle="1" w:styleId="243">
    <w:name w:val="页眉 字符"/>
    <w:link w:val="30"/>
    <w:qFormat/>
    <w:uiPriority w:val="0"/>
    <w:rPr>
      <w:rFonts w:eastAsia="宋体"/>
      <w:kern w:val="2"/>
      <w:sz w:val="18"/>
      <w:szCs w:val="18"/>
      <w:lang w:val="en-US" w:eastAsia="zh-CN" w:bidi="ar-SA"/>
    </w:rPr>
  </w:style>
  <w:style w:type="character" w:customStyle="1" w:styleId="244">
    <w:name w:val="Char Char35"/>
    <w:qFormat/>
    <w:uiPriority w:val="0"/>
    <w:rPr>
      <w:rFonts w:ascii="仿宋_GB2312" w:eastAsia="仿宋_GB2312" w:cs="MingLiU"/>
      <w:b/>
      <w:sz w:val="24"/>
      <w:szCs w:val="28"/>
    </w:rPr>
  </w:style>
  <w:style w:type="character" w:customStyle="1" w:styleId="245">
    <w:name w:val="Char Char11"/>
    <w:qFormat/>
    <w:locked/>
    <w:uiPriority w:val="0"/>
    <w:rPr>
      <w:rFonts w:eastAsia="黑体"/>
      <w:kern w:val="2"/>
      <w:sz w:val="44"/>
      <w:szCs w:val="44"/>
      <w:lang w:val="en-US" w:eastAsia="zh-CN" w:bidi="ar-SA"/>
    </w:rPr>
  </w:style>
  <w:style w:type="character" w:customStyle="1" w:styleId="246">
    <w:name w:val="style31"/>
    <w:qFormat/>
    <w:uiPriority w:val="0"/>
    <w:rPr>
      <w:sz w:val="10"/>
      <w:szCs w:val="10"/>
    </w:rPr>
  </w:style>
  <w:style w:type="character" w:customStyle="1" w:styleId="247">
    <w:name w:val="0d1471"/>
    <w:qFormat/>
    <w:uiPriority w:val="0"/>
    <w:rPr>
      <w:color w:val="000000"/>
      <w:sz w:val="11"/>
      <w:szCs w:val="11"/>
      <w:u w:val="none"/>
    </w:rPr>
  </w:style>
  <w:style w:type="character" w:customStyle="1" w:styleId="248">
    <w:name w:val="标题 9 Char"/>
    <w:qFormat/>
    <w:uiPriority w:val="0"/>
    <w:rPr>
      <w:rFonts w:ascii="Arial" w:hAnsi="Arial" w:eastAsia="黑体" w:cs="Times New Roman"/>
      <w:szCs w:val="21"/>
    </w:rPr>
  </w:style>
  <w:style w:type="character" w:customStyle="1" w:styleId="249">
    <w:name w:val="标题 3 Char1"/>
    <w:qFormat/>
    <w:uiPriority w:val="0"/>
    <w:rPr>
      <w:rFonts w:ascii="Times New Roman" w:hAnsi="Times New Roman" w:eastAsia="宋体" w:cs="Times New Roman"/>
      <w:b/>
      <w:bCs/>
      <w:kern w:val="2"/>
      <w:sz w:val="32"/>
      <w:szCs w:val="32"/>
    </w:rPr>
  </w:style>
  <w:style w:type="character" w:customStyle="1" w:styleId="250">
    <w:name w:val="标题4 Char Char"/>
    <w:link w:val="88"/>
    <w:qFormat/>
    <w:uiPriority w:val="0"/>
    <w:rPr>
      <w:rFonts w:ascii="Arial" w:hAnsi="Arial"/>
      <w:b/>
      <w:bCs/>
      <w:sz w:val="24"/>
      <w:szCs w:val="32"/>
      <w:lang w:bidi="ar-SA"/>
    </w:rPr>
  </w:style>
  <w:style w:type="character" w:customStyle="1" w:styleId="251">
    <w:name w:val="标题 5 Char1"/>
    <w:qFormat/>
    <w:uiPriority w:val="0"/>
    <w:rPr>
      <w:rFonts w:ascii="宋体" w:hAnsi="宋体" w:eastAsia="宋体" w:cs="宋体"/>
      <w:b/>
      <w:bCs/>
      <w:sz w:val="20"/>
      <w:szCs w:val="20"/>
    </w:rPr>
  </w:style>
  <w:style w:type="character" w:customStyle="1" w:styleId="252">
    <w:name w:val="正文文本缩进 3 Char1"/>
    <w:qFormat/>
    <w:uiPriority w:val="0"/>
    <w:rPr>
      <w:rFonts w:ascii="宋体" w:hAnsi="宋体"/>
      <w:kern w:val="2"/>
      <w:sz w:val="28"/>
      <w:szCs w:val="28"/>
    </w:rPr>
  </w:style>
  <w:style w:type="character" w:customStyle="1" w:styleId="253">
    <w:name w:val="Char Char33"/>
    <w:qFormat/>
    <w:uiPriority w:val="0"/>
    <w:rPr>
      <w:rFonts w:ascii="仿宋_GB2312" w:eastAsia="仿宋_GB2312" w:cs="MingLiU"/>
      <w:b/>
      <w:sz w:val="24"/>
      <w:szCs w:val="28"/>
    </w:rPr>
  </w:style>
  <w:style w:type="character" w:customStyle="1" w:styleId="254">
    <w:name w:val="批注文字 Char1"/>
    <w:qFormat/>
    <w:uiPriority w:val="99"/>
    <w:rPr>
      <w:rFonts w:ascii="Times New Roman" w:hAnsi="Times New Roman" w:eastAsia="宋体" w:cs="Times New Roman"/>
      <w:szCs w:val="24"/>
    </w:rPr>
  </w:style>
  <w:style w:type="character" w:customStyle="1" w:styleId="255">
    <w:name w:val="正文文本 3 Char1"/>
    <w:qFormat/>
    <w:uiPriority w:val="0"/>
    <w:rPr>
      <w:kern w:val="2"/>
      <w:sz w:val="16"/>
      <w:szCs w:val="16"/>
    </w:rPr>
  </w:style>
  <w:style w:type="character" w:customStyle="1" w:styleId="256">
    <w:name w:val="页眉 Char"/>
    <w:qFormat/>
    <w:uiPriority w:val="0"/>
    <w:rPr>
      <w:sz w:val="18"/>
      <w:szCs w:val="18"/>
    </w:rPr>
  </w:style>
  <w:style w:type="character" w:customStyle="1" w:styleId="257">
    <w:name w:val="明显引用 Char"/>
    <w:qFormat/>
    <w:uiPriority w:val="0"/>
    <w:rPr>
      <w:rFonts w:ascii="Times New Roman" w:hAnsi="Times New Roman" w:eastAsia="宋体" w:cs="Times New Roman"/>
      <w:b/>
      <w:bCs/>
      <w:i/>
      <w:iCs/>
      <w:color w:val="4F81BD"/>
      <w:kern w:val="2"/>
      <w:sz w:val="21"/>
      <w:szCs w:val="24"/>
    </w:rPr>
  </w:style>
  <w:style w:type="character" w:customStyle="1" w:styleId="258">
    <w:name w:val="color_red1"/>
    <w:qFormat/>
    <w:uiPriority w:val="0"/>
    <w:rPr>
      <w:color w:val="FA0004"/>
    </w:rPr>
  </w:style>
  <w:style w:type="character" w:customStyle="1" w:styleId="259">
    <w:name w:val="批注主题 Char2"/>
    <w:qFormat/>
    <w:uiPriority w:val="99"/>
    <w:rPr>
      <w:b/>
      <w:bCs/>
      <w:kern w:val="2"/>
      <w:sz w:val="21"/>
      <w:szCs w:val="24"/>
    </w:rPr>
  </w:style>
  <w:style w:type="character" w:customStyle="1" w:styleId="260">
    <w:name w:val="Char Char34"/>
    <w:qFormat/>
    <w:uiPriority w:val="0"/>
    <w:rPr>
      <w:rFonts w:ascii="仿宋_GB2312" w:eastAsia="仿宋_GB2312" w:cs="MingLiU"/>
      <w:b/>
      <w:spacing w:val="1"/>
      <w:w w:val="99"/>
      <w:sz w:val="28"/>
      <w:szCs w:val="32"/>
    </w:rPr>
  </w:style>
  <w:style w:type="character" w:customStyle="1" w:styleId="261">
    <w:name w:val="标题 1 Char"/>
    <w:qFormat/>
    <w:uiPriority w:val="0"/>
    <w:rPr>
      <w:rFonts w:ascii="Times New Roman" w:hAnsi="Times New Roman" w:eastAsia="宋体" w:cs="Times New Roman"/>
      <w:b/>
      <w:bCs/>
      <w:kern w:val="44"/>
      <w:sz w:val="44"/>
      <w:szCs w:val="44"/>
    </w:rPr>
  </w:style>
  <w:style w:type="character" w:customStyle="1" w:styleId="262">
    <w:name w:val="docpro"/>
    <w:basedOn w:val="48"/>
    <w:qFormat/>
    <w:uiPriority w:val="0"/>
  </w:style>
  <w:style w:type="character" w:customStyle="1" w:styleId="263">
    <w:name w:val="正文文本 3 Char"/>
    <w:qFormat/>
    <w:uiPriority w:val="0"/>
    <w:rPr>
      <w:kern w:val="2"/>
      <w:sz w:val="16"/>
      <w:szCs w:val="16"/>
    </w:rPr>
  </w:style>
  <w:style w:type="character" w:customStyle="1" w:styleId="264">
    <w:name w:val="标题 5 Char"/>
    <w:qFormat/>
    <w:uiPriority w:val="0"/>
    <w:rPr>
      <w:rFonts w:ascii="Calibri" w:hAnsi="Calibri" w:eastAsia="宋体" w:cs="Times New Roman"/>
      <w:b/>
      <w:bCs/>
      <w:sz w:val="28"/>
      <w:szCs w:val="28"/>
    </w:rPr>
  </w:style>
  <w:style w:type="character" w:customStyle="1" w:styleId="265">
    <w:name w:val="style161"/>
    <w:qFormat/>
    <w:uiPriority w:val="0"/>
    <w:rPr>
      <w:b/>
      <w:bCs/>
      <w:color w:val="333333"/>
    </w:rPr>
  </w:style>
  <w:style w:type="character" w:customStyle="1" w:styleId="266">
    <w:name w:val="文档结构图 Char2"/>
    <w:qFormat/>
    <w:uiPriority w:val="99"/>
    <w:rPr>
      <w:kern w:val="2"/>
      <w:sz w:val="21"/>
      <w:szCs w:val="24"/>
      <w:shd w:val="clear" w:color="auto" w:fill="000080"/>
    </w:rPr>
  </w:style>
  <w:style w:type="character" w:customStyle="1" w:styleId="267">
    <w:name w:val="页脚 Char1"/>
    <w:semiHidden/>
    <w:qFormat/>
    <w:uiPriority w:val="99"/>
    <w:rPr>
      <w:kern w:val="2"/>
      <w:sz w:val="18"/>
      <w:szCs w:val="18"/>
    </w:rPr>
  </w:style>
  <w:style w:type="character" w:customStyle="1" w:styleId="268">
    <w:name w:val="日期 Char2"/>
    <w:qFormat/>
    <w:uiPriority w:val="99"/>
    <w:rPr>
      <w:kern w:val="2"/>
      <w:sz w:val="21"/>
      <w:szCs w:val="24"/>
    </w:rPr>
  </w:style>
  <w:style w:type="character" w:customStyle="1" w:styleId="269">
    <w:name w:val="HTML 预设格式 Char"/>
    <w:qFormat/>
    <w:uiPriority w:val="0"/>
    <w:rPr>
      <w:rFonts w:ascii="宋体" w:hAnsi="宋体" w:eastAsia="宋体" w:cs="宋体"/>
      <w:color w:val="000000"/>
      <w:sz w:val="24"/>
      <w:szCs w:val="24"/>
    </w:rPr>
  </w:style>
  <w:style w:type="character" w:customStyle="1" w:styleId="270">
    <w:name w:val="批注主题 字符"/>
    <w:link w:val="44"/>
    <w:qFormat/>
    <w:uiPriority w:val="0"/>
    <w:rPr>
      <w:rFonts w:eastAsia="宋体"/>
      <w:b/>
      <w:bCs/>
      <w:kern w:val="2"/>
      <w:sz w:val="21"/>
      <w:szCs w:val="24"/>
      <w:lang w:val="en-US" w:eastAsia="zh-CN" w:bidi="ar-SA"/>
    </w:rPr>
  </w:style>
  <w:style w:type="character" w:customStyle="1" w:styleId="271">
    <w:name w:val="正文文本 2 字符"/>
    <w:link w:val="39"/>
    <w:qFormat/>
    <w:uiPriority w:val="0"/>
    <w:rPr>
      <w:i/>
      <w:iCs/>
      <w:kern w:val="2"/>
      <w:sz w:val="26"/>
      <w:szCs w:val="24"/>
    </w:rPr>
  </w:style>
  <w:style w:type="character" w:customStyle="1" w:styleId="272">
    <w:name w:val="批注框文本 Char"/>
    <w:qFormat/>
    <w:uiPriority w:val="0"/>
    <w:rPr>
      <w:sz w:val="18"/>
      <w:szCs w:val="18"/>
    </w:rPr>
  </w:style>
  <w:style w:type="character" w:customStyle="1" w:styleId="273">
    <w:name w:val="文档结构图 Char"/>
    <w:qFormat/>
    <w:uiPriority w:val="0"/>
    <w:rPr>
      <w:rFonts w:ascii="宋体"/>
      <w:kern w:val="2"/>
      <w:sz w:val="18"/>
      <w:szCs w:val="18"/>
    </w:rPr>
  </w:style>
  <w:style w:type="character" w:customStyle="1" w:styleId="274">
    <w:name w:val="标题 8 字符"/>
    <w:link w:val="11"/>
    <w:qFormat/>
    <w:uiPriority w:val="0"/>
    <w:rPr>
      <w:rFonts w:hAnsi="Arial" w:eastAsia="仿宋_GB2312"/>
      <w:sz w:val="30"/>
      <w:lang w:val="en-US" w:eastAsia="zh-CN" w:bidi="ar-SA"/>
    </w:rPr>
  </w:style>
  <w:style w:type="character" w:customStyle="1" w:styleId="275">
    <w:name w:val="正文文本缩进 3 字符"/>
    <w:link w:val="36"/>
    <w:qFormat/>
    <w:uiPriority w:val="0"/>
    <w:rPr>
      <w:rFonts w:ascii="宋体" w:hAnsi="宋体" w:eastAsia="宋体"/>
      <w:kern w:val="2"/>
      <w:sz w:val="28"/>
      <w:szCs w:val="28"/>
      <w:lang w:val="en-US" w:eastAsia="zh-CN" w:bidi="ar-SA"/>
    </w:rPr>
  </w:style>
  <w:style w:type="character" w:customStyle="1" w:styleId="276">
    <w:name w:val="正文文本缩进 字符"/>
    <w:link w:val="18"/>
    <w:qFormat/>
    <w:uiPriority w:val="0"/>
    <w:rPr>
      <w:rFonts w:eastAsia="宋体"/>
      <w:kern w:val="2"/>
      <w:sz w:val="21"/>
      <w:szCs w:val="24"/>
      <w:lang w:val="en-US" w:eastAsia="zh-CN" w:bidi="ar-SA"/>
    </w:rPr>
  </w:style>
  <w:style w:type="character" w:customStyle="1" w:styleId="277">
    <w:name w:val="_Style 196"/>
    <w:qFormat/>
    <w:uiPriority w:val="0"/>
    <w:rPr>
      <w:i/>
      <w:iCs/>
      <w:color w:val="808080"/>
    </w:rPr>
  </w:style>
  <w:style w:type="character" w:customStyle="1" w:styleId="278">
    <w:name w:val="正文文本缩进 2 字符"/>
    <w:link w:val="26"/>
    <w:qFormat/>
    <w:uiPriority w:val="0"/>
    <w:rPr>
      <w:rFonts w:eastAsia="宋体"/>
      <w:sz w:val="28"/>
      <w:szCs w:val="24"/>
      <w:lang w:val="en-US" w:eastAsia="zh-CN" w:bidi="ar-SA"/>
    </w:rPr>
  </w:style>
  <w:style w:type="character" w:customStyle="1" w:styleId="279">
    <w:name w:val="标题 7 字符"/>
    <w:link w:val="10"/>
    <w:qFormat/>
    <w:uiPriority w:val="0"/>
    <w:rPr>
      <w:rFonts w:eastAsia="仿宋_GB2312"/>
      <w:sz w:val="30"/>
      <w:lang w:val="en-US" w:eastAsia="zh-CN" w:bidi="ar-SA"/>
    </w:rPr>
  </w:style>
  <w:style w:type="character" w:customStyle="1" w:styleId="280">
    <w:name w:val="Char Char13"/>
    <w:qFormat/>
    <w:uiPriority w:val="0"/>
    <w:rPr>
      <w:kern w:val="2"/>
      <w:sz w:val="18"/>
      <w:szCs w:val="18"/>
    </w:rPr>
  </w:style>
  <w:style w:type="character" w:customStyle="1" w:styleId="281">
    <w:name w:val="正文文本缩进 2 Char1"/>
    <w:qFormat/>
    <w:uiPriority w:val="0"/>
    <w:rPr>
      <w:sz w:val="28"/>
      <w:szCs w:val="24"/>
    </w:rPr>
  </w:style>
  <w:style w:type="character" w:customStyle="1" w:styleId="282">
    <w:name w:val="Char Char21"/>
    <w:qFormat/>
    <w:uiPriority w:val="0"/>
    <w:rPr>
      <w:rFonts w:ascii="宋体" w:hAnsi="宋体" w:cs="宋体"/>
      <w:b/>
      <w:bCs/>
      <w:sz w:val="24"/>
      <w:szCs w:val="24"/>
    </w:rPr>
  </w:style>
  <w:style w:type="character" w:customStyle="1" w:styleId="283">
    <w:name w:val="文档结构图 Char1"/>
    <w:qFormat/>
    <w:uiPriority w:val="0"/>
    <w:rPr>
      <w:rFonts w:ascii="宋体"/>
      <w:kern w:val="2"/>
      <w:sz w:val="18"/>
      <w:szCs w:val="18"/>
    </w:rPr>
  </w:style>
  <w:style w:type="character" w:customStyle="1" w:styleId="284">
    <w:name w:val="标题 Char"/>
    <w:qFormat/>
    <w:uiPriority w:val="0"/>
    <w:rPr>
      <w:rFonts w:ascii="Cambria" w:hAnsi="Cambria" w:eastAsia="宋体" w:cs="Times New Roman"/>
      <w:b/>
      <w:bCs/>
      <w:kern w:val="2"/>
      <w:sz w:val="32"/>
      <w:szCs w:val="32"/>
    </w:rPr>
  </w:style>
  <w:style w:type="character" w:customStyle="1" w:styleId="285">
    <w:name w:val="_Style 275"/>
    <w:qFormat/>
    <w:uiPriority w:val="0"/>
    <w:rPr>
      <w:smallCaps/>
      <w:color w:val="C0504D"/>
      <w:u w:val="single"/>
    </w:rPr>
  </w:style>
  <w:style w:type="character" w:customStyle="1" w:styleId="286">
    <w:name w:val="Char Char12"/>
    <w:qFormat/>
    <w:uiPriority w:val="0"/>
    <w:rPr>
      <w:rFonts w:eastAsia="黑体"/>
      <w:kern w:val="2"/>
      <w:sz w:val="44"/>
      <w:szCs w:val="44"/>
      <w:lang w:val="en-US" w:eastAsia="zh-CN" w:bidi="ar-SA"/>
    </w:rPr>
  </w:style>
  <w:style w:type="character" w:customStyle="1" w:styleId="287">
    <w:name w:val="明显参考1"/>
    <w:qFormat/>
    <w:uiPriority w:val="0"/>
    <w:rPr>
      <w:b/>
      <w:bCs/>
      <w:smallCaps/>
      <w:color w:val="C0504D"/>
      <w:spacing w:val="5"/>
      <w:u w:val="single"/>
    </w:rPr>
  </w:style>
  <w:style w:type="character" w:customStyle="1" w:styleId="288">
    <w:name w:val="Char Char36"/>
    <w:qFormat/>
    <w:uiPriority w:val="0"/>
    <w:rPr>
      <w:rFonts w:ascii="仿宋_GB2312" w:eastAsia="仿宋_GB2312" w:cs="MingLiU"/>
      <w:b/>
      <w:sz w:val="24"/>
      <w:szCs w:val="28"/>
    </w:rPr>
  </w:style>
  <w:style w:type="character" w:customStyle="1" w:styleId="289">
    <w:name w:val="批注框文本 Char2"/>
    <w:qFormat/>
    <w:uiPriority w:val="99"/>
    <w:rPr>
      <w:kern w:val="2"/>
      <w:sz w:val="18"/>
      <w:szCs w:val="18"/>
    </w:rPr>
  </w:style>
  <w:style w:type="character" w:customStyle="1" w:styleId="290">
    <w:name w:val="subhead1"/>
    <w:qFormat/>
    <w:uiPriority w:val="0"/>
    <w:rPr>
      <w:rFonts w:hint="default" w:ascii="Tahoma" w:hAnsi="Tahoma" w:cs="Tahoma"/>
      <w:color w:val="000000"/>
      <w:sz w:val="18"/>
      <w:szCs w:val="18"/>
      <w:u w:val="none"/>
      <w:shd w:val="clear" w:color="auto" w:fill="FFFFFF"/>
    </w:rPr>
  </w:style>
  <w:style w:type="character" w:customStyle="1" w:styleId="291">
    <w:name w:val="正文文本缩进 3 Char2"/>
    <w:semiHidden/>
    <w:qFormat/>
    <w:uiPriority w:val="99"/>
    <w:rPr>
      <w:rFonts w:ascii="Calibri" w:hAnsi="Calibri" w:eastAsia="宋体" w:cs="Times New Roman"/>
      <w:sz w:val="16"/>
      <w:szCs w:val="16"/>
    </w:rPr>
  </w:style>
  <w:style w:type="character" w:customStyle="1" w:styleId="292">
    <w:name w:val="纯文本 Char"/>
    <w:qFormat/>
    <w:uiPriority w:val="0"/>
    <w:rPr>
      <w:rFonts w:ascii="宋体" w:hAnsi="Courier New"/>
      <w:sz w:val="28"/>
      <w:szCs w:val="28"/>
    </w:rPr>
  </w:style>
  <w:style w:type="character" w:customStyle="1" w:styleId="293">
    <w:name w:val="纯文本 Char2"/>
    <w:semiHidden/>
    <w:qFormat/>
    <w:uiPriority w:val="99"/>
    <w:rPr>
      <w:rFonts w:ascii="宋体" w:hAnsi="Courier New" w:eastAsia="宋体" w:cs="Courier New"/>
      <w:szCs w:val="21"/>
    </w:rPr>
  </w:style>
  <w:style w:type="character" w:customStyle="1" w:styleId="294">
    <w:name w:val="页眉 Char1"/>
    <w:semiHidden/>
    <w:qFormat/>
    <w:uiPriority w:val="99"/>
    <w:rPr>
      <w:kern w:val="2"/>
      <w:sz w:val="18"/>
      <w:szCs w:val="18"/>
    </w:rPr>
  </w:style>
  <w:style w:type="character" w:customStyle="1" w:styleId="295">
    <w:name w:val="Char Char14"/>
    <w:qFormat/>
    <w:uiPriority w:val="0"/>
    <w:rPr>
      <w:kern w:val="2"/>
      <w:sz w:val="18"/>
      <w:szCs w:val="18"/>
    </w:rPr>
  </w:style>
  <w:style w:type="character" w:customStyle="1" w:styleId="296">
    <w:name w:val="批注文字 字符"/>
    <w:link w:val="16"/>
    <w:qFormat/>
    <w:uiPriority w:val="99"/>
    <w:rPr>
      <w:rFonts w:eastAsia="宋体"/>
      <w:kern w:val="2"/>
      <w:sz w:val="21"/>
      <w:szCs w:val="24"/>
      <w:lang w:val="en-US" w:eastAsia="zh-CN" w:bidi="ar-SA"/>
    </w:rPr>
  </w:style>
  <w:style w:type="character" w:customStyle="1" w:styleId="297">
    <w:name w:val="批注文字 Char Char"/>
    <w:qFormat/>
    <w:uiPriority w:val="0"/>
    <w:rPr>
      <w:rFonts w:ascii="宋体" w:hAnsi="Times New Roman" w:eastAsia="宋体" w:cs="Times New Roman"/>
      <w:sz w:val="28"/>
      <w:szCs w:val="20"/>
    </w:rPr>
  </w:style>
  <w:style w:type="character" w:customStyle="1" w:styleId="298">
    <w:name w:val="标题 1 Char1"/>
    <w:qFormat/>
    <w:uiPriority w:val="0"/>
    <w:rPr>
      <w:rFonts w:ascii="Times New Roman" w:hAnsi="Times New Roman" w:eastAsia="宋体" w:cs="Times New Roman"/>
      <w:b/>
      <w:bCs/>
      <w:kern w:val="44"/>
      <w:sz w:val="44"/>
      <w:szCs w:val="44"/>
    </w:rPr>
  </w:style>
  <w:style w:type="character" w:customStyle="1" w:styleId="299">
    <w:name w:val="标题 5 字符"/>
    <w:link w:val="7"/>
    <w:qFormat/>
    <w:uiPriority w:val="0"/>
    <w:rPr>
      <w:rFonts w:ascii="宋体" w:hAnsi="宋体" w:eastAsia="宋体" w:cs="宋体"/>
      <w:b/>
      <w:bCs/>
      <w:lang w:val="en-US" w:eastAsia="zh-CN" w:bidi="ar-SA"/>
    </w:rPr>
  </w:style>
  <w:style w:type="character" w:customStyle="1" w:styleId="300">
    <w:name w:val="手改 Char Char"/>
    <w:qFormat/>
    <w:uiPriority w:val="0"/>
    <w:rPr>
      <w:kern w:val="2"/>
      <w:sz w:val="21"/>
      <w:szCs w:val="24"/>
    </w:rPr>
  </w:style>
  <w:style w:type="character" w:customStyle="1" w:styleId="301">
    <w:name w:val="标题 1 字符"/>
    <w:link w:val="3"/>
    <w:qFormat/>
    <w:uiPriority w:val="0"/>
    <w:rPr>
      <w:rFonts w:eastAsia="宋体"/>
      <w:b/>
      <w:bCs/>
      <w:kern w:val="44"/>
      <w:sz w:val="44"/>
      <w:szCs w:val="44"/>
      <w:lang w:val="en-US" w:eastAsia="zh-CN" w:bidi="ar-SA"/>
    </w:rPr>
  </w:style>
  <w:style w:type="character" w:customStyle="1" w:styleId="302">
    <w:name w:val="intel3"/>
    <w:basedOn w:val="48"/>
    <w:qFormat/>
    <w:uiPriority w:val="0"/>
  </w:style>
  <w:style w:type="character" w:customStyle="1" w:styleId="303">
    <w:name w:val="副标题 Char2"/>
    <w:qFormat/>
    <w:uiPriority w:val="11"/>
    <w:rPr>
      <w:rFonts w:ascii="Cambria" w:hAnsi="Cambria" w:eastAsia="宋体" w:cs="Times New Roman"/>
      <w:b/>
      <w:bCs/>
      <w:kern w:val="28"/>
      <w:sz w:val="32"/>
      <w:szCs w:val="32"/>
    </w:rPr>
  </w:style>
  <w:style w:type="character" w:customStyle="1" w:styleId="304">
    <w:name w:val="明显引用 Char4"/>
    <w:link w:val="119"/>
    <w:qFormat/>
    <w:uiPriority w:val="0"/>
    <w:rPr>
      <w:b/>
      <w:bCs/>
      <w:i/>
      <w:iCs/>
      <w:color w:val="4F81BD"/>
      <w:kern w:val="2"/>
      <w:sz w:val="21"/>
      <w:szCs w:val="22"/>
      <w:lang w:bidi="ar-SA"/>
    </w:rPr>
  </w:style>
  <w:style w:type="character" w:customStyle="1" w:styleId="305">
    <w:name w:val="明显引用 Char1"/>
    <w:link w:val="112"/>
    <w:qFormat/>
    <w:uiPriority w:val="30"/>
    <w:rPr>
      <w:b/>
      <w:bCs/>
      <w:i/>
      <w:iCs/>
      <w:color w:val="4F81BD"/>
      <w:kern w:val="2"/>
      <w:sz w:val="21"/>
    </w:rPr>
  </w:style>
  <w:style w:type="character" w:customStyle="1" w:styleId="306">
    <w:name w:val="HTML 预设格式 Char1"/>
    <w:qFormat/>
    <w:uiPriority w:val="0"/>
    <w:rPr>
      <w:rFonts w:ascii="宋体" w:hAnsi="宋体" w:cs="宋体"/>
      <w:color w:val="000000"/>
      <w:sz w:val="24"/>
      <w:szCs w:val="24"/>
    </w:rPr>
  </w:style>
  <w:style w:type="character" w:customStyle="1" w:styleId="307">
    <w:name w:val="引用 Char"/>
    <w:link w:val="70"/>
    <w:qFormat/>
    <w:uiPriority w:val="0"/>
    <w:rPr>
      <w:rFonts w:ascii="Times New Roman" w:hAnsi="Times New Roman" w:eastAsia="宋体" w:cs="Times New Roman"/>
      <w:i/>
      <w:iCs/>
      <w:color w:val="000000"/>
      <w:kern w:val="2"/>
      <w:sz w:val="21"/>
      <w:szCs w:val="24"/>
    </w:rPr>
  </w:style>
  <w:style w:type="character" w:customStyle="1" w:styleId="308">
    <w:name w:val="副标题 字符"/>
    <w:link w:val="33"/>
    <w:qFormat/>
    <w:uiPriority w:val="0"/>
    <w:rPr>
      <w:rFonts w:eastAsia="宋体"/>
      <w:szCs w:val="24"/>
      <w:u w:val="single"/>
      <w:lang w:val="en-US" w:eastAsia="en-US" w:bidi="ar-SA"/>
    </w:rPr>
  </w:style>
  <w:style w:type="character" w:customStyle="1" w:styleId="309">
    <w:name w:val="ITTHEADER1 Char"/>
    <w:qFormat/>
    <w:uiPriority w:val="0"/>
    <w:rPr>
      <w:rFonts w:eastAsia="黑体"/>
      <w:kern w:val="2"/>
      <w:sz w:val="44"/>
      <w:szCs w:val="44"/>
      <w:lang w:val="en-US" w:eastAsia="zh-CN" w:bidi="ar-SA"/>
    </w:rPr>
  </w:style>
  <w:style w:type="character" w:customStyle="1" w:styleId="310">
    <w:name w:val="日期 Char3"/>
    <w:semiHidden/>
    <w:qFormat/>
    <w:uiPriority w:val="99"/>
    <w:rPr>
      <w:rFonts w:ascii="Calibri" w:hAnsi="Calibri" w:eastAsia="宋体" w:cs="Times New Roman"/>
      <w:szCs w:val="24"/>
    </w:rPr>
  </w:style>
  <w:style w:type="character" w:customStyle="1" w:styleId="311">
    <w:name w:val="纯文本 字符"/>
    <w:link w:val="23"/>
    <w:qFormat/>
    <w:uiPriority w:val="0"/>
    <w:rPr>
      <w:rFonts w:ascii="宋体" w:hAnsi="Courier New" w:eastAsia="宋体" w:cs="Courier New"/>
      <w:kern w:val="2"/>
      <w:sz w:val="21"/>
      <w:szCs w:val="21"/>
      <w:lang w:val="en-US" w:eastAsia="zh-CN" w:bidi="ar-SA"/>
    </w:rPr>
  </w:style>
  <w:style w:type="character" w:customStyle="1" w:styleId="312">
    <w:name w:val="批注文字 Char"/>
    <w:qFormat/>
    <w:uiPriority w:val="0"/>
    <w:rPr>
      <w:rFonts w:ascii="Times New Roman" w:hAnsi="Times New Roman" w:eastAsia="宋体" w:cs="Times New Roman"/>
      <w:kern w:val="2"/>
      <w:sz w:val="21"/>
      <w:szCs w:val="24"/>
    </w:rPr>
  </w:style>
  <w:style w:type="character" w:customStyle="1" w:styleId="313">
    <w:name w:val="Section Char"/>
    <w:qFormat/>
    <w:uiPriority w:val="0"/>
    <w:rPr>
      <w:rFonts w:ascii="仿宋_GB2312" w:eastAsia="仿宋_GB2312" w:cs="MingLiU"/>
      <w:b/>
      <w:sz w:val="24"/>
      <w:szCs w:val="28"/>
      <w:lang w:val="en-US" w:eastAsia="zh-CN" w:bidi="ar-SA"/>
    </w:rPr>
  </w:style>
  <w:style w:type="character" w:customStyle="1" w:styleId="314">
    <w:name w:val="正文文本 3 Char2"/>
    <w:semiHidden/>
    <w:qFormat/>
    <w:uiPriority w:val="99"/>
    <w:rPr>
      <w:rFonts w:ascii="Calibri" w:hAnsi="Calibri" w:eastAsia="宋体" w:cs="Times New Roman"/>
      <w:sz w:val="16"/>
      <w:szCs w:val="16"/>
    </w:rPr>
  </w:style>
  <w:style w:type="character" w:customStyle="1" w:styleId="315">
    <w:name w:val="正文文本 3 字符"/>
    <w:link w:val="17"/>
    <w:qFormat/>
    <w:uiPriority w:val="0"/>
    <w:rPr>
      <w:rFonts w:eastAsia="宋体"/>
      <w:kern w:val="2"/>
      <w:sz w:val="16"/>
      <w:szCs w:val="16"/>
      <w:lang w:val="en-US" w:eastAsia="zh-CN" w:bidi="ar-SA"/>
    </w:rPr>
  </w:style>
  <w:style w:type="character" w:customStyle="1" w:styleId="316">
    <w:name w:val="普通文字 Char Char1"/>
    <w:qFormat/>
    <w:uiPriority w:val="0"/>
    <w:rPr>
      <w:rFonts w:ascii="宋体" w:hAnsi="Courier New"/>
      <w:kern w:val="2"/>
      <w:sz w:val="28"/>
      <w:szCs w:val="28"/>
    </w:rPr>
  </w:style>
  <w:style w:type="character" w:customStyle="1" w:styleId="317">
    <w:name w:val="正文文本缩进 Char"/>
    <w:qFormat/>
    <w:uiPriority w:val="0"/>
    <w:rPr>
      <w:rFonts w:ascii="黑体" w:hAnsi="宋体" w:eastAsia="黑体"/>
      <w:color w:val="000000"/>
      <w:sz w:val="28"/>
      <w:szCs w:val="32"/>
    </w:rPr>
  </w:style>
  <w:style w:type="character" w:customStyle="1" w:styleId="318">
    <w:name w:val="font161"/>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138</Pages>
  <Words>13539</Words>
  <Characters>14544</Characters>
  <Lines>1335</Lines>
  <Paragraphs>376</Paragraphs>
  <TotalTime>1</TotalTime>
  <ScaleCrop>false</ScaleCrop>
  <LinksUpToDate>false</LinksUpToDate>
  <CharactersWithSpaces>15003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鱼与飞鸟</cp:lastModifiedBy>
  <cp:lastPrinted>2025-06-25T08:29:00Z</cp:lastPrinted>
  <dcterms:modified xsi:type="dcterms:W3CDTF">2025-12-05T09:46:23Z</dcterms:modified>
  <dc:title>第一卷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A8160DF1A0C0412C92D931DD5807C41A_13</vt:lpwstr>
  </property>
  <property fmtid="{D5CDD505-2E9C-101B-9397-08002B2CF9AE}" pid="4" name="KSOTemplateDocerSaveRecord">
    <vt:lpwstr>eyJoZGlkIjoiZTU3YjcyZTk0MDE4ZmZmNzVlNTUzZGQ2ZmRhNmUzZDYiLCJ1c2VySWQiOiIzODgxMzkzMzcifQ==</vt:lpwstr>
  </property>
</Properties>
</file>