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8CAD">
      <w:pPr>
        <w:jc w:val="center"/>
        <w:rPr>
          <w:rFonts w:eastAsia="华文中宋"/>
          <w:b/>
          <w:color w:val="auto"/>
          <w:sz w:val="72"/>
          <w:szCs w:val="52"/>
          <w:highlight w:val="none"/>
        </w:rPr>
      </w:pPr>
      <w:bookmarkStart w:id="0" w:name="_Toc509218843"/>
      <w:bookmarkStart w:id="1" w:name="_Toc534185822"/>
      <w:bookmarkStart w:id="2" w:name="_Toc296503025"/>
      <w:bookmarkStart w:id="3" w:name="_Toc351203480"/>
      <w:bookmarkStart w:id="4" w:name="_Toc16194"/>
      <w:bookmarkStart w:id="5" w:name="_Toc430530513"/>
      <w:bookmarkStart w:id="6" w:name="_Toc287620797"/>
      <w:bookmarkStart w:id="7" w:name="_Toc287607855"/>
      <w:bookmarkStart w:id="8" w:name="_Toc296890982"/>
      <w:bookmarkStart w:id="9" w:name="_Toc9257"/>
    </w:p>
    <w:p w14:paraId="20CDD42B">
      <w:pPr>
        <w:jc w:val="center"/>
        <w:rPr>
          <w:rFonts w:eastAsia="华文中宋"/>
          <w:b/>
          <w:color w:val="auto"/>
          <w:sz w:val="72"/>
          <w:szCs w:val="52"/>
          <w:highlight w:val="none"/>
        </w:rPr>
      </w:pPr>
    </w:p>
    <w:p w14:paraId="34DDBCE1">
      <w:pPr>
        <w:pStyle w:val="2"/>
      </w:pPr>
    </w:p>
    <w:p w14:paraId="4F3E6854">
      <w:pPr>
        <w:jc w:val="center"/>
        <w:rPr>
          <w:rFonts w:eastAsia="华文中宋"/>
          <w:b/>
          <w:color w:val="auto"/>
          <w:sz w:val="72"/>
          <w:szCs w:val="52"/>
          <w:highlight w:val="none"/>
        </w:rPr>
      </w:pPr>
    </w:p>
    <w:p w14:paraId="361E6A33">
      <w:pPr>
        <w:jc w:val="center"/>
        <w:rPr>
          <w:rFonts w:eastAsia="华文中宋"/>
          <w:b/>
          <w:color w:val="auto"/>
          <w:sz w:val="52"/>
          <w:szCs w:val="52"/>
          <w:highlight w:val="none"/>
        </w:rPr>
      </w:pPr>
      <w:r>
        <w:rPr>
          <w:rFonts w:eastAsia="华文中宋"/>
          <w:b/>
          <w:color w:val="auto"/>
          <w:sz w:val="72"/>
          <w:szCs w:val="52"/>
          <w:highlight w:val="none"/>
        </w:rPr>
        <w:t>建设工程</w:t>
      </w:r>
      <w:r>
        <w:rPr>
          <w:rFonts w:hint="eastAsia" w:eastAsia="华文中宋"/>
          <w:b/>
          <w:color w:val="auto"/>
          <w:sz w:val="72"/>
          <w:szCs w:val="52"/>
          <w:highlight w:val="none"/>
        </w:rPr>
        <w:t>承包</w:t>
      </w:r>
      <w:r>
        <w:rPr>
          <w:rFonts w:eastAsia="华文中宋"/>
          <w:b/>
          <w:color w:val="auto"/>
          <w:sz w:val="72"/>
          <w:szCs w:val="52"/>
          <w:highlight w:val="none"/>
        </w:rPr>
        <w:t>合同</w:t>
      </w:r>
      <w:r>
        <w:rPr>
          <w:rFonts w:eastAsia="华文中宋"/>
          <w:b/>
          <w:color w:val="auto"/>
          <w:sz w:val="52"/>
          <w:szCs w:val="52"/>
          <w:highlight w:val="none"/>
        </w:rPr>
        <w:br w:type="textWrapping"/>
      </w:r>
    </w:p>
    <w:p w14:paraId="025A4147">
      <w:pPr>
        <w:jc w:val="center"/>
        <w:rPr>
          <w:rFonts w:eastAsia="华文中宋"/>
          <w:b/>
          <w:color w:val="auto"/>
          <w:sz w:val="52"/>
          <w:szCs w:val="52"/>
          <w:highlight w:val="none"/>
        </w:rPr>
      </w:pPr>
    </w:p>
    <w:p w14:paraId="69FE309D">
      <w:pPr>
        <w:jc w:val="center"/>
        <w:rPr>
          <w:rFonts w:eastAsia="华文中宋"/>
          <w:b/>
          <w:color w:val="auto"/>
          <w:sz w:val="52"/>
          <w:szCs w:val="52"/>
          <w:highlight w:val="none"/>
        </w:rPr>
      </w:pPr>
    </w:p>
    <w:p w14:paraId="1BE935F0">
      <w:pPr>
        <w:pStyle w:val="2"/>
        <w:rPr>
          <w:color w:val="auto"/>
          <w:highlight w:val="none"/>
        </w:rPr>
      </w:pPr>
    </w:p>
    <w:p w14:paraId="6C916C0A">
      <w:pPr>
        <w:rPr>
          <w:color w:val="auto"/>
          <w:highlight w:val="none"/>
        </w:rPr>
      </w:pPr>
    </w:p>
    <w:p w14:paraId="0CB6F2A1">
      <w:pPr>
        <w:pStyle w:val="2"/>
        <w:rPr>
          <w:color w:val="auto"/>
          <w:highlight w:val="none"/>
        </w:rPr>
      </w:pPr>
    </w:p>
    <w:p w14:paraId="249A06C0">
      <w:pPr>
        <w:rPr>
          <w:color w:val="auto"/>
          <w:highlight w:val="none"/>
        </w:rPr>
      </w:pPr>
    </w:p>
    <w:p w14:paraId="3747C96C">
      <w:pPr>
        <w:pStyle w:val="2"/>
      </w:pPr>
    </w:p>
    <w:p w14:paraId="20E1F71D">
      <w:pPr>
        <w:pStyle w:val="2"/>
        <w:rPr>
          <w:color w:val="auto"/>
          <w:highlight w:val="none"/>
        </w:rPr>
      </w:pPr>
    </w:p>
    <w:p w14:paraId="58B81FFC">
      <w:pPr>
        <w:rPr>
          <w:color w:val="auto"/>
          <w:highlight w:val="none"/>
        </w:rPr>
      </w:pPr>
    </w:p>
    <w:p w14:paraId="4931B21E">
      <w:pPr>
        <w:pStyle w:val="2"/>
      </w:pPr>
    </w:p>
    <w:p w14:paraId="51BA0D4B">
      <w:pPr>
        <w:spacing w:after="120"/>
        <w:rPr>
          <w:color w:val="auto"/>
          <w:highlight w:val="none"/>
        </w:rPr>
      </w:pPr>
    </w:p>
    <w:p w14:paraId="253B6642">
      <w:pPr>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工程名称：</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640D197C">
      <w:pPr>
        <w:pStyle w:val="2"/>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发 包 人：</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7F4E43CF">
      <w:pPr>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承 包 人：</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3C491003">
      <w:pPr>
        <w:pStyle w:val="2"/>
        <w:spacing w:line="480" w:lineRule="auto"/>
        <w:ind w:firstLine="643" w:firstLineChars="200"/>
        <w:rPr>
          <w:color w:val="auto"/>
          <w:highlight w:val="none"/>
        </w:rPr>
      </w:pPr>
      <w:r>
        <w:rPr>
          <w:rFonts w:ascii="宋体" w:hAnsi="宋体" w:cs="仿宋_GB2312"/>
          <w:b/>
          <w:bCs/>
          <w:color w:val="auto"/>
          <w:sz w:val="32"/>
          <w:highlight w:val="none"/>
        </w:rPr>
        <w:t>签订时间</w:t>
      </w:r>
      <w:r>
        <w:rPr>
          <w:rFonts w:hint="eastAsia" w:ascii="宋体" w:hAnsi="宋体" w:cs="仿宋_GB2312"/>
          <w:b/>
          <w:bCs/>
          <w:color w:val="auto"/>
          <w:sz w:val="32"/>
          <w:highlight w:val="none"/>
        </w:rPr>
        <w:t>：</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2D89E667">
      <w:pPr>
        <w:spacing w:line="360" w:lineRule="auto"/>
        <w:rPr>
          <w:rFonts w:eastAsia="华文中宋"/>
          <w:b/>
          <w:color w:val="auto"/>
          <w:sz w:val="52"/>
          <w:szCs w:val="52"/>
          <w:highlight w:val="none"/>
        </w:rPr>
      </w:pPr>
    </w:p>
    <w:p w14:paraId="7D570AB4">
      <w:pPr>
        <w:spacing w:line="360" w:lineRule="auto"/>
        <w:ind w:firstLine="1767" w:firstLineChars="400"/>
        <w:rPr>
          <w:rFonts w:ascii="宋体" w:hAnsi="宋体"/>
          <w:b/>
          <w:bCs/>
          <w:color w:val="auto"/>
          <w:sz w:val="44"/>
          <w:szCs w:val="44"/>
          <w:highlight w:val="none"/>
        </w:rPr>
      </w:pPr>
      <w:r>
        <w:rPr>
          <w:rFonts w:ascii="宋体" w:hAnsi="宋体"/>
          <w:b/>
          <w:bCs/>
          <w:color w:val="auto"/>
          <w:sz w:val="44"/>
          <w:szCs w:val="44"/>
          <w:highlight w:val="none"/>
        </w:rPr>
        <w:br w:type="page"/>
      </w:r>
    </w:p>
    <w:p w14:paraId="4085207C">
      <w:pPr>
        <w:keepNext/>
        <w:keepLines/>
        <w:spacing w:before="260" w:after="260" w:line="416" w:lineRule="auto"/>
        <w:jc w:val="center"/>
        <w:outlineLvl w:val="2"/>
        <w:rPr>
          <w:rFonts w:ascii="宋体" w:hAnsi="宋体"/>
          <w:bCs/>
          <w:color w:val="auto"/>
          <w:sz w:val="44"/>
          <w:szCs w:val="44"/>
          <w:highlight w:val="none"/>
        </w:rPr>
      </w:pPr>
      <w:r>
        <w:rPr>
          <w:rFonts w:ascii="宋体" w:hAnsi="宋体"/>
          <w:b/>
          <w:bCs/>
          <w:color w:val="auto"/>
          <w:sz w:val="44"/>
          <w:szCs w:val="44"/>
          <w:highlight w:val="none"/>
        </w:rPr>
        <w:t>第一部分 合同协议书</w:t>
      </w:r>
    </w:p>
    <w:p w14:paraId="1C529830">
      <w:pPr>
        <w:snapToGrid w:val="0"/>
        <w:spacing w:line="600" w:lineRule="exact"/>
        <w:ind w:firstLine="480" w:firstLineChars="200"/>
        <w:rPr>
          <w:rFonts w:ascii="宋体" w:hAnsi="宋体"/>
          <w:color w:val="auto"/>
          <w:sz w:val="24"/>
          <w:highlight w:val="none"/>
        </w:rPr>
      </w:pPr>
    </w:p>
    <w:p w14:paraId="72D9DB0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6ADFBF2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F1703B3">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根据《中华人民共和国民法典》、《中华人民共和国建筑法》及有关法律、法规规定，遵循平等、自愿、公平和诚信的原则，双方就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p w14:paraId="18A786FA">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10" w:name="_Toc532377166"/>
      <w:bookmarkStart w:id="11" w:name="_Toc532375573"/>
      <w:bookmarkStart w:id="12" w:name="_Toc351203481"/>
      <w:r>
        <w:rPr>
          <w:rFonts w:hint="eastAsia" w:ascii="宋体" w:hAnsi="宋体" w:cs="宋体"/>
          <w:b/>
          <w:bCs/>
          <w:color w:val="auto"/>
          <w:szCs w:val="21"/>
          <w:highlight w:val="none"/>
        </w:rPr>
        <w:t>一、工程概况</w:t>
      </w:r>
      <w:bookmarkEnd w:id="10"/>
      <w:bookmarkEnd w:id="11"/>
      <w:bookmarkEnd w:id="12"/>
    </w:p>
    <w:p w14:paraId="0FF2575B">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740ED4F">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6192EC5">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14:paraId="08B44BBA">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3275D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66F2FA">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EB0C44">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13" w:name="_Toc532375574"/>
      <w:bookmarkStart w:id="14" w:name="_Toc351203482"/>
      <w:bookmarkStart w:id="15" w:name="_Toc532377167"/>
      <w:r>
        <w:rPr>
          <w:rFonts w:hint="eastAsia" w:ascii="宋体" w:hAnsi="宋体" w:cs="宋体"/>
          <w:b/>
          <w:bCs/>
          <w:color w:val="auto"/>
          <w:szCs w:val="21"/>
          <w:highlight w:val="none"/>
        </w:rPr>
        <w:t>二、合同工期</w:t>
      </w:r>
      <w:bookmarkEnd w:id="13"/>
      <w:bookmarkEnd w:id="14"/>
      <w:bookmarkEnd w:id="15"/>
    </w:p>
    <w:p w14:paraId="12C35BE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   日历天</w:t>
      </w:r>
      <w:r>
        <w:rPr>
          <w:rFonts w:hint="eastAsia" w:ascii="宋体" w:hAnsi="宋体"/>
          <w:bCs/>
          <w:color w:val="auto"/>
          <w:szCs w:val="21"/>
          <w:highlight w:val="none"/>
        </w:rPr>
        <w:t>。</w:t>
      </w:r>
    </w:p>
    <w:p w14:paraId="3D2C793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  </w:t>
      </w:r>
      <w:r>
        <w:rPr>
          <w:rFonts w:hint="eastAsia" w:ascii="宋体" w:hAnsi="宋体"/>
          <w:bCs/>
          <w:color w:val="auto"/>
          <w:szCs w:val="21"/>
          <w:highlight w:val="none"/>
        </w:rPr>
        <w:t>年</w:t>
      </w:r>
      <w:r>
        <w:rPr>
          <w:rFonts w:hint="eastAsia" w:ascii="宋体" w:hAnsi="宋体"/>
          <w:bCs/>
          <w:color w:val="auto"/>
          <w:szCs w:val="21"/>
          <w:highlight w:val="none"/>
          <w:u w:val="single"/>
        </w:rPr>
        <w:t> </w:t>
      </w:r>
      <w:r>
        <w:rPr>
          <w:rFonts w:hint="eastAsia" w:ascii="宋体" w:hAnsi="宋体"/>
          <w:bCs/>
          <w:color w:val="auto"/>
          <w:szCs w:val="21"/>
          <w:highlight w:val="none"/>
        </w:rPr>
        <w:t>月</w:t>
      </w:r>
      <w:r>
        <w:rPr>
          <w:rFonts w:hint="eastAsia" w:ascii="宋体" w:hAnsi="宋体"/>
          <w:bCs/>
          <w:color w:val="auto"/>
          <w:szCs w:val="21"/>
          <w:highlight w:val="none"/>
          <w:u w:val="single"/>
        </w:rPr>
        <w:t> </w:t>
      </w:r>
      <w:r>
        <w:rPr>
          <w:rFonts w:hint="eastAsia" w:ascii="宋体" w:hAnsi="宋体"/>
          <w:bCs/>
          <w:color w:val="auto"/>
          <w:szCs w:val="21"/>
          <w:highlight w:val="none"/>
        </w:rPr>
        <w:t>日，实际开工日期以监理工程师签发的工程开工通知明确的开工日期为准。</w:t>
      </w:r>
    </w:p>
    <w:p w14:paraId="75F9AA1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 </w:t>
      </w:r>
      <w:r>
        <w:rPr>
          <w:rFonts w:hint="eastAsia" w:ascii="宋体" w:hAnsi="宋体"/>
          <w:bCs/>
          <w:color w:val="auto"/>
          <w:szCs w:val="21"/>
          <w:highlight w:val="none"/>
        </w:rPr>
        <w:t>年</w:t>
      </w:r>
      <w:r>
        <w:rPr>
          <w:rFonts w:hint="eastAsia" w:ascii="宋体" w:hAnsi="宋体"/>
          <w:bCs/>
          <w:color w:val="auto"/>
          <w:szCs w:val="21"/>
          <w:highlight w:val="none"/>
          <w:u w:val="single"/>
        </w:rPr>
        <w:t>  </w:t>
      </w:r>
      <w:r>
        <w:rPr>
          <w:rFonts w:hint="eastAsia" w:ascii="宋体" w:hAnsi="宋体"/>
          <w:bCs/>
          <w:color w:val="auto"/>
          <w:szCs w:val="21"/>
          <w:highlight w:val="none"/>
        </w:rPr>
        <w:t>月</w:t>
      </w:r>
      <w:r>
        <w:rPr>
          <w:rFonts w:hint="eastAsia" w:ascii="宋体" w:hAnsi="宋体"/>
          <w:bCs/>
          <w:color w:val="auto"/>
          <w:szCs w:val="21"/>
          <w:highlight w:val="none"/>
          <w:u w:val="single"/>
        </w:rPr>
        <w:t> </w:t>
      </w:r>
      <w:r>
        <w:rPr>
          <w:rFonts w:hint="eastAsia" w:ascii="宋体" w:hAnsi="宋体"/>
          <w:bCs/>
          <w:color w:val="auto"/>
          <w:szCs w:val="21"/>
          <w:highlight w:val="none"/>
        </w:rPr>
        <w:t>日，实际竣工日期以工程竣工验收合格并交付之日为准。</w:t>
      </w:r>
    </w:p>
    <w:p w14:paraId="18BB51CB">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 </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致的，以工期总日历天数为准，工程总日历天数不应超过承包人投标函中承诺的工期。</w:t>
      </w:r>
    </w:p>
    <w:p w14:paraId="67FF325F">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16" w:name="_Toc532375575"/>
      <w:bookmarkStart w:id="17" w:name="_Toc532377168"/>
      <w:bookmarkStart w:id="18" w:name="_Toc351203483"/>
      <w:r>
        <w:rPr>
          <w:rFonts w:hint="eastAsia" w:ascii="宋体" w:hAnsi="宋体" w:cs="宋体"/>
          <w:b/>
          <w:bCs/>
          <w:color w:val="auto"/>
          <w:szCs w:val="21"/>
          <w:highlight w:val="none"/>
        </w:rPr>
        <w:t>三、质量标准</w:t>
      </w:r>
      <w:bookmarkEnd w:id="16"/>
      <w:bookmarkEnd w:id="17"/>
      <w:bookmarkEnd w:id="18"/>
    </w:p>
    <w:p w14:paraId="3ABC8A3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w:t>
      </w:r>
      <w:r>
        <w:rPr>
          <w:rFonts w:hint="eastAsia" w:ascii="宋体" w:hAnsi="宋体"/>
          <w:color w:val="auto"/>
          <w:szCs w:val="21"/>
          <w:highlight w:val="none"/>
          <w:u w:val="single"/>
        </w:rPr>
        <w:t>达到国家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有关施工质量验收规范要求及合同文件中所有发包人之其他相关工程质量规定，并须在存有任何标准不一致时按较高标准的要求执行，达到一次性验收合格</w:t>
      </w:r>
      <w:r>
        <w:rPr>
          <w:rFonts w:hint="eastAsia" w:ascii="宋体" w:hAnsi="宋体"/>
          <w:color w:val="auto"/>
          <w:szCs w:val="21"/>
          <w:highlight w:val="none"/>
        </w:rPr>
        <w:t>标准。</w:t>
      </w:r>
    </w:p>
    <w:p w14:paraId="702E0D88">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19" w:name="_Toc532377169"/>
      <w:bookmarkStart w:id="20" w:name="_Toc532375576"/>
      <w:bookmarkStart w:id="21" w:name="_Toc351203484"/>
      <w:r>
        <w:rPr>
          <w:rFonts w:hint="eastAsia" w:ascii="宋体" w:hAnsi="宋体" w:cs="宋体"/>
          <w:b/>
          <w:bCs/>
          <w:color w:val="auto"/>
          <w:szCs w:val="21"/>
          <w:highlight w:val="none"/>
        </w:rPr>
        <w:t>四、签约合同价与合同价格形式</w:t>
      </w:r>
      <w:bookmarkEnd w:id="19"/>
      <w:bookmarkEnd w:id="20"/>
      <w:bookmarkEnd w:id="21"/>
      <w:r>
        <w:rPr>
          <w:rFonts w:hint="eastAsia" w:ascii="宋体" w:hAnsi="宋体" w:cs="宋体"/>
          <w:b/>
          <w:bCs/>
          <w:color w:val="auto"/>
          <w:szCs w:val="21"/>
          <w:highlight w:val="none"/>
        </w:rPr>
        <w:tab/>
      </w:r>
    </w:p>
    <w:p w14:paraId="3386D5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5A7205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元 </w:t>
      </w:r>
      <w:r>
        <w:rPr>
          <w:rFonts w:hint="eastAsia" w:ascii="宋体" w:hAnsi="宋体"/>
          <w:color w:val="auto"/>
          <w:szCs w:val="21"/>
          <w:highlight w:val="none"/>
        </w:rPr>
        <w:t>）；</w:t>
      </w:r>
    </w:p>
    <w:p w14:paraId="08131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55822A4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元</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，其中不含税价为人民币（大写）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；税金为人民币（大写）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 xml:space="preserve">，税率     </w:t>
      </w:r>
      <w:r>
        <w:rPr>
          <w:rFonts w:ascii="宋体" w:hAnsi="宋体"/>
          <w:color w:val="auto"/>
          <w:szCs w:val="21"/>
          <w:highlight w:val="none"/>
        </w:rPr>
        <w:t>%。</w:t>
      </w:r>
    </w:p>
    <w:p w14:paraId="4257D25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4FFB65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710EB7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0C2CE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50CFDC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F1855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3FBD31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8166A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5D4567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EFCF9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3FB759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25%  </w:t>
      </w:r>
      <w:r>
        <w:rPr>
          <w:rFonts w:hint="eastAsia" w:ascii="宋体" w:hAnsi="宋体"/>
          <w:color w:val="auto"/>
          <w:szCs w:val="21"/>
          <w:highlight w:val="none"/>
        </w:rPr>
        <w:t>（不低于25%，以设备采购为主的工程项目不受此限制），农民工工资单独支付至承包人设立的农民工工资专用账户（增值税税率随国家税收政策的改变而作相应调整）。</w:t>
      </w:r>
    </w:p>
    <w:p w14:paraId="234F27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EDBE94F">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22" w:name="_Toc351203485"/>
      <w:bookmarkStart w:id="23" w:name="_Toc532377170"/>
      <w:bookmarkStart w:id="24" w:name="_Toc532375577"/>
      <w:r>
        <w:rPr>
          <w:rFonts w:hint="eastAsia" w:ascii="宋体" w:hAnsi="宋体" w:cs="宋体"/>
          <w:b/>
          <w:bCs/>
          <w:color w:val="auto"/>
          <w:szCs w:val="21"/>
          <w:highlight w:val="none"/>
        </w:rPr>
        <w:t>五、</w:t>
      </w:r>
      <w:bookmarkEnd w:id="22"/>
      <w:r>
        <w:rPr>
          <w:rFonts w:hint="eastAsia" w:ascii="宋体" w:hAnsi="宋体" w:cs="宋体"/>
          <w:b/>
          <w:bCs/>
          <w:color w:val="auto"/>
          <w:szCs w:val="21"/>
          <w:highlight w:val="none"/>
        </w:rPr>
        <w:t>项目经理及技术负责人</w:t>
      </w:r>
      <w:bookmarkEnd w:id="23"/>
      <w:bookmarkEnd w:id="24"/>
    </w:p>
    <w:p w14:paraId="5CAD2A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4B7F88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5796EA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F9117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08C8D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46D2DE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D99D6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1464A9">
      <w:pPr>
        <w:spacing w:after="120" w:line="360" w:lineRule="auto"/>
        <w:ind w:firstLine="420"/>
        <w:rPr>
          <w:rFonts w:ascii="宋体" w:hAnsi="宋体"/>
          <w:color w:val="auto"/>
          <w:szCs w:val="21"/>
          <w:highlight w:val="none"/>
        </w:rPr>
      </w:pPr>
      <w:r>
        <w:rPr>
          <w:rFonts w:hint="eastAsia" w:ascii="宋体" w:hAnsi="宋体"/>
          <w:color w:val="auto"/>
          <w:szCs w:val="21"/>
          <w:highlight w:val="none"/>
        </w:rPr>
        <w:t>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1F2CC2">
      <w:pPr>
        <w:pStyle w:val="2"/>
        <w:ind w:firstLine="420"/>
        <w:rPr>
          <w:color w:val="auto"/>
          <w:highlight w:val="none"/>
        </w:rPr>
      </w:pPr>
      <w:r>
        <w:rPr>
          <w:rFonts w:hint="eastAsia"/>
          <w:color w:val="auto"/>
          <w:highlight w:val="none"/>
        </w:rPr>
        <w:t>未经发包人同意，承包人不得擅自变更项目经理及技术负责人，否则，视为承包人违约，发包人有权解除本合同，承包人承担给发包人造成一切损失。</w:t>
      </w:r>
    </w:p>
    <w:p w14:paraId="09CEE886">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25" w:name="_Toc532375578"/>
      <w:bookmarkStart w:id="26" w:name="_Toc351203486"/>
      <w:bookmarkStart w:id="27" w:name="_Toc532377171"/>
      <w:r>
        <w:rPr>
          <w:rFonts w:hint="eastAsia" w:ascii="宋体" w:hAnsi="宋体" w:cs="宋体"/>
          <w:b/>
          <w:bCs/>
          <w:color w:val="auto"/>
          <w:szCs w:val="21"/>
          <w:highlight w:val="none"/>
        </w:rPr>
        <w:t>六、合同文件构成</w:t>
      </w:r>
      <w:bookmarkEnd w:id="25"/>
      <w:bookmarkEnd w:id="26"/>
      <w:bookmarkEnd w:id="27"/>
    </w:p>
    <w:p w14:paraId="44F1FD0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6A2CB5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6E3B5F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7947AF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69DE78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5600A9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7AFDF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778F12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招标文件或比选文件（包括但不限于本工程的招标或比选文件、图纸、其他技术资料及招标人发出的对招标或比选文件所作的澄清、修改、补遗等资料）（若有）</w:t>
      </w:r>
      <w:r>
        <w:rPr>
          <w:rFonts w:hint="eastAsia" w:ascii="宋体" w:hAnsi="宋体"/>
          <w:color w:val="auto"/>
          <w:szCs w:val="21"/>
          <w:highlight w:val="none"/>
        </w:rPr>
        <w:t>；</w:t>
      </w:r>
    </w:p>
    <w:p w14:paraId="359971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0EBD18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141CE4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6C421A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24C091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上述文件是相互说明，相互解释的，如出现不一致时，上述的排列顺序就是合同的优先解释和执行顺序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但专用条款另有约定以专用条款优先</w:t>
      </w:r>
      <w:r>
        <w:rPr>
          <w:rFonts w:hint="eastAsia" w:ascii="宋体" w:hAnsi="宋体"/>
          <w:color w:val="auto"/>
          <w:szCs w:val="21"/>
          <w:highlight w:val="none"/>
        </w:rPr>
        <w:t>。各项合同文件包括合同当事人就该项合同文件所作出的补充和修改，属于同一类内容的文件，应以最新签署的为准。同一顺序文件若存在任何矛盾则以公平解释为准；若技术文件之间有任何矛盾，则以其中标准较高或要求较严的为准。专用合同条款及其附件须经合同当事人签名或盖章。</w:t>
      </w:r>
    </w:p>
    <w:p w14:paraId="6304C19C">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28" w:name="_Toc351203487"/>
      <w:bookmarkStart w:id="29" w:name="_Toc532375579"/>
      <w:bookmarkStart w:id="30" w:name="_Toc532377172"/>
      <w:r>
        <w:rPr>
          <w:rFonts w:hint="eastAsia" w:ascii="宋体" w:hAnsi="宋体" w:cs="宋体"/>
          <w:b/>
          <w:bCs/>
          <w:color w:val="auto"/>
          <w:szCs w:val="21"/>
          <w:highlight w:val="none"/>
        </w:rPr>
        <w:t>七、承诺</w:t>
      </w:r>
      <w:bookmarkEnd w:id="28"/>
      <w:bookmarkEnd w:id="29"/>
      <w:bookmarkEnd w:id="30"/>
    </w:p>
    <w:p w14:paraId="2FCD3C5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01FE92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6410AEB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1EFEF823">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 xml:space="preserve">4. </w:t>
      </w:r>
      <w:r>
        <w:rPr>
          <w:rFonts w:hint="eastAsia" w:ascii="宋体" w:hAnsi="宋体"/>
          <w:bCs/>
          <w:color w:val="auto"/>
          <w:szCs w:val="21"/>
          <w:highlight w:val="none"/>
        </w:rPr>
        <w:t>本合同中的所有条款均由各方经过充分协商一致，各方已完全知晓并理解本协议全部内容，各方对本合同内容不存在任何争议；各方确认在签订本合同时已特别注意合同中涉及的免除或者限制其责任的全部条款内容，并已按对方要求给予明确说明，各方一致认可本合同内容不存在显失公平、重大误解等情形，是各方协商一致的真实意思表示。</w:t>
      </w:r>
    </w:p>
    <w:p w14:paraId="54B933D6">
      <w:pPr>
        <w:keepNext/>
        <w:keepLines/>
        <w:widowControl/>
        <w:spacing w:before="100" w:beforeAutospacing="1" w:after="100" w:afterAutospacing="1" w:line="360" w:lineRule="auto"/>
        <w:ind w:firstLine="422" w:firstLineChars="200"/>
        <w:outlineLvl w:val="3"/>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八</w:t>
      </w:r>
      <w:r>
        <w:rPr>
          <w:rFonts w:hint="default" w:ascii="宋体" w:hAnsi="宋体" w:eastAsia="宋体" w:cs="宋体"/>
          <w:b/>
          <w:bCs/>
          <w:color w:val="auto"/>
          <w:szCs w:val="21"/>
          <w:highlight w:val="none"/>
          <w:lang w:val="en-US" w:eastAsia="zh-CN"/>
        </w:rPr>
        <w:t>、其他</w:t>
      </w:r>
    </w:p>
    <w:p w14:paraId="5EA03575">
      <w:pPr>
        <w:spacing w:line="360"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12EF7F5">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31" w:name="_Toc532375580"/>
      <w:bookmarkStart w:id="32" w:name="_Toc532377173"/>
      <w:bookmarkStart w:id="33" w:name="_Toc351203488"/>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、词语含义</w:t>
      </w:r>
      <w:bookmarkEnd w:id="31"/>
      <w:bookmarkEnd w:id="32"/>
      <w:bookmarkEnd w:id="33"/>
    </w:p>
    <w:p w14:paraId="644A81E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4F3AF69D">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34" w:name="_Toc532377174"/>
      <w:bookmarkStart w:id="35" w:name="_Toc532375581"/>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、签订时间</w:t>
      </w:r>
      <w:bookmarkEnd w:id="34"/>
      <w:bookmarkEnd w:id="35"/>
    </w:p>
    <w:p w14:paraId="330F4766">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3CE857C4">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36" w:name="_Toc351203489"/>
      <w:bookmarkStart w:id="37" w:name="_Toc532375582"/>
      <w:bookmarkStart w:id="38" w:name="_Toc532377175"/>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w:t>
      </w:r>
      <w:bookmarkEnd w:id="36"/>
      <w:bookmarkStart w:id="39" w:name="_Toc351203490"/>
      <w:r>
        <w:rPr>
          <w:rFonts w:hint="eastAsia" w:ascii="宋体" w:hAnsi="宋体" w:cs="宋体"/>
          <w:b/>
          <w:bCs/>
          <w:color w:val="auto"/>
          <w:szCs w:val="21"/>
          <w:highlight w:val="none"/>
        </w:rPr>
        <w:t>签订地点</w:t>
      </w:r>
      <w:bookmarkEnd w:id="37"/>
      <w:bookmarkEnd w:id="38"/>
      <w:bookmarkEnd w:id="39"/>
    </w:p>
    <w:p w14:paraId="719FCD0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重庆市南岸区行政服务中心B区19楼会议室 </w:t>
      </w:r>
      <w:r>
        <w:rPr>
          <w:rFonts w:hint="eastAsia" w:ascii="宋体" w:hAnsi="宋体"/>
          <w:bCs/>
          <w:color w:val="auto"/>
          <w:szCs w:val="21"/>
          <w:highlight w:val="none"/>
        </w:rPr>
        <w:t>签订。</w:t>
      </w:r>
    </w:p>
    <w:p w14:paraId="1710B467">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40" w:name="_Toc532377176"/>
      <w:bookmarkStart w:id="41" w:name="_Toc351203491"/>
      <w:bookmarkStart w:id="42" w:name="_Toc532375583"/>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、补充协议</w:t>
      </w:r>
      <w:bookmarkEnd w:id="40"/>
      <w:bookmarkEnd w:id="41"/>
      <w:bookmarkEnd w:id="42"/>
    </w:p>
    <w:p w14:paraId="1443F34B">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265D6660">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43" w:name="_Toc351203492"/>
      <w:bookmarkStart w:id="44" w:name="_Toc532375584"/>
      <w:bookmarkStart w:id="45" w:name="_Toc532377177"/>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、合同生效</w:t>
      </w:r>
      <w:bookmarkEnd w:id="43"/>
      <w:bookmarkEnd w:id="44"/>
      <w:bookmarkEnd w:id="45"/>
    </w:p>
    <w:p w14:paraId="5617974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205353E7">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2E1EFA1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D72B167">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46" w:name="_Toc532375585"/>
      <w:bookmarkStart w:id="47" w:name="_Toc351203493"/>
      <w:bookmarkStart w:id="48" w:name="_Toc532377178"/>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、合同份数</w:t>
      </w:r>
      <w:bookmarkEnd w:id="46"/>
      <w:bookmarkEnd w:id="47"/>
      <w:bookmarkEnd w:id="48"/>
    </w:p>
    <w:p w14:paraId="5F78E8E7">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玖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贰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壹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柒  </w:t>
      </w:r>
      <w:r>
        <w:rPr>
          <w:rFonts w:hint="eastAsia" w:ascii="宋体" w:hAnsi="宋体" w:cs="Microsoft Sans Serif"/>
          <w:bCs/>
          <w:color w:val="auto"/>
          <w:szCs w:val="21"/>
          <w:highlight w:val="none"/>
        </w:rPr>
        <w:t>份，甲方执</w:t>
      </w:r>
      <w:r>
        <w:rPr>
          <w:rFonts w:hint="eastAsia" w:ascii="宋体" w:hAnsi="宋体" w:cs="Microsoft Sans Serif"/>
          <w:bCs/>
          <w:color w:val="auto"/>
          <w:szCs w:val="21"/>
          <w:highlight w:val="none"/>
          <w:u w:val="single"/>
        </w:rPr>
        <w:t xml:space="preserve">  贰  </w:t>
      </w:r>
      <w:r>
        <w:rPr>
          <w:rFonts w:hint="eastAsia" w:ascii="宋体" w:hAnsi="宋体" w:cs="Microsoft Sans Serif"/>
          <w:bCs/>
          <w:color w:val="auto"/>
          <w:szCs w:val="21"/>
          <w:highlight w:val="none"/>
        </w:rPr>
        <w:t>份，乙方执</w:t>
      </w:r>
      <w:r>
        <w:rPr>
          <w:rFonts w:hint="eastAsia" w:ascii="宋体" w:hAnsi="宋体" w:cs="Microsoft Sans Serif"/>
          <w:bCs/>
          <w:color w:val="auto"/>
          <w:szCs w:val="21"/>
          <w:highlight w:val="none"/>
          <w:u w:val="single"/>
        </w:rPr>
        <w:t xml:space="preserve">  伍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。合同正文若出现手写内容，手写内容未经双方盖章确认则无效。合同盖章位置载明的委托代理人未经书面授权，仅代表在本合同签名，其他单方承诺或认可内容无效。</w:t>
      </w:r>
    </w:p>
    <w:p w14:paraId="3B274ECF">
      <w:pPr>
        <w:spacing w:after="120" w:line="360" w:lineRule="auto"/>
        <w:ind w:firstLine="420" w:firstLineChars="200"/>
        <w:rPr>
          <w:rFonts w:ascii="宋体" w:hAnsi="宋体"/>
          <w:color w:val="auto"/>
          <w:szCs w:val="21"/>
          <w:highlight w:val="none"/>
        </w:rPr>
      </w:pPr>
    </w:p>
    <w:p w14:paraId="1B53C8D2">
      <w:pPr>
        <w:rPr>
          <w:rFonts w:ascii="宋体" w:hAnsi="宋体"/>
          <w:snapToGrid w:val="0"/>
          <w:color w:val="auto"/>
          <w:kern w:val="0"/>
          <w:szCs w:val="21"/>
          <w:highlight w:val="none"/>
        </w:rPr>
      </w:pPr>
      <w:bookmarkStart w:id="49" w:name="_Toc467689623"/>
      <w:r>
        <w:rPr>
          <w:rFonts w:ascii="宋体" w:hAnsi="宋体"/>
          <w:snapToGrid w:val="0"/>
          <w:color w:val="auto"/>
          <w:kern w:val="0"/>
          <w:szCs w:val="21"/>
          <w:highlight w:val="none"/>
        </w:rPr>
        <w:br w:type="page"/>
      </w:r>
    </w:p>
    <w:p w14:paraId="28F81285">
      <w:pPr>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7354B8F">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p>
    <w:p w14:paraId="561B1B8B">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2F4524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CFB4BB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址：重庆市南岸区复兴街9号中讯时代18-19楼</w:t>
      </w:r>
      <w:r>
        <w:rPr>
          <w:rFonts w:ascii="宋体" w:hAnsi="宋体"/>
          <w:snapToGrid w:val="0"/>
          <w:color w:val="auto"/>
          <w:w w:val="200"/>
          <w:kern w:val="0"/>
          <w:szCs w:val="21"/>
          <w:highlight w:val="none"/>
          <w:u w:val="single"/>
        </w:rPr>
        <w:t xml:space="preserve"> </w:t>
      </w:r>
    </w:p>
    <w:p w14:paraId="4C4B1AF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8FB01E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EF1E452">
      <w:pPr>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    号：</w:t>
      </w:r>
    </w:p>
    <w:p w14:paraId="60067948">
      <w:pPr>
        <w:spacing w:line="360" w:lineRule="auto"/>
        <w:ind w:firstLine="840" w:firstLineChars="200"/>
        <w:rPr>
          <w:rFonts w:ascii="宋体" w:hAnsi="宋体"/>
          <w:color w:val="auto"/>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B5D077F">
      <w:pPr>
        <w:spacing w:line="360" w:lineRule="auto"/>
        <w:rPr>
          <w:rFonts w:ascii="宋体" w:hAnsi="宋体"/>
          <w:snapToGrid w:val="0"/>
          <w:color w:val="auto"/>
          <w:kern w:val="0"/>
          <w:szCs w:val="21"/>
          <w:highlight w:val="none"/>
        </w:rPr>
      </w:pPr>
    </w:p>
    <w:p w14:paraId="382FF8A9">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369CDB26">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p>
    <w:p w14:paraId="0FCC063E">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37DE97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4B1602D">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F1DD7A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hint="eastAsia" w:ascii="宋体" w:hAnsi="宋体"/>
          <w:snapToGrid w:val="0"/>
          <w:color w:val="auto"/>
          <w:kern w:val="0"/>
          <w:szCs w:val="21"/>
          <w:highlight w:val="none"/>
        </w:rPr>
        <w:tab/>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D99E58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0F82E9C">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E53F5AD">
      <w:pPr>
        <w:spacing w:after="120" w:line="360" w:lineRule="auto"/>
        <w:rPr>
          <w:rFonts w:ascii="宋体" w:hAnsi="宋体"/>
          <w:color w:val="auto"/>
          <w:szCs w:val="21"/>
          <w:highlight w:val="none"/>
        </w:rPr>
      </w:pPr>
    </w:p>
    <w:p w14:paraId="2C7FC7CA">
      <w:pPr>
        <w:spacing w:line="360" w:lineRule="auto"/>
        <w:jc w:val="right"/>
        <w:rPr>
          <w:rFonts w:ascii="宋体" w:hAnsi="宋体"/>
          <w:snapToGrid w:val="0"/>
          <w:color w:val="auto"/>
          <w:kern w:val="0"/>
          <w:szCs w:val="21"/>
          <w:highlight w:val="none"/>
        </w:rPr>
      </w:pPr>
    </w:p>
    <w:p w14:paraId="5E9B824E">
      <w:pPr>
        <w:spacing w:line="360" w:lineRule="auto"/>
        <w:jc w:val="right"/>
        <w:rPr>
          <w:rFonts w:ascii="宋体" w:hAnsi="宋体"/>
          <w:snapToGrid w:val="0"/>
          <w:color w:val="auto"/>
          <w:kern w:val="0"/>
          <w:szCs w:val="21"/>
          <w:highlight w:val="none"/>
        </w:rPr>
      </w:pPr>
    </w:p>
    <w:bookmarkEnd w:id="49"/>
    <w:p w14:paraId="5FCA529E">
      <w:pPr>
        <w:keepNext/>
        <w:keepLines/>
        <w:spacing w:before="260" w:after="260" w:line="416" w:lineRule="auto"/>
        <w:jc w:val="center"/>
        <w:outlineLvl w:val="2"/>
        <w:rPr>
          <w:rFonts w:ascii="宋体" w:hAnsi="宋体"/>
          <w:b/>
          <w:color w:val="auto"/>
          <w:szCs w:val="21"/>
          <w:highlight w:val="none"/>
        </w:rPr>
      </w:pPr>
      <w:r>
        <w:rPr>
          <w:rFonts w:hint="eastAsia" w:ascii="宋体" w:hAnsi="宋体"/>
          <w:bCs/>
          <w:snapToGrid w:val="0"/>
          <w:color w:val="auto"/>
          <w:szCs w:val="21"/>
          <w:highlight w:val="none"/>
          <w:lang w:val="zh-CN"/>
        </w:rPr>
        <w:br w:type="page"/>
      </w:r>
      <w:bookmarkStart w:id="50" w:name="_Toc532375586"/>
      <w:bookmarkStart w:id="51" w:name="_Toc529388289"/>
      <w:bookmarkStart w:id="52" w:name="_Toc532377179"/>
      <w:bookmarkStart w:id="53" w:name="_Toc5496"/>
      <w:bookmarkStart w:id="54" w:name="_Toc11292"/>
      <w:r>
        <w:rPr>
          <w:rFonts w:hint="eastAsia" w:ascii="宋体" w:hAnsi="宋体"/>
          <w:b/>
          <w:bCs/>
          <w:color w:val="auto"/>
          <w:sz w:val="44"/>
          <w:szCs w:val="44"/>
          <w:highlight w:val="none"/>
        </w:rPr>
        <w:t>第二部分 通用合同条款</w:t>
      </w:r>
      <w:bookmarkEnd w:id="50"/>
      <w:bookmarkEnd w:id="51"/>
      <w:bookmarkEnd w:id="52"/>
      <w:bookmarkEnd w:id="53"/>
      <w:bookmarkEnd w:id="54"/>
    </w:p>
    <w:p w14:paraId="09B9493E">
      <w:pPr>
        <w:keepNext/>
        <w:keepLines/>
        <w:widowControl/>
        <w:spacing w:before="156" w:beforeLines="50" w:after="156" w:afterLines="50" w:line="360" w:lineRule="auto"/>
        <w:outlineLvl w:val="3"/>
        <w:rPr>
          <w:rFonts w:ascii="宋体" w:hAnsi="宋体" w:cs="宋体"/>
          <w:b/>
          <w:bCs/>
          <w:color w:val="auto"/>
          <w:szCs w:val="21"/>
          <w:highlight w:val="none"/>
        </w:rPr>
      </w:pPr>
      <w:bookmarkStart w:id="55" w:name="_Toc532377180"/>
      <w:bookmarkStart w:id="56" w:name="_Toc351203495"/>
      <w:bookmarkStart w:id="57" w:name="_Toc532375587"/>
      <w:r>
        <w:rPr>
          <w:rFonts w:hint="eastAsia" w:ascii="宋体" w:hAnsi="宋体" w:cs="宋体"/>
          <w:b/>
          <w:bCs/>
          <w:color w:val="auto"/>
          <w:szCs w:val="21"/>
          <w:highlight w:val="none"/>
        </w:rPr>
        <w:t>1.</w:t>
      </w:r>
      <w:bookmarkStart w:id="58" w:name="_Toc303538976"/>
      <w:bookmarkEnd w:id="58"/>
      <w:bookmarkStart w:id="59" w:name="_Toc303538974"/>
      <w:bookmarkEnd w:id="59"/>
      <w:bookmarkStart w:id="60" w:name="_Toc303538973"/>
      <w:bookmarkEnd w:id="60"/>
      <w:bookmarkStart w:id="61" w:name="_Toc303538975"/>
      <w:bookmarkEnd w:id="61"/>
      <w:bookmarkStart w:id="62" w:name="_Toc303538972"/>
      <w:bookmarkEnd w:id="62"/>
      <w:bookmarkStart w:id="63" w:name="_Toc296503027"/>
      <w:bookmarkStart w:id="64" w:name="_Toc296346528"/>
      <w:r>
        <w:rPr>
          <w:rFonts w:hint="eastAsia" w:ascii="宋体" w:hAnsi="宋体" w:cs="宋体"/>
          <w:b/>
          <w:bCs/>
          <w:color w:val="auto"/>
          <w:szCs w:val="21"/>
          <w:highlight w:val="none"/>
        </w:rPr>
        <w:t>一般约定</w:t>
      </w:r>
      <w:bookmarkEnd w:id="55"/>
      <w:bookmarkEnd w:id="56"/>
      <w:bookmarkEnd w:id="57"/>
      <w:bookmarkEnd w:id="63"/>
      <w:bookmarkEnd w:id="64"/>
    </w:p>
    <w:p w14:paraId="425B8F34">
      <w:pPr>
        <w:widowControl/>
        <w:spacing w:line="360" w:lineRule="auto"/>
        <w:ind w:firstLine="422" w:firstLineChars="200"/>
        <w:jc w:val="left"/>
        <w:outlineLvl w:val="4"/>
        <w:rPr>
          <w:rFonts w:ascii="宋体" w:hAnsi="宋体" w:cs="宋体"/>
          <w:b/>
          <w:bCs/>
          <w:color w:val="auto"/>
          <w:kern w:val="0"/>
          <w:szCs w:val="21"/>
          <w:highlight w:val="none"/>
        </w:rPr>
      </w:pPr>
      <w:bookmarkStart w:id="65" w:name="_Toc337558728"/>
      <w:bookmarkStart w:id="66" w:name="_Toc296346529"/>
      <w:bookmarkStart w:id="67" w:name="_Toc296503028"/>
      <w:bookmarkStart w:id="68" w:name="_Toc351203496"/>
      <w:bookmarkStart w:id="69" w:name="_Toc532377181"/>
      <w:r>
        <w:rPr>
          <w:rFonts w:hint="eastAsia" w:ascii="宋体" w:hAnsi="宋体" w:cs="宋体"/>
          <w:b/>
          <w:bCs/>
          <w:color w:val="auto"/>
          <w:kern w:val="0"/>
          <w:szCs w:val="21"/>
          <w:highlight w:val="none"/>
        </w:rPr>
        <w:t>1.1词语定义</w:t>
      </w:r>
      <w:bookmarkEnd w:id="65"/>
      <w:bookmarkEnd w:id="66"/>
      <w:bookmarkEnd w:id="67"/>
      <w:r>
        <w:rPr>
          <w:rFonts w:hint="eastAsia" w:ascii="宋体" w:hAnsi="宋体" w:cs="宋体"/>
          <w:b/>
          <w:bCs/>
          <w:color w:val="auto"/>
          <w:kern w:val="0"/>
          <w:szCs w:val="21"/>
          <w:highlight w:val="none"/>
        </w:rPr>
        <w:t>与解释</w:t>
      </w:r>
      <w:bookmarkEnd w:id="68"/>
      <w:bookmarkEnd w:id="69"/>
    </w:p>
    <w:p w14:paraId="42B867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78886369">
      <w:pPr>
        <w:widowControl/>
        <w:spacing w:line="360" w:lineRule="auto"/>
        <w:ind w:firstLine="420" w:firstLineChars="200"/>
        <w:jc w:val="left"/>
        <w:outlineLvl w:val="4"/>
        <w:rPr>
          <w:rFonts w:ascii="宋体" w:hAnsi="宋体" w:cs="宋体"/>
          <w:color w:val="auto"/>
          <w:kern w:val="0"/>
          <w:szCs w:val="21"/>
          <w:highlight w:val="none"/>
        </w:rPr>
      </w:pPr>
      <w:bookmarkStart w:id="70" w:name="_Toc532377182"/>
      <w:r>
        <w:rPr>
          <w:rFonts w:hint="eastAsia" w:ascii="宋体" w:hAnsi="宋体" w:cs="宋体"/>
          <w:color w:val="auto"/>
          <w:kern w:val="0"/>
          <w:szCs w:val="21"/>
          <w:highlight w:val="none"/>
        </w:rPr>
        <w:t>1.1.1 合同</w:t>
      </w:r>
      <w:bookmarkEnd w:id="70"/>
    </w:p>
    <w:p w14:paraId="027003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5B0224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2033A2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5D2B9A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174BF9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33DAA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56AC1F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FC2AE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1918DB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7AAAFA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5618A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6A3DAA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25B328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209CB4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28979D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06F24A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60F2C8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71" w:name="#go5"/>
      <w:bookmarkEnd w:id="71"/>
      <w:r>
        <w:rPr>
          <w:rFonts w:hint="eastAsia" w:ascii="宋体" w:hAnsi="宋体"/>
          <w:color w:val="auto"/>
          <w:kern w:val="0"/>
          <w:szCs w:val="21"/>
          <w:highlight w:val="none"/>
        </w:rPr>
        <w:t>是指按照法律规定和合同约定，分包部分工程或工作，并与承包人签订分包合同的具有相应资质的法人。</w:t>
      </w:r>
    </w:p>
    <w:p w14:paraId="7770F5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4F9E59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3A31AF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24C1CC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42EB926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042B63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62C2F2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42058D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3AE49E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506D49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7CC024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2AF05A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2B205C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464CC4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31DB47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061479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B6238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115F12F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216FA6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缺陷责任期：是指承包人按照合同约定承担缺陷修复义务，且发包人预留质量保证金的期限，自工程实际竣工日期起计算。</w:t>
      </w:r>
    </w:p>
    <w:p w14:paraId="5FC2F8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保修期：是指承包人按照合同约定对工程承担保修责任的期限，从工程竣工验收合格交付之日起计算。</w:t>
      </w:r>
    </w:p>
    <w:p w14:paraId="22A644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0B5327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564FCB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4093FE9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151F00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7EB296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3D22F9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55EA9E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DB861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08ABB79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72" w:name="#go2"/>
      <w:bookmarkEnd w:id="72"/>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7E5F43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25A6A0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588D6E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6C6C8639">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1.1.6.2</w:t>
      </w:r>
      <w:r>
        <w:rPr>
          <w:rFonts w:hint="eastAsia" w:ascii="宋体" w:hAnsi="宋体"/>
          <w:color w:val="auto"/>
          <w:kern w:val="0"/>
          <w:szCs w:val="21"/>
          <w:highlight w:val="none"/>
        </w:rPr>
        <w:t>“不可抗力”是指发包人和承包人在订立本合同时不可预见，在工程施工过程中不可避免发生并不能克服的自然灾害和社会性突发事件，如地震、海啸、瘟疫、水灾、骚乱、暴动、战争、发包人出资主体要求解除本合同、行政机关要求解除本合同、政策变化致使本合同无法继续履行以及其他条款约定的其他情形。</w:t>
      </w:r>
    </w:p>
    <w:p w14:paraId="4BF585A6">
      <w:pPr>
        <w:widowControl/>
        <w:spacing w:line="360" w:lineRule="auto"/>
        <w:ind w:firstLine="422" w:firstLineChars="200"/>
        <w:jc w:val="left"/>
        <w:outlineLvl w:val="4"/>
        <w:rPr>
          <w:rFonts w:ascii="宋体" w:hAnsi="宋体" w:cs="宋体"/>
          <w:b/>
          <w:bCs/>
          <w:color w:val="auto"/>
          <w:kern w:val="0"/>
          <w:szCs w:val="21"/>
          <w:highlight w:val="none"/>
        </w:rPr>
      </w:pPr>
      <w:bookmarkStart w:id="73" w:name="_Toc532377183"/>
      <w:r>
        <w:rPr>
          <w:rFonts w:hint="eastAsia" w:ascii="宋体" w:hAnsi="宋体" w:cs="宋体"/>
          <w:b/>
          <w:bCs/>
          <w:color w:val="auto"/>
          <w:kern w:val="0"/>
          <w:szCs w:val="21"/>
          <w:highlight w:val="none"/>
        </w:rPr>
        <w:t>1.2 语言文字</w:t>
      </w:r>
      <w:bookmarkEnd w:id="73"/>
    </w:p>
    <w:p w14:paraId="0E4539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259AB78">
      <w:pPr>
        <w:widowControl/>
        <w:spacing w:line="360" w:lineRule="auto"/>
        <w:ind w:firstLine="422" w:firstLineChars="200"/>
        <w:jc w:val="left"/>
        <w:outlineLvl w:val="4"/>
        <w:rPr>
          <w:rFonts w:ascii="宋体" w:hAnsi="宋体" w:cs="宋体"/>
          <w:b/>
          <w:bCs/>
          <w:color w:val="auto"/>
          <w:kern w:val="0"/>
          <w:szCs w:val="21"/>
          <w:highlight w:val="none"/>
        </w:rPr>
      </w:pPr>
      <w:bookmarkStart w:id="74" w:name="_Toc296503030"/>
      <w:bookmarkStart w:id="75" w:name="_Toc351203498"/>
      <w:bookmarkStart w:id="76" w:name="_Toc296346531"/>
      <w:bookmarkStart w:id="77" w:name="_Toc337558730"/>
      <w:bookmarkStart w:id="78" w:name="_Toc532377184"/>
      <w:r>
        <w:rPr>
          <w:rFonts w:hint="eastAsia" w:ascii="宋体" w:hAnsi="宋体" w:cs="宋体"/>
          <w:b/>
          <w:bCs/>
          <w:color w:val="auto"/>
          <w:kern w:val="0"/>
          <w:szCs w:val="21"/>
          <w:highlight w:val="none"/>
        </w:rPr>
        <w:t>1.3法律</w:t>
      </w:r>
      <w:bookmarkEnd w:id="74"/>
      <w:bookmarkEnd w:id="75"/>
      <w:bookmarkEnd w:id="76"/>
      <w:bookmarkEnd w:id="77"/>
      <w:bookmarkEnd w:id="78"/>
    </w:p>
    <w:p w14:paraId="253F16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4F4957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044E032E">
      <w:pPr>
        <w:widowControl/>
        <w:spacing w:line="360" w:lineRule="auto"/>
        <w:ind w:firstLine="422" w:firstLineChars="200"/>
        <w:jc w:val="left"/>
        <w:outlineLvl w:val="4"/>
        <w:rPr>
          <w:rFonts w:ascii="宋体" w:hAnsi="宋体" w:cs="宋体"/>
          <w:b/>
          <w:bCs/>
          <w:color w:val="auto"/>
          <w:kern w:val="0"/>
          <w:szCs w:val="21"/>
          <w:highlight w:val="none"/>
        </w:rPr>
      </w:pPr>
      <w:bookmarkStart w:id="79" w:name="_Toc351203499"/>
      <w:bookmarkStart w:id="80" w:name="_Toc532377185"/>
      <w:r>
        <w:rPr>
          <w:rFonts w:hint="eastAsia" w:ascii="宋体" w:hAnsi="宋体" w:cs="宋体"/>
          <w:b/>
          <w:bCs/>
          <w:color w:val="auto"/>
          <w:kern w:val="0"/>
          <w:szCs w:val="21"/>
          <w:highlight w:val="none"/>
        </w:rPr>
        <w:t>1.4 标准和规范</w:t>
      </w:r>
      <w:bookmarkEnd w:id="79"/>
      <w:bookmarkEnd w:id="80"/>
    </w:p>
    <w:p w14:paraId="19A327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6E6149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328FE5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9BFA7D1">
      <w:pPr>
        <w:widowControl/>
        <w:spacing w:line="360" w:lineRule="auto"/>
        <w:ind w:firstLine="422" w:firstLineChars="200"/>
        <w:jc w:val="left"/>
        <w:outlineLvl w:val="4"/>
        <w:rPr>
          <w:rFonts w:ascii="宋体" w:hAnsi="宋体" w:cs="宋体"/>
          <w:b/>
          <w:bCs/>
          <w:color w:val="auto"/>
          <w:kern w:val="0"/>
          <w:szCs w:val="21"/>
          <w:highlight w:val="none"/>
        </w:rPr>
      </w:pPr>
      <w:bookmarkStart w:id="81" w:name="_Toc351203500"/>
      <w:bookmarkStart w:id="82" w:name="_Toc532377186"/>
      <w:r>
        <w:rPr>
          <w:rFonts w:hint="eastAsia" w:ascii="宋体" w:hAnsi="宋体" w:cs="宋体"/>
          <w:b/>
          <w:bCs/>
          <w:color w:val="auto"/>
          <w:kern w:val="0"/>
          <w:szCs w:val="21"/>
          <w:highlight w:val="none"/>
        </w:rPr>
        <w:t>1</w:t>
      </w:r>
      <w:bookmarkStart w:id="83" w:name="_Toc296503031"/>
      <w:bookmarkStart w:id="84" w:name="_Toc296346532"/>
      <w:bookmarkStart w:id="85" w:name="_Toc337558731"/>
      <w:r>
        <w:rPr>
          <w:rFonts w:hint="eastAsia" w:ascii="宋体" w:hAnsi="宋体" w:cs="宋体"/>
          <w:b/>
          <w:bCs/>
          <w:color w:val="auto"/>
          <w:kern w:val="0"/>
          <w:szCs w:val="21"/>
          <w:highlight w:val="none"/>
        </w:rPr>
        <w:t>.5 合同文件的优先顺序</w:t>
      </w:r>
      <w:bookmarkEnd w:id="81"/>
      <w:bookmarkEnd w:id="82"/>
    </w:p>
    <w:bookmarkEnd w:id="83"/>
    <w:bookmarkEnd w:id="84"/>
    <w:bookmarkEnd w:id="85"/>
    <w:p w14:paraId="09E0E1F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51F17459">
      <w:pPr>
        <w:numPr>
          <w:ilvl w:val="0"/>
          <w:numId w:val="1"/>
        </w:num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w:t>
      </w:r>
    </w:p>
    <w:p w14:paraId="1785FE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（2）招标文件；</w:t>
      </w:r>
    </w:p>
    <w:p w14:paraId="57F1B5C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（3）中标通知书（如有）；</w:t>
      </w:r>
    </w:p>
    <w:p w14:paraId="1F5CA8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09C54D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3C69D1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4E4CBA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2BAA3D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05DACF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（9）投标函及其附录（如有）；</w:t>
      </w:r>
    </w:p>
    <w:p w14:paraId="367C4D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（10）其他合同文件。</w:t>
      </w:r>
    </w:p>
    <w:p w14:paraId="388387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025B5E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5182EF58">
      <w:pPr>
        <w:widowControl/>
        <w:spacing w:line="360" w:lineRule="auto"/>
        <w:ind w:firstLine="422" w:firstLineChars="200"/>
        <w:jc w:val="left"/>
        <w:outlineLvl w:val="4"/>
        <w:rPr>
          <w:rFonts w:ascii="宋体" w:hAnsi="宋体" w:cs="宋体"/>
          <w:b/>
          <w:bCs/>
          <w:color w:val="auto"/>
          <w:kern w:val="0"/>
          <w:szCs w:val="21"/>
          <w:highlight w:val="none"/>
        </w:rPr>
      </w:pPr>
      <w:bookmarkStart w:id="86" w:name="_Toc532377187"/>
      <w:bookmarkStart w:id="87" w:name="_Toc351203501"/>
      <w:r>
        <w:rPr>
          <w:rFonts w:hint="eastAsia" w:ascii="宋体" w:hAnsi="宋体" w:cs="宋体"/>
          <w:b/>
          <w:bCs/>
          <w:color w:val="auto"/>
          <w:kern w:val="0"/>
          <w:szCs w:val="21"/>
          <w:highlight w:val="none"/>
        </w:rPr>
        <w:t>1</w:t>
      </w:r>
      <w:bookmarkStart w:id="88" w:name="_Toc296503032"/>
      <w:bookmarkStart w:id="89" w:name="_Toc296346533"/>
      <w:bookmarkStart w:id="90" w:name="_Toc337558732"/>
      <w:r>
        <w:rPr>
          <w:rFonts w:hint="eastAsia" w:ascii="宋体" w:hAnsi="宋体" w:cs="宋体"/>
          <w:b/>
          <w:bCs/>
          <w:color w:val="auto"/>
          <w:kern w:val="0"/>
          <w:szCs w:val="21"/>
          <w:highlight w:val="none"/>
        </w:rPr>
        <w:t>.6图纸和承包人文件</w:t>
      </w:r>
      <w:bookmarkEnd w:id="86"/>
      <w:bookmarkEnd w:id="87"/>
    </w:p>
    <w:bookmarkEnd w:id="88"/>
    <w:bookmarkEnd w:id="89"/>
    <w:bookmarkEnd w:id="90"/>
    <w:p w14:paraId="51DD8A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4EF3B0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B6E08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36848F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43ADA7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A95B2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78681B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6BFE7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7E3C2F3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9C879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DADED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275411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4DBCDCB5">
      <w:pPr>
        <w:widowControl/>
        <w:spacing w:line="360" w:lineRule="auto"/>
        <w:ind w:firstLine="422" w:firstLineChars="200"/>
        <w:jc w:val="left"/>
        <w:outlineLvl w:val="4"/>
        <w:rPr>
          <w:rFonts w:ascii="宋体" w:hAnsi="宋体" w:cs="宋体"/>
          <w:b/>
          <w:bCs/>
          <w:color w:val="auto"/>
          <w:kern w:val="0"/>
          <w:szCs w:val="21"/>
          <w:highlight w:val="none"/>
        </w:rPr>
      </w:pPr>
      <w:bookmarkStart w:id="91" w:name="_Toc532377188"/>
      <w:bookmarkStart w:id="92" w:name="_Toc351203502"/>
      <w:r>
        <w:rPr>
          <w:rFonts w:hint="eastAsia" w:ascii="宋体" w:hAnsi="宋体" w:cs="宋体"/>
          <w:b/>
          <w:bCs/>
          <w:color w:val="auto"/>
          <w:kern w:val="0"/>
          <w:szCs w:val="21"/>
          <w:highlight w:val="none"/>
        </w:rPr>
        <w:t>1</w:t>
      </w:r>
      <w:bookmarkStart w:id="93" w:name="_Toc337558733"/>
      <w:bookmarkStart w:id="94" w:name="_Toc296346534"/>
      <w:bookmarkStart w:id="95" w:name="_Toc296503033"/>
      <w:r>
        <w:rPr>
          <w:rFonts w:hint="eastAsia" w:ascii="宋体" w:hAnsi="宋体" w:cs="宋体"/>
          <w:b/>
          <w:bCs/>
          <w:color w:val="auto"/>
          <w:kern w:val="0"/>
          <w:szCs w:val="21"/>
          <w:highlight w:val="none"/>
        </w:rPr>
        <w:t>.7联络</w:t>
      </w:r>
      <w:bookmarkEnd w:id="91"/>
      <w:bookmarkEnd w:id="92"/>
    </w:p>
    <w:bookmarkEnd w:id="93"/>
    <w:bookmarkEnd w:id="94"/>
    <w:bookmarkEnd w:id="95"/>
    <w:p w14:paraId="71B90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1B7D96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2D3324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1BFA0BA4">
      <w:pPr>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1.7.4</w:t>
      </w:r>
      <w:r>
        <w:rPr>
          <w:rFonts w:hint="eastAsia" w:ascii="宋体" w:hAnsi="宋体"/>
          <w:color w:val="auto"/>
          <w:kern w:val="0"/>
          <w:szCs w:val="21"/>
          <w:highlight w:val="none"/>
        </w:rPr>
        <w:t xml:space="preserve"> 在因本合同及本合同相关事宜发生诉讼/仲裁的情形下，专用合同条款约定的各方送达接收人和送达地点，同时作为各方的诉讼/仲裁文书送达地址，该送达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5452EA3E">
      <w:pPr>
        <w:widowControl/>
        <w:spacing w:line="360" w:lineRule="auto"/>
        <w:ind w:firstLine="422" w:firstLineChars="200"/>
        <w:jc w:val="left"/>
        <w:outlineLvl w:val="4"/>
        <w:rPr>
          <w:rFonts w:ascii="宋体" w:hAnsi="宋体" w:cs="宋体"/>
          <w:b/>
          <w:bCs/>
          <w:color w:val="auto"/>
          <w:kern w:val="0"/>
          <w:szCs w:val="21"/>
          <w:highlight w:val="none"/>
        </w:rPr>
      </w:pPr>
      <w:bookmarkStart w:id="96" w:name="_Toc532377189"/>
      <w:bookmarkStart w:id="97" w:name="_Toc351203503"/>
      <w:r>
        <w:rPr>
          <w:rFonts w:hint="eastAsia" w:ascii="宋体" w:hAnsi="宋体" w:cs="宋体"/>
          <w:b/>
          <w:bCs/>
          <w:color w:val="auto"/>
          <w:kern w:val="0"/>
          <w:szCs w:val="21"/>
          <w:highlight w:val="none"/>
        </w:rPr>
        <w:t>1</w:t>
      </w:r>
      <w:bookmarkStart w:id="98" w:name="_Toc296346536"/>
      <w:bookmarkStart w:id="99" w:name="_Toc296503035"/>
      <w:bookmarkStart w:id="100" w:name="_Toc337558734"/>
      <w:r>
        <w:rPr>
          <w:rFonts w:hint="eastAsia" w:ascii="宋体" w:hAnsi="宋体" w:cs="宋体"/>
          <w:b/>
          <w:bCs/>
          <w:color w:val="auto"/>
          <w:kern w:val="0"/>
          <w:szCs w:val="21"/>
          <w:highlight w:val="none"/>
        </w:rPr>
        <w:t>.8严禁贿赂</w:t>
      </w:r>
      <w:bookmarkEnd w:id="96"/>
      <w:bookmarkEnd w:id="97"/>
    </w:p>
    <w:bookmarkEnd w:id="98"/>
    <w:bookmarkEnd w:id="99"/>
    <w:bookmarkEnd w:id="100"/>
    <w:p w14:paraId="54272C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34CB98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F561E98">
      <w:pPr>
        <w:widowControl/>
        <w:spacing w:line="360" w:lineRule="auto"/>
        <w:ind w:firstLine="422" w:firstLineChars="200"/>
        <w:jc w:val="left"/>
        <w:outlineLvl w:val="4"/>
        <w:rPr>
          <w:rFonts w:ascii="宋体" w:hAnsi="宋体" w:cs="宋体"/>
          <w:b/>
          <w:bCs/>
          <w:color w:val="auto"/>
          <w:kern w:val="0"/>
          <w:szCs w:val="21"/>
          <w:highlight w:val="none"/>
        </w:rPr>
      </w:pPr>
      <w:bookmarkStart w:id="101" w:name="_Toc351203504"/>
      <w:bookmarkStart w:id="102" w:name="_Toc532377190"/>
      <w:r>
        <w:rPr>
          <w:rFonts w:hint="eastAsia" w:ascii="宋体" w:hAnsi="宋体" w:cs="宋体"/>
          <w:b/>
          <w:bCs/>
          <w:color w:val="auto"/>
          <w:kern w:val="0"/>
          <w:szCs w:val="21"/>
          <w:highlight w:val="none"/>
        </w:rPr>
        <w:t>1</w:t>
      </w:r>
      <w:bookmarkStart w:id="103" w:name="_Toc296503036"/>
      <w:bookmarkStart w:id="104" w:name="_Toc337558735"/>
      <w:bookmarkStart w:id="105" w:name="_Toc296346537"/>
      <w:r>
        <w:rPr>
          <w:rFonts w:hint="eastAsia" w:ascii="宋体" w:hAnsi="宋体" w:cs="宋体"/>
          <w:b/>
          <w:bCs/>
          <w:color w:val="auto"/>
          <w:kern w:val="0"/>
          <w:szCs w:val="21"/>
          <w:highlight w:val="none"/>
        </w:rPr>
        <w:t>.9化石、文物</w:t>
      </w:r>
      <w:bookmarkEnd w:id="101"/>
      <w:bookmarkEnd w:id="102"/>
    </w:p>
    <w:bookmarkEnd w:id="103"/>
    <w:bookmarkEnd w:id="104"/>
    <w:bookmarkEnd w:id="105"/>
    <w:p w14:paraId="0A1D44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BBC46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2A0F19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视为承包人违约，应赔偿损失，并承担相应的法律责任，由此增加的费用和延误的工期由承包人承担，若发包人承担责任，发包人有权追偿，并有权从应支付的工程款中扣除发包人的损失。</w:t>
      </w:r>
    </w:p>
    <w:p w14:paraId="7F234F34">
      <w:pPr>
        <w:widowControl/>
        <w:spacing w:line="360" w:lineRule="auto"/>
        <w:ind w:firstLine="422" w:firstLineChars="200"/>
        <w:jc w:val="left"/>
        <w:outlineLvl w:val="4"/>
        <w:rPr>
          <w:rFonts w:ascii="宋体" w:hAnsi="宋体" w:cs="宋体"/>
          <w:b/>
          <w:bCs/>
          <w:color w:val="auto"/>
          <w:kern w:val="0"/>
          <w:szCs w:val="21"/>
          <w:highlight w:val="none"/>
        </w:rPr>
      </w:pPr>
      <w:bookmarkStart w:id="106" w:name="_Toc532377191"/>
      <w:bookmarkStart w:id="107" w:name="_Toc351203505"/>
      <w:r>
        <w:rPr>
          <w:rFonts w:hint="eastAsia" w:ascii="宋体" w:hAnsi="宋体" w:cs="宋体"/>
          <w:b/>
          <w:bCs/>
          <w:color w:val="auto"/>
          <w:kern w:val="0"/>
          <w:szCs w:val="21"/>
          <w:highlight w:val="none"/>
        </w:rPr>
        <w:t>1</w:t>
      </w:r>
      <w:bookmarkStart w:id="108" w:name="_Toc337558736"/>
      <w:r>
        <w:rPr>
          <w:rFonts w:hint="eastAsia" w:ascii="宋体" w:hAnsi="宋体" w:cs="宋体"/>
          <w:b/>
          <w:bCs/>
          <w:color w:val="auto"/>
          <w:kern w:val="0"/>
          <w:szCs w:val="21"/>
          <w:highlight w:val="none"/>
        </w:rPr>
        <w:t>.10交通运输</w:t>
      </w:r>
      <w:bookmarkEnd w:id="106"/>
      <w:bookmarkEnd w:id="107"/>
    </w:p>
    <w:bookmarkEnd w:id="108"/>
    <w:p w14:paraId="77994E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0445DB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56397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78401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798ABB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不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105C97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658259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不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FB7E4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51FD1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59A284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665650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BC44C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539E84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68AD31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6837E3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E624EAD">
      <w:pPr>
        <w:widowControl/>
        <w:spacing w:line="360" w:lineRule="auto"/>
        <w:ind w:firstLine="422" w:firstLineChars="200"/>
        <w:jc w:val="left"/>
        <w:outlineLvl w:val="4"/>
        <w:rPr>
          <w:rFonts w:ascii="宋体" w:hAnsi="宋体" w:cs="宋体"/>
          <w:b/>
          <w:bCs/>
          <w:color w:val="auto"/>
          <w:kern w:val="0"/>
          <w:szCs w:val="21"/>
          <w:highlight w:val="none"/>
        </w:rPr>
      </w:pPr>
      <w:bookmarkStart w:id="109" w:name="_Toc532377192"/>
      <w:bookmarkStart w:id="110" w:name="_Toc351203506"/>
      <w:r>
        <w:rPr>
          <w:rFonts w:hint="eastAsia" w:ascii="宋体" w:hAnsi="宋体" w:cs="宋体"/>
          <w:b/>
          <w:bCs/>
          <w:color w:val="auto"/>
          <w:kern w:val="0"/>
          <w:szCs w:val="21"/>
          <w:highlight w:val="none"/>
        </w:rPr>
        <w:t>1</w:t>
      </w:r>
      <w:bookmarkStart w:id="111" w:name="_Toc337558737"/>
      <w:bookmarkStart w:id="112" w:name="_Toc296503037"/>
      <w:bookmarkStart w:id="113" w:name="_Toc296346538"/>
      <w:r>
        <w:rPr>
          <w:rFonts w:hint="eastAsia" w:ascii="宋体" w:hAnsi="宋体" w:cs="宋体"/>
          <w:b/>
          <w:bCs/>
          <w:color w:val="auto"/>
          <w:kern w:val="0"/>
          <w:szCs w:val="21"/>
          <w:highlight w:val="none"/>
        </w:rPr>
        <w:t>.11知识产权</w:t>
      </w:r>
      <w:bookmarkEnd w:id="109"/>
      <w:bookmarkEnd w:id="110"/>
      <w:bookmarkEnd w:id="111"/>
    </w:p>
    <w:bookmarkEnd w:id="112"/>
    <w:bookmarkEnd w:id="113"/>
    <w:p w14:paraId="136A76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001B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A763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7E732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392DDAA8">
      <w:pPr>
        <w:widowControl/>
        <w:spacing w:line="360" w:lineRule="auto"/>
        <w:ind w:firstLine="422" w:firstLineChars="200"/>
        <w:jc w:val="left"/>
        <w:outlineLvl w:val="4"/>
        <w:rPr>
          <w:rFonts w:ascii="宋体" w:hAnsi="宋体" w:cs="宋体"/>
          <w:b/>
          <w:bCs/>
          <w:color w:val="auto"/>
          <w:kern w:val="0"/>
          <w:szCs w:val="21"/>
          <w:highlight w:val="none"/>
        </w:rPr>
      </w:pPr>
      <w:bookmarkStart w:id="114" w:name="_Toc532377193"/>
      <w:bookmarkStart w:id="115" w:name="_Toc351203507"/>
      <w:r>
        <w:rPr>
          <w:rFonts w:hint="eastAsia" w:ascii="宋体" w:hAnsi="宋体" w:cs="宋体"/>
          <w:b/>
          <w:bCs/>
          <w:color w:val="auto"/>
          <w:kern w:val="0"/>
          <w:szCs w:val="21"/>
          <w:highlight w:val="none"/>
        </w:rPr>
        <w:t>1</w:t>
      </w:r>
      <w:bookmarkStart w:id="116" w:name="_Toc337558738"/>
      <w:r>
        <w:rPr>
          <w:rFonts w:hint="eastAsia" w:ascii="宋体" w:hAnsi="宋体" w:cs="宋体"/>
          <w:b/>
          <w:bCs/>
          <w:color w:val="auto"/>
          <w:kern w:val="0"/>
          <w:szCs w:val="21"/>
          <w:highlight w:val="none"/>
        </w:rPr>
        <w:t>.12保密</w:t>
      </w:r>
      <w:bookmarkEnd w:id="114"/>
      <w:bookmarkEnd w:id="115"/>
    </w:p>
    <w:bookmarkEnd w:id="116"/>
    <w:p w14:paraId="5CD881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1B0A6E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02EA19F2">
      <w:pPr>
        <w:widowControl/>
        <w:spacing w:line="360" w:lineRule="auto"/>
        <w:ind w:firstLine="422" w:firstLineChars="200"/>
        <w:jc w:val="left"/>
        <w:outlineLvl w:val="4"/>
        <w:rPr>
          <w:rFonts w:ascii="宋体" w:hAnsi="宋体" w:cs="宋体"/>
          <w:b/>
          <w:bCs/>
          <w:color w:val="auto"/>
          <w:kern w:val="0"/>
          <w:szCs w:val="21"/>
          <w:highlight w:val="none"/>
        </w:rPr>
      </w:pPr>
      <w:bookmarkStart w:id="117" w:name="_Toc532377194"/>
      <w:bookmarkStart w:id="118" w:name="_Toc351203508"/>
      <w:r>
        <w:rPr>
          <w:rFonts w:hint="eastAsia" w:ascii="宋体" w:hAnsi="宋体" w:cs="宋体"/>
          <w:b/>
          <w:bCs/>
          <w:color w:val="auto"/>
          <w:kern w:val="0"/>
          <w:szCs w:val="21"/>
          <w:highlight w:val="none"/>
        </w:rPr>
        <w:t>1.13工程量清单错误的修正</w:t>
      </w:r>
      <w:bookmarkEnd w:id="117"/>
      <w:bookmarkEnd w:id="118"/>
    </w:p>
    <w:p w14:paraId="6DF4C4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3F303A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418F39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2CF3FD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12EDCC1C">
      <w:pPr>
        <w:keepNext/>
        <w:keepLines/>
        <w:widowControl/>
        <w:spacing w:before="156" w:beforeLines="50" w:after="156" w:afterLines="50" w:line="360" w:lineRule="auto"/>
        <w:outlineLvl w:val="3"/>
        <w:rPr>
          <w:rFonts w:ascii="宋体" w:hAnsi="宋体" w:cs="宋体"/>
          <w:b/>
          <w:bCs/>
          <w:color w:val="auto"/>
          <w:szCs w:val="21"/>
          <w:highlight w:val="none"/>
        </w:rPr>
      </w:pPr>
      <w:bookmarkStart w:id="119" w:name="_Toc532377195"/>
      <w:bookmarkStart w:id="120" w:name="_Toc532375588"/>
      <w:bookmarkStart w:id="121" w:name="_Toc351203509"/>
      <w:r>
        <w:rPr>
          <w:rFonts w:hint="eastAsia" w:ascii="宋体" w:hAnsi="宋体" w:cs="宋体"/>
          <w:b/>
          <w:bCs/>
          <w:color w:val="auto"/>
          <w:szCs w:val="21"/>
          <w:highlight w:val="none"/>
        </w:rPr>
        <w:t>2</w:t>
      </w:r>
      <w:bookmarkStart w:id="122" w:name="_Toc296346539"/>
      <w:bookmarkStart w:id="123" w:name="_Toc337558739"/>
      <w:bookmarkStart w:id="124" w:name="_Toc296503038"/>
      <w:bookmarkStart w:id="125" w:name="OLE_LINK2"/>
      <w:r>
        <w:rPr>
          <w:rFonts w:hint="eastAsia" w:ascii="宋体" w:hAnsi="宋体" w:cs="宋体"/>
          <w:b/>
          <w:bCs/>
          <w:color w:val="auto"/>
          <w:szCs w:val="21"/>
          <w:highlight w:val="none"/>
        </w:rPr>
        <w:t>. 发包人</w:t>
      </w:r>
      <w:bookmarkEnd w:id="119"/>
      <w:bookmarkEnd w:id="120"/>
      <w:bookmarkEnd w:id="121"/>
    </w:p>
    <w:bookmarkEnd w:id="122"/>
    <w:bookmarkEnd w:id="123"/>
    <w:bookmarkEnd w:id="124"/>
    <w:p w14:paraId="69EAE0BD">
      <w:pPr>
        <w:widowControl/>
        <w:spacing w:line="360" w:lineRule="auto"/>
        <w:ind w:firstLine="422" w:firstLineChars="200"/>
        <w:jc w:val="left"/>
        <w:outlineLvl w:val="4"/>
        <w:rPr>
          <w:rFonts w:ascii="宋体" w:hAnsi="宋体" w:cs="宋体"/>
          <w:b/>
          <w:bCs/>
          <w:color w:val="auto"/>
          <w:kern w:val="0"/>
          <w:szCs w:val="21"/>
          <w:highlight w:val="none"/>
        </w:rPr>
      </w:pPr>
      <w:bookmarkStart w:id="126" w:name="_Toc532377196"/>
      <w:bookmarkStart w:id="127" w:name="_Toc351203510"/>
      <w:r>
        <w:rPr>
          <w:rFonts w:hint="eastAsia" w:ascii="宋体" w:hAnsi="宋体" w:cs="宋体"/>
          <w:b/>
          <w:bCs/>
          <w:color w:val="auto"/>
          <w:kern w:val="0"/>
          <w:szCs w:val="21"/>
          <w:highlight w:val="none"/>
        </w:rPr>
        <w:t>2</w:t>
      </w:r>
      <w:bookmarkStart w:id="128" w:name="_Toc296503039"/>
      <w:bookmarkStart w:id="129" w:name="_Toc337558740"/>
      <w:bookmarkStart w:id="130" w:name="_Toc296346540"/>
      <w:r>
        <w:rPr>
          <w:rFonts w:hint="eastAsia" w:ascii="宋体" w:hAnsi="宋体" w:cs="宋体"/>
          <w:b/>
          <w:bCs/>
          <w:color w:val="auto"/>
          <w:kern w:val="0"/>
          <w:szCs w:val="21"/>
          <w:highlight w:val="none"/>
        </w:rPr>
        <w:t>.1 许可或批准</w:t>
      </w:r>
      <w:bookmarkEnd w:id="126"/>
      <w:bookmarkEnd w:id="127"/>
    </w:p>
    <w:p w14:paraId="2807D8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F2DBF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因发包人原因未能及时办理完毕前述许可、批准或备案，由发包人承担由延误的工期。</w:t>
      </w:r>
    </w:p>
    <w:p w14:paraId="671328B6">
      <w:pPr>
        <w:widowControl/>
        <w:spacing w:line="360" w:lineRule="auto"/>
        <w:ind w:firstLine="422" w:firstLineChars="200"/>
        <w:jc w:val="left"/>
        <w:outlineLvl w:val="4"/>
        <w:rPr>
          <w:rFonts w:ascii="宋体" w:hAnsi="宋体" w:cs="宋体"/>
          <w:b/>
          <w:bCs/>
          <w:color w:val="auto"/>
          <w:kern w:val="0"/>
          <w:szCs w:val="21"/>
          <w:highlight w:val="none"/>
        </w:rPr>
      </w:pPr>
      <w:bookmarkStart w:id="131" w:name="_Toc351203511"/>
      <w:bookmarkStart w:id="132" w:name="_Toc532377197"/>
      <w:r>
        <w:rPr>
          <w:rFonts w:hint="eastAsia" w:ascii="宋体" w:hAnsi="宋体" w:cs="宋体"/>
          <w:b/>
          <w:bCs/>
          <w:color w:val="auto"/>
          <w:kern w:val="0"/>
          <w:szCs w:val="21"/>
          <w:highlight w:val="none"/>
        </w:rPr>
        <w:t>2.2 发包人代表</w:t>
      </w:r>
      <w:bookmarkEnd w:id="131"/>
      <w:bookmarkEnd w:id="132"/>
    </w:p>
    <w:p w14:paraId="68CAC4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51E6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514A1A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626C8221">
      <w:pPr>
        <w:widowControl/>
        <w:spacing w:line="360" w:lineRule="auto"/>
        <w:ind w:firstLine="422" w:firstLineChars="200"/>
        <w:jc w:val="left"/>
        <w:outlineLvl w:val="4"/>
        <w:rPr>
          <w:rFonts w:ascii="宋体" w:hAnsi="宋体" w:cs="宋体"/>
          <w:b/>
          <w:bCs/>
          <w:color w:val="auto"/>
          <w:kern w:val="0"/>
          <w:szCs w:val="21"/>
          <w:highlight w:val="none"/>
        </w:rPr>
      </w:pPr>
      <w:bookmarkStart w:id="133" w:name="_Toc532377198"/>
      <w:bookmarkStart w:id="134" w:name="_Toc351203512"/>
      <w:r>
        <w:rPr>
          <w:rFonts w:hint="eastAsia" w:ascii="宋体" w:hAnsi="宋体" w:cs="宋体"/>
          <w:b/>
          <w:bCs/>
          <w:color w:val="auto"/>
          <w:kern w:val="0"/>
          <w:szCs w:val="21"/>
          <w:highlight w:val="none"/>
        </w:rPr>
        <w:t>2.3 发包人人员</w:t>
      </w:r>
      <w:bookmarkEnd w:id="133"/>
      <w:bookmarkEnd w:id="134"/>
    </w:p>
    <w:p w14:paraId="75CE8E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1E747E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128"/>
      <w:bookmarkEnd w:id="129"/>
      <w:bookmarkEnd w:id="130"/>
    </w:p>
    <w:p w14:paraId="078B03FB">
      <w:pPr>
        <w:widowControl/>
        <w:spacing w:line="360" w:lineRule="auto"/>
        <w:ind w:firstLine="422" w:firstLineChars="200"/>
        <w:jc w:val="left"/>
        <w:outlineLvl w:val="4"/>
        <w:rPr>
          <w:rFonts w:ascii="宋体" w:hAnsi="宋体" w:cs="宋体"/>
          <w:b/>
          <w:bCs/>
          <w:color w:val="auto"/>
          <w:kern w:val="0"/>
          <w:szCs w:val="21"/>
          <w:highlight w:val="none"/>
        </w:rPr>
      </w:pPr>
      <w:bookmarkStart w:id="135" w:name="_Toc532377199"/>
      <w:bookmarkStart w:id="136" w:name="_Toc351203513"/>
      <w:r>
        <w:rPr>
          <w:rFonts w:hint="eastAsia" w:ascii="宋体" w:hAnsi="宋体" w:cs="宋体"/>
          <w:b/>
          <w:bCs/>
          <w:color w:val="auto"/>
          <w:kern w:val="0"/>
          <w:szCs w:val="21"/>
          <w:highlight w:val="none"/>
        </w:rPr>
        <w:t>2</w:t>
      </w:r>
      <w:bookmarkStart w:id="137" w:name="_Toc296346541"/>
      <w:bookmarkStart w:id="138" w:name="_Toc296503040"/>
      <w:bookmarkStart w:id="139" w:name="_Toc337558741"/>
      <w:r>
        <w:rPr>
          <w:rFonts w:hint="eastAsia" w:ascii="宋体" w:hAnsi="宋体" w:cs="宋体"/>
          <w:b/>
          <w:bCs/>
          <w:color w:val="auto"/>
          <w:kern w:val="0"/>
          <w:szCs w:val="21"/>
          <w:highlight w:val="none"/>
        </w:rPr>
        <w:t>.4 施工现场、施工条件和基础资料的提供</w:t>
      </w:r>
      <w:bookmarkEnd w:id="135"/>
      <w:bookmarkEnd w:id="136"/>
      <w:bookmarkEnd w:id="137"/>
      <w:bookmarkEnd w:id="138"/>
      <w:bookmarkEnd w:id="139"/>
    </w:p>
    <w:p w14:paraId="044653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29CAD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125"/>
      <w:r>
        <w:rPr>
          <w:rFonts w:hint="eastAsia" w:ascii="宋体" w:hAnsi="宋体"/>
          <w:color w:val="auto"/>
          <w:kern w:val="0"/>
          <w:szCs w:val="21"/>
          <w:highlight w:val="none"/>
        </w:rPr>
        <w:t>专用合同条款另有约定外，发包人应最迟于开工日期7天前向承包人移交施工现场。</w:t>
      </w:r>
    </w:p>
    <w:p w14:paraId="4EC5EA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1A8FFF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0C4018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（1）协调配合承包人将施工用水、电力、通讯线路等施工所必需的条件接至施工现场内；</w:t>
      </w:r>
    </w:p>
    <w:p w14:paraId="24E09F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5FD991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585B86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3377E2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09EA34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B00BB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0FDE95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C1F7E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因发包人原因未能按合同约定及时向承包人提供施工现场、施工条件、基础资料的，由发包人承担由此延误的工期。</w:t>
      </w:r>
    </w:p>
    <w:p w14:paraId="28E89BC0">
      <w:pPr>
        <w:widowControl/>
        <w:spacing w:line="360" w:lineRule="auto"/>
        <w:ind w:firstLine="422" w:firstLineChars="200"/>
        <w:jc w:val="left"/>
        <w:outlineLvl w:val="4"/>
        <w:rPr>
          <w:rFonts w:ascii="宋体" w:hAnsi="宋体" w:cs="宋体"/>
          <w:b/>
          <w:bCs/>
          <w:color w:val="auto"/>
          <w:kern w:val="0"/>
          <w:szCs w:val="21"/>
          <w:highlight w:val="none"/>
        </w:rPr>
      </w:pPr>
      <w:bookmarkStart w:id="140" w:name="_Toc532377200"/>
      <w:bookmarkStart w:id="141" w:name="_Toc351203514"/>
      <w:r>
        <w:rPr>
          <w:rFonts w:hint="eastAsia" w:ascii="宋体" w:hAnsi="宋体" w:cs="宋体"/>
          <w:b/>
          <w:bCs/>
          <w:color w:val="auto"/>
          <w:kern w:val="0"/>
          <w:szCs w:val="21"/>
          <w:highlight w:val="none"/>
        </w:rPr>
        <w:t>2</w:t>
      </w:r>
      <w:bookmarkStart w:id="142" w:name="_Toc296503042"/>
      <w:bookmarkStart w:id="143" w:name="_Toc296346543"/>
      <w:bookmarkStart w:id="144" w:name="_Toc337558745"/>
      <w:r>
        <w:rPr>
          <w:rFonts w:hint="eastAsia" w:ascii="宋体" w:hAnsi="宋体" w:cs="宋体"/>
          <w:b/>
          <w:bCs/>
          <w:color w:val="auto"/>
          <w:kern w:val="0"/>
          <w:szCs w:val="21"/>
          <w:highlight w:val="none"/>
        </w:rPr>
        <w:t>.5 资</w:t>
      </w:r>
      <w:bookmarkEnd w:id="142"/>
      <w:bookmarkEnd w:id="143"/>
      <w:bookmarkEnd w:id="144"/>
      <w:r>
        <w:rPr>
          <w:rFonts w:hint="eastAsia" w:ascii="宋体" w:hAnsi="宋体" w:cs="宋体"/>
          <w:b/>
          <w:bCs/>
          <w:color w:val="auto"/>
          <w:kern w:val="0"/>
          <w:szCs w:val="21"/>
          <w:highlight w:val="none"/>
        </w:rPr>
        <w:t>金来源证明及支付担保</w:t>
      </w:r>
      <w:bookmarkEnd w:id="140"/>
      <w:bookmarkEnd w:id="141"/>
    </w:p>
    <w:p w14:paraId="3D34F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51598A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29ECB6B">
      <w:pPr>
        <w:widowControl/>
        <w:spacing w:line="360" w:lineRule="auto"/>
        <w:ind w:firstLine="422" w:firstLineChars="200"/>
        <w:jc w:val="left"/>
        <w:outlineLvl w:val="4"/>
        <w:rPr>
          <w:rFonts w:ascii="宋体" w:hAnsi="宋体" w:cs="宋体"/>
          <w:b/>
          <w:bCs/>
          <w:color w:val="auto"/>
          <w:kern w:val="0"/>
          <w:szCs w:val="21"/>
          <w:highlight w:val="none"/>
        </w:rPr>
      </w:pPr>
      <w:bookmarkStart w:id="145" w:name="_Toc351203515"/>
      <w:bookmarkStart w:id="146" w:name="_Toc532377201"/>
      <w:r>
        <w:rPr>
          <w:rFonts w:hint="eastAsia" w:ascii="宋体" w:hAnsi="宋体" w:cs="宋体"/>
          <w:b/>
          <w:bCs/>
          <w:color w:val="auto"/>
          <w:kern w:val="0"/>
          <w:szCs w:val="21"/>
          <w:highlight w:val="none"/>
        </w:rPr>
        <w:t>2.6 支付合同价款</w:t>
      </w:r>
      <w:bookmarkEnd w:id="145"/>
      <w:bookmarkEnd w:id="146"/>
    </w:p>
    <w:p w14:paraId="18C1DA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0453B04F">
      <w:pPr>
        <w:widowControl/>
        <w:spacing w:line="360" w:lineRule="auto"/>
        <w:ind w:firstLine="422" w:firstLineChars="200"/>
        <w:jc w:val="left"/>
        <w:outlineLvl w:val="4"/>
        <w:rPr>
          <w:rFonts w:ascii="宋体" w:hAnsi="宋体" w:cs="宋体"/>
          <w:b/>
          <w:bCs/>
          <w:color w:val="auto"/>
          <w:kern w:val="0"/>
          <w:szCs w:val="21"/>
          <w:highlight w:val="none"/>
        </w:rPr>
      </w:pPr>
      <w:bookmarkStart w:id="147" w:name="_Toc351203516"/>
      <w:bookmarkStart w:id="148" w:name="_Toc532377202"/>
      <w:r>
        <w:rPr>
          <w:rFonts w:hint="eastAsia" w:ascii="宋体" w:hAnsi="宋体" w:cs="宋体"/>
          <w:b/>
          <w:bCs/>
          <w:color w:val="auto"/>
          <w:kern w:val="0"/>
          <w:szCs w:val="21"/>
          <w:highlight w:val="none"/>
        </w:rPr>
        <w:t>2.7 组织竣工验收</w:t>
      </w:r>
      <w:bookmarkEnd w:id="147"/>
      <w:bookmarkEnd w:id="148"/>
    </w:p>
    <w:p w14:paraId="3534E8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593331AD">
      <w:pPr>
        <w:widowControl/>
        <w:spacing w:line="360" w:lineRule="auto"/>
        <w:ind w:firstLine="422" w:firstLineChars="200"/>
        <w:jc w:val="left"/>
        <w:outlineLvl w:val="4"/>
        <w:rPr>
          <w:rFonts w:ascii="宋体" w:hAnsi="宋体" w:cs="宋体"/>
          <w:b/>
          <w:bCs/>
          <w:color w:val="auto"/>
          <w:kern w:val="0"/>
          <w:szCs w:val="21"/>
          <w:highlight w:val="none"/>
        </w:rPr>
      </w:pPr>
      <w:bookmarkStart w:id="149" w:name="_Toc351203517"/>
      <w:bookmarkStart w:id="150" w:name="_Toc532377203"/>
      <w:r>
        <w:rPr>
          <w:rFonts w:hint="eastAsia" w:ascii="宋体" w:hAnsi="宋体" w:cs="宋体"/>
          <w:b/>
          <w:bCs/>
          <w:color w:val="auto"/>
          <w:kern w:val="0"/>
          <w:szCs w:val="21"/>
          <w:highlight w:val="none"/>
        </w:rPr>
        <w:t>2.8 现场统一管理协议</w:t>
      </w:r>
      <w:bookmarkEnd w:id="149"/>
      <w:bookmarkEnd w:id="150"/>
    </w:p>
    <w:p w14:paraId="265125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7548C8A8">
      <w:pPr>
        <w:keepNext/>
        <w:keepLines/>
        <w:widowControl/>
        <w:spacing w:before="156" w:beforeLines="50" w:after="156" w:afterLines="50" w:line="360" w:lineRule="auto"/>
        <w:outlineLvl w:val="3"/>
        <w:rPr>
          <w:rFonts w:ascii="宋体" w:hAnsi="宋体" w:cs="宋体"/>
          <w:b/>
          <w:color w:val="auto"/>
          <w:szCs w:val="21"/>
          <w:highlight w:val="none"/>
        </w:rPr>
      </w:pPr>
      <w:bookmarkStart w:id="151" w:name="_Toc532375589"/>
      <w:bookmarkStart w:id="152" w:name="_Toc532377204"/>
      <w:bookmarkStart w:id="153" w:name="_Toc351203518"/>
      <w:r>
        <w:rPr>
          <w:rFonts w:hint="eastAsia" w:ascii="宋体" w:hAnsi="宋体" w:cs="宋体"/>
          <w:b/>
          <w:bCs/>
          <w:color w:val="auto"/>
          <w:szCs w:val="21"/>
          <w:highlight w:val="none"/>
        </w:rPr>
        <w:t>3</w:t>
      </w:r>
      <w:bookmarkStart w:id="154" w:name="_Toc296346546"/>
      <w:bookmarkStart w:id="155" w:name="_Toc337558746"/>
      <w:bookmarkStart w:id="156" w:name="_Toc296503045"/>
      <w:r>
        <w:rPr>
          <w:rFonts w:hint="eastAsia" w:ascii="宋体" w:hAnsi="宋体" w:cs="宋体"/>
          <w:b/>
          <w:bCs/>
          <w:color w:val="auto"/>
          <w:szCs w:val="21"/>
          <w:highlight w:val="none"/>
        </w:rPr>
        <w:t>. 承包人</w:t>
      </w:r>
      <w:bookmarkEnd w:id="151"/>
      <w:bookmarkEnd w:id="152"/>
      <w:bookmarkEnd w:id="153"/>
    </w:p>
    <w:bookmarkEnd w:id="154"/>
    <w:bookmarkEnd w:id="155"/>
    <w:bookmarkEnd w:id="156"/>
    <w:p w14:paraId="40A5DA3B">
      <w:pPr>
        <w:widowControl/>
        <w:spacing w:line="360" w:lineRule="auto"/>
        <w:ind w:firstLine="422" w:firstLineChars="200"/>
        <w:jc w:val="left"/>
        <w:outlineLvl w:val="4"/>
        <w:rPr>
          <w:rFonts w:ascii="宋体" w:hAnsi="宋体" w:cs="宋体"/>
          <w:b/>
          <w:bCs/>
          <w:color w:val="auto"/>
          <w:kern w:val="0"/>
          <w:szCs w:val="21"/>
          <w:highlight w:val="none"/>
        </w:rPr>
      </w:pPr>
      <w:bookmarkStart w:id="157" w:name="_Toc532377205"/>
      <w:bookmarkStart w:id="158" w:name="_Toc351203519"/>
      <w:r>
        <w:rPr>
          <w:rFonts w:hint="eastAsia" w:ascii="宋体" w:hAnsi="宋体" w:cs="宋体"/>
          <w:b/>
          <w:bCs/>
          <w:color w:val="auto"/>
          <w:kern w:val="0"/>
          <w:szCs w:val="21"/>
          <w:highlight w:val="none"/>
        </w:rPr>
        <w:t>3</w:t>
      </w:r>
      <w:bookmarkStart w:id="159" w:name="_Toc296503046"/>
      <w:bookmarkStart w:id="160" w:name="_Toc296346547"/>
      <w:bookmarkStart w:id="161" w:name="_Toc337558747"/>
      <w:r>
        <w:rPr>
          <w:rFonts w:hint="eastAsia" w:ascii="宋体" w:hAnsi="宋体" w:cs="宋体"/>
          <w:b/>
          <w:bCs/>
          <w:color w:val="auto"/>
          <w:kern w:val="0"/>
          <w:szCs w:val="21"/>
          <w:highlight w:val="none"/>
        </w:rPr>
        <w:t>.1 承包人的一般义务</w:t>
      </w:r>
      <w:bookmarkEnd w:id="157"/>
      <w:bookmarkEnd w:id="158"/>
    </w:p>
    <w:bookmarkEnd w:id="159"/>
    <w:bookmarkEnd w:id="160"/>
    <w:bookmarkEnd w:id="161"/>
    <w:p w14:paraId="6CDC96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50C69B9C">
      <w:pPr>
        <w:numPr>
          <w:ilvl w:val="0"/>
          <w:numId w:val="2"/>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62A2E2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436EEB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17804B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012EE0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5E75A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1756A8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467265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261065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10C4A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52297F1E">
      <w:pPr>
        <w:widowControl/>
        <w:spacing w:line="360" w:lineRule="auto"/>
        <w:ind w:firstLine="422" w:firstLineChars="200"/>
        <w:jc w:val="left"/>
        <w:outlineLvl w:val="4"/>
        <w:rPr>
          <w:rFonts w:ascii="宋体" w:hAnsi="宋体" w:cs="宋体"/>
          <w:b/>
          <w:bCs/>
          <w:color w:val="auto"/>
          <w:kern w:val="0"/>
          <w:szCs w:val="21"/>
          <w:highlight w:val="none"/>
        </w:rPr>
      </w:pPr>
      <w:bookmarkStart w:id="162" w:name="_Toc351203520"/>
      <w:bookmarkStart w:id="163" w:name="_Toc532377206"/>
      <w:r>
        <w:rPr>
          <w:rFonts w:hint="eastAsia" w:ascii="宋体" w:hAnsi="宋体" w:cs="宋体"/>
          <w:b/>
          <w:bCs/>
          <w:color w:val="auto"/>
          <w:kern w:val="0"/>
          <w:szCs w:val="21"/>
          <w:highlight w:val="none"/>
        </w:rPr>
        <w:t>3</w:t>
      </w:r>
      <w:bookmarkStart w:id="164" w:name="_Toc296346548"/>
      <w:bookmarkStart w:id="165" w:name="_Toc296503047"/>
      <w:bookmarkStart w:id="166" w:name="_Toc337558748"/>
      <w:r>
        <w:rPr>
          <w:rFonts w:hint="eastAsia" w:ascii="宋体" w:hAnsi="宋体" w:cs="宋体"/>
          <w:b/>
          <w:bCs/>
          <w:color w:val="auto"/>
          <w:kern w:val="0"/>
          <w:szCs w:val="21"/>
          <w:highlight w:val="none"/>
        </w:rPr>
        <w:t xml:space="preserve">.2 </w:t>
      </w:r>
      <w:bookmarkEnd w:id="162"/>
      <w:r>
        <w:rPr>
          <w:rFonts w:hint="eastAsia" w:ascii="宋体" w:hAnsi="宋体" w:cs="宋体"/>
          <w:b/>
          <w:bCs/>
          <w:color w:val="auto"/>
          <w:kern w:val="0"/>
          <w:szCs w:val="21"/>
          <w:highlight w:val="none"/>
        </w:rPr>
        <w:t>项目经理</w:t>
      </w:r>
      <w:bookmarkEnd w:id="163"/>
    </w:p>
    <w:bookmarkEnd w:id="164"/>
    <w:bookmarkEnd w:id="165"/>
    <w:bookmarkEnd w:id="166"/>
    <w:p w14:paraId="5F627C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F1023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1864B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636238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B0566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7923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E2822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99B3D85">
      <w:pPr>
        <w:widowControl/>
        <w:spacing w:line="360" w:lineRule="auto"/>
        <w:ind w:firstLine="422" w:firstLineChars="200"/>
        <w:jc w:val="left"/>
        <w:outlineLvl w:val="4"/>
        <w:rPr>
          <w:rFonts w:ascii="宋体" w:hAnsi="宋体" w:cs="宋体"/>
          <w:b/>
          <w:bCs/>
          <w:color w:val="auto"/>
          <w:kern w:val="0"/>
          <w:szCs w:val="21"/>
          <w:highlight w:val="none"/>
        </w:rPr>
      </w:pPr>
      <w:bookmarkStart w:id="167" w:name="_Toc351203521"/>
      <w:bookmarkStart w:id="168" w:name="_Toc532377207"/>
      <w:r>
        <w:rPr>
          <w:rFonts w:hint="eastAsia" w:ascii="宋体" w:hAnsi="宋体" w:cs="宋体"/>
          <w:b/>
          <w:bCs/>
          <w:color w:val="auto"/>
          <w:kern w:val="0"/>
          <w:szCs w:val="21"/>
          <w:highlight w:val="none"/>
        </w:rPr>
        <w:t>3</w:t>
      </w:r>
      <w:bookmarkStart w:id="169" w:name="_Toc296503048"/>
      <w:bookmarkStart w:id="170" w:name="_Toc296346549"/>
      <w:bookmarkStart w:id="171" w:name="_Toc337558749"/>
      <w:r>
        <w:rPr>
          <w:rFonts w:hint="eastAsia" w:ascii="宋体" w:hAnsi="宋体" w:cs="宋体"/>
          <w:b/>
          <w:bCs/>
          <w:color w:val="auto"/>
          <w:kern w:val="0"/>
          <w:szCs w:val="21"/>
          <w:highlight w:val="none"/>
        </w:rPr>
        <w:t xml:space="preserve">.3 </w:t>
      </w:r>
      <w:bookmarkEnd w:id="169"/>
      <w:bookmarkEnd w:id="170"/>
      <w:r>
        <w:rPr>
          <w:rFonts w:hint="eastAsia" w:ascii="宋体" w:hAnsi="宋体" w:cs="宋体"/>
          <w:b/>
          <w:bCs/>
          <w:color w:val="auto"/>
          <w:kern w:val="0"/>
          <w:szCs w:val="21"/>
          <w:highlight w:val="none"/>
        </w:rPr>
        <w:t>承包人人员</w:t>
      </w:r>
      <w:bookmarkEnd w:id="167"/>
      <w:bookmarkEnd w:id="168"/>
    </w:p>
    <w:bookmarkEnd w:id="171"/>
    <w:p w14:paraId="2C192D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A796C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F2348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3470EB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88D48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DBB3A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55A31CBB">
      <w:pPr>
        <w:widowControl/>
        <w:spacing w:line="360" w:lineRule="auto"/>
        <w:ind w:firstLine="422" w:firstLineChars="200"/>
        <w:jc w:val="left"/>
        <w:outlineLvl w:val="4"/>
        <w:rPr>
          <w:rFonts w:ascii="宋体" w:hAnsi="宋体" w:cs="宋体"/>
          <w:b/>
          <w:bCs/>
          <w:color w:val="auto"/>
          <w:kern w:val="0"/>
          <w:szCs w:val="21"/>
          <w:highlight w:val="none"/>
        </w:rPr>
      </w:pPr>
      <w:bookmarkStart w:id="172" w:name="_Toc351203522"/>
      <w:bookmarkStart w:id="173" w:name="_Toc532377208"/>
      <w:r>
        <w:rPr>
          <w:rFonts w:hint="eastAsia" w:ascii="宋体" w:hAnsi="宋体" w:cs="宋体"/>
          <w:b/>
          <w:bCs/>
          <w:color w:val="auto"/>
          <w:kern w:val="0"/>
          <w:szCs w:val="21"/>
          <w:highlight w:val="none"/>
        </w:rPr>
        <w:t>3</w:t>
      </w:r>
      <w:bookmarkStart w:id="174" w:name="_Toc296346551"/>
      <w:bookmarkStart w:id="175" w:name="_Toc296503050"/>
      <w:bookmarkStart w:id="176" w:name="_Toc337558750"/>
      <w:r>
        <w:rPr>
          <w:rFonts w:hint="eastAsia" w:ascii="宋体" w:hAnsi="宋体" w:cs="宋体"/>
          <w:b/>
          <w:bCs/>
          <w:color w:val="auto"/>
          <w:kern w:val="0"/>
          <w:szCs w:val="21"/>
          <w:highlight w:val="none"/>
        </w:rPr>
        <w:t>.4 承包人现场查勘</w:t>
      </w:r>
      <w:bookmarkEnd w:id="172"/>
      <w:bookmarkEnd w:id="173"/>
    </w:p>
    <w:bookmarkEnd w:id="174"/>
    <w:bookmarkEnd w:id="175"/>
    <w:bookmarkEnd w:id="176"/>
    <w:p w14:paraId="2F24AA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承包人应对基于发包人按照第2.4.3项〔提供基础资料〕提交的基础资料所做出的解释和推断负责，但因基础资料存在错误、遗漏导致承包人解释或推断失实的，由承包人承担相应责任。</w:t>
      </w:r>
    </w:p>
    <w:p w14:paraId="067A8D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733973F">
      <w:pPr>
        <w:widowControl/>
        <w:spacing w:line="360" w:lineRule="auto"/>
        <w:ind w:firstLine="422" w:firstLineChars="200"/>
        <w:jc w:val="left"/>
        <w:outlineLvl w:val="4"/>
        <w:rPr>
          <w:rFonts w:ascii="宋体" w:hAnsi="宋体" w:cs="宋体"/>
          <w:b/>
          <w:bCs/>
          <w:color w:val="auto"/>
          <w:kern w:val="0"/>
          <w:szCs w:val="21"/>
          <w:highlight w:val="none"/>
        </w:rPr>
      </w:pPr>
      <w:bookmarkStart w:id="177" w:name="_Toc532377209"/>
      <w:bookmarkStart w:id="178" w:name="_Toc351203523"/>
      <w:r>
        <w:rPr>
          <w:rFonts w:hint="eastAsia" w:ascii="宋体" w:hAnsi="宋体" w:cs="宋体"/>
          <w:b/>
          <w:bCs/>
          <w:color w:val="auto"/>
          <w:kern w:val="0"/>
          <w:szCs w:val="21"/>
          <w:highlight w:val="none"/>
        </w:rPr>
        <w:t>3</w:t>
      </w:r>
      <w:bookmarkStart w:id="179" w:name="_Toc296346552"/>
      <w:bookmarkStart w:id="180" w:name="_Toc296503051"/>
      <w:bookmarkStart w:id="181" w:name="_Toc337558751"/>
      <w:r>
        <w:rPr>
          <w:rFonts w:hint="eastAsia" w:ascii="宋体" w:hAnsi="宋体" w:cs="宋体"/>
          <w:b/>
          <w:bCs/>
          <w:color w:val="auto"/>
          <w:kern w:val="0"/>
          <w:szCs w:val="21"/>
          <w:highlight w:val="none"/>
        </w:rPr>
        <w:t>.5 分包</w:t>
      </w:r>
      <w:bookmarkEnd w:id="177"/>
      <w:bookmarkEnd w:id="178"/>
    </w:p>
    <w:bookmarkEnd w:id="179"/>
    <w:bookmarkEnd w:id="180"/>
    <w:bookmarkEnd w:id="181"/>
    <w:p w14:paraId="62FCD2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547F51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FD45F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3584D6C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53B8B4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B0FDD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3A793E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53FDCD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067D62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2E06B4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56F634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37F90E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82" w:name="_Toc351203524"/>
    </w:p>
    <w:p w14:paraId="4F16A26E">
      <w:pPr>
        <w:widowControl/>
        <w:spacing w:line="360" w:lineRule="auto"/>
        <w:ind w:firstLine="422" w:firstLineChars="200"/>
        <w:jc w:val="left"/>
        <w:outlineLvl w:val="4"/>
        <w:rPr>
          <w:rFonts w:ascii="宋体" w:hAnsi="宋体" w:cs="宋体"/>
          <w:b/>
          <w:bCs/>
          <w:color w:val="auto"/>
          <w:kern w:val="0"/>
          <w:szCs w:val="21"/>
          <w:highlight w:val="none"/>
        </w:rPr>
      </w:pPr>
      <w:bookmarkStart w:id="183" w:name="_Toc532377210"/>
      <w:r>
        <w:rPr>
          <w:rFonts w:hint="eastAsia" w:ascii="宋体" w:hAnsi="宋体" w:cs="宋体"/>
          <w:b/>
          <w:bCs/>
          <w:color w:val="auto"/>
          <w:kern w:val="0"/>
          <w:szCs w:val="21"/>
          <w:highlight w:val="none"/>
        </w:rPr>
        <w:t>3.6 工程照管与成品、半成品保护</w:t>
      </w:r>
      <w:bookmarkEnd w:id="182"/>
      <w:bookmarkEnd w:id="183"/>
    </w:p>
    <w:p w14:paraId="6FC304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1C0EBD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5AC68CC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7760B66">
      <w:pPr>
        <w:widowControl/>
        <w:spacing w:line="360" w:lineRule="auto"/>
        <w:ind w:firstLine="422" w:firstLineChars="200"/>
        <w:jc w:val="left"/>
        <w:outlineLvl w:val="4"/>
        <w:rPr>
          <w:rFonts w:ascii="宋体" w:hAnsi="宋体" w:cs="宋体"/>
          <w:b/>
          <w:bCs/>
          <w:color w:val="auto"/>
          <w:kern w:val="0"/>
          <w:szCs w:val="21"/>
          <w:highlight w:val="none"/>
        </w:rPr>
      </w:pPr>
      <w:bookmarkStart w:id="184" w:name="_Toc532377211"/>
      <w:bookmarkStart w:id="185" w:name="_Toc351203525"/>
      <w:r>
        <w:rPr>
          <w:rFonts w:hint="eastAsia" w:ascii="宋体" w:hAnsi="宋体" w:cs="宋体"/>
          <w:b/>
          <w:bCs/>
          <w:color w:val="auto"/>
          <w:kern w:val="0"/>
          <w:szCs w:val="21"/>
          <w:highlight w:val="none"/>
        </w:rPr>
        <w:t>3</w:t>
      </w:r>
      <w:bookmarkStart w:id="186" w:name="_Toc337558752"/>
      <w:bookmarkStart w:id="187" w:name="_Toc296503052"/>
      <w:bookmarkStart w:id="188" w:name="_Toc296346553"/>
      <w:r>
        <w:rPr>
          <w:rFonts w:hint="eastAsia" w:ascii="宋体" w:hAnsi="宋体" w:cs="宋体"/>
          <w:b/>
          <w:bCs/>
          <w:color w:val="auto"/>
          <w:kern w:val="0"/>
          <w:szCs w:val="21"/>
          <w:highlight w:val="none"/>
        </w:rPr>
        <w:t>.7 履约担保</w:t>
      </w:r>
      <w:bookmarkEnd w:id="184"/>
      <w:bookmarkEnd w:id="185"/>
    </w:p>
    <w:bookmarkEnd w:id="186"/>
    <w:bookmarkEnd w:id="187"/>
    <w:bookmarkEnd w:id="188"/>
    <w:p w14:paraId="2FD287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9C657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693BD738">
      <w:pPr>
        <w:widowControl/>
        <w:spacing w:line="360" w:lineRule="auto"/>
        <w:ind w:firstLine="422" w:firstLineChars="200"/>
        <w:jc w:val="left"/>
        <w:outlineLvl w:val="4"/>
        <w:rPr>
          <w:rFonts w:ascii="宋体" w:hAnsi="宋体" w:cs="宋体"/>
          <w:b/>
          <w:bCs/>
          <w:color w:val="auto"/>
          <w:kern w:val="0"/>
          <w:szCs w:val="21"/>
          <w:highlight w:val="none"/>
        </w:rPr>
      </w:pPr>
      <w:bookmarkStart w:id="189" w:name="_Toc351203526"/>
      <w:bookmarkStart w:id="190" w:name="_Toc532377212"/>
      <w:r>
        <w:rPr>
          <w:rFonts w:hint="eastAsia" w:ascii="宋体" w:hAnsi="宋体" w:cs="宋体"/>
          <w:b/>
          <w:bCs/>
          <w:color w:val="auto"/>
          <w:kern w:val="0"/>
          <w:szCs w:val="21"/>
          <w:highlight w:val="none"/>
        </w:rPr>
        <w:t>3.8 联合体</w:t>
      </w:r>
      <w:bookmarkEnd w:id="189"/>
      <w:bookmarkEnd w:id="190"/>
    </w:p>
    <w:p w14:paraId="1B602E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723DB5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282B49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5365BBCE">
      <w:pPr>
        <w:keepNext/>
        <w:keepLines/>
        <w:widowControl/>
        <w:spacing w:before="156" w:beforeLines="50" w:after="156" w:afterLines="50" w:line="360" w:lineRule="auto"/>
        <w:outlineLvl w:val="3"/>
        <w:rPr>
          <w:rFonts w:ascii="宋体" w:hAnsi="宋体" w:cs="宋体"/>
          <w:b/>
          <w:color w:val="auto"/>
          <w:szCs w:val="21"/>
          <w:highlight w:val="none"/>
        </w:rPr>
      </w:pPr>
      <w:bookmarkStart w:id="191" w:name="_Toc532375590"/>
      <w:bookmarkStart w:id="192" w:name="_Toc532377213"/>
      <w:bookmarkStart w:id="193" w:name="_Toc351203527"/>
      <w:r>
        <w:rPr>
          <w:rFonts w:hint="eastAsia" w:ascii="宋体" w:hAnsi="宋体" w:cs="宋体"/>
          <w:b/>
          <w:bCs/>
          <w:color w:val="auto"/>
          <w:szCs w:val="21"/>
          <w:highlight w:val="none"/>
        </w:rPr>
        <w:t>4</w:t>
      </w:r>
      <w:bookmarkStart w:id="194" w:name="_Toc296346554"/>
      <w:bookmarkStart w:id="195" w:name="_Toc296503053"/>
      <w:bookmarkStart w:id="196" w:name="_Toc337558753"/>
      <w:r>
        <w:rPr>
          <w:rFonts w:hint="eastAsia" w:ascii="宋体" w:hAnsi="宋体" w:cs="宋体"/>
          <w:b/>
          <w:bCs/>
          <w:color w:val="auto"/>
          <w:szCs w:val="21"/>
          <w:highlight w:val="none"/>
        </w:rPr>
        <w:t>. 监</w:t>
      </w:r>
      <w:bookmarkEnd w:id="194"/>
      <w:bookmarkEnd w:id="195"/>
      <w:r>
        <w:rPr>
          <w:rFonts w:hint="eastAsia" w:ascii="宋体" w:hAnsi="宋体" w:cs="宋体"/>
          <w:b/>
          <w:bCs/>
          <w:color w:val="auto"/>
          <w:szCs w:val="21"/>
          <w:highlight w:val="none"/>
        </w:rPr>
        <w:t>理人</w:t>
      </w:r>
      <w:bookmarkEnd w:id="191"/>
      <w:bookmarkEnd w:id="192"/>
      <w:bookmarkEnd w:id="193"/>
    </w:p>
    <w:bookmarkEnd w:id="196"/>
    <w:p w14:paraId="6F15D1F3">
      <w:pPr>
        <w:widowControl/>
        <w:spacing w:line="360" w:lineRule="auto"/>
        <w:ind w:firstLine="422" w:firstLineChars="200"/>
        <w:jc w:val="left"/>
        <w:outlineLvl w:val="4"/>
        <w:rPr>
          <w:rFonts w:ascii="宋体" w:hAnsi="宋体" w:cs="宋体"/>
          <w:b/>
          <w:bCs/>
          <w:color w:val="auto"/>
          <w:kern w:val="0"/>
          <w:szCs w:val="21"/>
          <w:highlight w:val="none"/>
        </w:rPr>
      </w:pPr>
      <w:bookmarkStart w:id="197" w:name="_Toc532377214"/>
      <w:bookmarkStart w:id="198" w:name="_Toc351203528"/>
      <w:r>
        <w:rPr>
          <w:rFonts w:hint="eastAsia" w:ascii="宋体" w:hAnsi="宋体" w:cs="宋体"/>
          <w:b/>
          <w:bCs/>
          <w:color w:val="auto"/>
          <w:kern w:val="0"/>
          <w:szCs w:val="21"/>
          <w:highlight w:val="none"/>
        </w:rPr>
        <w:t>4</w:t>
      </w:r>
      <w:bookmarkStart w:id="199" w:name="_Toc296346555"/>
      <w:bookmarkStart w:id="200" w:name="_Toc296503054"/>
      <w:bookmarkStart w:id="201" w:name="_Toc337558754"/>
      <w:r>
        <w:rPr>
          <w:rFonts w:hint="eastAsia" w:ascii="宋体" w:hAnsi="宋体" w:cs="宋体"/>
          <w:b/>
          <w:bCs/>
          <w:color w:val="auto"/>
          <w:kern w:val="0"/>
          <w:szCs w:val="21"/>
          <w:highlight w:val="none"/>
        </w:rPr>
        <w:t>.1监理人的一般规定</w:t>
      </w:r>
      <w:bookmarkEnd w:id="197"/>
      <w:bookmarkEnd w:id="198"/>
    </w:p>
    <w:bookmarkEnd w:id="199"/>
    <w:bookmarkEnd w:id="200"/>
    <w:bookmarkEnd w:id="201"/>
    <w:p w14:paraId="31E4AE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8EA96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25BE4CEA">
      <w:pPr>
        <w:widowControl/>
        <w:spacing w:line="360" w:lineRule="auto"/>
        <w:ind w:firstLine="422" w:firstLineChars="200"/>
        <w:jc w:val="left"/>
        <w:outlineLvl w:val="4"/>
        <w:rPr>
          <w:rFonts w:ascii="宋体" w:hAnsi="宋体" w:cs="宋体"/>
          <w:b/>
          <w:bCs/>
          <w:color w:val="auto"/>
          <w:kern w:val="0"/>
          <w:szCs w:val="21"/>
          <w:highlight w:val="none"/>
        </w:rPr>
      </w:pPr>
      <w:bookmarkStart w:id="202" w:name="_Toc532377215"/>
      <w:bookmarkStart w:id="203" w:name="_Toc351203529"/>
      <w:r>
        <w:rPr>
          <w:rFonts w:hint="eastAsia" w:ascii="宋体" w:hAnsi="宋体" w:cs="宋体"/>
          <w:b/>
          <w:bCs/>
          <w:color w:val="auto"/>
          <w:kern w:val="0"/>
          <w:szCs w:val="21"/>
          <w:highlight w:val="none"/>
        </w:rPr>
        <w:t>4</w:t>
      </w:r>
      <w:bookmarkStart w:id="204" w:name="_Toc337558755"/>
      <w:r>
        <w:rPr>
          <w:rFonts w:hint="eastAsia" w:ascii="宋体" w:hAnsi="宋体" w:cs="宋体"/>
          <w:b/>
          <w:bCs/>
          <w:color w:val="auto"/>
          <w:kern w:val="0"/>
          <w:szCs w:val="21"/>
          <w:highlight w:val="none"/>
        </w:rPr>
        <w:t>.2监理人员</w:t>
      </w:r>
      <w:bookmarkEnd w:id="202"/>
      <w:bookmarkEnd w:id="203"/>
    </w:p>
    <w:bookmarkEnd w:id="204"/>
    <w:p w14:paraId="006C33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BEBB0C5">
      <w:pPr>
        <w:widowControl/>
        <w:spacing w:line="360" w:lineRule="auto"/>
        <w:ind w:firstLine="422" w:firstLineChars="200"/>
        <w:jc w:val="left"/>
        <w:outlineLvl w:val="4"/>
        <w:rPr>
          <w:rFonts w:ascii="宋体" w:hAnsi="宋体" w:cs="宋体"/>
          <w:b/>
          <w:bCs/>
          <w:color w:val="auto"/>
          <w:kern w:val="0"/>
          <w:szCs w:val="21"/>
          <w:highlight w:val="none"/>
        </w:rPr>
      </w:pPr>
      <w:bookmarkStart w:id="205" w:name="_Toc351203530"/>
      <w:bookmarkStart w:id="206" w:name="_Toc532377216"/>
      <w:r>
        <w:rPr>
          <w:rFonts w:hint="eastAsia" w:ascii="宋体" w:hAnsi="宋体" w:cs="宋体"/>
          <w:b/>
          <w:bCs/>
          <w:color w:val="auto"/>
          <w:kern w:val="0"/>
          <w:szCs w:val="21"/>
          <w:highlight w:val="none"/>
        </w:rPr>
        <w:t>4</w:t>
      </w:r>
      <w:bookmarkStart w:id="207" w:name="_Toc296346556"/>
      <w:bookmarkStart w:id="208" w:name="_Toc296503055"/>
      <w:bookmarkStart w:id="209" w:name="_Toc337558756"/>
      <w:r>
        <w:rPr>
          <w:rFonts w:hint="eastAsia" w:ascii="宋体" w:hAnsi="宋体" w:cs="宋体"/>
          <w:b/>
          <w:bCs/>
          <w:color w:val="auto"/>
          <w:kern w:val="0"/>
          <w:szCs w:val="21"/>
          <w:highlight w:val="none"/>
        </w:rPr>
        <w:t>.3</w:t>
      </w:r>
      <w:bookmarkEnd w:id="207"/>
      <w:bookmarkEnd w:id="208"/>
      <w:r>
        <w:rPr>
          <w:rFonts w:hint="eastAsia" w:ascii="宋体" w:hAnsi="宋体" w:cs="宋体"/>
          <w:b/>
          <w:bCs/>
          <w:color w:val="auto"/>
          <w:kern w:val="0"/>
          <w:szCs w:val="21"/>
          <w:highlight w:val="none"/>
        </w:rPr>
        <w:t>监理人的指</w:t>
      </w:r>
      <w:bookmarkEnd w:id="209"/>
      <w:r>
        <w:rPr>
          <w:rFonts w:hint="eastAsia" w:ascii="宋体" w:hAnsi="宋体" w:cs="宋体"/>
          <w:b/>
          <w:bCs/>
          <w:color w:val="auto"/>
          <w:kern w:val="0"/>
          <w:szCs w:val="21"/>
          <w:highlight w:val="none"/>
        </w:rPr>
        <w:t>示</w:t>
      </w:r>
      <w:bookmarkEnd w:id="205"/>
      <w:bookmarkEnd w:id="206"/>
    </w:p>
    <w:p w14:paraId="2359CC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9E1D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DC3A7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46852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D41DA6A">
      <w:pPr>
        <w:widowControl/>
        <w:spacing w:line="360" w:lineRule="auto"/>
        <w:ind w:firstLine="422" w:firstLineChars="200"/>
        <w:jc w:val="left"/>
        <w:outlineLvl w:val="4"/>
        <w:rPr>
          <w:rFonts w:ascii="宋体" w:hAnsi="宋体" w:cs="宋体"/>
          <w:b/>
          <w:bCs/>
          <w:color w:val="auto"/>
          <w:kern w:val="0"/>
          <w:szCs w:val="21"/>
          <w:highlight w:val="none"/>
        </w:rPr>
      </w:pPr>
      <w:bookmarkStart w:id="210" w:name="_Toc351203531"/>
      <w:bookmarkStart w:id="211" w:name="_Toc532377217"/>
      <w:r>
        <w:rPr>
          <w:rFonts w:hint="eastAsia" w:ascii="宋体" w:hAnsi="宋体" w:cs="宋体"/>
          <w:b/>
          <w:bCs/>
          <w:color w:val="auto"/>
          <w:kern w:val="0"/>
          <w:szCs w:val="21"/>
          <w:highlight w:val="none"/>
        </w:rPr>
        <w:t>4</w:t>
      </w:r>
      <w:bookmarkStart w:id="212" w:name="_Toc337558757"/>
      <w:bookmarkStart w:id="213" w:name="_Toc296503057"/>
      <w:bookmarkStart w:id="214" w:name="_Toc296346558"/>
      <w:r>
        <w:rPr>
          <w:rFonts w:hint="eastAsia" w:ascii="宋体" w:hAnsi="宋体" w:cs="宋体"/>
          <w:b/>
          <w:bCs/>
          <w:color w:val="auto"/>
          <w:kern w:val="0"/>
          <w:szCs w:val="21"/>
          <w:highlight w:val="none"/>
        </w:rPr>
        <w:t>.4 商定或确定</w:t>
      </w:r>
      <w:bookmarkEnd w:id="210"/>
      <w:bookmarkEnd w:id="211"/>
    </w:p>
    <w:bookmarkEnd w:id="212"/>
    <w:bookmarkEnd w:id="213"/>
    <w:bookmarkEnd w:id="214"/>
    <w:p w14:paraId="089933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416F87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ED2CE39">
      <w:pPr>
        <w:keepNext/>
        <w:keepLines/>
        <w:widowControl/>
        <w:spacing w:before="156" w:beforeLines="50" w:after="156" w:afterLines="50" w:line="360" w:lineRule="auto"/>
        <w:outlineLvl w:val="3"/>
        <w:rPr>
          <w:rFonts w:ascii="宋体" w:hAnsi="宋体" w:cs="宋体"/>
          <w:b/>
          <w:color w:val="auto"/>
          <w:szCs w:val="21"/>
          <w:highlight w:val="none"/>
        </w:rPr>
      </w:pPr>
      <w:bookmarkStart w:id="215" w:name="_Toc532375591"/>
      <w:bookmarkStart w:id="216" w:name="_Toc532377218"/>
      <w:bookmarkStart w:id="217" w:name="_Toc351203532"/>
      <w:r>
        <w:rPr>
          <w:rFonts w:hint="eastAsia" w:ascii="宋体" w:hAnsi="宋体" w:cs="宋体"/>
          <w:b/>
          <w:bCs/>
          <w:color w:val="auto"/>
          <w:szCs w:val="21"/>
          <w:highlight w:val="none"/>
        </w:rPr>
        <w:t>5</w:t>
      </w:r>
      <w:bookmarkStart w:id="218" w:name="_Toc337558758"/>
      <w:r>
        <w:rPr>
          <w:rFonts w:hint="eastAsia" w:ascii="宋体" w:hAnsi="宋体" w:cs="宋体"/>
          <w:b/>
          <w:bCs/>
          <w:color w:val="auto"/>
          <w:szCs w:val="21"/>
          <w:highlight w:val="none"/>
        </w:rPr>
        <w:t>. 工程质量</w:t>
      </w:r>
      <w:bookmarkEnd w:id="215"/>
      <w:bookmarkEnd w:id="216"/>
      <w:bookmarkEnd w:id="217"/>
    </w:p>
    <w:bookmarkEnd w:id="218"/>
    <w:p w14:paraId="668638A4">
      <w:pPr>
        <w:widowControl/>
        <w:spacing w:line="360" w:lineRule="auto"/>
        <w:ind w:firstLine="422" w:firstLineChars="200"/>
        <w:jc w:val="left"/>
        <w:outlineLvl w:val="4"/>
        <w:rPr>
          <w:rFonts w:ascii="宋体" w:hAnsi="宋体" w:cs="宋体"/>
          <w:b/>
          <w:bCs/>
          <w:color w:val="auto"/>
          <w:kern w:val="0"/>
          <w:szCs w:val="21"/>
          <w:highlight w:val="none"/>
        </w:rPr>
      </w:pPr>
      <w:bookmarkStart w:id="219" w:name="_Toc532377219"/>
      <w:bookmarkStart w:id="220" w:name="_Toc351203533"/>
      <w:r>
        <w:rPr>
          <w:rFonts w:hint="eastAsia" w:ascii="宋体" w:hAnsi="宋体" w:cs="宋体"/>
          <w:b/>
          <w:bCs/>
          <w:color w:val="auto"/>
          <w:kern w:val="0"/>
          <w:szCs w:val="21"/>
          <w:highlight w:val="none"/>
        </w:rPr>
        <w:t>5</w:t>
      </w:r>
      <w:bookmarkStart w:id="221" w:name="_Toc337558759"/>
      <w:r>
        <w:rPr>
          <w:rFonts w:hint="eastAsia" w:ascii="宋体" w:hAnsi="宋体" w:cs="宋体"/>
          <w:b/>
          <w:bCs/>
          <w:color w:val="auto"/>
          <w:kern w:val="0"/>
          <w:szCs w:val="21"/>
          <w:highlight w:val="none"/>
        </w:rPr>
        <w:t>.1质量要求</w:t>
      </w:r>
      <w:bookmarkEnd w:id="219"/>
      <w:bookmarkEnd w:id="220"/>
    </w:p>
    <w:bookmarkEnd w:id="221"/>
    <w:p w14:paraId="31B968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43627B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因发包人原因造成工程质量未达到合同约定标准的，由发包人承担由此延误的工期。</w:t>
      </w:r>
    </w:p>
    <w:p w14:paraId="533A22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因承包人原因造成工程质量未达到合同约定标准的，发包人有权要求承包人返工直至工程质量达到合同约定的标准为止，并由承包人承担由此增加的费用和（或）延误的工期并承担逾期竣工违约责任。</w:t>
      </w:r>
    </w:p>
    <w:p w14:paraId="1FDC7C72">
      <w:pPr>
        <w:widowControl/>
        <w:spacing w:line="360" w:lineRule="auto"/>
        <w:ind w:firstLine="422" w:firstLineChars="200"/>
        <w:jc w:val="left"/>
        <w:outlineLvl w:val="4"/>
        <w:rPr>
          <w:rFonts w:ascii="宋体" w:hAnsi="宋体" w:cs="宋体"/>
          <w:b/>
          <w:bCs/>
          <w:color w:val="auto"/>
          <w:kern w:val="0"/>
          <w:szCs w:val="21"/>
          <w:highlight w:val="none"/>
        </w:rPr>
      </w:pPr>
      <w:bookmarkStart w:id="222" w:name="_Toc351203534"/>
      <w:bookmarkStart w:id="223" w:name="_Toc532377220"/>
      <w:r>
        <w:rPr>
          <w:rFonts w:hint="eastAsia" w:ascii="宋体" w:hAnsi="宋体" w:cs="宋体"/>
          <w:b/>
          <w:bCs/>
          <w:color w:val="auto"/>
          <w:kern w:val="0"/>
          <w:szCs w:val="21"/>
          <w:highlight w:val="none"/>
        </w:rPr>
        <w:t>5</w:t>
      </w:r>
      <w:bookmarkStart w:id="224" w:name="_Toc337558760"/>
      <w:r>
        <w:rPr>
          <w:rFonts w:hint="eastAsia" w:ascii="宋体" w:hAnsi="宋体" w:cs="宋体"/>
          <w:b/>
          <w:bCs/>
          <w:color w:val="auto"/>
          <w:kern w:val="0"/>
          <w:szCs w:val="21"/>
          <w:highlight w:val="none"/>
        </w:rPr>
        <w:t>.2质量保证措施</w:t>
      </w:r>
      <w:bookmarkEnd w:id="222"/>
      <w:bookmarkEnd w:id="223"/>
    </w:p>
    <w:bookmarkEnd w:id="224"/>
    <w:p w14:paraId="4D608C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54F3C0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5C3A54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029023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EA903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46D405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10116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7E0735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09DD6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延误的工期由发包人承担。</w:t>
      </w:r>
    </w:p>
    <w:p w14:paraId="0EB164FA">
      <w:pPr>
        <w:widowControl/>
        <w:spacing w:line="360" w:lineRule="auto"/>
        <w:ind w:firstLine="422" w:firstLineChars="200"/>
        <w:jc w:val="left"/>
        <w:outlineLvl w:val="4"/>
        <w:rPr>
          <w:rFonts w:ascii="宋体" w:hAnsi="宋体" w:cs="宋体"/>
          <w:b/>
          <w:bCs/>
          <w:color w:val="auto"/>
          <w:kern w:val="0"/>
          <w:szCs w:val="21"/>
          <w:highlight w:val="none"/>
        </w:rPr>
      </w:pPr>
      <w:bookmarkStart w:id="225" w:name="_Toc532377221"/>
      <w:bookmarkStart w:id="226" w:name="_Toc351203535"/>
      <w:r>
        <w:rPr>
          <w:rFonts w:hint="eastAsia" w:ascii="宋体" w:hAnsi="宋体" w:cs="宋体"/>
          <w:b/>
          <w:bCs/>
          <w:color w:val="auto"/>
          <w:kern w:val="0"/>
          <w:szCs w:val="21"/>
          <w:highlight w:val="none"/>
        </w:rPr>
        <w:t>5</w:t>
      </w:r>
      <w:bookmarkStart w:id="227" w:name="_Toc337558761"/>
      <w:r>
        <w:rPr>
          <w:rFonts w:hint="eastAsia" w:ascii="宋体" w:hAnsi="宋体" w:cs="宋体"/>
          <w:b/>
          <w:bCs/>
          <w:color w:val="auto"/>
          <w:kern w:val="0"/>
          <w:szCs w:val="21"/>
          <w:highlight w:val="none"/>
        </w:rPr>
        <w:t>.3 隐蔽工程检查</w:t>
      </w:r>
      <w:bookmarkEnd w:id="225"/>
      <w:bookmarkEnd w:id="226"/>
    </w:p>
    <w:bookmarkEnd w:id="227"/>
    <w:p w14:paraId="5B3906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658FD6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7567AF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7593C4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CBA36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A44B7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事后对检查记录有疑问的，可按第5.3.3项〔重新检查〕的约定重新检查。</w:t>
      </w:r>
    </w:p>
    <w:p w14:paraId="1A8E71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0D4AFF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延误的工期；经检查证明工程质量不符合合同要求的，由此增加的费用和（或）延误的工期由承包人承担。</w:t>
      </w:r>
    </w:p>
    <w:p w14:paraId="62F9F8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473975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7735BBA">
      <w:pPr>
        <w:widowControl/>
        <w:spacing w:line="360" w:lineRule="auto"/>
        <w:ind w:firstLine="422" w:firstLineChars="200"/>
        <w:jc w:val="left"/>
        <w:outlineLvl w:val="4"/>
        <w:rPr>
          <w:rFonts w:ascii="宋体" w:hAnsi="宋体" w:cs="宋体"/>
          <w:b/>
          <w:bCs/>
          <w:color w:val="auto"/>
          <w:kern w:val="0"/>
          <w:szCs w:val="21"/>
          <w:highlight w:val="none"/>
        </w:rPr>
      </w:pPr>
      <w:bookmarkStart w:id="228" w:name="_Toc532377222"/>
      <w:r>
        <w:rPr>
          <w:rFonts w:hint="eastAsia" w:ascii="宋体" w:hAnsi="宋体" w:cs="宋体"/>
          <w:b/>
          <w:bCs/>
          <w:color w:val="auto"/>
          <w:kern w:val="0"/>
          <w:szCs w:val="21"/>
          <w:highlight w:val="none"/>
        </w:rPr>
        <w:t>5.4不合格工程的处理</w:t>
      </w:r>
      <w:bookmarkEnd w:id="228"/>
    </w:p>
    <w:p w14:paraId="558404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4B3D3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因发包人原因造成工程不合格的，由此延误的工期由发包人承担。</w:t>
      </w:r>
    </w:p>
    <w:p w14:paraId="1F0A16AB">
      <w:pPr>
        <w:widowControl/>
        <w:spacing w:line="360" w:lineRule="auto"/>
        <w:ind w:firstLine="422" w:firstLineChars="200"/>
        <w:jc w:val="left"/>
        <w:outlineLvl w:val="4"/>
        <w:rPr>
          <w:rFonts w:ascii="宋体" w:hAnsi="宋体" w:cs="宋体"/>
          <w:b/>
          <w:bCs/>
          <w:color w:val="auto"/>
          <w:kern w:val="0"/>
          <w:szCs w:val="21"/>
          <w:highlight w:val="none"/>
        </w:rPr>
      </w:pPr>
      <w:bookmarkStart w:id="229" w:name="_Toc532377223"/>
      <w:bookmarkStart w:id="230" w:name="_Toc351203537"/>
      <w:r>
        <w:rPr>
          <w:rFonts w:hint="eastAsia" w:ascii="宋体" w:hAnsi="宋体" w:cs="宋体"/>
          <w:b/>
          <w:bCs/>
          <w:color w:val="auto"/>
          <w:kern w:val="0"/>
          <w:szCs w:val="21"/>
          <w:highlight w:val="none"/>
        </w:rPr>
        <w:t>5.5 质量争议检测</w:t>
      </w:r>
      <w:bookmarkEnd w:id="229"/>
      <w:bookmarkEnd w:id="230"/>
    </w:p>
    <w:p w14:paraId="0C7775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55CC16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20E5A500">
      <w:pPr>
        <w:keepNext/>
        <w:keepLines/>
        <w:widowControl/>
        <w:spacing w:before="156" w:beforeLines="50" w:after="156" w:afterLines="50" w:line="360" w:lineRule="auto"/>
        <w:outlineLvl w:val="3"/>
        <w:rPr>
          <w:rFonts w:ascii="宋体" w:hAnsi="宋体" w:cs="宋体"/>
          <w:b/>
          <w:color w:val="auto"/>
          <w:szCs w:val="21"/>
          <w:highlight w:val="none"/>
        </w:rPr>
      </w:pPr>
      <w:bookmarkStart w:id="231" w:name="_Toc532377224"/>
      <w:bookmarkStart w:id="232" w:name="_Toc532375592"/>
      <w:bookmarkStart w:id="233" w:name="_Toc351203538"/>
      <w:r>
        <w:rPr>
          <w:rFonts w:hint="eastAsia" w:ascii="宋体" w:hAnsi="宋体" w:cs="宋体"/>
          <w:b/>
          <w:bCs/>
          <w:color w:val="auto"/>
          <w:szCs w:val="21"/>
          <w:highlight w:val="none"/>
        </w:rPr>
        <w:t>6</w:t>
      </w:r>
      <w:bookmarkStart w:id="234" w:name="_Toc337558763"/>
      <w:r>
        <w:rPr>
          <w:rFonts w:hint="eastAsia" w:ascii="宋体" w:hAnsi="宋体" w:cs="宋体"/>
          <w:b/>
          <w:bCs/>
          <w:color w:val="auto"/>
          <w:szCs w:val="21"/>
          <w:highlight w:val="none"/>
        </w:rPr>
        <w:t>. 安全文明施工与环境保护</w:t>
      </w:r>
      <w:bookmarkEnd w:id="231"/>
      <w:bookmarkEnd w:id="232"/>
      <w:bookmarkEnd w:id="233"/>
    </w:p>
    <w:bookmarkEnd w:id="234"/>
    <w:p w14:paraId="448B14D1">
      <w:pPr>
        <w:widowControl/>
        <w:spacing w:line="360" w:lineRule="auto"/>
        <w:ind w:firstLine="422" w:firstLineChars="200"/>
        <w:jc w:val="left"/>
        <w:outlineLvl w:val="4"/>
        <w:rPr>
          <w:rFonts w:ascii="宋体" w:hAnsi="宋体" w:cs="宋体"/>
          <w:b/>
          <w:bCs/>
          <w:color w:val="auto"/>
          <w:kern w:val="0"/>
          <w:szCs w:val="21"/>
          <w:highlight w:val="none"/>
        </w:rPr>
      </w:pPr>
      <w:bookmarkStart w:id="235" w:name="_Toc351203539"/>
      <w:bookmarkStart w:id="236" w:name="_Toc532377225"/>
      <w:r>
        <w:rPr>
          <w:rFonts w:hint="eastAsia" w:ascii="宋体" w:hAnsi="宋体" w:cs="宋体"/>
          <w:b/>
          <w:bCs/>
          <w:color w:val="auto"/>
          <w:kern w:val="0"/>
          <w:szCs w:val="21"/>
          <w:highlight w:val="none"/>
        </w:rPr>
        <w:t>6</w:t>
      </w:r>
      <w:bookmarkStart w:id="237" w:name="_Toc337558764"/>
      <w:r>
        <w:rPr>
          <w:rFonts w:hint="eastAsia" w:ascii="宋体" w:hAnsi="宋体" w:cs="宋体"/>
          <w:b/>
          <w:bCs/>
          <w:color w:val="auto"/>
          <w:kern w:val="0"/>
          <w:szCs w:val="21"/>
          <w:highlight w:val="none"/>
        </w:rPr>
        <w:t>.1安全文明施工</w:t>
      </w:r>
      <w:bookmarkEnd w:id="235"/>
      <w:bookmarkEnd w:id="236"/>
    </w:p>
    <w:bookmarkEnd w:id="237"/>
    <w:p w14:paraId="4804DC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08C7BC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0ED39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727F1A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0EEA5C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1DDA5A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CF136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4AEE0D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ED77B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992E6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50FBCD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59C985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70D8F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3B919F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02C672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340BF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72D8EA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7F43E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ADCDE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21DF32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23A2FF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079A6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AB605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2EC24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325E37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0DD00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1E35D6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57E8B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3F1B95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48972D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6FAD86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4A278B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69B5D1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77BA28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413115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0BFE3A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489E3F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因承包人原因导致施工工程中发生安全生产事故、劳动用工事故、环境污染事故等导致发包人被相关职能部门处罚或约谈的，发包人有权随时解除本合同，不再支付任何费用，且承包人应赔偿给发包人造成的损失及对外承担的赔偿金额。</w:t>
      </w:r>
    </w:p>
    <w:p w14:paraId="1D5C94AF">
      <w:pPr>
        <w:spacing w:line="360" w:lineRule="auto"/>
        <w:ind w:firstLine="420" w:firstLineChars="200"/>
        <w:jc w:val="left"/>
        <w:rPr>
          <w:rFonts w:ascii="宋体" w:hAnsi="宋体"/>
          <w:color w:val="auto"/>
          <w:kern w:val="0"/>
          <w:szCs w:val="21"/>
          <w:highlight w:val="none"/>
        </w:rPr>
      </w:pPr>
      <w:bookmarkStart w:id="238" w:name="_Toc351203540"/>
      <w:bookmarkStart w:id="239" w:name="_Toc532377226"/>
      <w:r>
        <w:rPr>
          <w:rFonts w:hint="eastAsia" w:ascii="宋体" w:hAnsi="宋体"/>
          <w:color w:val="auto"/>
          <w:kern w:val="0"/>
          <w:szCs w:val="21"/>
          <w:highlight w:val="none"/>
        </w:rPr>
        <w:t>6</w:t>
      </w:r>
      <w:bookmarkStart w:id="240" w:name="_Toc337558765"/>
      <w:r>
        <w:rPr>
          <w:rFonts w:hint="eastAsia" w:ascii="宋体" w:hAnsi="宋体"/>
          <w:color w:val="auto"/>
          <w:kern w:val="0"/>
          <w:szCs w:val="21"/>
          <w:highlight w:val="none"/>
        </w:rPr>
        <w:t>.2 职业健康</w:t>
      </w:r>
      <w:bookmarkEnd w:id="238"/>
      <w:bookmarkEnd w:id="239"/>
    </w:p>
    <w:bookmarkEnd w:id="240"/>
    <w:p w14:paraId="0EF064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5B4463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41AC9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2D10C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09A3F8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412D45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E29A71E">
      <w:pPr>
        <w:widowControl/>
        <w:spacing w:line="360" w:lineRule="auto"/>
        <w:ind w:firstLine="422" w:firstLineChars="200"/>
        <w:jc w:val="left"/>
        <w:outlineLvl w:val="4"/>
        <w:rPr>
          <w:rFonts w:ascii="宋体" w:hAnsi="宋体" w:cs="宋体"/>
          <w:b/>
          <w:bCs/>
          <w:color w:val="auto"/>
          <w:kern w:val="0"/>
          <w:szCs w:val="21"/>
          <w:highlight w:val="none"/>
        </w:rPr>
      </w:pPr>
      <w:bookmarkStart w:id="241" w:name="_Toc532377227"/>
      <w:bookmarkStart w:id="242" w:name="_Toc351203541"/>
      <w:r>
        <w:rPr>
          <w:rFonts w:hint="eastAsia" w:ascii="宋体" w:hAnsi="宋体" w:cs="宋体"/>
          <w:b/>
          <w:bCs/>
          <w:color w:val="auto"/>
          <w:kern w:val="0"/>
          <w:szCs w:val="21"/>
          <w:highlight w:val="none"/>
        </w:rPr>
        <w:t>6</w:t>
      </w:r>
      <w:bookmarkStart w:id="243" w:name="_Toc337558766"/>
      <w:r>
        <w:rPr>
          <w:rFonts w:hint="eastAsia" w:ascii="宋体" w:hAnsi="宋体" w:cs="宋体"/>
          <w:b/>
          <w:bCs/>
          <w:color w:val="auto"/>
          <w:kern w:val="0"/>
          <w:szCs w:val="21"/>
          <w:highlight w:val="none"/>
        </w:rPr>
        <w:t>.3 环境保护</w:t>
      </w:r>
      <w:bookmarkEnd w:id="241"/>
      <w:bookmarkEnd w:id="242"/>
    </w:p>
    <w:bookmarkEnd w:id="243"/>
    <w:p w14:paraId="04B942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C68FF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001E4861">
      <w:pPr>
        <w:keepNext/>
        <w:keepLines/>
        <w:widowControl/>
        <w:spacing w:before="156" w:beforeLines="50" w:after="156" w:afterLines="50" w:line="360" w:lineRule="auto"/>
        <w:outlineLvl w:val="3"/>
        <w:rPr>
          <w:rFonts w:ascii="宋体" w:hAnsi="宋体" w:cs="宋体"/>
          <w:b/>
          <w:color w:val="auto"/>
          <w:szCs w:val="21"/>
          <w:highlight w:val="none"/>
        </w:rPr>
      </w:pPr>
      <w:bookmarkStart w:id="244" w:name="_Toc532375593"/>
      <w:bookmarkStart w:id="245" w:name="_Toc351203542"/>
      <w:bookmarkStart w:id="246" w:name="_Toc532377228"/>
      <w:r>
        <w:rPr>
          <w:rFonts w:hint="eastAsia" w:ascii="宋体" w:hAnsi="宋体" w:cs="宋体"/>
          <w:b/>
          <w:bCs/>
          <w:color w:val="auto"/>
          <w:szCs w:val="21"/>
          <w:highlight w:val="none"/>
        </w:rPr>
        <w:t>7</w:t>
      </w:r>
      <w:bookmarkStart w:id="247" w:name="_Toc337558767"/>
      <w:r>
        <w:rPr>
          <w:rFonts w:hint="eastAsia" w:ascii="宋体" w:hAnsi="宋体" w:cs="宋体"/>
          <w:b/>
          <w:bCs/>
          <w:color w:val="auto"/>
          <w:szCs w:val="21"/>
          <w:highlight w:val="none"/>
        </w:rPr>
        <w:t>. 工期和进度</w:t>
      </w:r>
      <w:bookmarkEnd w:id="244"/>
      <w:bookmarkEnd w:id="245"/>
      <w:bookmarkEnd w:id="246"/>
    </w:p>
    <w:bookmarkEnd w:id="247"/>
    <w:p w14:paraId="1C2B7B55">
      <w:pPr>
        <w:widowControl/>
        <w:spacing w:line="360" w:lineRule="auto"/>
        <w:ind w:firstLine="422" w:firstLineChars="200"/>
        <w:jc w:val="left"/>
        <w:outlineLvl w:val="4"/>
        <w:rPr>
          <w:rFonts w:ascii="宋体" w:hAnsi="宋体" w:cs="宋体"/>
          <w:b/>
          <w:bCs/>
          <w:color w:val="auto"/>
          <w:kern w:val="0"/>
          <w:szCs w:val="21"/>
          <w:highlight w:val="none"/>
        </w:rPr>
      </w:pPr>
      <w:bookmarkStart w:id="248" w:name="_Toc351203543"/>
      <w:bookmarkStart w:id="249" w:name="_Toc532377229"/>
      <w:r>
        <w:rPr>
          <w:rFonts w:hint="eastAsia" w:ascii="宋体" w:hAnsi="宋体" w:cs="宋体"/>
          <w:b/>
          <w:bCs/>
          <w:color w:val="auto"/>
          <w:kern w:val="0"/>
          <w:szCs w:val="21"/>
          <w:highlight w:val="none"/>
        </w:rPr>
        <w:t>7</w:t>
      </w:r>
      <w:bookmarkStart w:id="250" w:name="_Toc337558768"/>
      <w:bookmarkStart w:id="251" w:name="_Toc296503066"/>
      <w:bookmarkStart w:id="252" w:name="_Toc296346567"/>
      <w:r>
        <w:rPr>
          <w:rFonts w:hint="eastAsia" w:ascii="宋体" w:hAnsi="宋体" w:cs="宋体"/>
          <w:b/>
          <w:bCs/>
          <w:color w:val="auto"/>
          <w:kern w:val="0"/>
          <w:szCs w:val="21"/>
          <w:highlight w:val="none"/>
        </w:rPr>
        <w:t>.1施工组织设计</w:t>
      </w:r>
      <w:bookmarkEnd w:id="248"/>
      <w:bookmarkEnd w:id="249"/>
    </w:p>
    <w:bookmarkEnd w:id="250"/>
    <w:p w14:paraId="7F9A9E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140154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67C557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405D16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2C791B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0F320D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2C7D1C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7534DE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5CA6DC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583F79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513C6D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3C7C8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69EFDF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D4B0F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5A4C1C87">
      <w:pPr>
        <w:widowControl/>
        <w:spacing w:line="360" w:lineRule="auto"/>
        <w:ind w:firstLine="422" w:firstLineChars="200"/>
        <w:jc w:val="left"/>
        <w:outlineLvl w:val="4"/>
        <w:rPr>
          <w:rFonts w:ascii="宋体" w:hAnsi="宋体" w:cs="宋体"/>
          <w:b/>
          <w:bCs/>
          <w:color w:val="auto"/>
          <w:kern w:val="0"/>
          <w:szCs w:val="21"/>
          <w:highlight w:val="none"/>
        </w:rPr>
      </w:pPr>
      <w:bookmarkStart w:id="253" w:name="_Toc351203544"/>
      <w:bookmarkStart w:id="254" w:name="_Toc532377230"/>
      <w:r>
        <w:rPr>
          <w:rFonts w:hint="eastAsia" w:ascii="宋体" w:hAnsi="宋体" w:cs="宋体"/>
          <w:b/>
          <w:bCs/>
          <w:color w:val="auto"/>
          <w:kern w:val="0"/>
          <w:szCs w:val="21"/>
          <w:highlight w:val="none"/>
        </w:rPr>
        <w:t>7</w:t>
      </w:r>
      <w:bookmarkStart w:id="255" w:name="_Toc337558769"/>
      <w:r>
        <w:rPr>
          <w:rFonts w:hint="eastAsia" w:ascii="宋体" w:hAnsi="宋体" w:cs="宋体"/>
          <w:b/>
          <w:bCs/>
          <w:color w:val="auto"/>
          <w:kern w:val="0"/>
          <w:szCs w:val="21"/>
          <w:highlight w:val="none"/>
        </w:rPr>
        <w:t>.2 施工进度计划</w:t>
      </w:r>
      <w:bookmarkEnd w:id="253"/>
      <w:bookmarkEnd w:id="254"/>
    </w:p>
    <w:bookmarkEnd w:id="255"/>
    <w:p w14:paraId="27A10B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43F733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803A7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790FE1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5730884">
      <w:pPr>
        <w:widowControl/>
        <w:spacing w:line="360" w:lineRule="auto"/>
        <w:ind w:firstLine="422" w:firstLineChars="200"/>
        <w:jc w:val="left"/>
        <w:outlineLvl w:val="4"/>
        <w:rPr>
          <w:rFonts w:ascii="宋体" w:hAnsi="宋体" w:cs="宋体"/>
          <w:b/>
          <w:bCs/>
          <w:color w:val="auto"/>
          <w:kern w:val="0"/>
          <w:szCs w:val="21"/>
          <w:highlight w:val="none"/>
        </w:rPr>
      </w:pPr>
      <w:bookmarkStart w:id="256" w:name="_Toc532377231"/>
      <w:bookmarkStart w:id="257" w:name="_Toc351203545"/>
      <w:r>
        <w:rPr>
          <w:rFonts w:hint="eastAsia" w:ascii="宋体" w:hAnsi="宋体" w:cs="宋体"/>
          <w:b/>
          <w:bCs/>
          <w:color w:val="auto"/>
          <w:kern w:val="0"/>
          <w:szCs w:val="21"/>
          <w:highlight w:val="none"/>
        </w:rPr>
        <w:t>7</w:t>
      </w:r>
      <w:bookmarkStart w:id="258" w:name="_Toc337558770"/>
      <w:r>
        <w:rPr>
          <w:rFonts w:hint="eastAsia" w:ascii="宋体" w:hAnsi="宋体" w:cs="宋体"/>
          <w:b/>
          <w:bCs/>
          <w:color w:val="auto"/>
          <w:kern w:val="0"/>
          <w:szCs w:val="21"/>
          <w:highlight w:val="none"/>
        </w:rPr>
        <w:t>.3 开工</w:t>
      </w:r>
      <w:bookmarkEnd w:id="256"/>
      <w:bookmarkEnd w:id="257"/>
    </w:p>
    <w:p w14:paraId="378162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23F811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7BBA0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5E5AF3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258"/>
    <w:p w14:paraId="0AE1CF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58F48F1">
      <w:pPr>
        <w:widowControl/>
        <w:spacing w:line="360" w:lineRule="auto"/>
        <w:ind w:firstLine="422" w:firstLineChars="200"/>
        <w:jc w:val="left"/>
        <w:outlineLvl w:val="4"/>
        <w:rPr>
          <w:rFonts w:ascii="宋体" w:hAnsi="宋体" w:cs="宋体"/>
          <w:b/>
          <w:bCs/>
          <w:color w:val="auto"/>
          <w:kern w:val="0"/>
          <w:szCs w:val="21"/>
          <w:highlight w:val="none"/>
        </w:rPr>
      </w:pPr>
      <w:bookmarkStart w:id="259" w:name="_Toc532377232"/>
      <w:bookmarkStart w:id="260" w:name="_Toc351203546"/>
      <w:r>
        <w:rPr>
          <w:rFonts w:hint="eastAsia" w:ascii="宋体" w:hAnsi="宋体" w:cs="宋体"/>
          <w:b/>
          <w:bCs/>
          <w:color w:val="auto"/>
          <w:kern w:val="0"/>
          <w:szCs w:val="21"/>
          <w:highlight w:val="none"/>
        </w:rPr>
        <w:t>7.4测量放线</w:t>
      </w:r>
      <w:bookmarkEnd w:id="259"/>
      <w:bookmarkEnd w:id="260"/>
    </w:p>
    <w:p w14:paraId="3BBDF9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ED169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28D18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BC0D9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261" w:name="_Toc351203547"/>
    </w:p>
    <w:p w14:paraId="0014B70A">
      <w:pPr>
        <w:widowControl/>
        <w:spacing w:line="360" w:lineRule="auto"/>
        <w:ind w:firstLine="422" w:firstLineChars="200"/>
        <w:jc w:val="left"/>
        <w:outlineLvl w:val="4"/>
        <w:rPr>
          <w:rFonts w:ascii="宋体" w:hAnsi="宋体" w:cs="宋体"/>
          <w:b/>
          <w:bCs/>
          <w:color w:val="auto"/>
          <w:kern w:val="0"/>
          <w:szCs w:val="21"/>
          <w:highlight w:val="none"/>
        </w:rPr>
      </w:pPr>
      <w:bookmarkStart w:id="262" w:name="_Toc532377233"/>
      <w:r>
        <w:rPr>
          <w:rFonts w:hint="eastAsia" w:ascii="宋体" w:hAnsi="宋体" w:cs="宋体"/>
          <w:b/>
          <w:bCs/>
          <w:color w:val="auto"/>
          <w:kern w:val="0"/>
          <w:szCs w:val="21"/>
          <w:highlight w:val="none"/>
        </w:rPr>
        <w:t>7</w:t>
      </w:r>
      <w:bookmarkEnd w:id="251"/>
      <w:bookmarkEnd w:id="252"/>
      <w:bookmarkStart w:id="263" w:name="_Toc337558772"/>
      <w:bookmarkStart w:id="264" w:name="_Toc296503073"/>
      <w:bookmarkStart w:id="265" w:name="_Toc296346574"/>
      <w:r>
        <w:rPr>
          <w:rFonts w:hint="eastAsia" w:ascii="宋体" w:hAnsi="宋体" w:cs="宋体"/>
          <w:b/>
          <w:bCs/>
          <w:color w:val="auto"/>
          <w:kern w:val="0"/>
          <w:szCs w:val="21"/>
          <w:highlight w:val="none"/>
        </w:rPr>
        <w:t>.5 工期延误</w:t>
      </w:r>
      <w:bookmarkEnd w:id="261"/>
      <w:bookmarkEnd w:id="262"/>
    </w:p>
    <w:bookmarkEnd w:id="263"/>
    <w:bookmarkEnd w:id="264"/>
    <w:bookmarkEnd w:id="265"/>
    <w:p w14:paraId="373F412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1CA353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在合同履行过程中，因下列情况导致工期延误的，由发包人承担由此延误的工期：</w:t>
      </w:r>
    </w:p>
    <w:p w14:paraId="233765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7739E1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0D7AA5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4107A1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05468C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5E4BB3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3A16E4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6541FC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3885F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4EFD07A2">
      <w:pPr>
        <w:autoSpaceDE w:val="0"/>
        <w:autoSpaceDN w:val="0"/>
        <w:spacing w:line="360" w:lineRule="auto"/>
        <w:ind w:firstLine="420" w:firstLineChars="200"/>
        <w:jc w:val="left"/>
        <w:rPr>
          <w:rFonts w:ascii="宋体" w:hAnsi="宋体"/>
          <w:color w:val="auto"/>
          <w:kern w:val="0"/>
          <w:szCs w:val="21"/>
          <w:highlight w:val="none"/>
        </w:rPr>
      </w:pPr>
      <w:bookmarkStart w:id="266" w:name="_Toc296503076"/>
      <w:bookmarkStart w:id="267" w:name="_Toc296346577"/>
      <w:r>
        <w:rPr>
          <w:rFonts w:hint="eastAsia" w:ascii="宋体" w:hAnsi="宋体"/>
          <w:color w:val="auto"/>
          <w:kern w:val="0"/>
          <w:szCs w:val="21"/>
          <w:highlight w:val="none"/>
        </w:rPr>
        <w:t>因</w:t>
      </w:r>
      <w:bookmarkEnd w:id="266"/>
      <w:bookmarkEnd w:id="267"/>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9671886">
      <w:pPr>
        <w:widowControl/>
        <w:spacing w:line="360" w:lineRule="auto"/>
        <w:ind w:firstLine="422" w:firstLineChars="200"/>
        <w:jc w:val="left"/>
        <w:outlineLvl w:val="4"/>
        <w:rPr>
          <w:rFonts w:ascii="宋体" w:hAnsi="宋体" w:cs="宋体"/>
          <w:b/>
          <w:bCs/>
          <w:color w:val="auto"/>
          <w:kern w:val="0"/>
          <w:szCs w:val="21"/>
          <w:highlight w:val="none"/>
        </w:rPr>
      </w:pPr>
      <w:bookmarkStart w:id="268" w:name="_Toc351203548"/>
      <w:bookmarkStart w:id="269" w:name="_Toc532377234"/>
      <w:r>
        <w:rPr>
          <w:rFonts w:hint="eastAsia" w:ascii="宋体" w:hAnsi="宋体" w:cs="宋体"/>
          <w:b/>
          <w:bCs/>
          <w:color w:val="auto"/>
          <w:kern w:val="0"/>
          <w:szCs w:val="21"/>
          <w:highlight w:val="none"/>
        </w:rPr>
        <w:t>7</w:t>
      </w:r>
      <w:bookmarkStart w:id="270" w:name="_Toc337558773"/>
      <w:bookmarkStart w:id="271" w:name="_Toc296503074"/>
      <w:bookmarkStart w:id="272" w:name="_Toc296346575"/>
      <w:bookmarkStart w:id="273" w:name="_Toc296346578"/>
      <w:bookmarkStart w:id="274" w:name="_Toc296503077"/>
      <w:r>
        <w:rPr>
          <w:rFonts w:hint="eastAsia" w:ascii="宋体" w:hAnsi="宋体" w:cs="宋体"/>
          <w:b/>
          <w:bCs/>
          <w:color w:val="auto"/>
          <w:kern w:val="0"/>
          <w:szCs w:val="21"/>
          <w:highlight w:val="none"/>
        </w:rPr>
        <w:t>.6 不利物质条件</w:t>
      </w:r>
      <w:bookmarkEnd w:id="268"/>
      <w:bookmarkEnd w:id="269"/>
    </w:p>
    <w:bookmarkEnd w:id="270"/>
    <w:bookmarkEnd w:id="271"/>
    <w:bookmarkEnd w:id="272"/>
    <w:p w14:paraId="3A95D7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E6297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w:t>
      </w:r>
    </w:p>
    <w:p w14:paraId="787B2FA3">
      <w:pPr>
        <w:widowControl/>
        <w:spacing w:line="360" w:lineRule="auto"/>
        <w:ind w:firstLine="422" w:firstLineChars="200"/>
        <w:jc w:val="left"/>
        <w:outlineLvl w:val="4"/>
        <w:rPr>
          <w:rFonts w:ascii="宋体" w:hAnsi="宋体" w:cs="宋体"/>
          <w:b/>
          <w:bCs/>
          <w:color w:val="auto"/>
          <w:kern w:val="0"/>
          <w:szCs w:val="21"/>
          <w:highlight w:val="none"/>
        </w:rPr>
      </w:pPr>
      <w:bookmarkStart w:id="275" w:name="_Toc532377235"/>
      <w:bookmarkStart w:id="276" w:name="_Toc351203549"/>
      <w:r>
        <w:rPr>
          <w:rFonts w:hint="eastAsia" w:ascii="宋体" w:hAnsi="宋体" w:cs="宋体"/>
          <w:b/>
          <w:bCs/>
          <w:color w:val="auto"/>
          <w:kern w:val="0"/>
          <w:szCs w:val="21"/>
          <w:highlight w:val="none"/>
        </w:rPr>
        <w:t>7</w:t>
      </w:r>
      <w:bookmarkStart w:id="277" w:name="_Toc296503075"/>
      <w:bookmarkStart w:id="278" w:name="_Toc296346576"/>
      <w:bookmarkStart w:id="279" w:name="_Toc337558774"/>
      <w:r>
        <w:rPr>
          <w:rFonts w:hint="eastAsia" w:ascii="宋体" w:hAnsi="宋体" w:cs="宋体"/>
          <w:b/>
          <w:bCs/>
          <w:color w:val="auto"/>
          <w:kern w:val="0"/>
          <w:szCs w:val="21"/>
          <w:highlight w:val="none"/>
        </w:rPr>
        <w:t>.7 异常恶劣的气候条件</w:t>
      </w:r>
      <w:bookmarkEnd w:id="275"/>
      <w:bookmarkEnd w:id="276"/>
    </w:p>
    <w:bookmarkEnd w:id="277"/>
    <w:bookmarkEnd w:id="278"/>
    <w:bookmarkEnd w:id="279"/>
    <w:p w14:paraId="66989A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04EE3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0" w:name="_Toc351203550"/>
    </w:p>
    <w:p w14:paraId="74B98FAD">
      <w:pPr>
        <w:widowControl/>
        <w:spacing w:line="360" w:lineRule="auto"/>
        <w:ind w:firstLine="422" w:firstLineChars="200"/>
        <w:jc w:val="left"/>
        <w:outlineLvl w:val="4"/>
        <w:rPr>
          <w:rFonts w:ascii="宋体" w:hAnsi="宋体" w:cs="宋体"/>
          <w:b/>
          <w:bCs/>
          <w:color w:val="auto"/>
          <w:kern w:val="0"/>
          <w:szCs w:val="21"/>
          <w:highlight w:val="none"/>
        </w:rPr>
      </w:pPr>
      <w:bookmarkStart w:id="281" w:name="_Toc532377236"/>
      <w:r>
        <w:rPr>
          <w:rFonts w:hint="eastAsia" w:ascii="宋体" w:hAnsi="宋体" w:cs="宋体"/>
          <w:b/>
          <w:bCs/>
          <w:color w:val="auto"/>
          <w:kern w:val="0"/>
          <w:szCs w:val="21"/>
          <w:highlight w:val="none"/>
        </w:rPr>
        <w:t>7</w:t>
      </w:r>
      <w:bookmarkStart w:id="282" w:name="_Toc337558775"/>
      <w:r>
        <w:rPr>
          <w:rFonts w:hint="eastAsia" w:ascii="宋体" w:hAnsi="宋体" w:cs="宋体"/>
          <w:b/>
          <w:bCs/>
          <w:color w:val="auto"/>
          <w:kern w:val="0"/>
          <w:szCs w:val="21"/>
          <w:highlight w:val="none"/>
        </w:rPr>
        <w:t>.8 暂停施工</w:t>
      </w:r>
      <w:bookmarkEnd w:id="280"/>
      <w:bookmarkEnd w:id="281"/>
    </w:p>
    <w:bookmarkEnd w:id="273"/>
    <w:bookmarkEnd w:id="274"/>
    <w:bookmarkEnd w:id="282"/>
    <w:p w14:paraId="5D63A9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1AA3192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09F89E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1C9CB5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782954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A57AF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17EDE1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315BB1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5A1667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6847A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640B0F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C2283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2F5C86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001C04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560480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368694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203A0C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111793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534FFC9B">
      <w:pPr>
        <w:widowControl/>
        <w:spacing w:line="360" w:lineRule="auto"/>
        <w:ind w:firstLine="422" w:firstLineChars="200"/>
        <w:jc w:val="left"/>
        <w:outlineLvl w:val="4"/>
        <w:rPr>
          <w:rFonts w:ascii="宋体" w:hAnsi="宋体" w:cs="宋体"/>
          <w:b/>
          <w:bCs/>
          <w:color w:val="auto"/>
          <w:kern w:val="0"/>
          <w:szCs w:val="21"/>
          <w:highlight w:val="none"/>
        </w:rPr>
      </w:pPr>
      <w:bookmarkStart w:id="283" w:name="_Toc532377237"/>
      <w:bookmarkStart w:id="284" w:name="_Toc351203551"/>
      <w:r>
        <w:rPr>
          <w:rFonts w:hint="eastAsia" w:ascii="宋体" w:hAnsi="宋体" w:cs="宋体"/>
          <w:b/>
          <w:bCs/>
          <w:color w:val="auto"/>
          <w:kern w:val="0"/>
          <w:szCs w:val="21"/>
          <w:highlight w:val="none"/>
        </w:rPr>
        <w:t>7.9提前竣工</w:t>
      </w:r>
      <w:bookmarkEnd w:id="283"/>
      <w:bookmarkEnd w:id="284"/>
    </w:p>
    <w:p w14:paraId="157CD4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68388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3CDFB190">
      <w:pPr>
        <w:keepNext/>
        <w:keepLines/>
        <w:widowControl/>
        <w:spacing w:before="156" w:beforeLines="50" w:after="156" w:afterLines="50" w:line="360" w:lineRule="auto"/>
        <w:outlineLvl w:val="3"/>
        <w:rPr>
          <w:rFonts w:ascii="宋体" w:hAnsi="宋体" w:cs="宋体"/>
          <w:b/>
          <w:color w:val="auto"/>
          <w:szCs w:val="21"/>
          <w:highlight w:val="none"/>
        </w:rPr>
      </w:pPr>
      <w:bookmarkStart w:id="285" w:name="_Toc532375594"/>
      <w:bookmarkStart w:id="286" w:name="_Toc532377238"/>
      <w:bookmarkStart w:id="287" w:name="_Toc351203552"/>
      <w:r>
        <w:rPr>
          <w:rFonts w:hint="eastAsia" w:ascii="宋体" w:hAnsi="宋体" w:cs="宋体"/>
          <w:b/>
          <w:bCs/>
          <w:color w:val="auto"/>
          <w:szCs w:val="21"/>
          <w:highlight w:val="none"/>
        </w:rPr>
        <w:t>8</w:t>
      </w:r>
      <w:bookmarkStart w:id="288" w:name="_Toc296346559"/>
      <w:bookmarkStart w:id="289" w:name="_Toc296503058"/>
      <w:bookmarkStart w:id="290" w:name="_Toc337558776"/>
      <w:r>
        <w:rPr>
          <w:rFonts w:hint="eastAsia" w:ascii="宋体" w:hAnsi="宋体" w:cs="宋体"/>
          <w:b/>
          <w:bCs/>
          <w:color w:val="auto"/>
          <w:szCs w:val="21"/>
          <w:highlight w:val="none"/>
        </w:rPr>
        <w:t>. 材料与设备</w:t>
      </w:r>
      <w:bookmarkEnd w:id="285"/>
      <w:bookmarkEnd w:id="286"/>
      <w:bookmarkEnd w:id="287"/>
    </w:p>
    <w:bookmarkEnd w:id="288"/>
    <w:bookmarkEnd w:id="289"/>
    <w:bookmarkEnd w:id="290"/>
    <w:p w14:paraId="69A726C7">
      <w:pPr>
        <w:widowControl/>
        <w:spacing w:line="360" w:lineRule="auto"/>
        <w:ind w:firstLine="422" w:firstLineChars="200"/>
        <w:jc w:val="left"/>
        <w:outlineLvl w:val="4"/>
        <w:rPr>
          <w:rFonts w:ascii="宋体" w:hAnsi="宋体" w:cs="宋体"/>
          <w:b/>
          <w:bCs/>
          <w:color w:val="auto"/>
          <w:kern w:val="0"/>
          <w:szCs w:val="21"/>
          <w:highlight w:val="none"/>
        </w:rPr>
      </w:pPr>
      <w:bookmarkStart w:id="291" w:name="_Toc532377239"/>
      <w:bookmarkStart w:id="292" w:name="_Toc351203553"/>
      <w:r>
        <w:rPr>
          <w:rFonts w:hint="eastAsia" w:ascii="宋体" w:hAnsi="宋体" w:cs="宋体"/>
          <w:b/>
          <w:bCs/>
          <w:color w:val="auto"/>
          <w:kern w:val="0"/>
          <w:szCs w:val="21"/>
          <w:highlight w:val="none"/>
        </w:rPr>
        <w:t>8</w:t>
      </w:r>
      <w:bookmarkStart w:id="293" w:name="_Toc296346560"/>
      <w:bookmarkStart w:id="294" w:name="_Toc337558777"/>
      <w:bookmarkStart w:id="295" w:name="_Toc296503059"/>
      <w:bookmarkStart w:id="296" w:name="_Toc468936960"/>
      <w:r>
        <w:rPr>
          <w:rFonts w:hint="eastAsia" w:ascii="宋体" w:hAnsi="宋体" w:cs="宋体"/>
          <w:b/>
          <w:bCs/>
          <w:color w:val="auto"/>
          <w:kern w:val="0"/>
          <w:szCs w:val="21"/>
          <w:highlight w:val="none"/>
        </w:rPr>
        <w:t>.1发包人供应材料与工程设备</w:t>
      </w:r>
      <w:bookmarkEnd w:id="291"/>
      <w:bookmarkEnd w:id="292"/>
    </w:p>
    <w:bookmarkEnd w:id="293"/>
    <w:bookmarkEnd w:id="294"/>
    <w:bookmarkEnd w:id="295"/>
    <w:p w14:paraId="5D5AC5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522D9F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F93A700">
      <w:pPr>
        <w:widowControl/>
        <w:spacing w:line="360" w:lineRule="auto"/>
        <w:ind w:firstLine="422" w:firstLineChars="200"/>
        <w:jc w:val="left"/>
        <w:outlineLvl w:val="4"/>
        <w:rPr>
          <w:rFonts w:ascii="宋体" w:hAnsi="宋体" w:cs="宋体"/>
          <w:b/>
          <w:bCs/>
          <w:color w:val="auto"/>
          <w:kern w:val="0"/>
          <w:szCs w:val="21"/>
          <w:highlight w:val="none"/>
        </w:rPr>
      </w:pPr>
      <w:bookmarkStart w:id="297" w:name="_Toc532377240"/>
      <w:r>
        <w:rPr>
          <w:rFonts w:hint="eastAsia" w:ascii="宋体" w:hAnsi="宋体" w:cs="宋体"/>
          <w:b/>
          <w:bCs/>
          <w:color w:val="auto"/>
          <w:kern w:val="0"/>
          <w:szCs w:val="21"/>
          <w:highlight w:val="none"/>
        </w:rPr>
        <w:t>8.2承包人采购材料与工程设备</w:t>
      </w:r>
      <w:bookmarkEnd w:id="297"/>
    </w:p>
    <w:p w14:paraId="6A766B8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FDC1C9E">
      <w:pPr>
        <w:widowControl/>
        <w:spacing w:line="360" w:lineRule="auto"/>
        <w:ind w:firstLine="422" w:firstLineChars="200"/>
        <w:jc w:val="left"/>
        <w:outlineLvl w:val="4"/>
        <w:rPr>
          <w:rFonts w:ascii="宋体" w:hAnsi="宋体" w:cs="宋体"/>
          <w:b/>
          <w:bCs/>
          <w:color w:val="auto"/>
          <w:kern w:val="0"/>
          <w:szCs w:val="21"/>
          <w:highlight w:val="none"/>
        </w:rPr>
      </w:pPr>
      <w:bookmarkStart w:id="298" w:name="_Toc532377241"/>
      <w:bookmarkStart w:id="299" w:name="_Toc351203555"/>
      <w:r>
        <w:rPr>
          <w:rFonts w:hint="eastAsia" w:ascii="宋体" w:hAnsi="宋体" w:cs="宋体"/>
          <w:b/>
          <w:bCs/>
          <w:color w:val="auto"/>
          <w:kern w:val="0"/>
          <w:szCs w:val="21"/>
          <w:highlight w:val="none"/>
        </w:rPr>
        <w:t>8</w:t>
      </w:r>
      <w:bookmarkStart w:id="300" w:name="_Toc296346562"/>
      <w:bookmarkStart w:id="301" w:name="_Toc296503061"/>
      <w:bookmarkStart w:id="302" w:name="_Toc337558779"/>
      <w:r>
        <w:rPr>
          <w:rFonts w:hint="eastAsia" w:ascii="宋体" w:hAnsi="宋体" w:cs="宋体"/>
          <w:b/>
          <w:bCs/>
          <w:color w:val="auto"/>
          <w:kern w:val="0"/>
          <w:szCs w:val="21"/>
          <w:highlight w:val="none"/>
        </w:rPr>
        <w:t>.3材料与工程设备的接收与拒收</w:t>
      </w:r>
      <w:bookmarkEnd w:id="298"/>
      <w:bookmarkEnd w:id="299"/>
    </w:p>
    <w:bookmarkEnd w:id="300"/>
    <w:bookmarkEnd w:id="301"/>
    <w:bookmarkEnd w:id="302"/>
    <w:p w14:paraId="5B1A5F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C800C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3FEFF6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303"/>
    <w:p w14:paraId="37BF76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5906E7E">
      <w:pPr>
        <w:widowControl/>
        <w:spacing w:line="360" w:lineRule="auto"/>
        <w:ind w:firstLine="422" w:firstLineChars="200"/>
        <w:jc w:val="left"/>
        <w:outlineLvl w:val="4"/>
        <w:rPr>
          <w:rFonts w:ascii="宋体" w:hAnsi="宋体" w:cs="宋体"/>
          <w:b/>
          <w:bCs/>
          <w:color w:val="auto"/>
          <w:kern w:val="0"/>
          <w:szCs w:val="21"/>
          <w:highlight w:val="none"/>
        </w:rPr>
      </w:pPr>
      <w:bookmarkStart w:id="304" w:name="_Toc351203556"/>
      <w:bookmarkStart w:id="305" w:name="_Toc532377242"/>
      <w:r>
        <w:rPr>
          <w:rFonts w:hint="eastAsia" w:ascii="宋体" w:hAnsi="宋体" w:cs="宋体"/>
          <w:b/>
          <w:bCs/>
          <w:color w:val="auto"/>
          <w:kern w:val="0"/>
          <w:szCs w:val="21"/>
          <w:highlight w:val="none"/>
        </w:rPr>
        <w:t>8</w:t>
      </w:r>
      <w:bookmarkStart w:id="306" w:name="_Toc296346563"/>
      <w:bookmarkStart w:id="307" w:name="_Toc337558780"/>
      <w:bookmarkStart w:id="308" w:name="_Toc296503062"/>
      <w:r>
        <w:rPr>
          <w:rFonts w:hint="eastAsia" w:ascii="宋体" w:hAnsi="宋体" w:cs="宋体"/>
          <w:b/>
          <w:bCs/>
          <w:color w:val="auto"/>
          <w:kern w:val="0"/>
          <w:szCs w:val="21"/>
          <w:highlight w:val="none"/>
        </w:rPr>
        <w:t>.4材料与工程设备的保管与使用</w:t>
      </w:r>
      <w:bookmarkEnd w:id="304"/>
      <w:bookmarkEnd w:id="305"/>
    </w:p>
    <w:bookmarkEnd w:id="306"/>
    <w:bookmarkEnd w:id="307"/>
    <w:bookmarkEnd w:id="308"/>
    <w:p w14:paraId="03C48B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7898C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承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3FD58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233468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694EAB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ABE39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3A9C5350">
      <w:pPr>
        <w:widowControl/>
        <w:spacing w:line="360" w:lineRule="auto"/>
        <w:ind w:firstLine="422" w:firstLineChars="200"/>
        <w:jc w:val="left"/>
        <w:outlineLvl w:val="4"/>
        <w:rPr>
          <w:rFonts w:ascii="宋体" w:hAnsi="宋体" w:cs="宋体"/>
          <w:b/>
          <w:bCs/>
          <w:color w:val="auto"/>
          <w:kern w:val="0"/>
          <w:szCs w:val="21"/>
          <w:highlight w:val="none"/>
        </w:rPr>
      </w:pPr>
      <w:bookmarkStart w:id="309" w:name="_Toc351203557"/>
      <w:bookmarkStart w:id="310" w:name="_Toc532377243"/>
      <w:r>
        <w:rPr>
          <w:rFonts w:hint="eastAsia" w:ascii="宋体" w:hAnsi="宋体" w:cs="宋体"/>
          <w:b/>
          <w:bCs/>
          <w:color w:val="auto"/>
          <w:kern w:val="0"/>
          <w:szCs w:val="21"/>
          <w:highlight w:val="none"/>
        </w:rPr>
        <w:t>8.5禁止使用不合格的材料和工程设备</w:t>
      </w:r>
      <w:bookmarkEnd w:id="309"/>
      <w:bookmarkEnd w:id="310"/>
    </w:p>
    <w:p w14:paraId="1435C7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6AAE3A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697B0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发包人提供的材料或工程设备不符合合同要求的，承包人有权拒绝，并可要求发包人更换，由此延误的工期由发包人承担。</w:t>
      </w:r>
    </w:p>
    <w:p w14:paraId="7BB1CC20">
      <w:pPr>
        <w:widowControl/>
        <w:spacing w:line="360" w:lineRule="auto"/>
        <w:ind w:firstLine="422" w:firstLineChars="200"/>
        <w:jc w:val="left"/>
        <w:outlineLvl w:val="4"/>
        <w:rPr>
          <w:rFonts w:ascii="宋体" w:hAnsi="宋体" w:cs="宋体"/>
          <w:b/>
          <w:bCs/>
          <w:color w:val="auto"/>
          <w:kern w:val="0"/>
          <w:szCs w:val="21"/>
          <w:highlight w:val="none"/>
        </w:rPr>
      </w:pPr>
      <w:bookmarkStart w:id="311" w:name="_Toc351203558"/>
      <w:bookmarkStart w:id="312" w:name="_Toc532377244"/>
      <w:r>
        <w:rPr>
          <w:rFonts w:hint="eastAsia" w:ascii="宋体" w:hAnsi="宋体" w:cs="宋体"/>
          <w:b/>
          <w:bCs/>
          <w:color w:val="auto"/>
          <w:kern w:val="0"/>
          <w:szCs w:val="21"/>
          <w:highlight w:val="none"/>
        </w:rPr>
        <w:t>8.6 样品</w:t>
      </w:r>
      <w:bookmarkEnd w:id="311"/>
      <w:bookmarkEnd w:id="312"/>
    </w:p>
    <w:p w14:paraId="23A3DD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1456AE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44D917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7D4DB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6DA6D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2B623A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5A69B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62306A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0A38A386">
      <w:pPr>
        <w:widowControl/>
        <w:spacing w:line="360" w:lineRule="auto"/>
        <w:ind w:firstLine="422" w:firstLineChars="200"/>
        <w:jc w:val="left"/>
        <w:outlineLvl w:val="4"/>
        <w:rPr>
          <w:rFonts w:ascii="宋体" w:hAnsi="宋体" w:cs="宋体"/>
          <w:b/>
          <w:bCs/>
          <w:color w:val="auto"/>
          <w:kern w:val="0"/>
          <w:szCs w:val="21"/>
          <w:highlight w:val="none"/>
        </w:rPr>
      </w:pPr>
      <w:bookmarkStart w:id="313" w:name="_Toc351203559"/>
      <w:bookmarkStart w:id="314" w:name="_Toc532377245"/>
      <w:r>
        <w:rPr>
          <w:rFonts w:hint="eastAsia" w:ascii="宋体" w:hAnsi="宋体" w:cs="宋体"/>
          <w:b/>
          <w:bCs/>
          <w:color w:val="auto"/>
          <w:kern w:val="0"/>
          <w:szCs w:val="21"/>
          <w:highlight w:val="none"/>
        </w:rPr>
        <w:t>8.7材料与工程设备的替代</w:t>
      </w:r>
      <w:bookmarkEnd w:id="313"/>
      <w:bookmarkEnd w:id="314"/>
    </w:p>
    <w:p w14:paraId="4520BA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36764B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7A49FF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3C6DBC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2A70A7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66347F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56FEAB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7E2E5D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0AF472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2D103E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22CAA7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6C7841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699F95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7066F44">
      <w:pPr>
        <w:widowControl/>
        <w:spacing w:line="360" w:lineRule="auto"/>
        <w:ind w:firstLine="422" w:firstLineChars="200"/>
        <w:jc w:val="left"/>
        <w:outlineLvl w:val="4"/>
        <w:rPr>
          <w:rFonts w:ascii="宋体" w:hAnsi="宋体" w:cs="宋体"/>
          <w:b/>
          <w:bCs/>
          <w:color w:val="auto"/>
          <w:kern w:val="0"/>
          <w:szCs w:val="21"/>
          <w:highlight w:val="none"/>
        </w:rPr>
      </w:pPr>
      <w:bookmarkStart w:id="315" w:name="_Toc532377246"/>
      <w:bookmarkStart w:id="316" w:name="_Toc351203560"/>
      <w:r>
        <w:rPr>
          <w:rFonts w:hint="eastAsia" w:ascii="宋体" w:hAnsi="宋体" w:cs="宋体"/>
          <w:b/>
          <w:bCs/>
          <w:color w:val="auto"/>
          <w:kern w:val="0"/>
          <w:szCs w:val="21"/>
          <w:highlight w:val="none"/>
        </w:rPr>
        <w:t>8.8施工设备和临时设施</w:t>
      </w:r>
      <w:bookmarkEnd w:id="315"/>
      <w:bookmarkEnd w:id="316"/>
    </w:p>
    <w:p w14:paraId="32F62C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7D4899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89469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11F310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6120A0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0DBC56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6AB6DB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30437CE">
      <w:pPr>
        <w:widowControl/>
        <w:spacing w:line="360" w:lineRule="auto"/>
        <w:ind w:firstLine="422" w:firstLineChars="200"/>
        <w:jc w:val="left"/>
        <w:outlineLvl w:val="4"/>
        <w:rPr>
          <w:rFonts w:ascii="宋体" w:hAnsi="宋体" w:cs="宋体"/>
          <w:b/>
          <w:bCs/>
          <w:color w:val="auto"/>
          <w:kern w:val="0"/>
          <w:szCs w:val="21"/>
          <w:highlight w:val="none"/>
        </w:rPr>
      </w:pPr>
      <w:bookmarkStart w:id="317" w:name="_Toc351203561"/>
      <w:bookmarkStart w:id="318" w:name="_Toc532377247"/>
      <w:r>
        <w:rPr>
          <w:rFonts w:hint="eastAsia" w:ascii="宋体" w:hAnsi="宋体" w:cs="宋体"/>
          <w:b/>
          <w:bCs/>
          <w:color w:val="auto"/>
          <w:kern w:val="0"/>
          <w:szCs w:val="21"/>
          <w:highlight w:val="none"/>
        </w:rPr>
        <w:t>8</w:t>
      </w:r>
      <w:bookmarkStart w:id="319" w:name="_Toc296503063"/>
      <w:bookmarkStart w:id="320" w:name="_Toc296346564"/>
      <w:bookmarkStart w:id="321" w:name="_Toc337558781"/>
      <w:r>
        <w:rPr>
          <w:rFonts w:hint="eastAsia" w:ascii="宋体" w:hAnsi="宋体" w:cs="宋体"/>
          <w:b/>
          <w:bCs/>
          <w:color w:val="auto"/>
          <w:kern w:val="0"/>
          <w:szCs w:val="21"/>
          <w:highlight w:val="none"/>
        </w:rPr>
        <w:t>.9材料与设备专用</w:t>
      </w:r>
      <w:bookmarkEnd w:id="317"/>
      <w:r>
        <w:rPr>
          <w:rFonts w:hint="eastAsia" w:ascii="宋体" w:hAnsi="宋体" w:cs="宋体"/>
          <w:b/>
          <w:bCs/>
          <w:color w:val="auto"/>
          <w:kern w:val="0"/>
          <w:szCs w:val="21"/>
          <w:highlight w:val="none"/>
        </w:rPr>
        <w:t>要求</w:t>
      </w:r>
      <w:bookmarkEnd w:id="318"/>
    </w:p>
    <w:bookmarkEnd w:id="319"/>
    <w:bookmarkEnd w:id="320"/>
    <w:bookmarkEnd w:id="321"/>
    <w:p w14:paraId="556362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6"/>
      <w:r>
        <w:rPr>
          <w:rFonts w:hint="eastAsia" w:ascii="宋体" w:hAnsi="宋体"/>
          <w:color w:val="auto"/>
          <w:kern w:val="0"/>
          <w:szCs w:val="21"/>
          <w:highlight w:val="none"/>
        </w:rPr>
        <w:t>经发包人批准，承包人可以根据施工进度计划撤走闲置的施工设备和其他物品。</w:t>
      </w:r>
    </w:p>
    <w:p w14:paraId="1C9EB265">
      <w:pPr>
        <w:keepNext/>
        <w:keepLines/>
        <w:widowControl/>
        <w:spacing w:before="156" w:beforeLines="50" w:after="156" w:afterLines="50" w:line="360" w:lineRule="auto"/>
        <w:outlineLvl w:val="3"/>
        <w:rPr>
          <w:rFonts w:ascii="宋体" w:hAnsi="宋体" w:cs="宋体"/>
          <w:b/>
          <w:color w:val="auto"/>
          <w:szCs w:val="21"/>
          <w:highlight w:val="none"/>
        </w:rPr>
      </w:pPr>
      <w:bookmarkStart w:id="322" w:name="_Toc532377248"/>
      <w:bookmarkStart w:id="323" w:name="_Toc351203562"/>
      <w:bookmarkStart w:id="324" w:name="_Toc532375595"/>
      <w:r>
        <w:rPr>
          <w:rFonts w:hint="eastAsia" w:ascii="宋体" w:hAnsi="宋体" w:cs="宋体"/>
          <w:b/>
          <w:bCs/>
          <w:color w:val="auto"/>
          <w:szCs w:val="21"/>
          <w:highlight w:val="none"/>
        </w:rPr>
        <w:t>9</w:t>
      </w:r>
      <w:bookmarkStart w:id="325" w:name="_Toc337558782"/>
      <w:bookmarkStart w:id="326" w:name="_Toc296346584"/>
      <w:bookmarkStart w:id="327" w:name="_Toc296503083"/>
      <w:r>
        <w:rPr>
          <w:rFonts w:hint="eastAsia" w:ascii="宋体" w:hAnsi="宋体" w:cs="宋体"/>
          <w:b/>
          <w:bCs/>
          <w:color w:val="auto"/>
          <w:szCs w:val="21"/>
          <w:highlight w:val="none"/>
        </w:rPr>
        <w:t>. 试验与检验</w:t>
      </w:r>
      <w:bookmarkEnd w:id="322"/>
      <w:bookmarkEnd w:id="323"/>
      <w:bookmarkEnd w:id="324"/>
    </w:p>
    <w:bookmarkEnd w:id="325"/>
    <w:p w14:paraId="1013A119">
      <w:pPr>
        <w:widowControl/>
        <w:spacing w:line="360" w:lineRule="auto"/>
        <w:ind w:firstLine="422" w:firstLineChars="200"/>
        <w:jc w:val="left"/>
        <w:outlineLvl w:val="4"/>
        <w:rPr>
          <w:rFonts w:ascii="宋体" w:hAnsi="宋体" w:cs="宋体"/>
          <w:b/>
          <w:bCs/>
          <w:color w:val="auto"/>
          <w:kern w:val="0"/>
          <w:szCs w:val="21"/>
          <w:highlight w:val="none"/>
        </w:rPr>
      </w:pPr>
      <w:bookmarkStart w:id="328" w:name="_Toc351203563"/>
      <w:bookmarkStart w:id="329" w:name="_Toc532377249"/>
      <w:r>
        <w:rPr>
          <w:rFonts w:hint="eastAsia" w:ascii="宋体" w:hAnsi="宋体" w:cs="宋体"/>
          <w:b/>
          <w:bCs/>
          <w:color w:val="auto"/>
          <w:kern w:val="0"/>
          <w:szCs w:val="21"/>
          <w:highlight w:val="none"/>
        </w:rPr>
        <w:t>9</w:t>
      </w:r>
      <w:bookmarkStart w:id="330" w:name="_Toc337558783"/>
      <w:r>
        <w:rPr>
          <w:rFonts w:hint="eastAsia" w:ascii="宋体" w:hAnsi="宋体" w:cs="宋体"/>
          <w:b/>
          <w:bCs/>
          <w:color w:val="auto"/>
          <w:kern w:val="0"/>
          <w:szCs w:val="21"/>
          <w:highlight w:val="none"/>
        </w:rPr>
        <w:t>.1试验设备与试验人员</w:t>
      </w:r>
      <w:bookmarkEnd w:id="328"/>
      <w:bookmarkEnd w:id="329"/>
    </w:p>
    <w:bookmarkEnd w:id="330"/>
    <w:p w14:paraId="1ABB7B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5B0E5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43B3C8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25079D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859D648">
      <w:pPr>
        <w:widowControl/>
        <w:spacing w:line="360" w:lineRule="auto"/>
        <w:ind w:firstLine="422" w:firstLineChars="200"/>
        <w:jc w:val="left"/>
        <w:outlineLvl w:val="4"/>
        <w:rPr>
          <w:rFonts w:ascii="宋体" w:hAnsi="宋体" w:cs="宋体"/>
          <w:b/>
          <w:bCs/>
          <w:color w:val="auto"/>
          <w:kern w:val="0"/>
          <w:szCs w:val="21"/>
          <w:highlight w:val="none"/>
        </w:rPr>
      </w:pPr>
      <w:bookmarkStart w:id="331" w:name="_Toc351203564"/>
      <w:bookmarkStart w:id="332" w:name="_Toc532377250"/>
      <w:r>
        <w:rPr>
          <w:rFonts w:hint="eastAsia" w:ascii="宋体" w:hAnsi="宋体" w:cs="宋体"/>
          <w:b/>
          <w:bCs/>
          <w:color w:val="auto"/>
          <w:kern w:val="0"/>
          <w:szCs w:val="21"/>
          <w:highlight w:val="none"/>
        </w:rPr>
        <w:t>9</w:t>
      </w:r>
      <w:bookmarkStart w:id="333" w:name="_Toc337558784"/>
      <w:r>
        <w:rPr>
          <w:rFonts w:hint="eastAsia" w:ascii="宋体" w:hAnsi="宋体" w:cs="宋体"/>
          <w:b/>
          <w:bCs/>
          <w:color w:val="auto"/>
          <w:kern w:val="0"/>
          <w:szCs w:val="21"/>
          <w:highlight w:val="none"/>
        </w:rPr>
        <w:t>.2取样</w:t>
      </w:r>
      <w:bookmarkEnd w:id="331"/>
      <w:bookmarkEnd w:id="332"/>
    </w:p>
    <w:bookmarkEnd w:id="333"/>
    <w:p w14:paraId="0F3541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7D118790">
      <w:pPr>
        <w:widowControl/>
        <w:spacing w:line="360" w:lineRule="auto"/>
        <w:ind w:firstLine="422" w:firstLineChars="200"/>
        <w:jc w:val="left"/>
        <w:outlineLvl w:val="4"/>
        <w:rPr>
          <w:rFonts w:ascii="宋体" w:hAnsi="宋体" w:cs="宋体"/>
          <w:b/>
          <w:bCs/>
          <w:color w:val="auto"/>
          <w:kern w:val="0"/>
          <w:szCs w:val="21"/>
          <w:highlight w:val="none"/>
        </w:rPr>
      </w:pPr>
      <w:bookmarkStart w:id="334" w:name="_Toc351203565"/>
      <w:bookmarkStart w:id="335" w:name="_Toc532377251"/>
      <w:r>
        <w:rPr>
          <w:rFonts w:hint="eastAsia" w:ascii="宋体" w:hAnsi="宋体" w:cs="宋体"/>
          <w:b/>
          <w:bCs/>
          <w:color w:val="auto"/>
          <w:kern w:val="0"/>
          <w:szCs w:val="21"/>
          <w:highlight w:val="none"/>
        </w:rPr>
        <w:t>9</w:t>
      </w:r>
      <w:bookmarkStart w:id="336" w:name="_Toc337558785"/>
      <w:r>
        <w:rPr>
          <w:rFonts w:hint="eastAsia" w:ascii="宋体" w:hAnsi="宋体" w:cs="宋体"/>
          <w:b/>
          <w:bCs/>
          <w:color w:val="auto"/>
          <w:kern w:val="0"/>
          <w:szCs w:val="21"/>
          <w:highlight w:val="none"/>
        </w:rPr>
        <w:t>.3材料、工程设备和工程的试验和检验</w:t>
      </w:r>
      <w:bookmarkEnd w:id="334"/>
      <w:bookmarkEnd w:id="335"/>
    </w:p>
    <w:bookmarkEnd w:id="336"/>
    <w:p w14:paraId="27C0AE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A6AD6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D1909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延误的工期由发包人承担。</w:t>
      </w:r>
    </w:p>
    <w:p w14:paraId="0E0EE341">
      <w:pPr>
        <w:widowControl/>
        <w:spacing w:line="360" w:lineRule="auto"/>
        <w:ind w:firstLine="422" w:firstLineChars="200"/>
        <w:jc w:val="left"/>
        <w:outlineLvl w:val="4"/>
        <w:rPr>
          <w:rFonts w:ascii="宋体" w:hAnsi="宋体" w:cs="宋体"/>
          <w:b/>
          <w:bCs/>
          <w:color w:val="auto"/>
          <w:kern w:val="0"/>
          <w:szCs w:val="21"/>
          <w:highlight w:val="none"/>
        </w:rPr>
      </w:pPr>
      <w:bookmarkStart w:id="337" w:name="_Toc532377252"/>
      <w:bookmarkStart w:id="338" w:name="_Toc351203566"/>
      <w:r>
        <w:rPr>
          <w:rFonts w:hint="eastAsia" w:ascii="宋体" w:hAnsi="宋体" w:cs="宋体"/>
          <w:b/>
          <w:bCs/>
          <w:color w:val="auto"/>
          <w:kern w:val="0"/>
          <w:szCs w:val="21"/>
          <w:highlight w:val="none"/>
        </w:rPr>
        <w:t>9</w:t>
      </w:r>
      <w:bookmarkStart w:id="339" w:name="_Toc337558786"/>
      <w:r>
        <w:rPr>
          <w:rFonts w:hint="eastAsia" w:ascii="宋体" w:hAnsi="宋体" w:cs="宋体"/>
          <w:b/>
          <w:bCs/>
          <w:color w:val="auto"/>
          <w:kern w:val="0"/>
          <w:szCs w:val="21"/>
          <w:highlight w:val="none"/>
        </w:rPr>
        <w:t>.4现场工艺试验</w:t>
      </w:r>
      <w:bookmarkEnd w:id="337"/>
      <w:bookmarkEnd w:id="338"/>
    </w:p>
    <w:bookmarkEnd w:id="339"/>
    <w:p w14:paraId="057A78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7F705A9">
      <w:pPr>
        <w:keepNext/>
        <w:keepLines/>
        <w:widowControl/>
        <w:spacing w:before="156" w:beforeLines="50" w:after="156" w:afterLines="50" w:line="360" w:lineRule="auto"/>
        <w:outlineLvl w:val="3"/>
        <w:rPr>
          <w:rFonts w:ascii="宋体" w:hAnsi="宋体" w:cs="宋体"/>
          <w:b/>
          <w:color w:val="auto"/>
          <w:szCs w:val="21"/>
          <w:highlight w:val="none"/>
        </w:rPr>
      </w:pPr>
      <w:bookmarkStart w:id="340" w:name="_Toc351203567"/>
      <w:bookmarkStart w:id="341" w:name="_Toc532377253"/>
      <w:bookmarkStart w:id="342" w:name="_Toc532375596"/>
      <w:r>
        <w:rPr>
          <w:rFonts w:hint="eastAsia" w:ascii="宋体" w:hAnsi="宋体" w:cs="宋体"/>
          <w:b/>
          <w:bCs/>
          <w:color w:val="auto"/>
          <w:szCs w:val="21"/>
          <w:highlight w:val="none"/>
        </w:rPr>
        <w:t>1</w:t>
      </w:r>
      <w:bookmarkStart w:id="343" w:name="_Toc337558787"/>
      <w:r>
        <w:rPr>
          <w:rFonts w:hint="eastAsia" w:ascii="宋体" w:hAnsi="宋体" w:cs="宋体"/>
          <w:b/>
          <w:bCs/>
          <w:color w:val="auto"/>
          <w:szCs w:val="21"/>
          <w:highlight w:val="none"/>
        </w:rPr>
        <w:t>0. 变更</w:t>
      </w:r>
      <w:bookmarkEnd w:id="326"/>
      <w:bookmarkEnd w:id="327"/>
      <w:bookmarkEnd w:id="340"/>
      <w:bookmarkEnd w:id="341"/>
      <w:bookmarkEnd w:id="342"/>
    </w:p>
    <w:bookmarkEnd w:id="343"/>
    <w:p w14:paraId="6D3E7FC1">
      <w:pPr>
        <w:widowControl/>
        <w:spacing w:line="360" w:lineRule="auto"/>
        <w:ind w:firstLine="422" w:firstLineChars="200"/>
        <w:jc w:val="left"/>
        <w:outlineLvl w:val="4"/>
        <w:rPr>
          <w:rFonts w:ascii="宋体" w:hAnsi="宋体" w:cs="宋体"/>
          <w:b/>
          <w:bCs/>
          <w:color w:val="auto"/>
          <w:kern w:val="0"/>
          <w:szCs w:val="21"/>
          <w:highlight w:val="none"/>
        </w:rPr>
      </w:pPr>
      <w:bookmarkStart w:id="344" w:name="_Toc351203568"/>
      <w:bookmarkStart w:id="345" w:name="_Toc532377254"/>
      <w:r>
        <w:rPr>
          <w:rFonts w:hint="eastAsia" w:ascii="宋体" w:hAnsi="宋体" w:cs="宋体"/>
          <w:b/>
          <w:bCs/>
          <w:color w:val="auto"/>
          <w:kern w:val="0"/>
          <w:szCs w:val="21"/>
          <w:highlight w:val="none"/>
        </w:rPr>
        <w:t>1</w:t>
      </w:r>
      <w:bookmarkStart w:id="346" w:name="_Toc296503084"/>
      <w:bookmarkStart w:id="347" w:name="_Toc296346585"/>
      <w:bookmarkStart w:id="348" w:name="_Toc337558788"/>
      <w:r>
        <w:rPr>
          <w:rFonts w:hint="eastAsia" w:ascii="宋体" w:hAnsi="宋体" w:cs="宋体"/>
          <w:b/>
          <w:bCs/>
          <w:color w:val="auto"/>
          <w:kern w:val="0"/>
          <w:szCs w:val="21"/>
          <w:highlight w:val="none"/>
        </w:rPr>
        <w:t>0.1变更的范围</w:t>
      </w:r>
      <w:bookmarkEnd w:id="344"/>
      <w:bookmarkEnd w:id="345"/>
    </w:p>
    <w:bookmarkEnd w:id="346"/>
    <w:bookmarkEnd w:id="347"/>
    <w:bookmarkEnd w:id="348"/>
    <w:p w14:paraId="184F5B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7BFD82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3B00BC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16DE2E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47FD6F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09D3DF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5CE99746">
      <w:pPr>
        <w:widowControl/>
        <w:spacing w:line="360" w:lineRule="auto"/>
        <w:ind w:firstLine="422" w:firstLineChars="200"/>
        <w:jc w:val="left"/>
        <w:outlineLvl w:val="4"/>
        <w:rPr>
          <w:rFonts w:ascii="宋体" w:hAnsi="宋体" w:cs="宋体"/>
          <w:b/>
          <w:bCs/>
          <w:color w:val="auto"/>
          <w:kern w:val="0"/>
          <w:szCs w:val="21"/>
          <w:highlight w:val="none"/>
        </w:rPr>
      </w:pPr>
      <w:bookmarkStart w:id="349" w:name="_Toc532377255"/>
      <w:r>
        <w:rPr>
          <w:rFonts w:hint="eastAsia" w:ascii="宋体" w:hAnsi="宋体" w:cs="宋体"/>
          <w:b/>
          <w:bCs/>
          <w:color w:val="auto"/>
          <w:kern w:val="0"/>
          <w:szCs w:val="21"/>
          <w:highlight w:val="none"/>
        </w:rPr>
        <w:t>10.2变更权</w:t>
      </w:r>
      <w:bookmarkEnd w:id="349"/>
    </w:p>
    <w:p w14:paraId="0099B4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A4E3E7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4D4BA757">
      <w:pPr>
        <w:widowControl/>
        <w:spacing w:line="360" w:lineRule="auto"/>
        <w:ind w:firstLine="422" w:firstLineChars="200"/>
        <w:jc w:val="left"/>
        <w:outlineLvl w:val="4"/>
        <w:rPr>
          <w:rFonts w:ascii="宋体" w:hAnsi="宋体" w:cs="宋体"/>
          <w:b/>
          <w:bCs/>
          <w:color w:val="auto"/>
          <w:kern w:val="0"/>
          <w:szCs w:val="21"/>
          <w:highlight w:val="none"/>
        </w:rPr>
      </w:pPr>
      <w:bookmarkStart w:id="350" w:name="_Toc532377256"/>
      <w:r>
        <w:rPr>
          <w:rFonts w:hint="eastAsia" w:ascii="宋体" w:hAnsi="宋体" w:cs="宋体"/>
          <w:b/>
          <w:bCs/>
          <w:color w:val="auto"/>
          <w:kern w:val="0"/>
          <w:szCs w:val="21"/>
          <w:highlight w:val="none"/>
        </w:rPr>
        <w:t>10.3变更程序</w:t>
      </w:r>
      <w:bookmarkEnd w:id="350"/>
    </w:p>
    <w:p w14:paraId="18606C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56867D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04138F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3A2564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98CD0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409196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1AFA9E7">
      <w:pPr>
        <w:widowControl/>
        <w:spacing w:line="360" w:lineRule="auto"/>
        <w:ind w:firstLine="422" w:firstLineChars="200"/>
        <w:jc w:val="left"/>
        <w:outlineLvl w:val="4"/>
        <w:rPr>
          <w:rFonts w:ascii="宋体" w:hAnsi="宋体" w:cs="宋体"/>
          <w:b/>
          <w:bCs/>
          <w:color w:val="auto"/>
          <w:kern w:val="0"/>
          <w:szCs w:val="21"/>
          <w:highlight w:val="none"/>
        </w:rPr>
      </w:pPr>
      <w:bookmarkStart w:id="351" w:name="_Toc351203571"/>
      <w:bookmarkStart w:id="352" w:name="_Toc532377257"/>
      <w:r>
        <w:rPr>
          <w:rFonts w:hint="eastAsia" w:ascii="宋体" w:hAnsi="宋体" w:cs="宋体"/>
          <w:b/>
          <w:bCs/>
          <w:color w:val="auto"/>
          <w:kern w:val="0"/>
          <w:szCs w:val="21"/>
          <w:highlight w:val="none"/>
        </w:rPr>
        <w:t>1</w:t>
      </w:r>
      <w:bookmarkStart w:id="353" w:name="_Toc296503087"/>
      <w:bookmarkStart w:id="354" w:name="_Toc296346588"/>
      <w:bookmarkStart w:id="355" w:name="_Toc337558791"/>
      <w:r>
        <w:rPr>
          <w:rFonts w:hint="eastAsia" w:ascii="宋体" w:hAnsi="宋体" w:cs="宋体"/>
          <w:b/>
          <w:bCs/>
          <w:color w:val="auto"/>
          <w:kern w:val="0"/>
          <w:szCs w:val="21"/>
          <w:highlight w:val="none"/>
        </w:rPr>
        <w:t>0.4变更估价</w:t>
      </w:r>
      <w:bookmarkEnd w:id="351"/>
      <w:bookmarkEnd w:id="352"/>
    </w:p>
    <w:bookmarkEnd w:id="353"/>
    <w:bookmarkEnd w:id="354"/>
    <w:bookmarkEnd w:id="355"/>
    <w:p w14:paraId="18E88F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42FE1D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7C87B2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5D0F23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（2）已标价工程量清单或预算书中无相同项目，但有类似项目的，可在合理范围内参照类似项目的单价认定；</w:t>
      </w:r>
    </w:p>
    <w:p w14:paraId="47C54B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1BDE2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6C32AA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因变更引起的价格调整应计入最近一期的进度款中支付。</w:t>
      </w:r>
    </w:p>
    <w:p w14:paraId="670B2858">
      <w:pPr>
        <w:widowControl/>
        <w:spacing w:line="360" w:lineRule="auto"/>
        <w:ind w:firstLine="422" w:firstLineChars="200"/>
        <w:jc w:val="left"/>
        <w:outlineLvl w:val="4"/>
        <w:rPr>
          <w:rFonts w:ascii="宋体" w:hAnsi="宋体" w:cs="宋体"/>
          <w:b/>
          <w:bCs/>
          <w:color w:val="auto"/>
          <w:kern w:val="0"/>
          <w:szCs w:val="21"/>
          <w:highlight w:val="none"/>
        </w:rPr>
      </w:pPr>
      <w:bookmarkStart w:id="356" w:name="_Toc532377258"/>
      <w:bookmarkStart w:id="357" w:name="_Toc351203572"/>
      <w:r>
        <w:rPr>
          <w:rFonts w:hint="eastAsia" w:ascii="宋体" w:hAnsi="宋体" w:cs="宋体"/>
          <w:b/>
          <w:bCs/>
          <w:color w:val="auto"/>
          <w:kern w:val="0"/>
          <w:szCs w:val="21"/>
          <w:highlight w:val="none"/>
        </w:rPr>
        <w:t>1</w:t>
      </w:r>
      <w:bookmarkStart w:id="358" w:name="_Toc296346595"/>
      <w:bookmarkStart w:id="359" w:name="_Toc337558792"/>
      <w:bookmarkStart w:id="360" w:name="_Toc296503094"/>
      <w:r>
        <w:rPr>
          <w:rFonts w:hint="eastAsia" w:ascii="宋体" w:hAnsi="宋体" w:cs="宋体"/>
          <w:b/>
          <w:bCs/>
          <w:color w:val="auto"/>
          <w:kern w:val="0"/>
          <w:szCs w:val="21"/>
          <w:highlight w:val="none"/>
        </w:rPr>
        <w:t>0.5承包人的合理化建议</w:t>
      </w:r>
      <w:bookmarkEnd w:id="356"/>
      <w:bookmarkEnd w:id="357"/>
    </w:p>
    <w:bookmarkEnd w:id="358"/>
    <w:bookmarkEnd w:id="359"/>
    <w:bookmarkEnd w:id="360"/>
    <w:p w14:paraId="490CF9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1ECA7A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58127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13F9CD0D">
      <w:pPr>
        <w:widowControl/>
        <w:spacing w:line="360" w:lineRule="auto"/>
        <w:ind w:firstLine="422" w:firstLineChars="200"/>
        <w:jc w:val="left"/>
        <w:outlineLvl w:val="4"/>
        <w:rPr>
          <w:rFonts w:ascii="宋体" w:hAnsi="宋体" w:cs="宋体"/>
          <w:b/>
          <w:bCs/>
          <w:color w:val="auto"/>
          <w:kern w:val="0"/>
          <w:szCs w:val="21"/>
          <w:highlight w:val="none"/>
        </w:rPr>
      </w:pPr>
      <w:bookmarkStart w:id="361" w:name="_Toc532377259"/>
      <w:bookmarkStart w:id="362" w:name="_Toc351203573"/>
      <w:r>
        <w:rPr>
          <w:rFonts w:hint="eastAsia" w:ascii="宋体" w:hAnsi="宋体" w:cs="宋体"/>
          <w:b/>
          <w:bCs/>
          <w:color w:val="auto"/>
          <w:kern w:val="0"/>
          <w:szCs w:val="21"/>
          <w:highlight w:val="none"/>
        </w:rPr>
        <w:t>1</w:t>
      </w:r>
      <w:bookmarkStart w:id="363" w:name="_Toc337558793"/>
      <w:r>
        <w:rPr>
          <w:rFonts w:hint="eastAsia" w:ascii="宋体" w:hAnsi="宋体" w:cs="宋体"/>
          <w:b/>
          <w:bCs/>
          <w:color w:val="auto"/>
          <w:kern w:val="0"/>
          <w:szCs w:val="21"/>
          <w:highlight w:val="none"/>
        </w:rPr>
        <w:t>0.6变更引起的工期调整</w:t>
      </w:r>
      <w:bookmarkEnd w:id="361"/>
      <w:bookmarkEnd w:id="362"/>
      <w:bookmarkEnd w:id="363"/>
    </w:p>
    <w:p w14:paraId="50DB1D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164B5F26">
      <w:pPr>
        <w:widowControl/>
        <w:spacing w:line="360" w:lineRule="auto"/>
        <w:ind w:firstLine="422" w:firstLineChars="200"/>
        <w:jc w:val="left"/>
        <w:outlineLvl w:val="4"/>
        <w:rPr>
          <w:rFonts w:ascii="宋体" w:hAnsi="宋体" w:cs="宋体"/>
          <w:b/>
          <w:bCs/>
          <w:color w:val="auto"/>
          <w:kern w:val="0"/>
          <w:szCs w:val="21"/>
          <w:highlight w:val="none"/>
        </w:rPr>
      </w:pPr>
      <w:bookmarkStart w:id="364" w:name="_Toc532377260"/>
      <w:bookmarkStart w:id="365" w:name="_Toc351203574"/>
      <w:r>
        <w:rPr>
          <w:rFonts w:hint="eastAsia" w:ascii="宋体" w:hAnsi="宋体" w:cs="宋体"/>
          <w:b/>
          <w:bCs/>
          <w:color w:val="auto"/>
          <w:kern w:val="0"/>
          <w:szCs w:val="21"/>
          <w:highlight w:val="none"/>
        </w:rPr>
        <w:t>10.7暂估价</w:t>
      </w:r>
      <w:bookmarkEnd w:id="364"/>
      <w:bookmarkEnd w:id="365"/>
    </w:p>
    <w:p w14:paraId="694DD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1325C1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7A2BFF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对于依法必须招标的暂估价项目，采取以下第1种方式确定。合同当事人也可以在专用合同条款中选择其他招标方式。与组织招标工作有关的费用应当认为已经包括在承包人的签约合同价中。</w:t>
      </w:r>
    </w:p>
    <w:p w14:paraId="4D3405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158FBF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17EB4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30D96B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B228D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71F3C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1618E5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703F39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30D067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BEBB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0F437D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4DA74C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2DF3A0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49CFC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7E877C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因发包人原因导致暂估价合同订立和履行迟延的，由此延误的工期由发包人承担。因承包人原因导致暂估价合同订立和履行迟延的，由此增加的费用和（或）延误的工期由承包人承担。</w:t>
      </w:r>
    </w:p>
    <w:p w14:paraId="3E17D342">
      <w:pPr>
        <w:widowControl/>
        <w:spacing w:line="360" w:lineRule="auto"/>
        <w:ind w:firstLine="422" w:firstLineChars="200"/>
        <w:jc w:val="left"/>
        <w:outlineLvl w:val="4"/>
        <w:rPr>
          <w:rFonts w:ascii="宋体" w:hAnsi="宋体" w:cs="宋体"/>
          <w:b/>
          <w:bCs/>
          <w:color w:val="auto"/>
          <w:kern w:val="0"/>
          <w:szCs w:val="21"/>
          <w:highlight w:val="none"/>
        </w:rPr>
      </w:pPr>
      <w:bookmarkStart w:id="366" w:name="_Toc351203575"/>
      <w:bookmarkStart w:id="367" w:name="_Toc532377261"/>
      <w:r>
        <w:rPr>
          <w:rFonts w:hint="eastAsia" w:ascii="宋体" w:hAnsi="宋体" w:cs="宋体"/>
          <w:b/>
          <w:bCs/>
          <w:color w:val="auto"/>
          <w:kern w:val="0"/>
          <w:szCs w:val="21"/>
          <w:highlight w:val="none"/>
        </w:rPr>
        <w:t>1</w:t>
      </w:r>
      <w:bookmarkStart w:id="368" w:name="_Toc337558794"/>
      <w:bookmarkStart w:id="369" w:name="_Toc322522561"/>
      <w:bookmarkStart w:id="370" w:name="_Toc296503090"/>
      <w:bookmarkStart w:id="371" w:name="_Toc296346591"/>
      <w:r>
        <w:rPr>
          <w:rFonts w:hint="eastAsia" w:ascii="宋体" w:hAnsi="宋体" w:cs="宋体"/>
          <w:b/>
          <w:bCs/>
          <w:color w:val="auto"/>
          <w:kern w:val="0"/>
          <w:szCs w:val="21"/>
          <w:highlight w:val="none"/>
        </w:rPr>
        <w:t>0.8暂列金额</w:t>
      </w:r>
      <w:bookmarkEnd w:id="366"/>
      <w:bookmarkEnd w:id="367"/>
    </w:p>
    <w:bookmarkEnd w:id="368"/>
    <w:p w14:paraId="7CCDEB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369"/>
    <w:bookmarkEnd w:id="370"/>
    <w:bookmarkEnd w:id="371"/>
    <w:p w14:paraId="5CCB3B50">
      <w:pPr>
        <w:widowControl/>
        <w:spacing w:line="360" w:lineRule="auto"/>
        <w:ind w:firstLine="422" w:firstLineChars="200"/>
        <w:jc w:val="left"/>
        <w:outlineLvl w:val="4"/>
        <w:rPr>
          <w:rFonts w:ascii="宋体" w:hAnsi="宋体" w:cs="宋体"/>
          <w:b/>
          <w:bCs/>
          <w:color w:val="auto"/>
          <w:kern w:val="0"/>
          <w:szCs w:val="21"/>
          <w:highlight w:val="none"/>
        </w:rPr>
      </w:pPr>
      <w:bookmarkStart w:id="372" w:name="_Toc532377262"/>
      <w:bookmarkStart w:id="373" w:name="_Toc351203576"/>
      <w:r>
        <w:rPr>
          <w:rFonts w:hint="eastAsia" w:ascii="宋体" w:hAnsi="宋体" w:cs="宋体"/>
          <w:b/>
          <w:bCs/>
          <w:color w:val="auto"/>
          <w:kern w:val="0"/>
          <w:szCs w:val="21"/>
          <w:highlight w:val="none"/>
        </w:rPr>
        <w:t>1</w:t>
      </w:r>
      <w:bookmarkStart w:id="374" w:name="_Toc296346592"/>
      <w:bookmarkStart w:id="375" w:name="_Toc337558796"/>
      <w:bookmarkStart w:id="376" w:name="_Toc296503091"/>
      <w:r>
        <w:rPr>
          <w:rFonts w:hint="eastAsia" w:ascii="宋体" w:hAnsi="宋体" w:cs="宋体"/>
          <w:b/>
          <w:bCs/>
          <w:color w:val="auto"/>
          <w:kern w:val="0"/>
          <w:szCs w:val="21"/>
          <w:highlight w:val="none"/>
        </w:rPr>
        <w:t>0.9计日工</w:t>
      </w:r>
      <w:bookmarkEnd w:id="372"/>
      <w:bookmarkEnd w:id="373"/>
      <w:bookmarkEnd w:id="374"/>
      <w:bookmarkEnd w:id="375"/>
      <w:bookmarkEnd w:id="376"/>
    </w:p>
    <w:p w14:paraId="07DEEA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7E07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74D0E0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237156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39E2D8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6E5D70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5FCAD1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611923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62DD080F">
      <w:pPr>
        <w:keepNext/>
        <w:keepLines/>
        <w:widowControl/>
        <w:spacing w:before="156" w:beforeLines="50" w:after="156" w:afterLines="50" w:line="360" w:lineRule="auto"/>
        <w:outlineLvl w:val="3"/>
        <w:rPr>
          <w:rFonts w:ascii="宋体" w:hAnsi="宋体" w:cs="宋体"/>
          <w:b/>
          <w:color w:val="auto"/>
          <w:szCs w:val="21"/>
          <w:highlight w:val="none"/>
        </w:rPr>
      </w:pPr>
      <w:bookmarkStart w:id="377" w:name="_Toc351203577"/>
      <w:bookmarkStart w:id="378" w:name="_Toc532375597"/>
      <w:bookmarkStart w:id="379" w:name="_Toc532377263"/>
      <w:r>
        <w:rPr>
          <w:rFonts w:hint="eastAsia" w:ascii="宋体" w:hAnsi="宋体" w:cs="宋体"/>
          <w:b/>
          <w:bCs/>
          <w:color w:val="auto"/>
          <w:szCs w:val="21"/>
          <w:highlight w:val="none"/>
        </w:rPr>
        <w:t>11. 价格调整</w:t>
      </w:r>
      <w:bookmarkEnd w:id="377"/>
      <w:bookmarkEnd w:id="378"/>
      <w:bookmarkEnd w:id="379"/>
    </w:p>
    <w:p w14:paraId="0F8F2D8D">
      <w:pPr>
        <w:widowControl/>
        <w:spacing w:line="360" w:lineRule="auto"/>
        <w:ind w:firstLine="422" w:firstLineChars="200"/>
        <w:jc w:val="left"/>
        <w:outlineLvl w:val="4"/>
        <w:rPr>
          <w:rFonts w:ascii="宋体" w:hAnsi="宋体" w:cs="宋体"/>
          <w:b/>
          <w:bCs/>
          <w:color w:val="auto"/>
          <w:kern w:val="0"/>
          <w:szCs w:val="21"/>
          <w:highlight w:val="none"/>
        </w:rPr>
      </w:pPr>
      <w:bookmarkStart w:id="380" w:name="_Toc532377264"/>
      <w:bookmarkStart w:id="381" w:name="_Toc351203578"/>
      <w:bookmarkStart w:id="382" w:name="_Toc337558797"/>
      <w:bookmarkStart w:id="383" w:name="_Toc296346593"/>
      <w:bookmarkStart w:id="384" w:name="_Toc296503092"/>
      <w:r>
        <w:rPr>
          <w:rFonts w:hint="eastAsia" w:ascii="宋体" w:hAnsi="宋体" w:cs="宋体"/>
          <w:b/>
          <w:bCs/>
          <w:color w:val="auto"/>
          <w:kern w:val="0"/>
          <w:szCs w:val="21"/>
          <w:highlight w:val="none"/>
        </w:rPr>
        <w:t>11.1市场价格波动引起的调整</w:t>
      </w:r>
      <w:bookmarkEnd w:id="380"/>
      <w:bookmarkEnd w:id="381"/>
    </w:p>
    <w:bookmarkEnd w:id="382"/>
    <w:bookmarkEnd w:id="383"/>
    <w:bookmarkEnd w:id="384"/>
    <w:p w14:paraId="1E470D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w:t>
      </w:r>
    </w:p>
    <w:p w14:paraId="6C2D71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以下一种方式对合同价格进行调整：</w:t>
      </w:r>
    </w:p>
    <w:p w14:paraId="01E983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035DD1B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6325677F">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5233945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5" o:spt="75" type="#_x0000_t75" style="height:41.45pt;width:360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p>
    <w:p w14:paraId="6F77BEC9">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0A952A5">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ascii="宋体" w:hAnsi="宋体"/>
          <w:color w:val="auto"/>
          <w:kern w:val="0"/>
          <w:szCs w:val="21"/>
          <w:highlight w:val="none"/>
        </w:rPr>
        <w:object>
          <v:shape id="_x0000_i1026" o:spt="75" type="#_x0000_t75" style="height:20.1pt;width:20.1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50A87E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741F172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7" o:spt="75" type="#_x0000_t75" style="height:20.15pt;width:97.9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6E689D90">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8" o:spt="75" type="#_x0000_t75" style="height:20.15pt;width:102.55pt;" o:ole="t" filled="f" o:preferrelative="t" stroked="f" coordsize="21600,21600">
            <v:path/>
            <v:fill on="f"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22C8486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9" o:spt="75" type="#_x0000_t75" style="height:20.15pt;width:108.3pt;" o:ole="t" filled="f" o:preferrelative="t" stroked="f" coordsize="21600,21600">
            <v:path/>
            <v:fill on="f" focussize="0,0"/>
            <v:stroke on="f"/>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1B2FCF5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9E18E2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2818FA6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606E2E8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3FB2423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58F21F1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73BCF09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2DCA5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508FCB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4E47B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2E8DF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76A029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FE7E8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AE9E9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5D459D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085FDEF">
      <w:pPr>
        <w:spacing w:line="360" w:lineRule="auto"/>
        <w:ind w:firstLine="420" w:firstLineChars="200"/>
        <w:jc w:val="left"/>
        <w:rPr>
          <w:rFonts w:ascii="宋体" w:hAnsi="宋体"/>
          <w:color w:val="auto"/>
          <w:kern w:val="0"/>
          <w:szCs w:val="21"/>
          <w:highlight w:val="none"/>
        </w:rPr>
      </w:pPr>
      <w:bookmarkStart w:id="385"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1611E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520BFC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68F1F809">
      <w:pPr>
        <w:widowControl/>
        <w:spacing w:line="360" w:lineRule="auto"/>
        <w:ind w:firstLine="422" w:firstLineChars="200"/>
        <w:jc w:val="left"/>
        <w:outlineLvl w:val="4"/>
        <w:rPr>
          <w:rFonts w:ascii="宋体" w:hAnsi="宋体" w:cs="宋体"/>
          <w:b/>
          <w:bCs/>
          <w:color w:val="auto"/>
          <w:kern w:val="0"/>
          <w:szCs w:val="21"/>
          <w:highlight w:val="none"/>
        </w:rPr>
      </w:pPr>
      <w:bookmarkStart w:id="386" w:name="_Toc532377265"/>
      <w:bookmarkStart w:id="387" w:name="_Toc351203579"/>
      <w:bookmarkStart w:id="388" w:name="_Toc296346594"/>
      <w:bookmarkStart w:id="389" w:name="_Toc337558798"/>
      <w:bookmarkStart w:id="390" w:name="_Toc296503093"/>
      <w:r>
        <w:rPr>
          <w:rFonts w:hint="eastAsia" w:ascii="宋体" w:hAnsi="宋体" w:cs="宋体"/>
          <w:b/>
          <w:bCs/>
          <w:color w:val="auto"/>
          <w:kern w:val="0"/>
          <w:szCs w:val="21"/>
          <w:highlight w:val="none"/>
        </w:rPr>
        <w:t>11.2法律变化引起的调整</w:t>
      </w:r>
      <w:bookmarkEnd w:id="386"/>
      <w:bookmarkEnd w:id="387"/>
    </w:p>
    <w:bookmarkEnd w:id="388"/>
    <w:bookmarkEnd w:id="389"/>
    <w:bookmarkEnd w:id="390"/>
    <w:p w14:paraId="570F43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1AB9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41F3B1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4D644144">
      <w:pPr>
        <w:keepNext/>
        <w:keepLines/>
        <w:widowControl/>
        <w:spacing w:before="156" w:beforeLines="50" w:after="156" w:afterLines="50" w:line="360" w:lineRule="auto"/>
        <w:outlineLvl w:val="3"/>
        <w:rPr>
          <w:rFonts w:ascii="宋体" w:hAnsi="宋体" w:cs="宋体"/>
          <w:b/>
          <w:color w:val="auto"/>
          <w:szCs w:val="21"/>
          <w:highlight w:val="none"/>
        </w:rPr>
      </w:pPr>
      <w:bookmarkStart w:id="391" w:name="_Toc532377266"/>
      <w:bookmarkStart w:id="392" w:name="_Toc351203580"/>
      <w:bookmarkStart w:id="393" w:name="_Toc532375598"/>
      <w:bookmarkStart w:id="394" w:name="_Toc337558799"/>
      <w:bookmarkStart w:id="395" w:name="_Toc296503096"/>
      <w:bookmarkStart w:id="396" w:name="_Toc296346597"/>
      <w:r>
        <w:rPr>
          <w:rFonts w:hint="eastAsia" w:ascii="宋体" w:hAnsi="宋体" w:cs="宋体"/>
          <w:b/>
          <w:bCs/>
          <w:color w:val="auto"/>
          <w:szCs w:val="21"/>
          <w:highlight w:val="none"/>
        </w:rPr>
        <w:t>12. 合同价格、计量与支付</w:t>
      </w:r>
      <w:bookmarkEnd w:id="391"/>
      <w:bookmarkEnd w:id="392"/>
      <w:bookmarkEnd w:id="393"/>
    </w:p>
    <w:bookmarkEnd w:id="394"/>
    <w:p w14:paraId="3F0B0DEB">
      <w:pPr>
        <w:widowControl/>
        <w:spacing w:line="360" w:lineRule="auto"/>
        <w:ind w:firstLine="422" w:firstLineChars="200"/>
        <w:jc w:val="left"/>
        <w:outlineLvl w:val="4"/>
        <w:rPr>
          <w:rFonts w:ascii="宋体" w:hAnsi="宋体" w:cs="宋体"/>
          <w:b/>
          <w:bCs/>
          <w:color w:val="auto"/>
          <w:kern w:val="0"/>
          <w:szCs w:val="21"/>
          <w:highlight w:val="none"/>
        </w:rPr>
      </w:pPr>
      <w:bookmarkStart w:id="397" w:name="_Toc532377267"/>
      <w:bookmarkStart w:id="398" w:name="_Toc351203581"/>
      <w:bookmarkStart w:id="399" w:name="_Toc337558800"/>
      <w:r>
        <w:rPr>
          <w:rFonts w:hint="eastAsia" w:ascii="宋体" w:hAnsi="宋体" w:cs="宋体"/>
          <w:b/>
          <w:bCs/>
          <w:color w:val="auto"/>
          <w:kern w:val="0"/>
          <w:szCs w:val="21"/>
          <w:highlight w:val="none"/>
        </w:rPr>
        <w:t>12.1 合同价</w:t>
      </w:r>
      <w:bookmarkEnd w:id="395"/>
      <w:bookmarkEnd w:id="396"/>
      <w:r>
        <w:rPr>
          <w:rFonts w:hint="eastAsia" w:ascii="宋体" w:hAnsi="宋体" w:cs="宋体"/>
          <w:b/>
          <w:bCs/>
          <w:color w:val="auto"/>
          <w:kern w:val="0"/>
          <w:szCs w:val="21"/>
          <w:highlight w:val="none"/>
        </w:rPr>
        <w:t>格形式</w:t>
      </w:r>
      <w:bookmarkEnd w:id="397"/>
      <w:bookmarkEnd w:id="398"/>
    </w:p>
    <w:bookmarkEnd w:id="399"/>
    <w:p w14:paraId="77C53BC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071EEB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10DCF9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2BCED30">
      <w:pPr>
        <w:widowControl/>
        <w:spacing w:line="360" w:lineRule="auto"/>
        <w:ind w:firstLine="420" w:firstLineChars="200"/>
        <w:jc w:val="left"/>
        <w:outlineLvl w:val="4"/>
        <w:rPr>
          <w:rFonts w:ascii="宋体" w:hAnsi="宋体" w:cs="宋体"/>
          <w:bCs/>
          <w:color w:val="auto"/>
          <w:kern w:val="0"/>
          <w:szCs w:val="21"/>
          <w:highlight w:val="none"/>
        </w:rPr>
      </w:pPr>
      <w:bookmarkStart w:id="400" w:name="_Toc532377268"/>
      <w:r>
        <w:rPr>
          <w:rFonts w:hint="eastAsia" w:ascii="宋体" w:hAnsi="宋体" w:cs="宋体"/>
          <w:bCs/>
          <w:color w:val="auto"/>
          <w:kern w:val="0"/>
          <w:szCs w:val="21"/>
          <w:highlight w:val="none"/>
        </w:rPr>
        <w:t>2.总价合同</w:t>
      </w:r>
      <w:bookmarkEnd w:id="400"/>
    </w:p>
    <w:p w14:paraId="0C145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3791A45">
      <w:pPr>
        <w:widowControl/>
        <w:spacing w:line="360" w:lineRule="auto"/>
        <w:ind w:firstLine="420" w:firstLineChars="200"/>
        <w:jc w:val="left"/>
        <w:outlineLvl w:val="4"/>
        <w:rPr>
          <w:rFonts w:ascii="宋体" w:hAnsi="宋体" w:cs="宋体"/>
          <w:bCs/>
          <w:color w:val="auto"/>
          <w:kern w:val="0"/>
          <w:szCs w:val="21"/>
          <w:highlight w:val="none"/>
        </w:rPr>
      </w:pPr>
      <w:bookmarkStart w:id="401" w:name="_Toc532377269"/>
      <w:r>
        <w:rPr>
          <w:rFonts w:hint="eastAsia" w:ascii="宋体" w:hAnsi="宋体" w:cs="宋体"/>
          <w:bCs/>
          <w:color w:val="auto"/>
          <w:kern w:val="0"/>
          <w:szCs w:val="21"/>
          <w:highlight w:val="none"/>
        </w:rPr>
        <w:t>3.其它价格形式</w:t>
      </w:r>
      <w:bookmarkEnd w:id="401"/>
    </w:p>
    <w:p w14:paraId="631A74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02690637">
      <w:pPr>
        <w:widowControl/>
        <w:spacing w:line="360" w:lineRule="auto"/>
        <w:ind w:firstLine="422" w:firstLineChars="200"/>
        <w:jc w:val="left"/>
        <w:outlineLvl w:val="4"/>
        <w:rPr>
          <w:rFonts w:ascii="宋体" w:hAnsi="宋体" w:cs="宋体"/>
          <w:b/>
          <w:bCs/>
          <w:color w:val="auto"/>
          <w:kern w:val="0"/>
          <w:szCs w:val="21"/>
          <w:highlight w:val="none"/>
        </w:rPr>
      </w:pPr>
      <w:bookmarkStart w:id="402" w:name="_Toc296346598"/>
      <w:bookmarkStart w:id="403" w:name="_Toc296503097"/>
      <w:bookmarkStart w:id="404" w:name="_Toc532377270"/>
      <w:bookmarkStart w:id="405" w:name="_Toc351203582"/>
      <w:bookmarkStart w:id="406" w:name="_Toc337558801"/>
      <w:r>
        <w:rPr>
          <w:rFonts w:hint="eastAsia" w:ascii="宋体" w:hAnsi="宋体" w:cs="宋体"/>
          <w:b/>
          <w:bCs/>
          <w:color w:val="auto"/>
          <w:kern w:val="0"/>
          <w:szCs w:val="21"/>
          <w:highlight w:val="none"/>
        </w:rPr>
        <w:t>12.2预</w:t>
      </w:r>
      <w:bookmarkEnd w:id="402"/>
      <w:bookmarkEnd w:id="403"/>
      <w:bookmarkStart w:id="407" w:name="_Toc296346601"/>
      <w:bookmarkStart w:id="408" w:name="_Toc296503100"/>
      <w:r>
        <w:rPr>
          <w:rFonts w:hint="eastAsia" w:ascii="宋体" w:hAnsi="宋体" w:cs="宋体"/>
          <w:b/>
          <w:bCs/>
          <w:color w:val="auto"/>
          <w:kern w:val="0"/>
          <w:szCs w:val="21"/>
          <w:highlight w:val="none"/>
        </w:rPr>
        <w:t>付款</w:t>
      </w:r>
      <w:bookmarkEnd w:id="404"/>
      <w:bookmarkEnd w:id="405"/>
    </w:p>
    <w:bookmarkEnd w:id="406"/>
    <w:bookmarkEnd w:id="407"/>
    <w:bookmarkEnd w:id="408"/>
    <w:p w14:paraId="62EDCC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4729BB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F2461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385"/>
      <w:r>
        <w:rPr>
          <w:rFonts w:hint="eastAsia" w:ascii="宋体" w:hAnsi="宋体"/>
          <w:color w:val="auto"/>
          <w:kern w:val="0"/>
          <w:szCs w:val="21"/>
          <w:highlight w:val="none"/>
        </w:rPr>
        <w:t>在颁发工程接收证书前，提前解除合同的，尚未扣完的预付款应与合同价款一并结算。</w:t>
      </w:r>
    </w:p>
    <w:p w14:paraId="3D9EBD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发包人逾期支付预付款超过7天的，承包人有权向发包人发出要求预付的催告通知，并按第16.1.1项〔发包人违约的情形〕执行。</w:t>
      </w:r>
    </w:p>
    <w:p w14:paraId="7620A1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0FCE1E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E1D45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14D8FBEA">
      <w:pPr>
        <w:widowControl/>
        <w:spacing w:line="360" w:lineRule="auto"/>
        <w:ind w:firstLine="422" w:firstLineChars="200"/>
        <w:jc w:val="left"/>
        <w:outlineLvl w:val="4"/>
        <w:rPr>
          <w:rFonts w:ascii="宋体" w:hAnsi="宋体" w:cs="宋体"/>
          <w:b/>
          <w:bCs/>
          <w:color w:val="auto"/>
          <w:kern w:val="0"/>
          <w:szCs w:val="21"/>
          <w:highlight w:val="none"/>
        </w:rPr>
      </w:pPr>
      <w:bookmarkStart w:id="409" w:name="_Toc532377271"/>
      <w:bookmarkStart w:id="410" w:name="_Toc351203583"/>
      <w:bookmarkStart w:id="411" w:name="_Toc337558802"/>
      <w:r>
        <w:rPr>
          <w:rFonts w:hint="eastAsia" w:ascii="宋体" w:hAnsi="宋体" w:cs="宋体"/>
          <w:b/>
          <w:bCs/>
          <w:color w:val="auto"/>
          <w:kern w:val="0"/>
          <w:szCs w:val="21"/>
          <w:highlight w:val="none"/>
        </w:rPr>
        <w:t>12.3计量</w:t>
      </w:r>
      <w:bookmarkEnd w:id="409"/>
      <w:bookmarkEnd w:id="410"/>
    </w:p>
    <w:bookmarkEnd w:id="411"/>
    <w:p w14:paraId="32E9D5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3FB370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30FEBE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29E6C2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7E81FA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5363B9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0A0DD3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3BE208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8FBB19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266706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6160BC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60085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57D8C2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0B18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4C7996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366CE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0063FF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78B87A03">
      <w:pPr>
        <w:widowControl/>
        <w:spacing w:line="360" w:lineRule="auto"/>
        <w:ind w:firstLine="422" w:firstLineChars="200"/>
        <w:jc w:val="left"/>
        <w:outlineLvl w:val="4"/>
        <w:rPr>
          <w:rFonts w:ascii="宋体" w:hAnsi="宋体" w:cs="宋体"/>
          <w:b/>
          <w:bCs/>
          <w:color w:val="auto"/>
          <w:kern w:val="0"/>
          <w:szCs w:val="21"/>
          <w:highlight w:val="none"/>
        </w:rPr>
      </w:pPr>
      <w:bookmarkStart w:id="412" w:name="_Toc296503101"/>
      <w:bookmarkStart w:id="413" w:name="_Toc296346602"/>
      <w:bookmarkStart w:id="414" w:name="_Toc351203584"/>
      <w:bookmarkStart w:id="415" w:name="_Toc532377272"/>
      <w:bookmarkStart w:id="416" w:name="_Toc337558803"/>
      <w:r>
        <w:rPr>
          <w:rFonts w:hint="eastAsia" w:ascii="宋体" w:hAnsi="宋体" w:cs="宋体"/>
          <w:b/>
          <w:bCs/>
          <w:color w:val="auto"/>
          <w:kern w:val="0"/>
          <w:szCs w:val="21"/>
          <w:highlight w:val="none"/>
        </w:rPr>
        <w:t>12.4工程进度款支</w:t>
      </w:r>
      <w:bookmarkEnd w:id="412"/>
      <w:bookmarkEnd w:id="413"/>
      <w:r>
        <w:rPr>
          <w:rFonts w:hint="eastAsia" w:ascii="宋体" w:hAnsi="宋体" w:cs="宋体"/>
          <w:b/>
          <w:bCs/>
          <w:color w:val="auto"/>
          <w:kern w:val="0"/>
          <w:szCs w:val="21"/>
          <w:highlight w:val="none"/>
        </w:rPr>
        <w:t>付</w:t>
      </w:r>
      <w:bookmarkEnd w:id="414"/>
      <w:bookmarkEnd w:id="415"/>
    </w:p>
    <w:bookmarkEnd w:id="416"/>
    <w:p w14:paraId="600DC0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324CC0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3E7B85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A8390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23DD66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524A4C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16EE98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516EA6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2EF501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7BD547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79839A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1097D0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2F4BCA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7030DF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38A677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352DA6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223CE1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3D78E1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467C71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203556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3CFA25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14B43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B611E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（2）除专用合同条款另有约定外，发包人应在进度款支付证书或临时进度款支付证书签发后14天内完成支付，发包人逾期支付进度款的，应按照中国人民银行发布的同期存款基准利率支付违约金。</w:t>
      </w:r>
    </w:p>
    <w:p w14:paraId="6C3DC7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746A69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3DB9B7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66180A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47891D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3B0780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0E2C66B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1F1CF1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083577C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129A10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D019D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700FB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2493AD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176A9B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D9E6F08">
      <w:pPr>
        <w:widowControl/>
        <w:spacing w:line="360" w:lineRule="auto"/>
        <w:ind w:firstLine="422" w:firstLineChars="200"/>
        <w:jc w:val="left"/>
        <w:outlineLvl w:val="4"/>
        <w:rPr>
          <w:rFonts w:ascii="宋体" w:hAnsi="宋体" w:cs="宋体"/>
          <w:b/>
          <w:bCs/>
          <w:color w:val="auto"/>
          <w:kern w:val="0"/>
          <w:szCs w:val="21"/>
          <w:highlight w:val="none"/>
        </w:rPr>
      </w:pPr>
      <w:bookmarkStart w:id="417" w:name="_Toc532377273"/>
      <w:r>
        <w:rPr>
          <w:rFonts w:hint="eastAsia" w:ascii="宋体" w:hAnsi="宋体" w:cs="宋体"/>
          <w:b/>
          <w:bCs/>
          <w:color w:val="auto"/>
          <w:kern w:val="0"/>
          <w:szCs w:val="21"/>
          <w:highlight w:val="none"/>
        </w:rPr>
        <w:t>12.5支付账户</w:t>
      </w:r>
      <w:bookmarkEnd w:id="417"/>
    </w:p>
    <w:p w14:paraId="20C49C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06900864">
      <w:pPr>
        <w:keepNext/>
        <w:keepLines/>
        <w:widowControl/>
        <w:spacing w:before="156" w:beforeLines="50" w:after="156" w:afterLines="50" w:line="360" w:lineRule="auto"/>
        <w:outlineLvl w:val="3"/>
        <w:rPr>
          <w:rFonts w:ascii="宋体" w:hAnsi="宋体" w:cs="宋体"/>
          <w:b/>
          <w:color w:val="auto"/>
          <w:szCs w:val="21"/>
          <w:highlight w:val="none"/>
        </w:rPr>
      </w:pPr>
      <w:bookmarkStart w:id="418" w:name="_Toc351203586"/>
      <w:bookmarkStart w:id="419" w:name="_Toc532377274"/>
      <w:bookmarkStart w:id="420" w:name="_Toc532375599"/>
      <w:bookmarkStart w:id="421" w:name="_Toc337558804"/>
      <w:bookmarkStart w:id="422" w:name="_Toc322522574"/>
      <w:bookmarkStart w:id="423" w:name="_Toc296503106"/>
      <w:bookmarkStart w:id="424" w:name="_Toc296346607"/>
      <w:r>
        <w:rPr>
          <w:rFonts w:hint="eastAsia" w:ascii="宋体" w:hAnsi="宋体" w:cs="宋体"/>
          <w:b/>
          <w:bCs/>
          <w:color w:val="auto"/>
          <w:szCs w:val="21"/>
          <w:highlight w:val="none"/>
        </w:rPr>
        <w:t>13. 验收和工程试车</w:t>
      </w:r>
      <w:bookmarkEnd w:id="418"/>
      <w:bookmarkEnd w:id="419"/>
      <w:bookmarkEnd w:id="420"/>
    </w:p>
    <w:bookmarkEnd w:id="421"/>
    <w:bookmarkEnd w:id="422"/>
    <w:bookmarkEnd w:id="423"/>
    <w:bookmarkEnd w:id="424"/>
    <w:p w14:paraId="4DBF6534">
      <w:pPr>
        <w:widowControl/>
        <w:spacing w:line="360" w:lineRule="auto"/>
        <w:ind w:firstLine="422" w:firstLineChars="200"/>
        <w:jc w:val="left"/>
        <w:outlineLvl w:val="4"/>
        <w:rPr>
          <w:rFonts w:ascii="宋体" w:hAnsi="宋体" w:cs="宋体"/>
          <w:b/>
          <w:bCs/>
          <w:color w:val="auto"/>
          <w:kern w:val="0"/>
          <w:szCs w:val="21"/>
          <w:highlight w:val="none"/>
        </w:rPr>
      </w:pPr>
      <w:bookmarkStart w:id="425" w:name="_Toc351203587"/>
      <w:bookmarkStart w:id="426" w:name="_Toc532377275"/>
      <w:bookmarkStart w:id="427" w:name="_Toc337558805"/>
      <w:bookmarkStart w:id="428" w:name="_Toc296503110"/>
      <w:bookmarkStart w:id="429" w:name="_Toc296346611"/>
      <w:r>
        <w:rPr>
          <w:rFonts w:hint="eastAsia" w:ascii="宋体" w:hAnsi="宋体" w:cs="宋体"/>
          <w:b/>
          <w:bCs/>
          <w:color w:val="auto"/>
          <w:kern w:val="0"/>
          <w:szCs w:val="21"/>
          <w:highlight w:val="none"/>
        </w:rPr>
        <w:t>13.1分部分项工程验收</w:t>
      </w:r>
      <w:bookmarkEnd w:id="425"/>
      <w:bookmarkEnd w:id="426"/>
    </w:p>
    <w:bookmarkEnd w:id="427"/>
    <w:p w14:paraId="607EA1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2CF154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36350D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3F1008EF">
      <w:pPr>
        <w:widowControl/>
        <w:spacing w:line="360" w:lineRule="auto"/>
        <w:ind w:firstLine="422" w:firstLineChars="200"/>
        <w:jc w:val="left"/>
        <w:outlineLvl w:val="4"/>
        <w:rPr>
          <w:rFonts w:ascii="宋体" w:hAnsi="宋体" w:cs="宋体"/>
          <w:b/>
          <w:bCs/>
          <w:color w:val="auto"/>
          <w:kern w:val="0"/>
          <w:szCs w:val="21"/>
          <w:highlight w:val="none"/>
        </w:rPr>
      </w:pPr>
      <w:bookmarkStart w:id="430" w:name="_Toc532377276"/>
      <w:bookmarkStart w:id="431" w:name="_Toc351203588"/>
      <w:bookmarkStart w:id="432" w:name="_Toc337558806"/>
      <w:r>
        <w:rPr>
          <w:rFonts w:hint="eastAsia" w:ascii="宋体" w:hAnsi="宋体" w:cs="宋体"/>
          <w:b/>
          <w:bCs/>
          <w:color w:val="auto"/>
          <w:kern w:val="0"/>
          <w:szCs w:val="21"/>
          <w:highlight w:val="none"/>
        </w:rPr>
        <w:t>13.2竣工验收</w:t>
      </w:r>
      <w:bookmarkEnd w:id="430"/>
      <w:bookmarkEnd w:id="431"/>
    </w:p>
    <w:bookmarkEnd w:id="428"/>
    <w:bookmarkEnd w:id="429"/>
    <w:bookmarkEnd w:id="432"/>
    <w:p w14:paraId="548043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02D3FC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605493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196D17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597EA6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791F42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233318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5C2A95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F12D9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1A659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6FA14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254671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工程经竣工验收合格的，以发包人签署的工程接收证书中载明的日期为竣工日期。</w:t>
      </w:r>
    </w:p>
    <w:p w14:paraId="2AB6EE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210250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CBC5D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513B935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05D10F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86ADD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9D0DB1F">
      <w:pPr>
        <w:widowControl/>
        <w:spacing w:line="360" w:lineRule="auto"/>
        <w:ind w:firstLine="422" w:firstLineChars="200"/>
        <w:jc w:val="left"/>
        <w:outlineLvl w:val="4"/>
        <w:rPr>
          <w:rFonts w:ascii="宋体" w:hAnsi="宋体" w:cs="宋体"/>
          <w:b/>
          <w:bCs/>
          <w:color w:val="auto"/>
          <w:kern w:val="0"/>
          <w:szCs w:val="21"/>
          <w:highlight w:val="none"/>
        </w:rPr>
      </w:pPr>
      <w:bookmarkStart w:id="433" w:name="_Toc532377277"/>
      <w:bookmarkStart w:id="434" w:name="_Toc351203589"/>
      <w:bookmarkStart w:id="435" w:name="_Toc296503111"/>
      <w:bookmarkStart w:id="436" w:name="_Toc296346612"/>
      <w:bookmarkStart w:id="437" w:name="_Toc337558807"/>
      <w:r>
        <w:rPr>
          <w:rFonts w:hint="eastAsia" w:ascii="宋体" w:hAnsi="宋体" w:cs="宋体"/>
          <w:b/>
          <w:bCs/>
          <w:color w:val="auto"/>
          <w:kern w:val="0"/>
          <w:szCs w:val="21"/>
          <w:highlight w:val="none"/>
        </w:rPr>
        <w:t>13.3工程试车</w:t>
      </w:r>
      <w:bookmarkEnd w:id="433"/>
      <w:bookmarkEnd w:id="434"/>
    </w:p>
    <w:bookmarkEnd w:id="435"/>
    <w:bookmarkEnd w:id="436"/>
    <w:bookmarkEnd w:id="437"/>
    <w:p w14:paraId="35BC69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2AEEC7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319D93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66C6B2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w:t>
      </w:r>
    </w:p>
    <w:p w14:paraId="3CBB0C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5091A5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6F6B30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F310D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823D4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5AE1C6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45FD00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因承包人原因造成投料试车不合格的，承包人应按照发包人要求进行整改，由此产生的整改费用由承包人承担。</w:t>
      </w:r>
    </w:p>
    <w:p w14:paraId="2AAE69C9">
      <w:pPr>
        <w:widowControl/>
        <w:spacing w:line="360" w:lineRule="auto"/>
        <w:ind w:firstLine="422" w:firstLineChars="200"/>
        <w:jc w:val="left"/>
        <w:outlineLvl w:val="4"/>
        <w:rPr>
          <w:rFonts w:ascii="宋体" w:hAnsi="宋体" w:cs="宋体"/>
          <w:b/>
          <w:bCs/>
          <w:color w:val="auto"/>
          <w:kern w:val="0"/>
          <w:szCs w:val="21"/>
          <w:highlight w:val="none"/>
        </w:rPr>
      </w:pPr>
      <w:bookmarkStart w:id="438" w:name="_Toc532377278"/>
      <w:r>
        <w:rPr>
          <w:rFonts w:hint="eastAsia" w:ascii="宋体" w:hAnsi="宋体" w:cs="宋体"/>
          <w:b/>
          <w:bCs/>
          <w:color w:val="auto"/>
          <w:kern w:val="0"/>
          <w:szCs w:val="21"/>
          <w:highlight w:val="none"/>
        </w:rPr>
        <w:t>13.4提前交付单位工程的验收</w:t>
      </w:r>
      <w:bookmarkEnd w:id="438"/>
    </w:p>
    <w:p w14:paraId="4AC059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35B03B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133323D">
      <w:pPr>
        <w:widowControl/>
        <w:spacing w:line="360" w:lineRule="auto"/>
        <w:ind w:firstLine="422" w:firstLineChars="200"/>
        <w:jc w:val="left"/>
        <w:outlineLvl w:val="4"/>
        <w:rPr>
          <w:rFonts w:ascii="宋体" w:hAnsi="宋体" w:cs="宋体"/>
          <w:b/>
          <w:bCs/>
          <w:color w:val="auto"/>
          <w:kern w:val="0"/>
          <w:szCs w:val="21"/>
          <w:highlight w:val="none"/>
        </w:rPr>
      </w:pPr>
      <w:bookmarkStart w:id="439" w:name="_Toc351203591"/>
      <w:bookmarkStart w:id="440" w:name="_Toc532377279"/>
      <w:r>
        <w:rPr>
          <w:rFonts w:hint="eastAsia" w:ascii="宋体" w:hAnsi="宋体" w:cs="宋体"/>
          <w:b/>
          <w:bCs/>
          <w:color w:val="auto"/>
          <w:kern w:val="0"/>
          <w:szCs w:val="21"/>
          <w:highlight w:val="none"/>
        </w:rPr>
        <w:t>13.5 施工期运行</w:t>
      </w:r>
      <w:bookmarkEnd w:id="439"/>
      <w:bookmarkEnd w:id="440"/>
    </w:p>
    <w:p w14:paraId="3DAB42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EBCFF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6F7896F3">
      <w:pPr>
        <w:widowControl/>
        <w:spacing w:line="360" w:lineRule="auto"/>
        <w:ind w:firstLine="422" w:firstLineChars="200"/>
        <w:jc w:val="left"/>
        <w:outlineLvl w:val="4"/>
        <w:rPr>
          <w:rFonts w:ascii="宋体" w:hAnsi="宋体" w:cs="宋体"/>
          <w:b/>
          <w:bCs/>
          <w:color w:val="auto"/>
          <w:kern w:val="0"/>
          <w:szCs w:val="21"/>
          <w:highlight w:val="none"/>
        </w:rPr>
      </w:pPr>
      <w:bookmarkStart w:id="441" w:name="_Toc296503112"/>
      <w:bookmarkStart w:id="442" w:name="_Toc296346613"/>
      <w:bookmarkStart w:id="443" w:name="_Toc532377280"/>
      <w:bookmarkStart w:id="444" w:name="_Toc351203592"/>
      <w:bookmarkStart w:id="445" w:name="_Toc337558809"/>
      <w:r>
        <w:rPr>
          <w:rFonts w:hint="eastAsia" w:ascii="宋体" w:hAnsi="宋体" w:cs="宋体"/>
          <w:b/>
          <w:bCs/>
          <w:color w:val="auto"/>
          <w:kern w:val="0"/>
          <w:szCs w:val="21"/>
          <w:highlight w:val="none"/>
        </w:rPr>
        <w:t>13.6 竣工退</w:t>
      </w:r>
      <w:bookmarkEnd w:id="441"/>
      <w:bookmarkEnd w:id="442"/>
      <w:r>
        <w:rPr>
          <w:rFonts w:hint="eastAsia" w:ascii="宋体" w:hAnsi="宋体" w:cs="宋体"/>
          <w:b/>
          <w:bCs/>
          <w:color w:val="auto"/>
          <w:kern w:val="0"/>
          <w:szCs w:val="21"/>
          <w:highlight w:val="none"/>
        </w:rPr>
        <w:t>场</w:t>
      </w:r>
      <w:bookmarkEnd w:id="443"/>
      <w:bookmarkEnd w:id="444"/>
    </w:p>
    <w:bookmarkEnd w:id="445"/>
    <w:p w14:paraId="1457FA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66701A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3B5E36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551057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46C906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4E9109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706AB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269B1E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E3B29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29D74D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EBF04AB">
      <w:pPr>
        <w:keepNext/>
        <w:keepLines/>
        <w:widowControl/>
        <w:spacing w:before="156" w:beforeLines="50" w:after="156" w:afterLines="50" w:line="360" w:lineRule="auto"/>
        <w:outlineLvl w:val="3"/>
        <w:rPr>
          <w:rFonts w:ascii="宋体" w:hAnsi="宋体" w:cs="宋体"/>
          <w:b/>
          <w:color w:val="auto"/>
          <w:szCs w:val="21"/>
          <w:highlight w:val="none"/>
        </w:rPr>
      </w:pPr>
      <w:bookmarkStart w:id="446" w:name="_Toc532375600"/>
      <w:bookmarkStart w:id="447" w:name="_Toc532377281"/>
      <w:bookmarkStart w:id="448" w:name="_Toc351203593"/>
      <w:bookmarkStart w:id="449" w:name="_Toc337558810"/>
      <w:bookmarkStart w:id="450" w:name="_Toc296503113"/>
      <w:bookmarkStart w:id="451" w:name="_Toc296346614"/>
      <w:r>
        <w:rPr>
          <w:rFonts w:hint="eastAsia" w:ascii="宋体" w:hAnsi="宋体" w:cs="宋体"/>
          <w:b/>
          <w:bCs/>
          <w:color w:val="auto"/>
          <w:szCs w:val="21"/>
          <w:highlight w:val="none"/>
        </w:rPr>
        <w:t>14. 竣工结算</w:t>
      </w:r>
      <w:bookmarkEnd w:id="446"/>
      <w:bookmarkEnd w:id="447"/>
      <w:bookmarkEnd w:id="448"/>
    </w:p>
    <w:bookmarkEnd w:id="449"/>
    <w:p w14:paraId="71880EB3">
      <w:pPr>
        <w:widowControl/>
        <w:spacing w:line="360" w:lineRule="auto"/>
        <w:ind w:firstLine="422" w:firstLineChars="200"/>
        <w:jc w:val="left"/>
        <w:outlineLvl w:val="4"/>
        <w:rPr>
          <w:rFonts w:ascii="宋体" w:hAnsi="宋体" w:cs="宋体"/>
          <w:b/>
          <w:bCs/>
          <w:color w:val="auto"/>
          <w:kern w:val="0"/>
          <w:szCs w:val="21"/>
          <w:highlight w:val="none"/>
        </w:rPr>
      </w:pPr>
      <w:bookmarkStart w:id="452" w:name="_Toc351203594"/>
      <w:bookmarkStart w:id="453" w:name="_Toc532377282"/>
      <w:bookmarkStart w:id="454" w:name="_Toc337558811"/>
      <w:r>
        <w:rPr>
          <w:rFonts w:hint="eastAsia" w:ascii="宋体" w:hAnsi="宋体" w:cs="宋体"/>
          <w:b/>
          <w:bCs/>
          <w:color w:val="auto"/>
          <w:kern w:val="0"/>
          <w:szCs w:val="21"/>
          <w:highlight w:val="none"/>
        </w:rPr>
        <w:t>14.1 竣工结算申请</w:t>
      </w:r>
      <w:bookmarkEnd w:id="452"/>
      <w:bookmarkEnd w:id="453"/>
    </w:p>
    <w:bookmarkEnd w:id="454"/>
    <w:p w14:paraId="4E662B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664DDF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1332AC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33E9DA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1B7466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589EE3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7520921C">
      <w:pPr>
        <w:widowControl/>
        <w:spacing w:line="360" w:lineRule="auto"/>
        <w:ind w:firstLine="422" w:firstLineChars="200"/>
        <w:jc w:val="left"/>
        <w:outlineLvl w:val="4"/>
        <w:rPr>
          <w:rFonts w:ascii="宋体" w:hAnsi="宋体" w:cs="宋体"/>
          <w:b/>
          <w:bCs/>
          <w:color w:val="auto"/>
          <w:kern w:val="0"/>
          <w:szCs w:val="21"/>
          <w:highlight w:val="none"/>
        </w:rPr>
      </w:pPr>
      <w:bookmarkStart w:id="455" w:name="_Toc351203595"/>
      <w:bookmarkStart w:id="456" w:name="_Toc532377283"/>
      <w:bookmarkStart w:id="457" w:name="_Toc337558812"/>
      <w:r>
        <w:rPr>
          <w:rFonts w:hint="eastAsia" w:ascii="宋体" w:hAnsi="宋体" w:cs="宋体"/>
          <w:b/>
          <w:bCs/>
          <w:color w:val="auto"/>
          <w:kern w:val="0"/>
          <w:szCs w:val="21"/>
          <w:highlight w:val="none"/>
        </w:rPr>
        <w:t>14.2 竣工结算审核</w:t>
      </w:r>
      <w:bookmarkEnd w:id="455"/>
      <w:bookmarkEnd w:id="456"/>
    </w:p>
    <w:bookmarkEnd w:id="457"/>
    <w:p w14:paraId="37E04E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CDFC0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D5264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天内，完成对承包人的竣工付款。发包人逾期支付的，按照中国人民银行发布的同期存款基准利率支付违约金。</w:t>
      </w:r>
    </w:p>
    <w:p w14:paraId="7E1C43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36D32CB">
      <w:pPr>
        <w:widowControl/>
        <w:spacing w:line="360" w:lineRule="auto"/>
        <w:ind w:firstLine="422" w:firstLineChars="200"/>
        <w:jc w:val="left"/>
        <w:outlineLvl w:val="4"/>
        <w:rPr>
          <w:rFonts w:ascii="宋体" w:hAnsi="宋体" w:cs="宋体"/>
          <w:b/>
          <w:bCs/>
          <w:color w:val="auto"/>
          <w:kern w:val="0"/>
          <w:szCs w:val="21"/>
          <w:highlight w:val="none"/>
        </w:rPr>
      </w:pPr>
      <w:bookmarkStart w:id="458" w:name="_Toc532377284"/>
      <w:bookmarkStart w:id="459" w:name="_Toc351203596"/>
      <w:bookmarkStart w:id="460" w:name="_Toc337558813"/>
      <w:r>
        <w:rPr>
          <w:rFonts w:hint="eastAsia" w:ascii="宋体" w:hAnsi="宋体" w:cs="宋体"/>
          <w:b/>
          <w:bCs/>
          <w:color w:val="auto"/>
          <w:kern w:val="0"/>
          <w:szCs w:val="21"/>
          <w:highlight w:val="none"/>
        </w:rPr>
        <w:t>14.3 甩项竣工协议</w:t>
      </w:r>
      <w:bookmarkEnd w:id="458"/>
      <w:bookmarkEnd w:id="459"/>
    </w:p>
    <w:bookmarkEnd w:id="460"/>
    <w:p w14:paraId="7D18E99C">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D8AE1F">
      <w:pPr>
        <w:widowControl/>
        <w:spacing w:line="360" w:lineRule="auto"/>
        <w:ind w:firstLine="422" w:firstLineChars="200"/>
        <w:jc w:val="left"/>
        <w:outlineLvl w:val="4"/>
        <w:rPr>
          <w:rFonts w:ascii="宋体" w:hAnsi="宋体" w:cs="宋体"/>
          <w:b/>
          <w:bCs/>
          <w:color w:val="auto"/>
          <w:kern w:val="0"/>
          <w:szCs w:val="21"/>
          <w:highlight w:val="none"/>
        </w:rPr>
      </w:pPr>
      <w:bookmarkStart w:id="461" w:name="_Toc351203597"/>
      <w:bookmarkStart w:id="462" w:name="_Toc532377285"/>
      <w:bookmarkStart w:id="463" w:name="_Toc337558814"/>
      <w:r>
        <w:rPr>
          <w:rFonts w:hint="eastAsia" w:ascii="宋体" w:hAnsi="宋体" w:cs="宋体"/>
          <w:b/>
          <w:bCs/>
          <w:color w:val="auto"/>
          <w:kern w:val="0"/>
          <w:szCs w:val="21"/>
          <w:highlight w:val="none"/>
        </w:rPr>
        <w:t>14.4 最终结清</w:t>
      </w:r>
      <w:bookmarkEnd w:id="461"/>
      <w:bookmarkEnd w:id="462"/>
    </w:p>
    <w:bookmarkEnd w:id="463"/>
    <w:p w14:paraId="13B0B7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14DED3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165D7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1E1947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11CC21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05D8E7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E7723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（2）除专用合同条款另有约定外，发包人应在颁发最终结清证书后7天内完成支付。发包人逾期支付的，按照中国人民银行发布的同期存款基准利率支付违约金。</w:t>
      </w:r>
    </w:p>
    <w:p w14:paraId="5C04E5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36BDCDDF">
      <w:pPr>
        <w:keepNext/>
        <w:keepLines/>
        <w:widowControl/>
        <w:spacing w:before="156" w:beforeLines="50" w:after="156" w:afterLines="50" w:line="360" w:lineRule="auto"/>
        <w:outlineLvl w:val="3"/>
        <w:rPr>
          <w:rFonts w:ascii="宋体" w:hAnsi="宋体" w:cs="宋体"/>
          <w:b/>
          <w:color w:val="auto"/>
          <w:szCs w:val="21"/>
          <w:highlight w:val="none"/>
        </w:rPr>
      </w:pPr>
      <w:bookmarkStart w:id="464" w:name="_Toc532375601"/>
      <w:bookmarkStart w:id="465" w:name="_Toc351203598"/>
      <w:bookmarkStart w:id="466" w:name="_Toc532377286"/>
      <w:bookmarkStart w:id="467" w:name="_Toc337558815"/>
      <w:r>
        <w:rPr>
          <w:rFonts w:hint="eastAsia" w:ascii="宋体" w:hAnsi="宋体" w:cs="宋体"/>
          <w:b/>
          <w:bCs/>
          <w:color w:val="auto"/>
          <w:szCs w:val="21"/>
          <w:highlight w:val="none"/>
        </w:rPr>
        <w:t>15. 缺陷责任与保修</w:t>
      </w:r>
      <w:bookmarkEnd w:id="464"/>
      <w:bookmarkEnd w:id="465"/>
      <w:bookmarkEnd w:id="466"/>
    </w:p>
    <w:bookmarkEnd w:id="450"/>
    <w:bookmarkEnd w:id="451"/>
    <w:bookmarkEnd w:id="467"/>
    <w:p w14:paraId="38C44EC0">
      <w:pPr>
        <w:widowControl/>
        <w:spacing w:line="360" w:lineRule="auto"/>
        <w:ind w:firstLine="422" w:firstLineChars="200"/>
        <w:jc w:val="left"/>
        <w:outlineLvl w:val="4"/>
        <w:rPr>
          <w:rFonts w:ascii="宋体" w:hAnsi="宋体" w:cs="宋体"/>
          <w:b/>
          <w:bCs/>
          <w:color w:val="auto"/>
          <w:kern w:val="0"/>
          <w:szCs w:val="21"/>
          <w:highlight w:val="none"/>
        </w:rPr>
      </w:pPr>
      <w:bookmarkStart w:id="468" w:name="_Toc351203599"/>
      <w:bookmarkStart w:id="469" w:name="_Toc532377287"/>
      <w:bookmarkStart w:id="470" w:name="_Toc337558816"/>
      <w:bookmarkStart w:id="471" w:name="_Toc296503114"/>
      <w:bookmarkStart w:id="472" w:name="_Toc296346615"/>
      <w:r>
        <w:rPr>
          <w:rFonts w:hint="eastAsia" w:ascii="宋体" w:hAnsi="宋体" w:cs="宋体"/>
          <w:b/>
          <w:bCs/>
          <w:color w:val="auto"/>
          <w:kern w:val="0"/>
          <w:szCs w:val="21"/>
          <w:highlight w:val="none"/>
        </w:rPr>
        <w:t>15.1 工程保修的原则</w:t>
      </w:r>
      <w:bookmarkEnd w:id="468"/>
      <w:bookmarkEnd w:id="469"/>
    </w:p>
    <w:bookmarkEnd w:id="470"/>
    <w:p w14:paraId="04529E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075A497E">
      <w:pPr>
        <w:widowControl/>
        <w:spacing w:line="360" w:lineRule="auto"/>
        <w:ind w:firstLine="422" w:firstLineChars="200"/>
        <w:jc w:val="left"/>
        <w:outlineLvl w:val="4"/>
        <w:rPr>
          <w:rFonts w:ascii="宋体" w:hAnsi="宋体" w:cs="宋体"/>
          <w:b/>
          <w:bCs/>
          <w:color w:val="auto"/>
          <w:kern w:val="0"/>
          <w:szCs w:val="21"/>
          <w:highlight w:val="none"/>
        </w:rPr>
      </w:pPr>
      <w:bookmarkStart w:id="473" w:name="_Toc532377288"/>
      <w:bookmarkStart w:id="474" w:name="_Toc351203600"/>
      <w:bookmarkStart w:id="475" w:name="_Toc337558817"/>
      <w:r>
        <w:rPr>
          <w:rFonts w:hint="eastAsia" w:ascii="宋体" w:hAnsi="宋体" w:cs="宋体"/>
          <w:b/>
          <w:bCs/>
          <w:color w:val="auto"/>
          <w:kern w:val="0"/>
          <w:szCs w:val="21"/>
          <w:highlight w:val="none"/>
        </w:rPr>
        <w:t>15.2 缺陷责任期</w:t>
      </w:r>
      <w:bookmarkEnd w:id="471"/>
      <w:bookmarkEnd w:id="472"/>
      <w:bookmarkEnd w:id="473"/>
      <w:bookmarkEnd w:id="474"/>
    </w:p>
    <w:bookmarkEnd w:id="475"/>
    <w:p w14:paraId="67DA22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1C529C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缺陷责任期内，对建筑主要构造组成部分进行维修后，发包人有权根据维修情况及后续可能发生缺陷质量问题的概率要求对维修部分的缺陷责任期重新计算，并从承包人缴纳的质保金中划出相应的部分作为对重新计算缺陷责任期的担保。重新计算的缺陷责任期不受本协议中缺陷责任期最长期限的限制。</w:t>
      </w:r>
    </w:p>
    <w:p w14:paraId="5EFACD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471855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6475C0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7DFFF4D">
      <w:pPr>
        <w:widowControl/>
        <w:spacing w:line="360" w:lineRule="auto"/>
        <w:ind w:firstLine="422" w:firstLineChars="200"/>
        <w:jc w:val="left"/>
        <w:outlineLvl w:val="4"/>
        <w:rPr>
          <w:rFonts w:ascii="宋体" w:hAnsi="宋体" w:cs="宋体"/>
          <w:b/>
          <w:bCs/>
          <w:color w:val="auto"/>
          <w:kern w:val="0"/>
          <w:szCs w:val="21"/>
          <w:highlight w:val="none"/>
        </w:rPr>
      </w:pPr>
      <w:bookmarkStart w:id="476" w:name="_Toc351203601"/>
      <w:bookmarkStart w:id="477" w:name="_Toc532377289"/>
      <w:bookmarkStart w:id="478" w:name="_Toc337558818"/>
      <w:bookmarkStart w:id="479" w:name="_Toc296346616"/>
      <w:bookmarkStart w:id="480" w:name="_Toc296503115"/>
      <w:r>
        <w:rPr>
          <w:rFonts w:hint="eastAsia" w:ascii="宋体" w:hAnsi="宋体" w:cs="宋体"/>
          <w:b/>
          <w:bCs/>
          <w:color w:val="auto"/>
          <w:kern w:val="0"/>
          <w:szCs w:val="21"/>
          <w:highlight w:val="none"/>
        </w:rPr>
        <w:t>15.3 质量保证金</w:t>
      </w:r>
      <w:bookmarkEnd w:id="476"/>
      <w:bookmarkEnd w:id="477"/>
    </w:p>
    <w:bookmarkEnd w:id="478"/>
    <w:p w14:paraId="6E2892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04E8F4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7EAC18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7865EC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2CD905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11F063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1C141F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除专用合同条款另有约定外，质量保证金原则上采用上述第（2）种方式。</w:t>
      </w:r>
    </w:p>
    <w:p w14:paraId="783593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611521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5721D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5CA81D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481" w:name="#go6"/>
      <w:bookmarkEnd w:id="481"/>
      <w:r>
        <w:rPr>
          <w:rFonts w:hint="eastAsia" w:ascii="宋体" w:hAnsi="宋体"/>
          <w:color w:val="auto"/>
          <w:kern w:val="0"/>
          <w:szCs w:val="21"/>
          <w:highlight w:val="none"/>
        </w:rPr>
        <w:t>程竣工结算时一次性扣留质量保证金；</w:t>
      </w:r>
    </w:p>
    <w:p w14:paraId="750E3C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246AA8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317206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482" w:name="#go4"/>
      <w:bookmarkEnd w:id="482"/>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9DF24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除专用合同条款另有约定外，发包人在退还质量保证金的同时按照中国人民银行发布的同期存款基准利率支付利息。</w:t>
      </w:r>
    </w:p>
    <w:p w14:paraId="1D6E52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2BBC01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63C67C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发包人和承包人对保证金预留、返还以及工程维修质量、费用有争议的，按合同第20条约定的争议和纠纷解决程序处理。</w:t>
      </w:r>
    </w:p>
    <w:p w14:paraId="619FD968">
      <w:pPr>
        <w:widowControl/>
        <w:spacing w:line="360" w:lineRule="auto"/>
        <w:ind w:firstLine="422" w:firstLineChars="200"/>
        <w:jc w:val="left"/>
        <w:outlineLvl w:val="4"/>
        <w:rPr>
          <w:rFonts w:ascii="宋体" w:hAnsi="宋体" w:cs="宋体"/>
          <w:b/>
          <w:bCs/>
          <w:color w:val="auto"/>
          <w:kern w:val="0"/>
          <w:szCs w:val="21"/>
          <w:highlight w:val="none"/>
        </w:rPr>
      </w:pPr>
      <w:bookmarkStart w:id="483" w:name="_Toc532377290"/>
      <w:bookmarkStart w:id="484" w:name="_Toc351203602"/>
      <w:bookmarkStart w:id="485" w:name="_Toc337558819"/>
      <w:r>
        <w:rPr>
          <w:rFonts w:hint="eastAsia" w:ascii="宋体" w:hAnsi="宋体" w:cs="宋体"/>
          <w:b/>
          <w:bCs/>
          <w:color w:val="auto"/>
          <w:kern w:val="0"/>
          <w:szCs w:val="21"/>
          <w:highlight w:val="none"/>
        </w:rPr>
        <w:t>15.4 保修</w:t>
      </w:r>
      <w:bookmarkEnd w:id="483"/>
      <w:bookmarkEnd w:id="484"/>
    </w:p>
    <w:bookmarkEnd w:id="479"/>
    <w:bookmarkEnd w:id="480"/>
    <w:bookmarkEnd w:id="485"/>
    <w:p w14:paraId="14AC6F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73B2FC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交付之日起算，具体分部分项工程的保修期由合同当事人在专用合同条款中约定，但不得低于法定最低保修年限。在工程保修期内，承包人应当根据有关法律规定以及合同约定承担保修责任。</w:t>
      </w:r>
    </w:p>
    <w:p w14:paraId="7AFCAF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3B084A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73E64A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60A42E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71BC55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348A6F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53CA63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4A441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13CD31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发包人有权不经通知承包人直接从质保金中扣除相应款项，不足部分有权继续向承包人追偿。但修复范围超出缺陷或损坏范围的，超出范围部分的修复费用由发包人承担。工程一经保修，该部分的质保期便于维修工作结束后重新计算。</w:t>
      </w:r>
    </w:p>
    <w:p w14:paraId="074C34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3825B3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2F76603">
      <w:pPr>
        <w:keepNext/>
        <w:keepLines/>
        <w:widowControl/>
        <w:spacing w:before="156" w:beforeLines="50" w:after="156" w:afterLines="50" w:line="360" w:lineRule="auto"/>
        <w:outlineLvl w:val="3"/>
        <w:rPr>
          <w:rFonts w:ascii="宋体" w:hAnsi="宋体" w:cs="宋体"/>
          <w:b/>
          <w:color w:val="auto"/>
          <w:szCs w:val="21"/>
          <w:highlight w:val="none"/>
        </w:rPr>
      </w:pPr>
      <w:bookmarkStart w:id="486" w:name="_Toc532377291"/>
      <w:bookmarkStart w:id="487" w:name="_Toc351203603"/>
      <w:bookmarkStart w:id="488" w:name="_Toc532375602"/>
      <w:bookmarkStart w:id="489" w:name="_Toc337558820"/>
      <w:r>
        <w:rPr>
          <w:rFonts w:hint="eastAsia" w:ascii="宋体" w:hAnsi="宋体" w:cs="宋体"/>
          <w:b/>
          <w:bCs/>
          <w:color w:val="auto"/>
          <w:szCs w:val="21"/>
          <w:highlight w:val="none"/>
        </w:rPr>
        <w:t>16. 违约</w:t>
      </w:r>
      <w:bookmarkEnd w:id="486"/>
      <w:bookmarkEnd w:id="487"/>
      <w:bookmarkEnd w:id="488"/>
    </w:p>
    <w:bookmarkEnd w:id="489"/>
    <w:p w14:paraId="409F12D4">
      <w:pPr>
        <w:widowControl/>
        <w:spacing w:line="360" w:lineRule="auto"/>
        <w:ind w:firstLine="422" w:firstLineChars="200"/>
        <w:jc w:val="left"/>
        <w:outlineLvl w:val="4"/>
        <w:rPr>
          <w:rFonts w:ascii="宋体" w:hAnsi="宋体" w:cs="宋体"/>
          <w:b/>
          <w:bCs/>
          <w:color w:val="auto"/>
          <w:kern w:val="0"/>
          <w:szCs w:val="21"/>
          <w:highlight w:val="none"/>
        </w:rPr>
      </w:pPr>
      <w:bookmarkStart w:id="490" w:name="_Toc296503129"/>
      <w:bookmarkStart w:id="491" w:name="_Toc296346630"/>
      <w:bookmarkStart w:id="492" w:name="_Toc532377292"/>
      <w:bookmarkStart w:id="493" w:name="_Toc351203604"/>
      <w:bookmarkStart w:id="494" w:name="_Toc337558821"/>
      <w:r>
        <w:rPr>
          <w:rFonts w:hint="eastAsia" w:ascii="宋体" w:hAnsi="宋体" w:cs="宋体"/>
          <w:b/>
          <w:bCs/>
          <w:color w:val="auto"/>
          <w:kern w:val="0"/>
          <w:szCs w:val="21"/>
          <w:highlight w:val="none"/>
        </w:rPr>
        <w:t>16.1 发</w:t>
      </w:r>
      <w:bookmarkEnd w:id="490"/>
      <w:bookmarkEnd w:id="491"/>
      <w:r>
        <w:rPr>
          <w:rFonts w:hint="eastAsia" w:ascii="宋体" w:hAnsi="宋体" w:cs="宋体"/>
          <w:b/>
          <w:bCs/>
          <w:color w:val="auto"/>
          <w:kern w:val="0"/>
          <w:szCs w:val="21"/>
          <w:highlight w:val="none"/>
        </w:rPr>
        <w:t>包人违约</w:t>
      </w:r>
      <w:bookmarkEnd w:id="492"/>
      <w:bookmarkEnd w:id="493"/>
    </w:p>
    <w:bookmarkEnd w:id="494"/>
    <w:p w14:paraId="4A3661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55F1E4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02FCAC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（1）因发包人原因未能按合同约定支付合同价款的；</w:t>
      </w:r>
    </w:p>
    <w:p w14:paraId="4128ED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（2）发包人违反第10.1款〔变更的范围〕第（2）项约定，自行实施被取消的工作或转由他人实施的；</w:t>
      </w:r>
    </w:p>
    <w:p w14:paraId="6E2B04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（3）发包人提供的材料、工程设备的规格、数量或质量不符合合同约定，或因发包人原因导致交货日期延误或交货地点变更等情况的；</w:t>
      </w:r>
    </w:p>
    <w:p w14:paraId="79A3B7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（4）因发包人违反合同约定造成暂停施工的；</w:t>
      </w:r>
    </w:p>
    <w:p w14:paraId="043B75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（5）发包人明确表示或者以其行为表明不履行合同主要义务的；</w:t>
      </w:r>
    </w:p>
    <w:p w14:paraId="50F45E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（6）发包人未能按照合同约定履行其他义务的。</w:t>
      </w:r>
    </w:p>
    <w:p w14:paraId="338E79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w:t>
      </w:r>
    </w:p>
    <w:p w14:paraId="5BCBA1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0D8B6B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发包人应承担因其违约延误的工期。此外，合同当事人可在专用合同条款中另行约定发包人违约责任的承担方式和计算方法。</w:t>
      </w:r>
    </w:p>
    <w:p w14:paraId="5659FE96">
      <w:pPr>
        <w:widowControl/>
        <w:spacing w:line="360" w:lineRule="auto"/>
        <w:ind w:firstLine="422" w:firstLineChars="200"/>
        <w:jc w:val="left"/>
        <w:outlineLvl w:val="4"/>
        <w:rPr>
          <w:rFonts w:ascii="宋体" w:hAnsi="宋体" w:cs="宋体"/>
          <w:b/>
          <w:bCs/>
          <w:color w:val="auto"/>
          <w:kern w:val="0"/>
          <w:szCs w:val="21"/>
          <w:highlight w:val="none"/>
        </w:rPr>
      </w:pPr>
      <w:bookmarkStart w:id="495" w:name="_Toc351203605"/>
      <w:bookmarkStart w:id="496" w:name="_Toc532377293"/>
      <w:bookmarkStart w:id="497" w:name="_Toc296503131"/>
      <w:bookmarkStart w:id="498" w:name="_Toc337558822"/>
      <w:bookmarkStart w:id="499" w:name="_Toc296346632"/>
      <w:r>
        <w:rPr>
          <w:rFonts w:hint="eastAsia" w:ascii="宋体" w:hAnsi="宋体" w:cs="宋体"/>
          <w:b/>
          <w:bCs/>
          <w:color w:val="auto"/>
          <w:kern w:val="0"/>
          <w:szCs w:val="21"/>
          <w:highlight w:val="none"/>
        </w:rPr>
        <w:t>16.2 承包人违约</w:t>
      </w:r>
      <w:bookmarkEnd w:id="495"/>
      <w:bookmarkEnd w:id="496"/>
    </w:p>
    <w:bookmarkEnd w:id="497"/>
    <w:bookmarkEnd w:id="498"/>
    <w:bookmarkEnd w:id="499"/>
    <w:p w14:paraId="4A267F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101730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4F994B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5DC0E5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5D4386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6660FD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028659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6768E0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42D8A7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638271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27AA46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7E938F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29F52D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548F9A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589DF4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BD6E5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74B049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7EE91E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6C21B7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069295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51023B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0DFA5D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0DF551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168B0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46DAA7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DBE2EF0">
      <w:pPr>
        <w:widowControl/>
        <w:spacing w:line="360" w:lineRule="auto"/>
        <w:ind w:firstLine="422" w:firstLineChars="200"/>
        <w:jc w:val="left"/>
        <w:outlineLvl w:val="4"/>
        <w:rPr>
          <w:rFonts w:ascii="宋体" w:hAnsi="宋体" w:cs="宋体"/>
          <w:b/>
          <w:bCs/>
          <w:color w:val="auto"/>
          <w:kern w:val="0"/>
          <w:szCs w:val="21"/>
          <w:highlight w:val="none"/>
        </w:rPr>
      </w:pPr>
      <w:bookmarkStart w:id="500" w:name="_Toc532377294"/>
      <w:bookmarkStart w:id="501" w:name="_Toc351203606"/>
      <w:r>
        <w:rPr>
          <w:rFonts w:hint="eastAsia" w:ascii="宋体" w:hAnsi="宋体" w:cs="宋体"/>
          <w:b/>
          <w:bCs/>
          <w:color w:val="auto"/>
          <w:kern w:val="0"/>
          <w:szCs w:val="21"/>
          <w:highlight w:val="none"/>
        </w:rPr>
        <w:t>16.3 第三人造成的违约</w:t>
      </w:r>
      <w:bookmarkEnd w:id="500"/>
      <w:bookmarkEnd w:id="501"/>
    </w:p>
    <w:p w14:paraId="26FCE1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6EEA12C1">
      <w:pPr>
        <w:keepNext/>
        <w:keepLines/>
        <w:widowControl/>
        <w:spacing w:before="156" w:beforeLines="50" w:after="156" w:afterLines="50" w:line="360" w:lineRule="auto"/>
        <w:outlineLvl w:val="3"/>
        <w:rPr>
          <w:rFonts w:ascii="宋体" w:hAnsi="宋体" w:cs="宋体"/>
          <w:b/>
          <w:color w:val="auto"/>
          <w:szCs w:val="21"/>
          <w:highlight w:val="none"/>
        </w:rPr>
      </w:pPr>
      <w:bookmarkStart w:id="502" w:name="_Toc351203607"/>
      <w:bookmarkStart w:id="503" w:name="_Toc337558823"/>
      <w:bookmarkStart w:id="504" w:name="_Toc296503116"/>
      <w:bookmarkStart w:id="505" w:name="_Toc532375603"/>
      <w:bookmarkStart w:id="506" w:name="_Toc532377295"/>
      <w:bookmarkStart w:id="507" w:name="_Toc296346617"/>
      <w:r>
        <w:rPr>
          <w:rFonts w:hint="eastAsia" w:ascii="宋体" w:hAnsi="宋体" w:cs="宋体"/>
          <w:b/>
          <w:bCs/>
          <w:color w:val="auto"/>
          <w:szCs w:val="21"/>
          <w:highlight w:val="none"/>
        </w:rPr>
        <w:t>17. 不可抗力</w:t>
      </w:r>
      <w:bookmarkEnd w:id="502"/>
      <w:bookmarkEnd w:id="503"/>
      <w:bookmarkEnd w:id="504"/>
      <w:bookmarkEnd w:id="505"/>
      <w:bookmarkEnd w:id="506"/>
      <w:bookmarkEnd w:id="507"/>
    </w:p>
    <w:p w14:paraId="1FAEDEC8">
      <w:pPr>
        <w:widowControl/>
        <w:spacing w:line="360" w:lineRule="auto"/>
        <w:ind w:firstLine="422" w:firstLineChars="200"/>
        <w:jc w:val="left"/>
        <w:outlineLvl w:val="4"/>
        <w:rPr>
          <w:rFonts w:ascii="宋体" w:hAnsi="宋体" w:cs="宋体"/>
          <w:b/>
          <w:bCs/>
          <w:color w:val="auto"/>
          <w:kern w:val="0"/>
          <w:szCs w:val="21"/>
          <w:highlight w:val="none"/>
        </w:rPr>
      </w:pPr>
      <w:bookmarkStart w:id="508" w:name="_Toc351203608"/>
      <w:bookmarkStart w:id="509" w:name="_Toc532377296"/>
      <w:bookmarkStart w:id="510" w:name="_Toc337558824"/>
      <w:bookmarkStart w:id="511" w:name="_Toc296503117"/>
      <w:bookmarkStart w:id="512" w:name="_Toc296346618"/>
      <w:r>
        <w:rPr>
          <w:rFonts w:hint="eastAsia" w:ascii="宋体" w:hAnsi="宋体" w:cs="宋体"/>
          <w:b/>
          <w:bCs/>
          <w:color w:val="auto"/>
          <w:kern w:val="0"/>
          <w:szCs w:val="21"/>
          <w:highlight w:val="none"/>
        </w:rPr>
        <w:t>17.1 不可抗力的确认</w:t>
      </w:r>
      <w:bookmarkEnd w:id="508"/>
      <w:bookmarkEnd w:id="509"/>
    </w:p>
    <w:bookmarkEnd w:id="510"/>
    <w:bookmarkEnd w:id="511"/>
    <w:bookmarkEnd w:id="512"/>
    <w:p w14:paraId="0F52B4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94514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85E7662">
      <w:pPr>
        <w:widowControl/>
        <w:spacing w:line="360" w:lineRule="auto"/>
        <w:ind w:firstLine="422" w:firstLineChars="200"/>
        <w:jc w:val="left"/>
        <w:outlineLvl w:val="4"/>
        <w:rPr>
          <w:rFonts w:ascii="宋体" w:hAnsi="宋体" w:cs="宋体"/>
          <w:b/>
          <w:bCs/>
          <w:color w:val="auto"/>
          <w:kern w:val="0"/>
          <w:szCs w:val="21"/>
          <w:highlight w:val="none"/>
        </w:rPr>
      </w:pPr>
      <w:bookmarkStart w:id="513" w:name="_Toc351203609"/>
      <w:bookmarkStart w:id="514" w:name="_Toc532377297"/>
      <w:bookmarkStart w:id="515" w:name="_Toc296503118"/>
      <w:bookmarkStart w:id="516" w:name="_Toc296346619"/>
      <w:bookmarkStart w:id="517" w:name="_Toc337558825"/>
      <w:r>
        <w:rPr>
          <w:rFonts w:hint="eastAsia" w:ascii="宋体" w:hAnsi="宋体" w:cs="宋体"/>
          <w:b/>
          <w:bCs/>
          <w:color w:val="auto"/>
          <w:kern w:val="0"/>
          <w:szCs w:val="21"/>
          <w:highlight w:val="none"/>
        </w:rPr>
        <w:t>17.2 不可抗力的通知</w:t>
      </w:r>
      <w:bookmarkEnd w:id="513"/>
      <w:bookmarkEnd w:id="514"/>
    </w:p>
    <w:bookmarkEnd w:id="515"/>
    <w:bookmarkEnd w:id="516"/>
    <w:bookmarkEnd w:id="517"/>
    <w:p w14:paraId="17311D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3887C7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F9F1C90">
      <w:pPr>
        <w:widowControl/>
        <w:spacing w:line="360" w:lineRule="auto"/>
        <w:ind w:firstLine="422" w:firstLineChars="200"/>
        <w:jc w:val="left"/>
        <w:outlineLvl w:val="4"/>
        <w:rPr>
          <w:rFonts w:ascii="宋体" w:hAnsi="宋体" w:cs="宋体"/>
          <w:b/>
          <w:bCs/>
          <w:color w:val="auto"/>
          <w:kern w:val="0"/>
          <w:szCs w:val="21"/>
          <w:highlight w:val="none"/>
        </w:rPr>
      </w:pPr>
      <w:bookmarkStart w:id="518" w:name="_Toc532377298"/>
      <w:r>
        <w:rPr>
          <w:rFonts w:hint="eastAsia" w:ascii="宋体" w:hAnsi="宋体" w:cs="宋体"/>
          <w:b/>
          <w:bCs/>
          <w:color w:val="auto"/>
          <w:kern w:val="0"/>
          <w:szCs w:val="21"/>
          <w:highlight w:val="none"/>
        </w:rPr>
        <w:t>17.3 不可抗力后果的承担</w:t>
      </w:r>
      <w:bookmarkEnd w:id="518"/>
    </w:p>
    <w:p w14:paraId="0FE9BD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2AACA0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0D9162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518E43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3B52F8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15DF81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F4E0D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715419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3ED163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5B366D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44D10EC9">
      <w:pPr>
        <w:widowControl/>
        <w:spacing w:line="360" w:lineRule="auto"/>
        <w:ind w:firstLine="422" w:firstLineChars="200"/>
        <w:jc w:val="left"/>
        <w:outlineLvl w:val="4"/>
        <w:rPr>
          <w:rFonts w:ascii="宋体" w:hAnsi="宋体" w:cs="宋体"/>
          <w:b/>
          <w:bCs/>
          <w:color w:val="auto"/>
          <w:kern w:val="0"/>
          <w:szCs w:val="21"/>
          <w:highlight w:val="none"/>
        </w:rPr>
      </w:pPr>
      <w:bookmarkStart w:id="519" w:name="_Toc351203611"/>
      <w:bookmarkStart w:id="520" w:name="_Toc532377299"/>
      <w:bookmarkStart w:id="521" w:name="_Toc337558827"/>
      <w:r>
        <w:rPr>
          <w:rFonts w:hint="eastAsia" w:ascii="宋体" w:hAnsi="宋体" w:cs="宋体"/>
          <w:b/>
          <w:bCs/>
          <w:color w:val="auto"/>
          <w:kern w:val="0"/>
          <w:szCs w:val="21"/>
          <w:highlight w:val="none"/>
        </w:rPr>
        <w:t>17.4 因不可抗力解除合同</w:t>
      </w:r>
      <w:bookmarkEnd w:id="519"/>
      <w:bookmarkEnd w:id="520"/>
    </w:p>
    <w:bookmarkEnd w:id="521"/>
    <w:p w14:paraId="376374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76950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19BD26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66E96F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0164D0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01D7B0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5328A8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490B3B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43268A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0087DE42">
      <w:pPr>
        <w:keepNext/>
        <w:keepLines/>
        <w:widowControl/>
        <w:spacing w:before="156" w:beforeLines="50" w:after="156" w:afterLines="50" w:line="360" w:lineRule="auto"/>
        <w:outlineLvl w:val="3"/>
        <w:rPr>
          <w:rFonts w:ascii="宋体" w:hAnsi="宋体" w:cs="宋体"/>
          <w:b/>
          <w:color w:val="auto"/>
          <w:szCs w:val="21"/>
          <w:highlight w:val="none"/>
        </w:rPr>
      </w:pPr>
      <w:bookmarkStart w:id="522" w:name="_Toc532377300"/>
      <w:bookmarkStart w:id="523" w:name="_Toc351203612"/>
      <w:bookmarkStart w:id="524" w:name="_Toc532375604"/>
      <w:bookmarkStart w:id="525" w:name="_Toc296503120"/>
      <w:bookmarkStart w:id="526" w:name="_Toc337558828"/>
      <w:bookmarkStart w:id="527" w:name="_Toc296346621"/>
      <w:r>
        <w:rPr>
          <w:rFonts w:hint="eastAsia" w:ascii="宋体" w:hAnsi="宋体" w:cs="宋体"/>
          <w:b/>
          <w:bCs/>
          <w:color w:val="auto"/>
          <w:szCs w:val="21"/>
          <w:highlight w:val="none"/>
        </w:rPr>
        <w:t>18. 保险</w:t>
      </w:r>
      <w:bookmarkEnd w:id="522"/>
      <w:bookmarkEnd w:id="523"/>
      <w:bookmarkEnd w:id="524"/>
    </w:p>
    <w:bookmarkEnd w:id="525"/>
    <w:bookmarkEnd w:id="526"/>
    <w:bookmarkEnd w:id="527"/>
    <w:p w14:paraId="29D9D4BF">
      <w:pPr>
        <w:widowControl/>
        <w:spacing w:line="360" w:lineRule="auto"/>
        <w:ind w:firstLine="422" w:firstLineChars="200"/>
        <w:jc w:val="left"/>
        <w:outlineLvl w:val="4"/>
        <w:rPr>
          <w:rFonts w:ascii="宋体" w:hAnsi="宋体" w:cs="宋体"/>
          <w:b/>
          <w:bCs/>
          <w:color w:val="auto"/>
          <w:kern w:val="0"/>
          <w:szCs w:val="21"/>
          <w:highlight w:val="none"/>
        </w:rPr>
      </w:pPr>
      <w:bookmarkStart w:id="528" w:name="_Toc351203613"/>
      <w:bookmarkStart w:id="529" w:name="_Toc532377301"/>
      <w:bookmarkStart w:id="530" w:name="_Toc337558829"/>
      <w:bookmarkStart w:id="531" w:name="_Toc296503121"/>
      <w:bookmarkStart w:id="532" w:name="_Toc296346622"/>
      <w:r>
        <w:rPr>
          <w:rFonts w:hint="eastAsia" w:ascii="宋体" w:hAnsi="宋体" w:cs="宋体"/>
          <w:b/>
          <w:bCs/>
          <w:color w:val="auto"/>
          <w:kern w:val="0"/>
          <w:szCs w:val="21"/>
          <w:highlight w:val="none"/>
        </w:rPr>
        <w:t>18.1 工程保险</w:t>
      </w:r>
      <w:bookmarkEnd w:id="528"/>
      <w:bookmarkEnd w:id="529"/>
    </w:p>
    <w:bookmarkEnd w:id="530"/>
    <w:bookmarkEnd w:id="531"/>
    <w:bookmarkEnd w:id="532"/>
    <w:p w14:paraId="77B347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w:t>
      </w:r>
      <w:r>
        <w:rPr>
          <w:rFonts w:hint="eastAsia" w:ascii="宋体" w:hAnsi="宋体"/>
          <w:color w:val="auto"/>
          <w:szCs w:val="21"/>
          <w:highlight w:val="none"/>
        </w:rPr>
        <w:t>承包人</w:t>
      </w:r>
      <w:r>
        <w:rPr>
          <w:rFonts w:hint="eastAsia" w:ascii="宋体" w:hAnsi="宋体"/>
          <w:color w:val="auto"/>
          <w:kern w:val="0"/>
          <w:szCs w:val="21"/>
          <w:highlight w:val="none"/>
        </w:rPr>
        <w:t>应投保建筑工程一切险或安装工程一切险；发包人委托承包人投保的，因投保产生的保险费和其他相关费用由已包含在合同价款中。</w:t>
      </w:r>
    </w:p>
    <w:p w14:paraId="674308EE">
      <w:pPr>
        <w:widowControl/>
        <w:spacing w:line="360" w:lineRule="auto"/>
        <w:ind w:firstLine="422" w:firstLineChars="200"/>
        <w:jc w:val="left"/>
        <w:outlineLvl w:val="4"/>
        <w:rPr>
          <w:rFonts w:ascii="宋体" w:hAnsi="宋体" w:cs="宋体"/>
          <w:b/>
          <w:bCs/>
          <w:color w:val="auto"/>
          <w:kern w:val="0"/>
          <w:szCs w:val="21"/>
          <w:highlight w:val="none"/>
        </w:rPr>
      </w:pPr>
      <w:bookmarkStart w:id="533" w:name="_Toc532377302"/>
      <w:bookmarkStart w:id="534" w:name="_Toc351203614"/>
      <w:bookmarkStart w:id="535" w:name="_Toc296346623"/>
      <w:bookmarkStart w:id="536" w:name="_Toc337558830"/>
      <w:bookmarkStart w:id="537" w:name="_Toc296503122"/>
      <w:r>
        <w:rPr>
          <w:rFonts w:hint="eastAsia" w:ascii="宋体" w:hAnsi="宋体" w:cs="宋体"/>
          <w:b/>
          <w:bCs/>
          <w:color w:val="auto"/>
          <w:kern w:val="0"/>
          <w:szCs w:val="21"/>
          <w:highlight w:val="none"/>
        </w:rPr>
        <w:t>18.2 工伤保险</w:t>
      </w:r>
      <w:bookmarkEnd w:id="533"/>
      <w:bookmarkEnd w:id="534"/>
    </w:p>
    <w:bookmarkEnd w:id="535"/>
    <w:bookmarkEnd w:id="536"/>
    <w:bookmarkEnd w:id="537"/>
    <w:p w14:paraId="395A3A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18.2.1 </w:t>
      </w:r>
      <w:r>
        <w:rPr>
          <w:rFonts w:hint="eastAsia" w:ascii="宋体" w:hAnsi="宋体"/>
          <w:color w:val="auto"/>
          <w:szCs w:val="21"/>
          <w:highlight w:val="none"/>
        </w:rPr>
        <w:t>承包</w:t>
      </w:r>
      <w:r>
        <w:rPr>
          <w:rFonts w:hint="eastAsia" w:ascii="宋体" w:hAnsi="宋体"/>
          <w:color w:val="auto"/>
          <w:kern w:val="0"/>
          <w:szCs w:val="21"/>
          <w:highlight w:val="none"/>
        </w:rPr>
        <w:t>人应依照法律规定参加工伤保险，并为其在施工现场的全部员工办理工伤保险，缴纳工伤保险费，并要求监理人及由发包人为履行合同聘请的第三方依法参加工伤保险。</w:t>
      </w:r>
    </w:p>
    <w:p w14:paraId="4CA46E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340F0D02">
      <w:pPr>
        <w:widowControl/>
        <w:spacing w:line="360" w:lineRule="auto"/>
        <w:ind w:firstLine="422" w:firstLineChars="200"/>
        <w:jc w:val="left"/>
        <w:outlineLvl w:val="4"/>
        <w:rPr>
          <w:rFonts w:ascii="宋体" w:hAnsi="宋体" w:cs="宋体"/>
          <w:b/>
          <w:bCs/>
          <w:color w:val="auto"/>
          <w:kern w:val="0"/>
          <w:szCs w:val="21"/>
          <w:highlight w:val="none"/>
        </w:rPr>
      </w:pPr>
      <w:bookmarkStart w:id="538" w:name="_Toc351203615"/>
      <w:bookmarkStart w:id="539" w:name="_Toc532377303"/>
      <w:bookmarkStart w:id="540" w:name="_Toc296503125"/>
      <w:bookmarkStart w:id="541" w:name="_Toc296346626"/>
      <w:bookmarkStart w:id="542" w:name="_Toc337558831"/>
      <w:r>
        <w:rPr>
          <w:rFonts w:hint="eastAsia" w:ascii="宋体" w:hAnsi="宋体" w:cs="宋体"/>
          <w:b/>
          <w:bCs/>
          <w:color w:val="auto"/>
          <w:kern w:val="0"/>
          <w:szCs w:val="21"/>
          <w:highlight w:val="none"/>
        </w:rPr>
        <w:t>18.3其他保险</w:t>
      </w:r>
      <w:bookmarkEnd w:id="538"/>
      <w:bookmarkEnd w:id="539"/>
    </w:p>
    <w:bookmarkEnd w:id="540"/>
    <w:bookmarkEnd w:id="541"/>
    <w:bookmarkEnd w:id="542"/>
    <w:p w14:paraId="740389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36397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10B8074B">
      <w:pPr>
        <w:widowControl/>
        <w:spacing w:line="360" w:lineRule="auto"/>
        <w:ind w:firstLine="422" w:firstLineChars="200"/>
        <w:jc w:val="left"/>
        <w:outlineLvl w:val="4"/>
        <w:rPr>
          <w:rFonts w:ascii="宋体" w:hAnsi="宋体" w:cs="宋体"/>
          <w:b/>
          <w:bCs/>
          <w:color w:val="auto"/>
          <w:kern w:val="0"/>
          <w:szCs w:val="21"/>
          <w:highlight w:val="none"/>
        </w:rPr>
      </w:pPr>
      <w:bookmarkStart w:id="543" w:name="_Toc351203616"/>
      <w:bookmarkStart w:id="544" w:name="_Toc532377304"/>
      <w:r>
        <w:rPr>
          <w:rFonts w:hint="eastAsia" w:ascii="宋体" w:hAnsi="宋体" w:cs="宋体"/>
          <w:b/>
          <w:bCs/>
          <w:color w:val="auto"/>
          <w:kern w:val="0"/>
          <w:szCs w:val="21"/>
          <w:highlight w:val="none"/>
        </w:rPr>
        <w:t>18.4持续保险</w:t>
      </w:r>
      <w:bookmarkEnd w:id="543"/>
      <w:bookmarkEnd w:id="544"/>
    </w:p>
    <w:p w14:paraId="3A2C82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6924914D">
      <w:pPr>
        <w:widowControl/>
        <w:spacing w:line="360" w:lineRule="auto"/>
        <w:ind w:firstLine="422" w:firstLineChars="200"/>
        <w:jc w:val="left"/>
        <w:outlineLvl w:val="4"/>
        <w:rPr>
          <w:rFonts w:ascii="宋体" w:hAnsi="宋体" w:cs="宋体"/>
          <w:b/>
          <w:bCs/>
          <w:color w:val="auto"/>
          <w:kern w:val="0"/>
          <w:szCs w:val="21"/>
          <w:highlight w:val="none"/>
        </w:rPr>
      </w:pPr>
      <w:bookmarkStart w:id="545" w:name="_Toc532377305"/>
      <w:bookmarkStart w:id="546" w:name="_Toc351203617"/>
      <w:bookmarkStart w:id="547" w:name="_Toc296503126"/>
      <w:bookmarkStart w:id="548" w:name="_Toc337558832"/>
      <w:bookmarkStart w:id="549" w:name="_Toc296346627"/>
      <w:r>
        <w:rPr>
          <w:rFonts w:hint="eastAsia" w:ascii="宋体" w:hAnsi="宋体" w:cs="宋体"/>
          <w:b/>
          <w:bCs/>
          <w:color w:val="auto"/>
          <w:kern w:val="0"/>
          <w:szCs w:val="21"/>
          <w:highlight w:val="none"/>
        </w:rPr>
        <w:t>18.5 保险凭证</w:t>
      </w:r>
      <w:bookmarkEnd w:id="545"/>
      <w:bookmarkEnd w:id="546"/>
    </w:p>
    <w:bookmarkEnd w:id="547"/>
    <w:bookmarkEnd w:id="548"/>
    <w:bookmarkEnd w:id="549"/>
    <w:p w14:paraId="2A4789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3630FC06">
      <w:pPr>
        <w:widowControl/>
        <w:spacing w:line="360" w:lineRule="auto"/>
        <w:ind w:firstLine="422" w:firstLineChars="200"/>
        <w:jc w:val="left"/>
        <w:outlineLvl w:val="4"/>
        <w:rPr>
          <w:rFonts w:ascii="宋体" w:hAnsi="宋体" w:cs="宋体"/>
          <w:b/>
          <w:bCs/>
          <w:color w:val="auto"/>
          <w:kern w:val="0"/>
          <w:szCs w:val="21"/>
          <w:highlight w:val="none"/>
        </w:rPr>
      </w:pPr>
      <w:bookmarkStart w:id="550" w:name="_Toc351203618"/>
      <w:bookmarkStart w:id="551" w:name="_Toc532377306"/>
      <w:bookmarkStart w:id="552" w:name="_Toc337558833"/>
      <w:bookmarkStart w:id="553" w:name="_Toc296503127"/>
      <w:bookmarkStart w:id="554" w:name="_Toc296346628"/>
      <w:r>
        <w:rPr>
          <w:rFonts w:hint="eastAsia" w:ascii="宋体" w:hAnsi="宋体" w:cs="宋体"/>
          <w:b/>
          <w:bCs/>
          <w:color w:val="auto"/>
          <w:kern w:val="0"/>
          <w:szCs w:val="21"/>
          <w:highlight w:val="none"/>
        </w:rPr>
        <w:t>18.6 未按约定投保的补救</w:t>
      </w:r>
      <w:bookmarkEnd w:id="550"/>
      <w:bookmarkEnd w:id="551"/>
    </w:p>
    <w:bookmarkEnd w:id="552"/>
    <w:bookmarkEnd w:id="553"/>
    <w:bookmarkEnd w:id="554"/>
    <w:p w14:paraId="7E5CC9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43D5D5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223D9619">
      <w:pPr>
        <w:widowControl/>
        <w:spacing w:line="360" w:lineRule="auto"/>
        <w:ind w:firstLine="422" w:firstLineChars="200"/>
        <w:jc w:val="left"/>
        <w:outlineLvl w:val="4"/>
        <w:rPr>
          <w:rFonts w:ascii="宋体" w:hAnsi="宋体" w:cs="宋体"/>
          <w:b/>
          <w:bCs/>
          <w:color w:val="auto"/>
          <w:kern w:val="0"/>
          <w:szCs w:val="21"/>
          <w:highlight w:val="none"/>
        </w:rPr>
      </w:pPr>
      <w:bookmarkStart w:id="555" w:name="_Toc532377307"/>
      <w:bookmarkStart w:id="556" w:name="_Toc351203619"/>
      <w:bookmarkStart w:id="557" w:name="_Toc337558834"/>
      <w:r>
        <w:rPr>
          <w:rFonts w:hint="eastAsia" w:ascii="宋体" w:hAnsi="宋体" w:cs="宋体"/>
          <w:b/>
          <w:bCs/>
          <w:color w:val="auto"/>
          <w:kern w:val="0"/>
          <w:szCs w:val="21"/>
          <w:highlight w:val="none"/>
        </w:rPr>
        <w:t>18.7 通知义务</w:t>
      </w:r>
      <w:bookmarkEnd w:id="555"/>
      <w:bookmarkEnd w:id="556"/>
    </w:p>
    <w:bookmarkEnd w:id="557"/>
    <w:p w14:paraId="6E5875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9C158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4913B44C">
      <w:pPr>
        <w:keepNext/>
        <w:keepLines/>
        <w:widowControl/>
        <w:spacing w:before="156" w:beforeLines="50" w:after="156" w:afterLines="50" w:line="360" w:lineRule="auto"/>
        <w:outlineLvl w:val="3"/>
        <w:rPr>
          <w:rFonts w:ascii="宋体" w:hAnsi="宋体" w:cs="宋体"/>
          <w:b/>
          <w:color w:val="auto"/>
          <w:szCs w:val="21"/>
          <w:highlight w:val="none"/>
        </w:rPr>
      </w:pPr>
      <w:bookmarkStart w:id="558" w:name="_Toc532377308"/>
      <w:bookmarkStart w:id="559" w:name="_Toc532375605"/>
      <w:r>
        <w:rPr>
          <w:rFonts w:hint="eastAsia" w:ascii="宋体" w:hAnsi="宋体" w:cs="宋体"/>
          <w:b/>
          <w:bCs/>
          <w:color w:val="auto"/>
          <w:szCs w:val="21"/>
          <w:highlight w:val="none"/>
        </w:rPr>
        <w:t>19. 索赔</w:t>
      </w:r>
      <w:bookmarkEnd w:id="558"/>
      <w:bookmarkEnd w:id="559"/>
    </w:p>
    <w:p w14:paraId="7809C8FE">
      <w:pPr>
        <w:widowControl/>
        <w:spacing w:line="360" w:lineRule="auto"/>
        <w:ind w:firstLine="422" w:firstLineChars="200"/>
        <w:jc w:val="left"/>
        <w:outlineLvl w:val="4"/>
        <w:rPr>
          <w:rFonts w:ascii="宋体" w:hAnsi="宋体" w:cs="宋体"/>
          <w:b/>
          <w:bCs/>
          <w:color w:val="auto"/>
          <w:kern w:val="0"/>
          <w:szCs w:val="21"/>
          <w:highlight w:val="none"/>
        </w:rPr>
      </w:pPr>
      <w:bookmarkStart w:id="560" w:name="_Toc532377309"/>
      <w:r>
        <w:rPr>
          <w:rFonts w:hint="eastAsia" w:ascii="宋体" w:hAnsi="宋体" w:cs="宋体"/>
          <w:b/>
          <w:bCs/>
          <w:color w:val="auto"/>
          <w:kern w:val="0"/>
          <w:szCs w:val="21"/>
          <w:highlight w:val="none"/>
        </w:rPr>
        <w:t>19.1承包人的索赔</w:t>
      </w:r>
      <w:bookmarkEnd w:id="560"/>
    </w:p>
    <w:p w14:paraId="2A28DF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6EE382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1CCAA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86629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56DBD9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3B50BB9D">
      <w:pPr>
        <w:widowControl/>
        <w:spacing w:line="360" w:lineRule="auto"/>
        <w:ind w:firstLine="422" w:firstLineChars="200"/>
        <w:jc w:val="left"/>
        <w:outlineLvl w:val="4"/>
        <w:rPr>
          <w:rFonts w:ascii="宋体" w:hAnsi="宋体" w:cs="宋体"/>
          <w:b/>
          <w:bCs/>
          <w:color w:val="auto"/>
          <w:kern w:val="0"/>
          <w:szCs w:val="21"/>
          <w:highlight w:val="none"/>
        </w:rPr>
      </w:pPr>
      <w:bookmarkStart w:id="561" w:name="_Toc351203622"/>
      <w:bookmarkStart w:id="562" w:name="_Toc532377310"/>
      <w:bookmarkStart w:id="563" w:name="_Toc337558837"/>
      <w:bookmarkStart w:id="564" w:name="_Toc296346643"/>
      <w:bookmarkStart w:id="565" w:name="_Toc296503142"/>
      <w:r>
        <w:rPr>
          <w:rFonts w:hint="eastAsia" w:ascii="宋体" w:hAnsi="宋体" w:cs="宋体"/>
          <w:b/>
          <w:bCs/>
          <w:color w:val="auto"/>
          <w:kern w:val="0"/>
          <w:szCs w:val="21"/>
          <w:highlight w:val="none"/>
        </w:rPr>
        <w:t>19.2 对承包人索赔的处理</w:t>
      </w:r>
      <w:bookmarkEnd w:id="561"/>
      <w:bookmarkEnd w:id="562"/>
    </w:p>
    <w:bookmarkEnd w:id="563"/>
    <w:bookmarkEnd w:id="564"/>
    <w:bookmarkEnd w:id="565"/>
    <w:p w14:paraId="6CFEA5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0160C2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6BDDDF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681C91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4E140347">
      <w:pPr>
        <w:widowControl/>
        <w:spacing w:line="360" w:lineRule="auto"/>
        <w:ind w:firstLine="422" w:firstLineChars="200"/>
        <w:jc w:val="left"/>
        <w:outlineLvl w:val="4"/>
        <w:rPr>
          <w:rFonts w:ascii="宋体" w:hAnsi="宋体" w:cs="宋体"/>
          <w:b/>
          <w:bCs/>
          <w:color w:val="auto"/>
          <w:kern w:val="0"/>
          <w:szCs w:val="21"/>
          <w:highlight w:val="none"/>
        </w:rPr>
      </w:pPr>
      <w:bookmarkStart w:id="566" w:name="_Toc351203623"/>
      <w:bookmarkStart w:id="567" w:name="_Toc532377311"/>
      <w:bookmarkStart w:id="568" w:name="_Toc296346644"/>
      <w:bookmarkStart w:id="569" w:name="_Toc337558838"/>
      <w:bookmarkStart w:id="570" w:name="_Toc296503143"/>
      <w:r>
        <w:rPr>
          <w:rFonts w:hint="eastAsia" w:ascii="宋体" w:hAnsi="宋体" w:cs="宋体"/>
          <w:b/>
          <w:bCs/>
          <w:color w:val="auto"/>
          <w:kern w:val="0"/>
          <w:szCs w:val="21"/>
          <w:highlight w:val="none"/>
        </w:rPr>
        <w:t>19.3发包人的索赔</w:t>
      </w:r>
      <w:bookmarkEnd w:id="566"/>
      <w:bookmarkEnd w:id="567"/>
    </w:p>
    <w:bookmarkEnd w:id="568"/>
    <w:bookmarkEnd w:id="569"/>
    <w:bookmarkEnd w:id="570"/>
    <w:p w14:paraId="50C532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253ECB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D51BF97">
      <w:pPr>
        <w:widowControl/>
        <w:spacing w:line="360" w:lineRule="auto"/>
        <w:ind w:firstLine="422" w:firstLineChars="200"/>
        <w:jc w:val="left"/>
        <w:outlineLvl w:val="4"/>
        <w:rPr>
          <w:rFonts w:ascii="宋体" w:hAnsi="宋体" w:cs="宋体"/>
          <w:b/>
          <w:bCs/>
          <w:color w:val="auto"/>
          <w:kern w:val="0"/>
          <w:szCs w:val="21"/>
          <w:highlight w:val="none"/>
        </w:rPr>
      </w:pPr>
      <w:bookmarkStart w:id="571" w:name="_Toc532377312"/>
      <w:bookmarkStart w:id="572" w:name="_Toc351203624"/>
      <w:bookmarkStart w:id="573" w:name="_Toc296346645"/>
      <w:bookmarkStart w:id="574" w:name="_Toc296503144"/>
      <w:bookmarkStart w:id="575" w:name="_Toc337558839"/>
      <w:r>
        <w:rPr>
          <w:rFonts w:hint="eastAsia" w:ascii="宋体" w:hAnsi="宋体" w:cs="宋体"/>
          <w:b/>
          <w:bCs/>
          <w:color w:val="auto"/>
          <w:kern w:val="0"/>
          <w:szCs w:val="21"/>
          <w:highlight w:val="none"/>
        </w:rPr>
        <w:t>19.4 对发包人索赔的处理</w:t>
      </w:r>
      <w:bookmarkEnd w:id="571"/>
      <w:bookmarkEnd w:id="572"/>
    </w:p>
    <w:bookmarkEnd w:id="573"/>
    <w:bookmarkEnd w:id="574"/>
    <w:bookmarkEnd w:id="575"/>
    <w:p w14:paraId="3BDB85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756F17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73F6DA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0E887E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788BF6DD">
      <w:pPr>
        <w:widowControl/>
        <w:spacing w:line="360" w:lineRule="auto"/>
        <w:ind w:firstLine="420" w:firstLineChars="200"/>
        <w:jc w:val="left"/>
        <w:outlineLvl w:val="4"/>
        <w:rPr>
          <w:rFonts w:ascii="宋体" w:hAnsi="宋体" w:cs="宋体"/>
          <w:bCs/>
          <w:color w:val="auto"/>
          <w:kern w:val="0"/>
          <w:szCs w:val="21"/>
          <w:highlight w:val="none"/>
        </w:rPr>
      </w:pPr>
      <w:bookmarkStart w:id="576" w:name="_Toc532377313"/>
      <w:bookmarkStart w:id="577" w:name="_Toc351203625"/>
      <w:r>
        <w:rPr>
          <w:rFonts w:hint="eastAsia" w:ascii="宋体" w:hAnsi="宋体" w:cs="宋体"/>
          <w:bCs/>
          <w:color w:val="auto"/>
          <w:kern w:val="0"/>
          <w:szCs w:val="21"/>
          <w:highlight w:val="none"/>
        </w:rPr>
        <w:t>19.5 提出索赔的期限</w:t>
      </w:r>
      <w:bookmarkEnd w:id="576"/>
      <w:bookmarkEnd w:id="577"/>
    </w:p>
    <w:p w14:paraId="498124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1E24D6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75E88C64">
      <w:pPr>
        <w:keepNext/>
        <w:keepLines/>
        <w:widowControl/>
        <w:spacing w:before="156" w:beforeLines="50" w:after="156" w:afterLines="50" w:line="360" w:lineRule="auto"/>
        <w:outlineLvl w:val="3"/>
        <w:rPr>
          <w:rFonts w:ascii="宋体" w:hAnsi="宋体" w:cs="宋体"/>
          <w:b/>
          <w:color w:val="auto"/>
          <w:szCs w:val="21"/>
          <w:highlight w:val="none"/>
        </w:rPr>
      </w:pPr>
      <w:bookmarkStart w:id="578" w:name="_Toc351203626"/>
      <w:bookmarkStart w:id="579" w:name="_Toc532377314"/>
      <w:bookmarkStart w:id="580" w:name="_Toc532375606"/>
      <w:r>
        <w:rPr>
          <w:rFonts w:hint="eastAsia" w:ascii="宋体" w:hAnsi="宋体" w:cs="宋体"/>
          <w:b/>
          <w:bCs/>
          <w:color w:val="auto"/>
          <w:szCs w:val="21"/>
          <w:highlight w:val="none"/>
        </w:rPr>
        <w:t>20</w:t>
      </w:r>
      <w:bookmarkStart w:id="581" w:name="_Toc337558840"/>
      <w:bookmarkStart w:id="582" w:name="_Toc296503146"/>
      <w:bookmarkStart w:id="583" w:name="_Toc296346647"/>
      <w:r>
        <w:rPr>
          <w:rFonts w:hint="eastAsia" w:ascii="宋体" w:hAnsi="宋体" w:cs="宋体"/>
          <w:b/>
          <w:bCs/>
          <w:color w:val="auto"/>
          <w:szCs w:val="21"/>
          <w:highlight w:val="none"/>
        </w:rPr>
        <w:t>. 争议解决</w:t>
      </w:r>
      <w:bookmarkEnd w:id="578"/>
      <w:bookmarkEnd w:id="579"/>
      <w:bookmarkEnd w:id="580"/>
    </w:p>
    <w:bookmarkEnd w:id="581"/>
    <w:bookmarkEnd w:id="582"/>
    <w:bookmarkEnd w:id="583"/>
    <w:p w14:paraId="42348449">
      <w:pPr>
        <w:widowControl/>
        <w:spacing w:line="360" w:lineRule="auto"/>
        <w:ind w:firstLine="422" w:firstLineChars="200"/>
        <w:jc w:val="left"/>
        <w:outlineLvl w:val="4"/>
        <w:rPr>
          <w:rFonts w:ascii="宋体" w:hAnsi="宋体" w:cs="宋体"/>
          <w:b/>
          <w:bCs/>
          <w:color w:val="auto"/>
          <w:kern w:val="0"/>
          <w:szCs w:val="21"/>
          <w:highlight w:val="none"/>
        </w:rPr>
      </w:pPr>
      <w:bookmarkStart w:id="584" w:name="_Toc532377315"/>
      <w:bookmarkStart w:id="585" w:name="_Toc351203627"/>
      <w:bookmarkStart w:id="586" w:name="_Toc337558841"/>
      <w:bookmarkStart w:id="587" w:name="_Toc296503147"/>
      <w:bookmarkStart w:id="588" w:name="_Toc296346648"/>
      <w:r>
        <w:rPr>
          <w:rFonts w:hint="eastAsia" w:ascii="宋体" w:hAnsi="宋体" w:cs="宋体"/>
          <w:b/>
          <w:bCs/>
          <w:color w:val="auto"/>
          <w:kern w:val="0"/>
          <w:szCs w:val="21"/>
          <w:highlight w:val="none"/>
        </w:rPr>
        <w:t>20.1和解</w:t>
      </w:r>
      <w:bookmarkEnd w:id="584"/>
      <w:bookmarkEnd w:id="585"/>
    </w:p>
    <w:bookmarkEnd w:id="586"/>
    <w:bookmarkEnd w:id="587"/>
    <w:bookmarkEnd w:id="588"/>
    <w:p w14:paraId="2A5A4A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300EB94D">
      <w:pPr>
        <w:widowControl/>
        <w:spacing w:line="360" w:lineRule="auto"/>
        <w:ind w:firstLine="422" w:firstLineChars="200"/>
        <w:jc w:val="left"/>
        <w:outlineLvl w:val="4"/>
        <w:rPr>
          <w:rFonts w:ascii="宋体" w:hAnsi="宋体" w:cs="宋体"/>
          <w:b/>
          <w:bCs/>
          <w:color w:val="auto"/>
          <w:kern w:val="0"/>
          <w:szCs w:val="21"/>
          <w:highlight w:val="none"/>
        </w:rPr>
      </w:pPr>
      <w:bookmarkStart w:id="589" w:name="_Toc351203628"/>
      <w:bookmarkStart w:id="590" w:name="_Toc532377316"/>
      <w:r>
        <w:rPr>
          <w:rFonts w:hint="eastAsia" w:ascii="宋体" w:hAnsi="宋体" w:cs="宋体"/>
          <w:b/>
          <w:bCs/>
          <w:color w:val="auto"/>
          <w:kern w:val="0"/>
          <w:szCs w:val="21"/>
          <w:highlight w:val="none"/>
        </w:rPr>
        <w:t>20</w:t>
      </w:r>
      <w:bookmarkStart w:id="591" w:name="_Toc337558842"/>
      <w:bookmarkStart w:id="592" w:name="_Toc296346649"/>
      <w:bookmarkStart w:id="593" w:name="_Toc296503148"/>
      <w:r>
        <w:rPr>
          <w:rFonts w:hint="eastAsia" w:ascii="宋体" w:hAnsi="宋体" w:cs="宋体"/>
          <w:b/>
          <w:bCs/>
          <w:color w:val="auto"/>
          <w:kern w:val="0"/>
          <w:szCs w:val="21"/>
          <w:highlight w:val="none"/>
        </w:rPr>
        <w:t>.2调解</w:t>
      </w:r>
      <w:bookmarkEnd w:id="589"/>
      <w:bookmarkEnd w:id="590"/>
    </w:p>
    <w:bookmarkEnd w:id="591"/>
    <w:bookmarkEnd w:id="592"/>
    <w:bookmarkEnd w:id="593"/>
    <w:p w14:paraId="3114DF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5D203132">
      <w:pPr>
        <w:widowControl/>
        <w:spacing w:line="360" w:lineRule="auto"/>
        <w:ind w:firstLine="422" w:firstLineChars="200"/>
        <w:jc w:val="left"/>
        <w:outlineLvl w:val="4"/>
        <w:rPr>
          <w:rFonts w:ascii="宋体" w:hAnsi="宋体" w:cs="宋体"/>
          <w:b/>
          <w:bCs/>
          <w:color w:val="auto"/>
          <w:kern w:val="0"/>
          <w:szCs w:val="21"/>
          <w:highlight w:val="none"/>
        </w:rPr>
      </w:pPr>
      <w:bookmarkStart w:id="594" w:name="_Toc532377317"/>
      <w:bookmarkStart w:id="595" w:name="_Toc351203629"/>
      <w:bookmarkStart w:id="596" w:name="_Toc296346650"/>
      <w:bookmarkStart w:id="597" w:name="_Toc337558843"/>
      <w:bookmarkStart w:id="598" w:name="_Toc296503149"/>
      <w:r>
        <w:rPr>
          <w:rFonts w:hint="eastAsia" w:ascii="宋体" w:hAnsi="宋体" w:cs="宋体"/>
          <w:b/>
          <w:bCs/>
          <w:color w:val="auto"/>
          <w:kern w:val="0"/>
          <w:szCs w:val="21"/>
          <w:highlight w:val="none"/>
        </w:rPr>
        <w:t>20.3争议评审</w:t>
      </w:r>
      <w:bookmarkEnd w:id="594"/>
      <w:bookmarkEnd w:id="595"/>
    </w:p>
    <w:bookmarkEnd w:id="596"/>
    <w:bookmarkEnd w:id="597"/>
    <w:bookmarkEnd w:id="598"/>
    <w:p w14:paraId="3B07AA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4F9F8D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3B7B9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5DFF94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DA6BA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7BA83E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1601EB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961AB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357115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5BDA2E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53D1D790">
      <w:pPr>
        <w:widowControl/>
        <w:spacing w:line="360" w:lineRule="auto"/>
        <w:ind w:firstLine="422" w:firstLineChars="200"/>
        <w:jc w:val="left"/>
        <w:outlineLvl w:val="4"/>
        <w:rPr>
          <w:rFonts w:ascii="宋体" w:hAnsi="宋体" w:cs="宋体"/>
          <w:b/>
          <w:bCs/>
          <w:color w:val="auto"/>
          <w:kern w:val="0"/>
          <w:szCs w:val="21"/>
          <w:highlight w:val="none"/>
        </w:rPr>
      </w:pPr>
      <w:bookmarkStart w:id="599" w:name="_Toc532377318"/>
      <w:bookmarkStart w:id="600" w:name="_Toc351203630"/>
      <w:bookmarkStart w:id="601" w:name="_Toc296346651"/>
      <w:bookmarkStart w:id="602" w:name="_Toc296503150"/>
      <w:bookmarkStart w:id="603" w:name="_Toc337558844"/>
      <w:r>
        <w:rPr>
          <w:rFonts w:hint="eastAsia" w:ascii="宋体" w:hAnsi="宋体" w:cs="宋体"/>
          <w:b/>
          <w:bCs/>
          <w:color w:val="auto"/>
          <w:kern w:val="0"/>
          <w:szCs w:val="21"/>
          <w:highlight w:val="none"/>
        </w:rPr>
        <w:t>20.4仲裁或诉讼</w:t>
      </w:r>
      <w:bookmarkEnd w:id="599"/>
      <w:bookmarkEnd w:id="600"/>
    </w:p>
    <w:bookmarkEnd w:id="601"/>
    <w:bookmarkEnd w:id="602"/>
    <w:bookmarkEnd w:id="603"/>
    <w:p w14:paraId="485EAF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351FFB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137BA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296DD84F">
      <w:pPr>
        <w:widowControl/>
        <w:spacing w:line="360" w:lineRule="auto"/>
        <w:ind w:firstLine="420" w:firstLineChars="200"/>
        <w:jc w:val="left"/>
        <w:outlineLvl w:val="4"/>
        <w:rPr>
          <w:rFonts w:ascii="宋体" w:hAnsi="宋体" w:cs="宋体"/>
          <w:bCs/>
          <w:color w:val="auto"/>
          <w:kern w:val="0"/>
          <w:szCs w:val="21"/>
          <w:highlight w:val="none"/>
        </w:rPr>
      </w:pPr>
      <w:bookmarkStart w:id="604" w:name="_Toc351203631"/>
      <w:bookmarkStart w:id="605" w:name="_Toc532377319"/>
      <w:bookmarkStart w:id="606" w:name="_Toc296346653"/>
      <w:bookmarkStart w:id="607" w:name="_Toc337558845"/>
      <w:bookmarkStart w:id="608" w:name="_Toc296503152"/>
      <w:r>
        <w:rPr>
          <w:rFonts w:hint="eastAsia" w:ascii="宋体" w:hAnsi="宋体" w:cs="宋体"/>
          <w:bCs/>
          <w:color w:val="auto"/>
          <w:kern w:val="0"/>
          <w:szCs w:val="21"/>
          <w:highlight w:val="none"/>
        </w:rPr>
        <w:t>20.5争议解决条款效力</w:t>
      </w:r>
      <w:bookmarkEnd w:id="604"/>
      <w:bookmarkEnd w:id="605"/>
    </w:p>
    <w:bookmarkEnd w:id="606"/>
    <w:bookmarkEnd w:id="607"/>
    <w:bookmarkEnd w:id="608"/>
    <w:p w14:paraId="57D1B3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3D3751F6">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33570E28">
      <w:pPr>
        <w:keepNext/>
        <w:keepLines/>
        <w:spacing w:before="260" w:after="260" w:line="416" w:lineRule="auto"/>
        <w:jc w:val="center"/>
        <w:outlineLvl w:val="2"/>
        <w:rPr>
          <w:rFonts w:ascii="宋体" w:hAnsi="宋体"/>
          <w:b/>
          <w:bCs/>
          <w:color w:val="auto"/>
          <w:sz w:val="44"/>
          <w:szCs w:val="44"/>
          <w:highlight w:val="none"/>
        </w:rPr>
      </w:pPr>
      <w:bookmarkStart w:id="609" w:name="_Toc532377320"/>
      <w:bookmarkStart w:id="610" w:name="_Toc532375607"/>
      <w:bookmarkStart w:id="611" w:name="_Toc25311"/>
      <w:bookmarkStart w:id="612" w:name="_Toc25082"/>
      <w:bookmarkStart w:id="613" w:name="_Toc529388290"/>
      <w:r>
        <w:rPr>
          <w:rFonts w:hint="eastAsia" w:ascii="宋体" w:hAnsi="宋体"/>
          <w:b/>
          <w:bCs/>
          <w:color w:val="auto"/>
          <w:sz w:val="44"/>
          <w:szCs w:val="44"/>
          <w:highlight w:val="none"/>
        </w:rPr>
        <w:t>第三部分 专用合同条款</w:t>
      </w:r>
      <w:bookmarkEnd w:id="609"/>
      <w:bookmarkEnd w:id="610"/>
      <w:bookmarkEnd w:id="611"/>
      <w:bookmarkEnd w:id="612"/>
      <w:bookmarkEnd w:id="613"/>
    </w:p>
    <w:p w14:paraId="5E883AFB">
      <w:pPr>
        <w:keepNext/>
        <w:keepLines/>
        <w:widowControl/>
        <w:spacing w:before="156" w:beforeLines="50" w:after="156" w:afterLines="50" w:line="360" w:lineRule="auto"/>
        <w:outlineLvl w:val="3"/>
        <w:rPr>
          <w:rFonts w:ascii="宋体" w:hAnsi="宋体" w:cs="宋体"/>
          <w:b/>
          <w:color w:val="auto"/>
          <w:szCs w:val="21"/>
          <w:highlight w:val="none"/>
        </w:rPr>
      </w:pPr>
      <w:bookmarkStart w:id="614" w:name="_Toc532375608"/>
      <w:bookmarkStart w:id="615" w:name="_Toc532377321"/>
      <w:bookmarkStart w:id="616" w:name="_Toc351203633"/>
      <w:bookmarkStart w:id="617" w:name="_Hlk528927191"/>
      <w:r>
        <w:rPr>
          <w:rFonts w:hint="eastAsia" w:ascii="宋体" w:hAnsi="宋体" w:cs="宋体"/>
          <w:b/>
          <w:bCs/>
          <w:color w:val="auto"/>
          <w:szCs w:val="21"/>
          <w:highlight w:val="none"/>
        </w:rPr>
        <w:t>1</w:t>
      </w:r>
      <w:bookmarkStart w:id="618" w:name="_Toc292559361"/>
      <w:bookmarkStart w:id="619" w:name="_Toc296890984"/>
      <w:bookmarkStart w:id="620" w:name="_Toc297120456"/>
      <w:bookmarkStart w:id="621" w:name="_Toc297048342"/>
      <w:bookmarkStart w:id="622" w:name="_Toc296503156"/>
      <w:bookmarkStart w:id="623" w:name="_Toc296346657"/>
      <w:bookmarkStart w:id="624" w:name="_Toc296891196"/>
      <w:bookmarkStart w:id="625" w:name="_Toc292559866"/>
      <w:bookmarkStart w:id="626" w:name="_Toc296944495"/>
      <w:bookmarkStart w:id="627" w:name="_Toc296347155"/>
      <w:r>
        <w:rPr>
          <w:rFonts w:hint="eastAsia" w:ascii="宋体" w:hAnsi="宋体" w:cs="宋体"/>
          <w:b/>
          <w:bCs/>
          <w:color w:val="auto"/>
          <w:szCs w:val="21"/>
          <w:highlight w:val="none"/>
        </w:rPr>
        <w:t>. 一般约定</w:t>
      </w:r>
      <w:bookmarkEnd w:id="614"/>
      <w:bookmarkEnd w:id="615"/>
      <w:bookmarkEnd w:id="616"/>
    </w:p>
    <w:bookmarkEnd w:id="618"/>
    <w:bookmarkEnd w:id="619"/>
    <w:bookmarkEnd w:id="620"/>
    <w:bookmarkEnd w:id="621"/>
    <w:bookmarkEnd w:id="622"/>
    <w:bookmarkEnd w:id="623"/>
    <w:bookmarkEnd w:id="624"/>
    <w:bookmarkEnd w:id="625"/>
    <w:bookmarkEnd w:id="626"/>
    <w:bookmarkEnd w:id="627"/>
    <w:p w14:paraId="323732DF">
      <w:pPr>
        <w:widowControl/>
        <w:spacing w:line="360" w:lineRule="auto"/>
        <w:ind w:firstLine="422" w:firstLineChars="200"/>
        <w:jc w:val="left"/>
        <w:outlineLvl w:val="4"/>
        <w:rPr>
          <w:rFonts w:ascii="宋体" w:hAnsi="宋体" w:cs="宋体"/>
          <w:b/>
          <w:bCs/>
          <w:color w:val="auto"/>
          <w:kern w:val="0"/>
          <w:szCs w:val="21"/>
          <w:highlight w:val="none"/>
        </w:rPr>
      </w:pPr>
      <w:bookmarkStart w:id="628" w:name="_Toc532377322"/>
      <w:r>
        <w:rPr>
          <w:rFonts w:hint="eastAsia" w:ascii="宋体" w:hAnsi="宋体" w:cs="宋体"/>
          <w:b/>
          <w:bCs/>
          <w:color w:val="auto"/>
          <w:kern w:val="0"/>
          <w:szCs w:val="21"/>
          <w:highlight w:val="none"/>
        </w:rPr>
        <w:t>1.1词语定义与解释</w:t>
      </w:r>
      <w:bookmarkEnd w:id="628"/>
    </w:p>
    <w:p w14:paraId="56552F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4EF38D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1D80130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227B622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5FF7A1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06508C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351C8F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38169A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654CF77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617"/>
    <w:p w14:paraId="724CCA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6C0683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65662C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66DC4C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7164AF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366C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7ED8E4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color w:val="auto"/>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288AC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39BCB2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7AA5F2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2FE432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B257E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22E9721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4BC686F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0441C9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6261C8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7260D06A">
      <w:pPr>
        <w:spacing w:line="360" w:lineRule="auto"/>
        <w:ind w:firstLine="420" w:firstLineChars="200"/>
        <w:jc w:val="left"/>
        <w:rPr>
          <w:rFonts w:ascii="宋体" w:hAnsi="宋体"/>
          <w:color w:val="auto"/>
          <w:szCs w:val="21"/>
          <w:highlight w:val="none"/>
        </w:rPr>
      </w:pPr>
      <w:bookmarkStart w:id="629" w:name="_Hlk528927262"/>
      <w:r>
        <w:rPr>
          <w:rFonts w:hint="eastAsia" w:ascii="宋体" w:hAnsi="宋体"/>
          <w:color w:val="auto"/>
          <w:szCs w:val="21"/>
          <w:highlight w:val="none"/>
        </w:rPr>
        <w:t>本项补充1.1.6.2～1.1.6.3目：</w:t>
      </w:r>
    </w:p>
    <w:p w14:paraId="2750CD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629"/>
    <w:p w14:paraId="3D429F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FB5A226">
      <w:pPr>
        <w:widowControl/>
        <w:spacing w:line="360" w:lineRule="auto"/>
        <w:ind w:firstLine="422" w:firstLineChars="200"/>
        <w:jc w:val="left"/>
        <w:outlineLvl w:val="4"/>
        <w:rPr>
          <w:rFonts w:ascii="宋体" w:hAnsi="宋体" w:cs="宋体"/>
          <w:b/>
          <w:bCs/>
          <w:color w:val="auto"/>
          <w:kern w:val="0"/>
          <w:szCs w:val="21"/>
          <w:highlight w:val="none"/>
        </w:rPr>
      </w:pPr>
      <w:bookmarkStart w:id="630" w:name="_Toc532377323"/>
      <w:r>
        <w:rPr>
          <w:rFonts w:hint="eastAsia" w:ascii="宋体" w:hAnsi="宋体" w:cs="宋体"/>
          <w:b/>
          <w:bCs/>
          <w:color w:val="auto"/>
          <w:kern w:val="0"/>
          <w:szCs w:val="21"/>
          <w:highlight w:val="none"/>
        </w:rPr>
        <w:t>1.4 标准和规范</w:t>
      </w:r>
      <w:bookmarkEnd w:id="630"/>
    </w:p>
    <w:p w14:paraId="46AA9E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4B644D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4408684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564A3BCA">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DE54A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3E3146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036E7C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3E997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038F0DB7">
      <w:pPr>
        <w:widowControl/>
        <w:spacing w:line="360" w:lineRule="auto"/>
        <w:ind w:firstLine="422" w:firstLineChars="200"/>
        <w:jc w:val="left"/>
        <w:outlineLvl w:val="4"/>
        <w:rPr>
          <w:rFonts w:ascii="宋体" w:hAnsi="宋体" w:cs="宋体"/>
          <w:b/>
          <w:bCs/>
          <w:color w:val="auto"/>
          <w:kern w:val="0"/>
          <w:szCs w:val="21"/>
          <w:highlight w:val="none"/>
        </w:rPr>
      </w:pPr>
      <w:bookmarkStart w:id="631" w:name="_Toc532377324"/>
      <w:r>
        <w:rPr>
          <w:rFonts w:hint="eastAsia" w:ascii="宋体" w:hAnsi="宋体" w:cs="宋体"/>
          <w:b/>
          <w:bCs/>
          <w:color w:val="auto"/>
          <w:kern w:val="0"/>
          <w:szCs w:val="21"/>
          <w:highlight w:val="none"/>
        </w:rPr>
        <w:t>1.5 合同文件的优先顺序</w:t>
      </w:r>
      <w:bookmarkEnd w:id="631"/>
    </w:p>
    <w:p w14:paraId="241A0D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335A8039">
      <w:pPr>
        <w:widowControl/>
        <w:spacing w:line="360" w:lineRule="auto"/>
        <w:ind w:firstLine="422" w:firstLineChars="200"/>
        <w:jc w:val="left"/>
        <w:outlineLvl w:val="4"/>
        <w:rPr>
          <w:rFonts w:ascii="宋体" w:hAnsi="宋体" w:cs="宋体"/>
          <w:b/>
          <w:bCs/>
          <w:color w:val="auto"/>
          <w:kern w:val="0"/>
          <w:szCs w:val="21"/>
          <w:highlight w:val="none"/>
        </w:rPr>
      </w:pPr>
      <w:bookmarkStart w:id="632" w:name="_Toc532377325"/>
      <w:r>
        <w:rPr>
          <w:rFonts w:hint="eastAsia" w:ascii="宋体" w:hAnsi="宋体" w:cs="宋体"/>
          <w:b/>
          <w:bCs/>
          <w:color w:val="auto"/>
          <w:kern w:val="0"/>
          <w:szCs w:val="21"/>
          <w:highlight w:val="none"/>
        </w:rPr>
        <w:t>1.6 图纸和承包人文件</w:t>
      </w:r>
      <w:bookmarkEnd w:id="632"/>
    </w:p>
    <w:p w14:paraId="0BF2B6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68F4B4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709F29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壹 套</w:t>
      </w:r>
      <w:r>
        <w:rPr>
          <w:rFonts w:hint="eastAsia" w:ascii="宋体" w:hAnsi="宋体"/>
          <w:color w:val="auto"/>
          <w:szCs w:val="21"/>
          <w:highlight w:val="none"/>
        </w:rPr>
        <w:t xml:space="preserve">； </w:t>
      </w:r>
    </w:p>
    <w:p w14:paraId="7FA732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6979C61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4AA47D5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61324F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398F64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649D457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4B899C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50D4E2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需要由承包人提供的书面文件，包括但不限于：</w:t>
      </w:r>
      <w:r>
        <w:rPr>
          <w:rFonts w:hint="eastAsia" w:ascii="宋体" w:hAnsi="宋体"/>
          <w:color w:val="auto"/>
          <w:szCs w:val="21"/>
          <w:highlight w:val="none"/>
          <w:u w:val="single"/>
        </w:rPr>
        <w:t>施工组织设计、专项施工方案（含交通组织等）、危险性较大分部分项工程施工方案（如有）、工程质量保证体系、安全保证体系、环境保证体系、安全应急方案、进度计划、报表及计划、竣工资料及施工过程中因工程变更需要报送的施工方案、施工过程中涉及工程价款变更的相关资料、完整的竣工结算资料等。以上文件的设计及编制费用均在投标报价中综合考虑，不再单独计取</w:t>
      </w:r>
      <w:r>
        <w:rPr>
          <w:rFonts w:hint="eastAsia" w:ascii="宋体" w:hAnsi="宋体"/>
          <w:color w:val="auto"/>
          <w:szCs w:val="21"/>
          <w:highlight w:val="none"/>
          <w:u w:val="single"/>
          <w:lang w:val="en-US" w:eastAsia="zh-CN"/>
        </w:rPr>
        <w:t>等</w:t>
      </w:r>
      <w:r>
        <w:rPr>
          <w:rFonts w:hint="eastAsia" w:ascii="宋体" w:hAnsi="宋体"/>
          <w:color w:val="auto"/>
          <w:szCs w:val="21"/>
          <w:highlight w:val="none"/>
        </w:rPr>
        <w:t>。</w:t>
      </w:r>
    </w:p>
    <w:p w14:paraId="672ABA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0340EF7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71ABA2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每月20日前报送月工程进度完成报表</w:t>
      </w:r>
      <w:r>
        <w:rPr>
          <w:rFonts w:hint="eastAsia" w:ascii="宋体" w:hAnsi="宋体"/>
          <w:color w:val="auto"/>
          <w:szCs w:val="21"/>
          <w:highlight w:val="none"/>
        </w:rPr>
        <w:t>。</w:t>
      </w:r>
    </w:p>
    <w:p w14:paraId="256B88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44C773A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466D11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236BADA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23F32A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基于发包人、监理人审批承包人文件须要合理的审核、报批或者论证时间。因此，承包人作为有经验的专业承包人应根据工程的情况提前安排相关报批文件，留足发包人、监理人审核的必要时间，避免因审核时间对施工进度的影响。承包人没有进行合理规划文件报批时间而影响工程工期的责任由承包人自行承担。逾期提交文件时，除合同另有约定外，每逾期一天向发包人承担违约金10000元，逾期五天未提交，发包人有权解除本合同。</w:t>
      </w:r>
    </w:p>
    <w:p w14:paraId="5B51072B">
      <w:pPr>
        <w:widowControl/>
        <w:spacing w:line="360" w:lineRule="auto"/>
        <w:ind w:firstLine="422" w:firstLineChars="200"/>
        <w:jc w:val="left"/>
        <w:outlineLvl w:val="4"/>
        <w:rPr>
          <w:rFonts w:ascii="宋体" w:hAnsi="宋体" w:cs="宋体"/>
          <w:b/>
          <w:bCs/>
          <w:color w:val="auto"/>
          <w:kern w:val="0"/>
          <w:szCs w:val="21"/>
          <w:highlight w:val="none"/>
        </w:rPr>
      </w:pPr>
      <w:bookmarkStart w:id="633" w:name="_Toc532377326"/>
      <w:r>
        <w:rPr>
          <w:rFonts w:hint="eastAsia" w:ascii="宋体" w:hAnsi="宋体" w:cs="宋体"/>
          <w:b/>
          <w:bCs/>
          <w:color w:val="auto"/>
          <w:kern w:val="0"/>
          <w:szCs w:val="21"/>
          <w:highlight w:val="none"/>
        </w:rPr>
        <w:t>1.7 联络</w:t>
      </w:r>
      <w:bookmarkEnd w:id="633"/>
    </w:p>
    <w:p w14:paraId="5315DB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7D1719A7">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ECD1F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634" w:name="_Hlk528493983"/>
      <w:bookmarkEnd w:id="634"/>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A694608">
      <w:pPr>
        <w:pStyle w:val="2"/>
        <w:ind w:firstLine="420" w:firstLineChars="200"/>
        <w:rPr>
          <w:color w:val="auto"/>
          <w:highlight w:val="none"/>
        </w:rPr>
      </w:pPr>
      <w:r>
        <w:rPr>
          <w:rFonts w:hint="eastAsia"/>
          <w:color w:val="auto"/>
          <w:highlight w:val="none"/>
        </w:rPr>
        <w:t>发包人指定的联系电话：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ED81D39">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9594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C414119">
      <w:pPr>
        <w:spacing w:line="360" w:lineRule="auto"/>
        <w:ind w:firstLine="420" w:firstLineChars="200"/>
        <w:jc w:val="left"/>
        <w:rPr>
          <w:color w:val="auto"/>
          <w:highlight w:val="none"/>
        </w:rPr>
      </w:pPr>
      <w:r>
        <w:rPr>
          <w:rFonts w:hint="eastAsia" w:ascii="宋体" w:hAnsi="宋体"/>
          <w:color w:val="auto"/>
          <w:kern w:val="0"/>
          <w:szCs w:val="21"/>
          <w:highlight w:val="none"/>
        </w:rPr>
        <w:t>承包人指定的联系电话：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F20B8FE">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D633B2">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p>
    <w:p w14:paraId="57B764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464FF5C">
      <w:pPr>
        <w:widowControl/>
        <w:spacing w:line="360" w:lineRule="auto"/>
        <w:ind w:firstLine="422" w:firstLineChars="200"/>
        <w:jc w:val="left"/>
        <w:outlineLvl w:val="4"/>
        <w:rPr>
          <w:rFonts w:ascii="宋体" w:hAnsi="宋体" w:cs="宋体"/>
          <w:b/>
          <w:bCs/>
          <w:color w:val="auto"/>
          <w:kern w:val="0"/>
          <w:szCs w:val="21"/>
          <w:highlight w:val="none"/>
        </w:rPr>
      </w:pPr>
      <w:bookmarkStart w:id="635" w:name="_Toc532377327"/>
      <w:r>
        <w:rPr>
          <w:rFonts w:hint="eastAsia" w:ascii="宋体" w:hAnsi="宋体" w:cs="宋体"/>
          <w:b/>
          <w:bCs/>
          <w:color w:val="auto"/>
          <w:kern w:val="0"/>
          <w:szCs w:val="21"/>
          <w:highlight w:val="none"/>
        </w:rPr>
        <w:t>1.8 严禁贿赂</w:t>
      </w:r>
      <w:bookmarkEnd w:id="635"/>
    </w:p>
    <w:p w14:paraId="2616541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55776984">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003F63A7">
      <w:pPr>
        <w:widowControl/>
        <w:spacing w:line="360" w:lineRule="auto"/>
        <w:ind w:firstLine="422" w:firstLineChars="200"/>
        <w:jc w:val="left"/>
        <w:outlineLvl w:val="4"/>
        <w:rPr>
          <w:rFonts w:ascii="宋体" w:hAnsi="宋体" w:cs="宋体"/>
          <w:b/>
          <w:bCs/>
          <w:color w:val="auto"/>
          <w:kern w:val="0"/>
          <w:szCs w:val="21"/>
          <w:highlight w:val="none"/>
        </w:rPr>
      </w:pPr>
      <w:bookmarkStart w:id="636" w:name="_Toc532377328"/>
      <w:r>
        <w:rPr>
          <w:rFonts w:hint="eastAsia" w:ascii="宋体" w:hAnsi="宋体" w:cs="宋体"/>
          <w:b/>
          <w:bCs/>
          <w:color w:val="auto"/>
          <w:kern w:val="0"/>
          <w:szCs w:val="21"/>
          <w:highlight w:val="none"/>
        </w:rPr>
        <w:t>1.10 交通运输</w:t>
      </w:r>
      <w:bookmarkEnd w:id="636"/>
    </w:p>
    <w:p w14:paraId="09F0FA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637" w:name="_Toc303539100"/>
      <w:bookmarkStart w:id="638" w:name="_Toc312677986"/>
      <w:bookmarkStart w:id="639" w:name="_Toc318581155"/>
      <w:bookmarkStart w:id="640" w:name="_Toc304295521"/>
      <w:bookmarkStart w:id="641" w:name="_Toc300934943"/>
      <w:r>
        <w:rPr>
          <w:rFonts w:hint="eastAsia" w:ascii="宋体" w:hAnsi="宋体"/>
          <w:color w:val="auto"/>
          <w:szCs w:val="21"/>
          <w:highlight w:val="none"/>
        </w:rPr>
        <w:t>.10.1 出入现场的权利</w:t>
      </w:r>
    </w:p>
    <w:p w14:paraId="35C64CD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承包人负责办理，</w:t>
      </w:r>
      <w:bookmarkStart w:id="642" w:name="_Hlk77189214"/>
      <w:r>
        <w:rPr>
          <w:rFonts w:hint="eastAsia" w:ascii="宋体" w:hAnsi="宋体"/>
          <w:color w:val="auto"/>
          <w:szCs w:val="21"/>
          <w:highlight w:val="none"/>
          <w:u w:val="single"/>
        </w:rPr>
        <w:t>费用已包含在投标报价中</w:t>
      </w:r>
      <w:bookmarkEnd w:id="642"/>
      <w:r>
        <w:rPr>
          <w:rFonts w:hint="eastAsia" w:ascii="宋体" w:hAnsi="宋体"/>
          <w:color w:val="auto"/>
          <w:szCs w:val="21"/>
          <w:highlight w:val="none"/>
        </w:rPr>
        <w:t>。</w:t>
      </w:r>
    </w:p>
    <w:bookmarkEnd w:id="637"/>
    <w:bookmarkEnd w:id="638"/>
    <w:bookmarkEnd w:id="639"/>
    <w:bookmarkEnd w:id="640"/>
    <w:bookmarkEnd w:id="641"/>
    <w:p w14:paraId="19A0E2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F40C6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承包人应遵守有关交通法规，执行有关道路限速、限行、禁止超载的规定，并配合交通管理部门的监督和检查。相关费用已包括在合同价款中，不另行计取。场外交通以施工场地移交时的现状为准。</w:t>
      </w:r>
    </w:p>
    <w:p w14:paraId="6E6BC9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643" w:name="_Toc318581156"/>
      <w:bookmarkStart w:id="644" w:name="_Toc304295522"/>
      <w:bookmarkStart w:id="645" w:name="_Toc303539101"/>
      <w:bookmarkStart w:id="646" w:name="_Toc300934944"/>
      <w:bookmarkStart w:id="647" w:name="_Toc312677987"/>
      <w:r>
        <w:rPr>
          <w:rFonts w:hint="eastAsia" w:ascii="宋体" w:hAnsi="宋体"/>
          <w:color w:val="auto"/>
          <w:szCs w:val="21"/>
          <w:highlight w:val="none"/>
        </w:rPr>
        <w:t>.10.3 场内交通</w:t>
      </w:r>
    </w:p>
    <w:p w14:paraId="51C12336">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3D51A79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643"/>
    <w:bookmarkEnd w:id="644"/>
    <w:bookmarkEnd w:id="645"/>
    <w:bookmarkEnd w:id="646"/>
    <w:bookmarkEnd w:id="647"/>
    <w:p w14:paraId="1FF3808A">
      <w:pPr>
        <w:spacing w:line="360" w:lineRule="auto"/>
        <w:ind w:firstLine="420" w:firstLineChars="200"/>
        <w:jc w:val="left"/>
        <w:rPr>
          <w:rFonts w:ascii="宋体" w:hAnsi="宋体"/>
          <w:color w:val="auto"/>
          <w:szCs w:val="21"/>
          <w:highlight w:val="none"/>
        </w:rPr>
      </w:pPr>
      <w:bookmarkStart w:id="648" w:name="_Toc318581157"/>
      <w:r>
        <w:rPr>
          <w:rFonts w:hint="eastAsia" w:ascii="宋体" w:hAnsi="宋体"/>
          <w:color w:val="auto"/>
          <w:szCs w:val="21"/>
          <w:highlight w:val="none"/>
        </w:rPr>
        <w:t>1.10.4 超大件和超重件的运输</w:t>
      </w:r>
    </w:p>
    <w:p w14:paraId="2EDA6A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运输超大件或超重件运输许可证办理及运至现场所需的道路和桥梁临时加固改造费用和其他有关费用由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bookmarkEnd w:id="648"/>
    <w:p w14:paraId="7F8663FD">
      <w:pPr>
        <w:widowControl/>
        <w:spacing w:line="360" w:lineRule="auto"/>
        <w:ind w:firstLine="422" w:firstLineChars="200"/>
        <w:jc w:val="left"/>
        <w:outlineLvl w:val="4"/>
        <w:rPr>
          <w:rFonts w:ascii="宋体" w:hAnsi="宋体" w:cs="宋体"/>
          <w:b/>
          <w:bCs/>
          <w:color w:val="auto"/>
          <w:kern w:val="0"/>
          <w:szCs w:val="21"/>
          <w:highlight w:val="none"/>
        </w:rPr>
      </w:pPr>
      <w:bookmarkStart w:id="649" w:name="_Toc532377329"/>
      <w:r>
        <w:rPr>
          <w:rFonts w:hint="eastAsia" w:ascii="宋体" w:hAnsi="宋体" w:cs="宋体"/>
          <w:b/>
          <w:bCs/>
          <w:color w:val="auto"/>
          <w:kern w:val="0"/>
          <w:szCs w:val="21"/>
          <w:highlight w:val="none"/>
        </w:rPr>
        <w:t>1.11 知识产权</w:t>
      </w:r>
      <w:bookmarkEnd w:id="649"/>
    </w:p>
    <w:p w14:paraId="012431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16C107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BBA47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由承包人承担，已包含在签约合同价中 </w:t>
      </w:r>
      <w:r>
        <w:rPr>
          <w:rFonts w:hint="eastAsia" w:ascii="宋体" w:hAnsi="宋体"/>
          <w:color w:val="auto"/>
          <w:szCs w:val="21"/>
          <w:highlight w:val="none"/>
        </w:rPr>
        <w:t>。</w:t>
      </w:r>
    </w:p>
    <w:p w14:paraId="6D83937E">
      <w:pPr>
        <w:widowControl/>
        <w:spacing w:line="360" w:lineRule="auto"/>
        <w:ind w:firstLine="422" w:firstLineChars="200"/>
        <w:jc w:val="left"/>
        <w:outlineLvl w:val="4"/>
        <w:rPr>
          <w:rFonts w:ascii="宋体" w:hAnsi="宋体" w:cs="宋体"/>
          <w:b/>
          <w:bCs/>
          <w:color w:val="auto"/>
          <w:kern w:val="0"/>
          <w:szCs w:val="21"/>
          <w:highlight w:val="none"/>
        </w:rPr>
      </w:pPr>
      <w:bookmarkStart w:id="650" w:name="_Toc532377330"/>
      <w:r>
        <w:rPr>
          <w:rFonts w:hint="eastAsia" w:ascii="宋体" w:hAnsi="宋体" w:cs="宋体"/>
          <w:b/>
          <w:bCs/>
          <w:color w:val="auto"/>
          <w:kern w:val="0"/>
          <w:szCs w:val="21"/>
          <w:highlight w:val="none"/>
        </w:rPr>
        <w:t>1.13工程量清单错误的修正</w:t>
      </w:r>
      <w:bookmarkEnd w:id="650"/>
    </w:p>
    <w:p w14:paraId="2BC35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承包人承担本工程各分部分项工程量清单子项不论其对应的项目特征和工作内容是否描述完整的风险；发包人承担漏项的风险</w:t>
      </w:r>
      <w:r>
        <w:rPr>
          <w:rFonts w:hint="eastAsia" w:ascii="宋体" w:hAnsi="宋体"/>
          <w:color w:val="auto"/>
          <w:szCs w:val="21"/>
          <w:highlight w:val="none"/>
        </w:rPr>
        <w:t>。</w:t>
      </w:r>
    </w:p>
    <w:p w14:paraId="40472A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不调整合同单价</w:t>
      </w:r>
      <w:r>
        <w:rPr>
          <w:rFonts w:hint="eastAsia" w:ascii="宋体" w:hAnsi="宋体"/>
          <w:color w:val="auto"/>
          <w:kern w:val="0"/>
          <w:szCs w:val="21"/>
          <w:highlight w:val="none"/>
        </w:rPr>
        <w:t>。</w:t>
      </w:r>
    </w:p>
    <w:p w14:paraId="76F764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不调整合同单价</w:t>
      </w:r>
      <w:r>
        <w:rPr>
          <w:rFonts w:hint="eastAsia" w:ascii="宋体" w:hAnsi="宋体"/>
          <w:color w:val="auto"/>
          <w:szCs w:val="21"/>
          <w:highlight w:val="none"/>
        </w:rPr>
        <w:t>。</w:t>
      </w:r>
    </w:p>
    <w:p w14:paraId="37A22083">
      <w:pPr>
        <w:keepNext/>
        <w:keepLines/>
        <w:widowControl/>
        <w:spacing w:before="156" w:beforeLines="50" w:after="156" w:afterLines="50" w:line="360" w:lineRule="auto"/>
        <w:outlineLvl w:val="3"/>
        <w:rPr>
          <w:rFonts w:ascii="宋体" w:hAnsi="宋体" w:cs="宋体"/>
          <w:b/>
          <w:color w:val="auto"/>
          <w:szCs w:val="21"/>
          <w:highlight w:val="none"/>
        </w:rPr>
      </w:pPr>
      <w:bookmarkStart w:id="651" w:name="_Toc351203634"/>
      <w:bookmarkStart w:id="652" w:name="_Toc532377331"/>
      <w:bookmarkStart w:id="653" w:name="_Toc532375609"/>
      <w:r>
        <w:rPr>
          <w:rFonts w:hint="eastAsia" w:ascii="宋体" w:hAnsi="宋体" w:cs="宋体"/>
          <w:b/>
          <w:bCs/>
          <w:color w:val="auto"/>
          <w:szCs w:val="21"/>
          <w:highlight w:val="none"/>
        </w:rPr>
        <w:t>2</w:t>
      </w:r>
      <w:bookmarkStart w:id="654" w:name="_Toc296346658"/>
      <w:bookmarkStart w:id="655" w:name="_Toc292559867"/>
      <w:bookmarkStart w:id="656" w:name="_Toc296347156"/>
      <w:bookmarkStart w:id="657" w:name="_Toc296891197"/>
      <w:bookmarkStart w:id="658" w:name="_Toc296890985"/>
      <w:bookmarkStart w:id="659" w:name="_Toc292559362"/>
      <w:bookmarkStart w:id="660" w:name="_Toc297048343"/>
      <w:bookmarkStart w:id="661" w:name="_Toc296503157"/>
      <w:bookmarkStart w:id="662" w:name="_Toc297120457"/>
      <w:bookmarkStart w:id="663" w:name="_Toc296944496"/>
      <w:r>
        <w:rPr>
          <w:rFonts w:hint="eastAsia" w:ascii="宋体" w:hAnsi="宋体" w:cs="宋体"/>
          <w:b/>
          <w:bCs/>
          <w:color w:val="auto"/>
          <w:szCs w:val="21"/>
          <w:highlight w:val="none"/>
        </w:rPr>
        <w:t>. 发包人</w:t>
      </w:r>
      <w:bookmarkEnd w:id="651"/>
      <w:bookmarkEnd w:id="652"/>
      <w:bookmarkEnd w:id="653"/>
    </w:p>
    <w:bookmarkEnd w:id="654"/>
    <w:bookmarkEnd w:id="655"/>
    <w:bookmarkEnd w:id="656"/>
    <w:bookmarkEnd w:id="657"/>
    <w:bookmarkEnd w:id="658"/>
    <w:bookmarkEnd w:id="659"/>
    <w:bookmarkEnd w:id="660"/>
    <w:bookmarkEnd w:id="661"/>
    <w:bookmarkEnd w:id="662"/>
    <w:bookmarkEnd w:id="663"/>
    <w:p w14:paraId="2B2842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3C8367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7E0A3D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116FEE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798502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022D67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701A89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09FCEC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。凡涉及工期、工程量、价款等合同实质性内容变更的，应以发包人盖章确认为准。</w:t>
      </w:r>
    </w:p>
    <w:p w14:paraId="543FE6E4">
      <w:pPr>
        <w:widowControl/>
        <w:spacing w:line="360" w:lineRule="auto"/>
        <w:ind w:firstLine="422" w:firstLineChars="200"/>
        <w:jc w:val="left"/>
        <w:outlineLvl w:val="4"/>
        <w:rPr>
          <w:rFonts w:ascii="宋体" w:hAnsi="宋体" w:cs="宋体"/>
          <w:b/>
          <w:bCs/>
          <w:color w:val="auto"/>
          <w:kern w:val="0"/>
          <w:szCs w:val="21"/>
          <w:highlight w:val="none"/>
        </w:rPr>
      </w:pPr>
      <w:bookmarkStart w:id="664" w:name="_Toc532377332"/>
      <w:r>
        <w:rPr>
          <w:rFonts w:hint="eastAsia" w:ascii="宋体" w:hAnsi="宋体" w:cs="宋体"/>
          <w:b/>
          <w:bCs/>
          <w:color w:val="auto"/>
          <w:kern w:val="0"/>
          <w:szCs w:val="21"/>
          <w:highlight w:val="none"/>
        </w:rPr>
        <w:t>2.4 施工现场、施工条件和基础资料的提供</w:t>
      </w:r>
      <w:bookmarkEnd w:id="664"/>
    </w:p>
    <w:p w14:paraId="4EE491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33804F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073BE4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A1E55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3290E1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6D93ED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774525A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53F5150C">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如施工过程中遇阻工等原因导致施工场地不具备实施条件，承包人应结合实际情况组织相关协调工作。因以上原因导致工期延长或赶工的，相关费用由承包人自行考虑，发包人不再支付任何费用。</w:t>
      </w:r>
    </w:p>
    <w:p w14:paraId="1FB1B1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4C5E18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2.4.2.1关于发包人应负责提供施工所需要的条件：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4E08F5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2施工场地与公共道路的通道开通时间和要求：由承包人自行负责协调进场和维护，如果承包人需要另外开辟道路，须报经发包人批准后，由承包人自行负责全部工作，费用综合考虑在投标报价中。</w:t>
      </w:r>
    </w:p>
    <w:p w14:paraId="53636B3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3工程地质资料和地下管线资料的提供时间；承包方进场后应结合现场情况对其准确性进行复核，并对复核结果负责。</w:t>
      </w:r>
    </w:p>
    <w:p w14:paraId="2189BDE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4协调处理施工场地周围地下管线和邻近建筑物、构筑物(含文物保护建筑)、古树名木的保护工作：在发包人所提供的资料（若有）外，施工区域内仍有可能存在管线和邻近建筑物、构筑物(含文物保护建筑)、古树名木，承包人应在调查、探明并编制安全施工方案经监理批准后方可实施，费用由</w:t>
      </w:r>
      <w:r>
        <w:rPr>
          <w:rFonts w:hint="eastAsia" w:ascii="宋体" w:hAnsi="宋体"/>
          <w:color w:val="auto"/>
          <w:szCs w:val="21"/>
          <w:highlight w:val="none"/>
          <w:lang w:val="en-US" w:eastAsia="zh-CN"/>
        </w:rPr>
        <w:t>承包人</w:t>
      </w:r>
      <w:r>
        <w:rPr>
          <w:rFonts w:hint="eastAsia" w:ascii="宋体" w:hAnsi="宋体"/>
          <w:color w:val="auto"/>
          <w:szCs w:val="21"/>
          <w:highlight w:val="none"/>
        </w:rPr>
        <w:t>根据实际情况承担。承包人对施工中的地上地下建筑物（构筑物）管线、电力设施等应按有关规定加强监控测量和保护，保证周围建(构)筑物、地下及地上管线、地下人防等设施安全，相应的费用或因保护不当造成的损失及法律责任由承包人承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若发包人承担责任，视为承包人违约，有权向承包人追偿</w:t>
      </w:r>
      <w:r>
        <w:rPr>
          <w:rFonts w:hint="eastAsia" w:ascii="宋体" w:hAnsi="宋体"/>
          <w:color w:val="auto"/>
          <w:szCs w:val="21"/>
          <w:highlight w:val="none"/>
        </w:rPr>
        <w:t>。</w:t>
      </w:r>
    </w:p>
    <w:p w14:paraId="4718A4A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5将施工所需的水、电接至施工场地的时间、地点：由承包人自行接至施工现场，施工用电的低压端部分、水的安拆费用综合考虑在投标报价中。承包人应充分考虑停水、停电因素，因停水、停电而造成自发电、储水措施费用已包含在合同总价中，同时工期不得顺延。承包人应充分考虑发包人后续招标（如有）进场施工单位的用水用电需求，无条件配合发包人的管理安排，自备发电措施及其他储水措施以保证工程顺利进行，相关费用由承包人自理已包含在合同总价中，同时工期不得顺延。</w:t>
      </w:r>
    </w:p>
    <w:p w14:paraId="6110C8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2.4.3逾期提供的责任</w:t>
      </w:r>
    </w:p>
    <w:p w14:paraId="1C3C92E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本款所涉及的发包人提供的施工现场、施工条件和基础资料，承包人在进场之后应在三天内核实发包人是否提供及是否符合条件，并提出书面异议和催告，否则均将视为发包人提供的施工现场、施工条件和基础资料符合要求或不影响承包人施工和增加其费用。</w:t>
      </w:r>
    </w:p>
    <w:p w14:paraId="221D4D01">
      <w:pPr>
        <w:widowControl/>
        <w:spacing w:line="360" w:lineRule="auto"/>
        <w:ind w:firstLine="422" w:firstLineChars="200"/>
        <w:jc w:val="left"/>
        <w:outlineLvl w:val="4"/>
        <w:rPr>
          <w:rFonts w:ascii="宋体" w:hAnsi="宋体" w:cs="宋体"/>
          <w:b/>
          <w:bCs/>
          <w:color w:val="auto"/>
          <w:kern w:val="0"/>
          <w:szCs w:val="21"/>
          <w:highlight w:val="none"/>
        </w:rPr>
      </w:pPr>
      <w:bookmarkStart w:id="665" w:name="_Toc532377333"/>
      <w:r>
        <w:rPr>
          <w:rFonts w:hint="eastAsia" w:ascii="宋体" w:hAnsi="宋体" w:cs="宋体"/>
          <w:b/>
          <w:bCs/>
          <w:color w:val="auto"/>
          <w:kern w:val="0"/>
          <w:szCs w:val="21"/>
          <w:highlight w:val="none"/>
        </w:rPr>
        <w:t>2.5 资金来源证明及支付担保</w:t>
      </w:r>
      <w:bookmarkEnd w:id="665"/>
    </w:p>
    <w:p w14:paraId="5E36A0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46AEE0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不提供</w:t>
      </w:r>
      <w:r>
        <w:rPr>
          <w:rFonts w:hint="eastAsia" w:ascii="宋体" w:hAnsi="宋体"/>
          <w:color w:val="auto"/>
          <w:szCs w:val="21"/>
          <w:highlight w:val="none"/>
        </w:rPr>
        <w:t>。</w:t>
      </w:r>
    </w:p>
    <w:p w14:paraId="6BE5BE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03223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1DF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C8602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3AA0A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D7A60B1">
      <w:pPr>
        <w:keepNext/>
        <w:keepLines/>
        <w:widowControl/>
        <w:spacing w:before="156" w:beforeLines="50" w:after="156" w:afterLines="50" w:line="360" w:lineRule="auto"/>
        <w:outlineLvl w:val="3"/>
        <w:rPr>
          <w:rFonts w:ascii="宋体" w:hAnsi="宋体" w:cs="宋体"/>
          <w:b/>
          <w:color w:val="auto"/>
          <w:szCs w:val="21"/>
          <w:highlight w:val="none"/>
        </w:rPr>
      </w:pPr>
      <w:bookmarkStart w:id="666" w:name="_Toc532375610"/>
      <w:bookmarkStart w:id="667" w:name="_Toc351203635"/>
      <w:bookmarkStart w:id="668" w:name="_Toc532377334"/>
      <w:r>
        <w:rPr>
          <w:rFonts w:hint="eastAsia" w:ascii="宋体" w:hAnsi="宋体" w:cs="宋体"/>
          <w:b/>
          <w:bCs/>
          <w:color w:val="auto"/>
          <w:szCs w:val="21"/>
          <w:highlight w:val="none"/>
        </w:rPr>
        <w:t>3</w:t>
      </w:r>
      <w:bookmarkStart w:id="669" w:name="_Toc297048344"/>
      <w:bookmarkStart w:id="670" w:name="_Toc296890986"/>
      <w:bookmarkStart w:id="671" w:name="_Toc296944497"/>
      <w:bookmarkStart w:id="672" w:name="_Toc296503158"/>
      <w:bookmarkStart w:id="673" w:name="_Toc296346659"/>
      <w:bookmarkStart w:id="674" w:name="_Toc292559868"/>
      <w:bookmarkStart w:id="675" w:name="_Toc296347157"/>
      <w:bookmarkStart w:id="676" w:name="_Toc297120458"/>
      <w:bookmarkStart w:id="677" w:name="_Toc292559363"/>
      <w:bookmarkStart w:id="678" w:name="_Toc296891198"/>
      <w:r>
        <w:rPr>
          <w:rFonts w:hint="eastAsia" w:ascii="宋体" w:hAnsi="宋体" w:cs="宋体"/>
          <w:b/>
          <w:bCs/>
          <w:color w:val="auto"/>
          <w:szCs w:val="21"/>
          <w:highlight w:val="none"/>
        </w:rPr>
        <w:t>. 承包人</w:t>
      </w:r>
      <w:bookmarkEnd w:id="666"/>
      <w:bookmarkEnd w:id="667"/>
      <w:bookmarkEnd w:id="668"/>
    </w:p>
    <w:bookmarkEnd w:id="669"/>
    <w:bookmarkEnd w:id="670"/>
    <w:bookmarkEnd w:id="671"/>
    <w:bookmarkEnd w:id="672"/>
    <w:bookmarkEnd w:id="673"/>
    <w:bookmarkEnd w:id="674"/>
    <w:bookmarkEnd w:id="675"/>
    <w:bookmarkEnd w:id="676"/>
    <w:bookmarkEnd w:id="677"/>
    <w:bookmarkEnd w:id="678"/>
    <w:p w14:paraId="192B664F">
      <w:pPr>
        <w:widowControl/>
        <w:spacing w:line="360" w:lineRule="auto"/>
        <w:ind w:firstLine="422" w:firstLineChars="200"/>
        <w:jc w:val="left"/>
        <w:outlineLvl w:val="4"/>
        <w:rPr>
          <w:rFonts w:ascii="宋体" w:hAnsi="宋体" w:cs="宋体"/>
          <w:b/>
          <w:bCs/>
          <w:color w:val="auto"/>
          <w:kern w:val="0"/>
          <w:szCs w:val="21"/>
          <w:highlight w:val="none"/>
        </w:rPr>
      </w:pPr>
      <w:bookmarkStart w:id="679" w:name="_Toc532377335"/>
      <w:r>
        <w:rPr>
          <w:rFonts w:hint="eastAsia" w:ascii="宋体" w:hAnsi="宋体" w:cs="宋体"/>
          <w:b/>
          <w:bCs/>
          <w:color w:val="auto"/>
          <w:kern w:val="0"/>
          <w:szCs w:val="21"/>
          <w:highlight w:val="none"/>
        </w:rPr>
        <w:t>3.1 承包人的一般义务</w:t>
      </w:r>
      <w:bookmarkEnd w:id="679"/>
    </w:p>
    <w:p w14:paraId="386428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1F6A91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3442B6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4E90AA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407DD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5C180B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68E67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27671B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098E6FD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3036DA5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51A79FF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六  </w:t>
      </w:r>
      <w:r>
        <w:rPr>
          <w:rFonts w:hint="eastAsia" w:ascii="宋体" w:hAnsi="宋体"/>
          <w:color w:val="auto"/>
          <w:szCs w:val="21"/>
          <w:highlight w:val="none"/>
        </w:rPr>
        <w:t>套（含电子文档）。</w:t>
      </w:r>
    </w:p>
    <w:p w14:paraId="49E7F1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由承包人承担，如需要额外增加资料套数时，承包人无偿提供</w:t>
      </w:r>
      <w:r>
        <w:rPr>
          <w:rFonts w:hint="eastAsia" w:ascii="宋体" w:hAnsi="宋体"/>
          <w:color w:val="auto"/>
          <w:szCs w:val="21"/>
          <w:highlight w:val="none"/>
        </w:rPr>
        <w:t>。</w:t>
      </w:r>
    </w:p>
    <w:p w14:paraId="0F0A1E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1 个月内移交给发包人</w:t>
      </w:r>
      <w:r>
        <w:rPr>
          <w:rFonts w:hint="eastAsia" w:ascii="宋体" w:hAnsi="宋体"/>
          <w:color w:val="auto"/>
          <w:szCs w:val="21"/>
          <w:highlight w:val="none"/>
        </w:rPr>
        <w:t>。</w:t>
      </w:r>
    </w:p>
    <w:p w14:paraId="7734CD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608554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591732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0A0A54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06276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3F086B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756444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6A5063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3.1.10.6为他人提供方便</w:t>
      </w:r>
    </w:p>
    <w:p w14:paraId="751B45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(1)承包人应当对在施工场地或者附近实施与合同工程有关的其他工作的独立承包人履行管理、协调、配合、照管和服务义务，由此发生的费用被认为己经包括在承包人的签约合同价(投标总报价)中。</w:t>
      </w:r>
    </w:p>
    <w:p w14:paraId="7200EE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(2)承包人还应按监理人指示为独立承包人以外的他人在施工场地或者附近实施与合同工程有关的其他工作提供可能的条件，可能发生费用由承包人承担。</w:t>
      </w:r>
    </w:p>
    <w:p w14:paraId="013D35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(3)承包人有义务积极配合协调其他施工单位的工作。承包人不得向其他承包人收取配合费、管理费和其他任何手续费。</w:t>
      </w:r>
    </w:p>
    <w:p w14:paraId="6A2222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(4)承包人应负责向发包人发包的其它承包人提供他们施工所需的合理设施，由此产生的配合费、降效费等所有相应费用综合考虑在投标报价中。水电按表计量，并收取水电费：</w:t>
      </w:r>
    </w:p>
    <w:p w14:paraId="70313B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(5)承包人应负责向发包人发包的其它承包人提供工地上道路，并提供施工场地，发生的相关费用综合考虑在投标报价中。</w:t>
      </w:r>
    </w:p>
    <w:p w14:paraId="709096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(6)承包人应负责向发包人发包的其它承包人提供在现场搭设办公室、材料设备的堆场等场地，发生的相关费用综合考虑在投标报价中(如果有).</w:t>
      </w:r>
    </w:p>
    <w:p w14:paraId="213CB5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10.7施工所需的水、电、电讯线路供应要求：承包人自行解决生活、办公及生产用水，发包人指定水电接口(红线100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驻现场咨询人所需的生活用水用电，工程的施工、试验和维修用水、电等，相关费用综合考虑在投标报价中。</w:t>
      </w:r>
    </w:p>
    <w:p w14:paraId="14250F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10.8承担施工安全保卫工作及施工照明的责任和要求：由承包人自行解决，并按有关规定办理建设工程报监手续，费用综合考虑在投标报价中。施工过程中按照法律规定施工并制定相应制度，若因承包人未履行义务，致使发包人承担赔偿责任或被相关行政机关处罚，承包人承担给发包人造成一切损失，且发包人有权解除本合同。</w:t>
      </w:r>
    </w:p>
    <w:p w14:paraId="3CCCFF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10.9向发包人提供的办公、生活房屋、交通工具及设施的要求：承包人向发包人派驻的工程师提供必要的办公房屋，费用综合考虑在投标报价中。</w:t>
      </w:r>
    </w:p>
    <w:p w14:paraId="4F5208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10.10需承包人办理的有关施工场地交通、环卫、排污和施工噪音管理等手续：均由承包人自行负责，按相关部门规定办理有关手续，相关费用均综合考虑在投标报价中。注：工程排污费由承包人缴纳,发包人根据缴纳凭证据实支付。</w:t>
      </w:r>
    </w:p>
    <w:p w14:paraId="1DC763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10.11己完工程成品保护的特殊要求及费用承担；由承包人负责，费用综合考虑在投标报价中。</w:t>
      </w:r>
    </w:p>
    <w:p w14:paraId="49472A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10.12施工场地周围地下管线和邻近建筑物、构筑物（含文物保护建筑）、古树名木的保护要求及费用承担：保护义务由承包人负责，相关费用由发包人根据实际情况承担。</w:t>
      </w:r>
    </w:p>
    <w:p w14:paraId="0C21B6C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10.13施工场地清洁卫生的要求：执行</w:t>
      </w:r>
      <w:r>
        <w:rPr>
          <w:rFonts w:hint="eastAsia" w:ascii="宋体" w:hAnsi="宋体"/>
          <w:color w:val="auto"/>
          <w:szCs w:val="21"/>
          <w:highlight w:val="none"/>
          <w:u w:val="single"/>
        </w:rPr>
        <w:t>《重庆市建设委员会关</w:t>
      </w:r>
      <w:r>
        <w:rPr>
          <w:rFonts w:hint="eastAsia" w:ascii="宋体" w:hAnsi="宋体" w:eastAsia="宋体" w:cs="Times New Roman"/>
          <w:color w:val="auto"/>
          <w:szCs w:val="21"/>
          <w:highlight w:val="none"/>
          <w:u w:val="single"/>
        </w:rPr>
        <w:t>于印发&lt;</w:t>
      </w:r>
      <w:r>
        <w:rPr>
          <w:rFonts w:hint="eastAsia" w:ascii="宋体" w:hAnsi="宋体" w:eastAsia="宋体" w:cs="Times New Roman"/>
          <w:i w:val="0"/>
          <w:iCs w:val="0"/>
          <w:caps w:val="0"/>
          <w:color w:val="auto"/>
          <w:spacing w:val="0"/>
          <w:sz w:val="21"/>
          <w:szCs w:val="21"/>
          <w:highlight w:val="none"/>
          <w:u w:val="single"/>
          <w:shd w:val="clear" w:color="auto" w:fill="auto"/>
        </w:rPr>
        <w:t>重庆市房屋建筑和市政基础设施工程施工现场文明施工标准（试行）</w:t>
      </w:r>
      <w:r>
        <w:rPr>
          <w:rFonts w:hint="eastAsia" w:ascii="宋体" w:hAnsi="宋体" w:eastAsia="宋体" w:cs="Times New Roman"/>
          <w:color w:val="auto"/>
          <w:szCs w:val="21"/>
          <w:highlight w:val="none"/>
          <w:u w:val="single"/>
        </w:rPr>
        <w:t>》（</w:t>
      </w:r>
      <w:r>
        <w:rPr>
          <w:rFonts w:hint="eastAsia" w:ascii="宋体" w:hAnsi="宋体" w:eastAsia="宋体" w:cs="Times New Roman"/>
          <w:i w:val="0"/>
          <w:iCs w:val="0"/>
          <w:caps w:val="0"/>
          <w:color w:val="auto"/>
          <w:spacing w:val="0"/>
          <w:sz w:val="21"/>
          <w:szCs w:val="21"/>
          <w:highlight w:val="none"/>
          <w:u w:val="single"/>
          <w:shd w:val="clear" w:color="auto" w:fill="auto"/>
        </w:rPr>
        <w:t>渝建质安〔2020〕33号</w:t>
      </w:r>
      <w:r>
        <w:rPr>
          <w:rFonts w:hint="eastAsia" w:ascii="宋体" w:hAnsi="宋体" w:eastAsia="宋体" w:cs="Times New Roman"/>
          <w:color w:val="auto"/>
          <w:szCs w:val="21"/>
          <w:highlight w:val="none"/>
          <w:u w:val="single"/>
        </w:rPr>
        <w:t>）</w:t>
      </w:r>
      <w:r>
        <w:rPr>
          <w:rFonts w:hint="eastAsia" w:ascii="宋体" w:hAnsi="宋体"/>
          <w:color w:val="auto"/>
          <w:szCs w:val="21"/>
          <w:highlight w:val="none"/>
        </w:rPr>
        <w:t>、建设部《建筑工程安全防护文明施工措施费用及使用管理规定》及JGJ59-2011《建筑施工安全检查评分标准》。工程竣工验收前必须撤除发包人及监理办公用房外的全部临时设施，将建筑垃圾、生活垃圾清理出场，并按建设主管部门的规定执行，全部费用综合考虑在投标报价中。</w:t>
      </w:r>
    </w:p>
    <w:p w14:paraId="34BBAA20">
      <w:pPr>
        <w:pStyle w:val="2"/>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10.14承包人应按照设计及相关规范、规定，</w:t>
      </w:r>
      <w:r>
        <w:rPr>
          <w:rFonts w:hint="eastAsia" w:ascii="宋体" w:hAnsi="宋体"/>
          <w:color w:val="auto"/>
          <w:szCs w:val="21"/>
          <w:highlight w:val="none"/>
          <w:lang w:eastAsia="zh-Hans"/>
        </w:rPr>
        <w:t>完成</w:t>
      </w:r>
      <w:r>
        <w:rPr>
          <w:rFonts w:hint="eastAsia" w:ascii="宋体" w:hAnsi="宋体"/>
          <w:color w:val="auto"/>
          <w:szCs w:val="21"/>
          <w:highlight w:val="none"/>
        </w:rPr>
        <w:t>危大项目、高边坡、深基坑、轨道和附近构筑物等的监测和安全评估（评价）工作</w:t>
      </w:r>
      <w:r>
        <w:rPr>
          <w:rFonts w:ascii="宋体" w:hAnsi="宋体"/>
          <w:color w:val="auto"/>
          <w:szCs w:val="21"/>
          <w:highlight w:val="none"/>
        </w:rPr>
        <w:t>，</w:t>
      </w:r>
      <w:r>
        <w:rPr>
          <w:rFonts w:hint="eastAsia" w:ascii="宋体" w:hAnsi="宋体"/>
          <w:color w:val="auto"/>
          <w:szCs w:val="21"/>
          <w:highlight w:val="none"/>
          <w:lang w:eastAsia="zh-Hans"/>
        </w:rPr>
        <w:t>其</w:t>
      </w:r>
      <w:r>
        <w:rPr>
          <w:rFonts w:hint="eastAsia" w:ascii="宋体" w:hAnsi="宋体"/>
          <w:color w:val="auto"/>
          <w:szCs w:val="21"/>
          <w:highlight w:val="none"/>
        </w:rPr>
        <w:t>费用已包含在合同价格中，不再另行计价；承包人应根据收集的资料及现场情况</w:t>
      </w:r>
      <w:r>
        <w:rPr>
          <w:rFonts w:hint="eastAsia" w:ascii="宋体" w:hAnsi="宋体"/>
          <w:color w:val="auto"/>
          <w:szCs w:val="21"/>
          <w:highlight w:val="none"/>
          <w:lang w:eastAsia="zh-Hans"/>
        </w:rPr>
        <w:t>制作</w:t>
      </w:r>
      <w:r>
        <w:rPr>
          <w:rFonts w:hint="eastAsia" w:ascii="宋体" w:hAnsi="宋体"/>
          <w:color w:val="auto"/>
          <w:szCs w:val="21"/>
          <w:highlight w:val="none"/>
        </w:rPr>
        <w:t>施工方案，施工时委托有资质的第三方单位开展监测和评审，应符合国家、重庆市、住建部的相关规定，并确保周边建筑及人员、本工程施工人员、机械等安全，费用已包含在合同价格中，不再另行计价。</w:t>
      </w:r>
    </w:p>
    <w:p w14:paraId="4EE72F97">
      <w:pPr>
        <w:widowControl/>
        <w:spacing w:line="360" w:lineRule="auto"/>
        <w:ind w:firstLine="422" w:firstLineChars="200"/>
        <w:jc w:val="left"/>
        <w:outlineLvl w:val="4"/>
        <w:rPr>
          <w:rFonts w:ascii="宋体" w:hAnsi="宋体" w:cs="宋体"/>
          <w:b/>
          <w:bCs/>
          <w:color w:val="auto"/>
          <w:kern w:val="0"/>
          <w:szCs w:val="21"/>
          <w:highlight w:val="none"/>
        </w:rPr>
      </w:pPr>
      <w:bookmarkStart w:id="680" w:name="_Toc532377336"/>
      <w:r>
        <w:rPr>
          <w:rFonts w:hint="eastAsia" w:ascii="宋体" w:hAnsi="宋体" w:cs="宋体"/>
          <w:b/>
          <w:bCs/>
          <w:color w:val="auto"/>
          <w:kern w:val="0"/>
          <w:szCs w:val="21"/>
          <w:highlight w:val="none"/>
        </w:rPr>
        <w:t>3.2 项目经理</w:t>
      </w:r>
      <w:bookmarkEnd w:id="680"/>
    </w:p>
    <w:p w14:paraId="6F580A8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6096CB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EAA07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rPr>
        <w:t>；</w:t>
      </w:r>
    </w:p>
    <w:p w14:paraId="67CECD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E1E6F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C9512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F03D4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B5C61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hint="eastAsia" w:ascii="宋体" w:hAnsi="宋体"/>
          <w:color w:val="auto"/>
          <w:szCs w:val="21"/>
          <w:highlight w:val="none"/>
        </w:rPr>
        <w:t>。</w:t>
      </w:r>
    </w:p>
    <w:p w14:paraId="090F89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3833C6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。若一个会计年度内项目经理每月出勤少于22日发生2次，发包人有权认为承包人的项目经理不尽职责，有权要求承包人更换项目经理。同时，发包人有权解除本合同。</w:t>
      </w:r>
    </w:p>
    <w:p w14:paraId="718FD4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承包人应在合同签订后7天内提交与项目经理签订的劳动合同及为项目经理缴纳社会保险的证明，承包人未在限期内提交的，项目经理无权履行职责，发包人有权要求更换项目经理或解除本合同</w:t>
      </w:r>
      <w:r>
        <w:rPr>
          <w:rFonts w:hint="eastAsia" w:ascii="宋体" w:hAnsi="宋体"/>
          <w:color w:val="auto"/>
          <w:szCs w:val="21"/>
          <w:highlight w:val="none"/>
        </w:rPr>
        <w:t>。</w:t>
      </w:r>
    </w:p>
    <w:p w14:paraId="05E054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项目经理未经批准，擅自离开施工现场的违约责任：项目经理工作时间因公离开施工现场，必须事前向发包人现场代表通报，如不通报按5000元/人·天向发包人支付违约金。</w:t>
      </w:r>
    </w:p>
    <w:p w14:paraId="4FE74A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承包人擅自更换项目经理的违约责任：承包人原则上不得更换项目经理，若因特殊原因确需更换项目经理，则更换前需取得发包人书面许可，同时还需承担（50-100万元）/次违约金。</w:t>
      </w:r>
    </w:p>
    <w:p w14:paraId="574137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项目经理</w:t>
      </w:r>
      <w:r>
        <w:rPr>
          <w:rFonts w:ascii="宋体" w:hAnsi="宋体"/>
          <w:color w:val="auto"/>
          <w:szCs w:val="21"/>
          <w:highlight w:val="none"/>
        </w:rPr>
        <w:t>离开施工现场的批准要求：因公离开施工现场，必须事前征得发包人现场代表同意。</w:t>
      </w:r>
    </w:p>
    <w:p w14:paraId="0148B7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246326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04B62D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96DCD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D7A9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5DE49ED">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FB33A72">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。若一个会计年度内技术负责人每月出勤少于22日发生2次，发包人有权认为承包人的技术负责人不尽职责，有权要求承包人更换技术负责人。同时，发包人有权解除本合同。</w:t>
      </w:r>
    </w:p>
    <w:p w14:paraId="0C01AD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承包人应在合同签订后7天内提交与技术负责人签订的劳动合同及为技术负责人缴纳社会保险的证明，承包人未在限期内提交的，技术负责人无权履行职责，发包人有权要求更换技术负责人或解除本合同</w:t>
      </w:r>
      <w:r>
        <w:rPr>
          <w:rFonts w:hint="eastAsia" w:ascii="宋体" w:hAnsi="宋体"/>
          <w:color w:val="auto"/>
          <w:szCs w:val="21"/>
          <w:highlight w:val="none"/>
        </w:rPr>
        <w:t>。</w:t>
      </w:r>
      <w:bookmarkStart w:id="681" w:name="_Hlk528927599"/>
    </w:p>
    <w:bookmarkEnd w:id="681"/>
    <w:p w14:paraId="0D4DCCBC">
      <w:pPr>
        <w:spacing w:line="360" w:lineRule="auto"/>
        <w:ind w:firstLine="420" w:firstLineChars="200"/>
        <w:jc w:val="left"/>
        <w:rPr>
          <w:rFonts w:ascii="宋体" w:hAnsi="宋体"/>
          <w:color w:val="auto"/>
          <w:szCs w:val="21"/>
          <w:highlight w:val="none"/>
        </w:rPr>
      </w:pPr>
      <w:bookmarkStart w:id="682" w:name="_Hlk528927718"/>
      <w:r>
        <w:rPr>
          <w:rFonts w:hint="eastAsia" w:ascii="宋体" w:hAnsi="宋体"/>
          <w:color w:val="auto"/>
          <w:szCs w:val="21"/>
          <w:highlight w:val="none"/>
        </w:rPr>
        <w:t>3.2.3 发包人有权书面通知承包人更换其认为不称职/不履职/不满意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82"/>
      <w:r>
        <w:rPr>
          <w:rFonts w:hint="eastAsia" w:ascii="宋体" w:hAnsi="宋体"/>
          <w:color w:val="auto"/>
          <w:szCs w:val="21"/>
          <w:highlight w:val="none"/>
        </w:rPr>
        <w:t>发包人要求承包人更换项目经理或技术负责人，而承包人不予更换的，视为承包人不能履约，不能实现合同目的，发包人有权解除本合同，并有权</w:t>
      </w:r>
      <w:r>
        <w:rPr>
          <w:rFonts w:hint="eastAsia" w:ascii="宋体" w:hAnsi="宋体"/>
          <w:color w:val="auto"/>
          <w:szCs w:val="21"/>
          <w:highlight w:val="none"/>
          <w:lang w:eastAsia="zh-Hans"/>
        </w:rPr>
        <w:t>在专用合同条款</w:t>
      </w:r>
      <w:r>
        <w:rPr>
          <w:rFonts w:hint="eastAsia" w:ascii="宋体" w:hAnsi="宋体"/>
          <w:color w:val="auto"/>
          <w:szCs w:val="21"/>
          <w:highlight w:val="none"/>
        </w:rPr>
        <w:t>3.2.1条约定</w:t>
      </w:r>
      <w:r>
        <w:rPr>
          <w:rFonts w:hint="eastAsia" w:ascii="宋体" w:hAnsi="宋体"/>
          <w:color w:val="auto"/>
          <w:szCs w:val="21"/>
          <w:highlight w:val="none"/>
          <w:lang w:eastAsia="zh-Hans"/>
        </w:rPr>
        <w:t>之</w:t>
      </w:r>
      <w:r>
        <w:rPr>
          <w:rFonts w:hint="eastAsia" w:ascii="宋体" w:hAnsi="宋体"/>
          <w:color w:val="auto"/>
          <w:szCs w:val="21"/>
          <w:highlight w:val="none"/>
        </w:rPr>
        <w:t>外要求承包人按照中标金额的0.1%承担违约金。</w:t>
      </w:r>
    </w:p>
    <w:p w14:paraId="0A43F6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3EED2C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038DEE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0DD6E7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204AF5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2D0AA3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336D96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7DAE29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6ADF02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521725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技术负责人离开施工现场的批准要求：因公离开施工现场，必须事前征得发包人现场代表同意。</w:t>
      </w:r>
    </w:p>
    <w:p w14:paraId="3052D8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技术负责人擅自离岗的违约责任：5000元违约金/次。</w:t>
      </w:r>
    </w:p>
    <w:p w14:paraId="0A900D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承包人擅自更换技术负责人的违约责任：承包人原则上不得更换技术负责人，若因特殊原因确需更换技术负责人，则更换前需取得发包人书面许可，且还需承担（50-100万元）/次违约金。</w:t>
      </w:r>
    </w:p>
    <w:p w14:paraId="55794C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3.2.7 国有资金投资项目其他主要人员变更参照《重庆市政府投资项目合同变更管理暂行办法》的规定。</w:t>
      </w:r>
    </w:p>
    <w:p w14:paraId="3C73F702">
      <w:pPr>
        <w:widowControl/>
        <w:spacing w:line="360" w:lineRule="auto"/>
        <w:ind w:firstLine="422" w:firstLineChars="200"/>
        <w:jc w:val="left"/>
        <w:outlineLvl w:val="4"/>
        <w:rPr>
          <w:rFonts w:ascii="宋体" w:hAnsi="宋体" w:cs="宋体"/>
          <w:b/>
          <w:bCs/>
          <w:color w:val="auto"/>
          <w:kern w:val="0"/>
          <w:szCs w:val="21"/>
          <w:highlight w:val="none"/>
        </w:rPr>
      </w:pPr>
      <w:bookmarkStart w:id="683" w:name="_Toc532377337"/>
      <w:r>
        <w:rPr>
          <w:rFonts w:hint="eastAsia" w:ascii="宋体" w:hAnsi="宋体" w:cs="宋体"/>
          <w:b/>
          <w:bCs/>
          <w:color w:val="auto"/>
          <w:kern w:val="0"/>
          <w:szCs w:val="21"/>
          <w:highlight w:val="none"/>
        </w:rPr>
        <w:t>3.3 承包人人员</w:t>
      </w:r>
      <w:bookmarkEnd w:id="683"/>
    </w:p>
    <w:p w14:paraId="4AEB86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承包人于开工前7日内提交项目管理机构及施工现场管理人员安排报告；承包人主要施工管理人员因公离开施工现场，必须事前征得发包人现场代表同意。承包人擅自更换主要施工管理人员的，向发包人承担1万元违约金/次；承包人主要施工管理人员擅自离岗的，向发包人承担5000元违约金/次。       </w:t>
      </w:r>
    </w:p>
    <w:p w14:paraId="0C2C91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AAAE3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不满意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r>
        <w:rPr>
          <w:rFonts w:hint="eastAsia" w:ascii="宋体" w:hAnsi="宋体"/>
          <w:color w:val="auto"/>
          <w:szCs w:val="21"/>
          <w:highlight w:val="none"/>
          <w:u w:val="single"/>
        </w:rPr>
        <w:t>承包人未在发包人规定时间内更换，则承包人承担10000元/人·天的违约金。</w:t>
      </w:r>
    </w:p>
    <w:p w14:paraId="17CE09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承包人主要施工管理人员离开施工现场，经发包人同意后，指定的临时人员需满足：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即使承包人派驻人员符合合同及相关配置规定要求，但根据项目实际实施的需要，监理人或发包人认为承包人应当增加派驻人员时，承包人必须按相关要求增加派驻人员，增加派驻人员的费用由承包人自行承担，发包人不另行支付。本合同中对承包人项目经理的到岗及更换等另有约定的，按其他约定执行。</w:t>
      </w:r>
    </w:p>
    <w:p w14:paraId="639DC5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若承包人未经发包人事先书面同意而擅自更换项目经理、技术负责人、主要管理人员的，发包人有权随时解除本合同，不再支付任何费用，且承包人应赔偿给发包人造成的损失。</w:t>
      </w:r>
    </w:p>
    <w:p w14:paraId="0A2F1FD2">
      <w:pPr>
        <w:widowControl/>
        <w:spacing w:line="360" w:lineRule="auto"/>
        <w:ind w:firstLine="422" w:firstLineChars="200"/>
        <w:jc w:val="left"/>
        <w:outlineLvl w:val="4"/>
        <w:rPr>
          <w:rFonts w:ascii="宋体" w:hAnsi="宋体" w:cs="宋体"/>
          <w:b/>
          <w:bCs/>
          <w:color w:val="auto"/>
          <w:kern w:val="0"/>
          <w:szCs w:val="21"/>
          <w:highlight w:val="none"/>
        </w:rPr>
      </w:pPr>
      <w:bookmarkStart w:id="684" w:name="_Toc532377338"/>
      <w:r>
        <w:rPr>
          <w:rFonts w:hint="eastAsia" w:ascii="宋体" w:hAnsi="宋体" w:cs="宋体"/>
          <w:b/>
          <w:bCs/>
          <w:color w:val="auto"/>
          <w:kern w:val="0"/>
          <w:szCs w:val="21"/>
          <w:highlight w:val="none"/>
        </w:rPr>
        <w:t>3</w:t>
      </w:r>
      <w:bookmarkStart w:id="685" w:name="_Toc297216151"/>
      <w:bookmarkStart w:id="686" w:name="_Toc296890987"/>
      <w:bookmarkStart w:id="687" w:name="_Toc297120459"/>
      <w:bookmarkStart w:id="688" w:name="_Toc292559364"/>
      <w:bookmarkStart w:id="689" w:name="_Toc312677988"/>
      <w:bookmarkStart w:id="690" w:name="_Toc296891199"/>
      <w:bookmarkStart w:id="691" w:name="_Toc296346660"/>
      <w:bookmarkStart w:id="692" w:name="_Toc303539102"/>
      <w:bookmarkStart w:id="693" w:name="_Toc296944498"/>
      <w:bookmarkStart w:id="694" w:name="_Toc292559869"/>
      <w:bookmarkStart w:id="695" w:name="_Toc296347158"/>
      <w:bookmarkStart w:id="696" w:name="_Toc297123492"/>
      <w:bookmarkStart w:id="697" w:name="_Toc297048345"/>
      <w:bookmarkStart w:id="698" w:name="_Toc304295523"/>
      <w:bookmarkStart w:id="699" w:name="_Toc300934945"/>
      <w:bookmarkStart w:id="700" w:name="_Toc296503159"/>
      <w:r>
        <w:rPr>
          <w:rFonts w:hint="eastAsia" w:ascii="宋体" w:hAnsi="宋体" w:cs="宋体"/>
          <w:b/>
          <w:bCs/>
          <w:color w:val="auto"/>
          <w:kern w:val="0"/>
          <w:szCs w:val="21"/>
          <w:highlight w:val="none"/>
        </w:rPr>
        <w:t>.5 分包</w:t>
      </w:r>
      <w:bookmarkEnd w:id="684"/>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5CF073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701" w:name="_Toc303539103"/>
      <w:bookmarkStart w:id="702" w:name="_Toc297048346"/>
      <w:bookmarkStart w:id="703" w:name="_Toc297123493"/>
      <w:bookmarkStart w:id="704" w:name="_Toc296944499"/>
      <w:bookmarkStart w:id="705" w:name="_Toc297120460"/>
      <w:bookmarkStart w:id="706" w:name="_Toc296347159"/>
      <w:bookmarkStart w:id="707" w:name="_Toc292559365"/>
      <w:bookmarkStart w:id="708" w:name="_Toc296891200"/>
      <w:bookmarkStart w:id="709" w:name="_Toc318581158"/>
      <w:bookmarkStart w:id="710" w:name="_Toc312677989"/>
      <w:bookmarkStart w:id="711" w:name="_Toc300934946"/>
      <w:bookmarkStart w:id="712" w:name="_Toc292559870"/>
      <w:bookmarkStart w:id="713" w:name="_Toc297216152"/>
      <w:bookmarkStart w:id="714" w:name="_Toc296890988"/>
      <w:bookmarkStart w:id="715" w:name="_Toc304295524"/>
      <w:bookmarkStart w:id="716" w:name="_Toc296503160"/>
      <w:bookmarkStart w:id="717" w:name="_Toc296346661"/>
      <w:r>
        <w:rPr>
          <w:rFonts w:hint="eastAsia" w:ascii="宋体" w:hAnsi="宋体"/>
          <w:color w:val="auto"/>
          <w:szCs w:val="21"/>
          <w:highlight w:val="none"/>
        </w:rPr>
        <w:t>.5.1 分包的一般约定</w:t>
      </w:r>
    </w:p>
    <w:p w14:paraId="1BE87032">
      <w:pPr>
        <w:spacing w:after="120"/>
        <w:rPr>
          <w:color w:val="auto"/>
          <w:highlight w:val="none"/>
        </w:rPr>
      </w:pPr>
      <w:r>
        <w:rPr>
          <w:rFonts w:hint="eastAsia"/>
          <w:color w:val="auto"/>
          <w:highlight w:val="none"/>
        </w:rPr>
        <w:t xml:space="preserve">    未经发包人事先书面同意，本工程禁止分包。一经查实，承包人的履约担保不予退还，发包人有权终止合同</w:t>
      </w:r>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4B2B6D41">
      <w:pPr>
        <w:widowControl/>
        <w:spacing w:line="360" w:lineRule="auto"/>
        <w:ind w:firstLine="422" w:firstLineChars="200"/>
        <w:jc w:val="left"/>
        <w:outlineLvl w:val="4"/>
        <w:rPr>
          <w:rFonts w:ascii="宋体" w:hAnsi="宋体" w:cs="宋体"/>
          <w:b/>
          <w:bCs/>
          <w:color w:val="auto"/>
          <w:kern w:val="0"/>
          <w:szCs w:val="21"/>
          <w:highlight w:val="none"/>
        </w:rPr>
      </w:pPr>
      <w:bookmarkStart w:id="718" w:name="_Toc532377339"/>
      <w:r>
        <w:rPr>
          <w:rFonts w:hint="eastAsia" w:ascii="宋体" w:hAnsi="宋体" w:cs="宋体"/>
          <w:b/>
          <w:bCs/>
          <w:color w:val="auto"/>
          <w:kern w:val="0"/>
          <w:szCs w:val="21"/>
          <w:highlight w:val="none"/>
        </w:rPr>
        <w:t>3.7 履约担保</w:t>
      </w:r>
      <w:bookmarkEnd w:id="718"/>
    </w:p>
    <w:p w14:paraId="1AC7A5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334C3D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63730B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（1）履约担保的形式：现金或履约保函；</w:t>
      </w:r>
      <w:r>
        <w:rPr>
          <w:rStyle w:val="326"/>
          <w:rFonts w:hint="eastAsia" w:ascii="宋体" w:hAnsi="宋体" w:cs="宋体"/>
          <w:color w:val="auto"/>
          <w:kern w:val="0"/>
          <w:szCs w:val="21"/>
          <w:highlight w:val="none"/>
        </w:rPr>
        <w:t>采用商业担保的，保函必须为发包人认可的担保公司或银行提供的不可撤销且见索即付，且应选择在渝依法设立总部或者设有分支机构的金融机构开具履约保函（包括纸质保函或电子保函）</w:t>
      </w:r>
      <w:r>
        <w:rPr>
          <w:rFonts w:hint="eastAsia" w:ascii="宋体" w:hAnsi="宋体"/>
          <w:color w:val="auto"/>
          <w:szCs w:val="21"/>
          <w:highlight w:val="none"/>
        </w:rPr>
        <w:t>；</w:t>
      </w:r>
    </w:p>
    <w:p w14:paraId="2E069E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（2）履约担保的金额：签约合同价10%；</w:t>
      </w:r>
    </w:p>
    <w:p w14:paraId="092F6F9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。未提供履约担保，一切责任由承包人承担。</w:t>
      </w:r>
    </w:p>
    <w:p w14:paraId="45F84F4C">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自承包人法定代表人（或其委托代理人）签名并加盖公章之日起至发包人签发工程接收证书之日止</w:t>
      </w:r>
      <w:r>
        <w:rPr>
          <w:rFonts w:hint="eastAsia" w:ascii="宋体" w:hAnsi="宋体"/>
          <w:color w:val="auto"/>
          <w:szCs w:val="21"/>
          <w:highlight w:val="none"/>
        </w:rPr>
        <w:t>。</w:t>
      </w:r>
    </w:p>
    <w:p w14:paraId="23F10B00">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采用现金担保的，发包人签发工程接收证书后14天内无息退还；采用银行保函的，发包人签发工程接收证书后14天内退还</w:t>
      </w:r>
      <w:r>
        <w:rPr>
          <w:rFonts w:hint="eastAsia" w:ascii="宋体" w:hAnsi="宋体"/>
          <w:color w:val="auto"/>
          <w:szCs w:val="21"/>
          <w:highlight w:val="none"/>
        </w:rPr>
        <w:t>。</w:t>
      </w:r>
    </w:p>
    <w:p w14:paraId="16DB8C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（6）履约担保的有效期</w:t>
      </w:r>
    </w:p>
    <w:p w14:paraId="604A0CC6">
      <w:pPr>
        <w:spacing w:line="360" w:lineRule="auto"/>
        <w:ind w:firstLine="420" w:firstLineChars="200"/>
        <w:jc w:val="left"/>
        <w:rPr>
          <w:color w:val="auto"/>
          <w:highlight w:val="none"/>
        </w:rPr>
      </w:pPr>
      <w:r>
        <w:rPr>
          <w:rFonts w:hint="eastAsia" w:ascii="宋体" w:hAnsi="宋体"/>
          <w:color w:val="auto"/>
          <w:szCs w:val="21"/>
          <w:highlight w:val="none"/>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p w14:paraId="4852B783">
      <w:pPr>
        <w:keepNext/>
        <w:keepLines/>
        <w:widowControl/>
        <w:spacing w:before="156" w:beforeLines="50" w:after="156" w:afterLines="50" w:line="360" w:lineRule="auto"/>
        <w:outlineLvl w:val="3"/>
        <w:rPr>
          <w:rFonts w:ascii="宋体" w:hAnsi="宋体" w:cs="宋体"/>
          <w:b/>
          <w:color w:val="auto"/>
          <w:szCs w:val="21"/>
          <w:highlight w:val="none"/>
        </w:rPr>
      </w:pPr>
      <w:bookmarkStart w:id="719" w:name="_Toc351203636"/>
      <w:bookmarkStart w:id="720" w:name="_Toc532375611"/>
      <w:bookmarkStart w:id="721" w:name="_Toc532377340"/>
      <w:r>
        <w:rPr>
          <w:rFonts w:hint="eastAsia" w:ascii="宋体" w:hAnsi="宋体" w:cs="宋体"/>
          <w:b/>
          <w:bCs/>
          <w:color w:val="auto"/>
          <w:szCs w:val="21"/>
          <w:highlight w:val="none"/>
        </w:rPr>
        <w:t>4</w:t>
      </w:r>
      <w:bookmarkStart w:id="722" w:name="_Toc297048348"/>
      <w:bookmarkStart w:id="723" w:name="_Toc296891202"/>
      <w:bookmarkStart w:id="724" w:name="_Toc296944501"/>
      <w:bookmarkStart w:id="725" w:name="_Toc292559366"/>
      <w:bookmarkStart w:id="726" w:name="_Toc292559871"/>
      <w:bookmarkStart w:id="727" w:name="_Toc296890990"/>
      <w:bookmarkStart w:id="728" w:name="_Toc296347161"/>
      <w:bookmarkStart w:id="729" w:name="_Toc296503162"/>
      <w:bookmarkStart w:id="730" w:name="_Toc297120462"/>
      <w:bookmarkStart w:id="731" w:name="_Toc296346663"/>
      <w:bookmarkStart w:id="732" w:name="_Toc267251413"/>
      <w:r>
        <w:rPr>
          <w:rFonts w:hint="eastAsia" w:ascii="宋体" w:hAnsi="宋体" w:cs="宋体"/>
          <w:b/>
          <w:bCs/>
          <w:color w:val="auto"/>
          <w:szCs w:val="21"/>
          <w:highlight w:val="none"/>
        </w:rPr>
        <w:t>. 监</w:t>
      </w:r>
      <w:bookmarkEnd w:id="722"/>
      <w:bookmarkEnd w:id="723"/>
      <w:bookmarkEnd w:id="724"/>
      <w:bookmarkEnd w:id="725"/>
      <w:bookmarkEnd w:id="726"/>
      <w:bookmarkEnd w:id="727"/>
      <w:bookmarkEnd w:id="728"/>
      <w:bookmarkEnd w:id="729"/>
      <w:bookmarkEnd w:id="730"/>
      <w:bookmarkEnd w:id="731"/>
      <w:bookmarkEnd w:id="732"/>
      <w:r>
        <w:rPr>
          <w:rFonts w:hint="eastAsia" w:ascii="宋体" w:hAnsi="宋体" w:cs="宋体"/>
          <w:b/>
          <w:bCs/>
          <w:color w:val="auto"/>
          <w:szCs w:val="21"/>
          <w:highlight w:val="none"/>
        </w:rPr>
        <w:t>理人</w:t>
      </w:r>
      <w:bookmarkEnd w:id="719"/>
      <w:bookmarkEnd w:id="720"/>
      <w:bookmarkEnd w:id="721"/>
    </w:p>
    <w:p w14:paraId="164A459F">
      <w:pPr>
        <w:widowControl/>
        <w:spacing w:line="360" w:lineRule="auto"/>
        <w:ind w:firstLine="422" w:firstLineChars="200"/>
        <w:jc w:val="left"/>
        <w:outlineLvl w:val="4"/>
        <w:rPr>
          <w:rFonts w:ascii="宋体" w:hAnsi="宋体" w:cs="宋体"/>
          <w:b/>
          <w:bCs/>
          <w:color w:val="auto"/>
          <w:kern w:val="0"/>
          <w:szCs w:val="21"/>
          <w:highlight w:val="none"/>
        </w:rPr>
      </w:pPr>
      <w:bookmarkStart w:id="733" w:name="_Toc532377341"/>
      <w:r>
        <w:rPr>
          <w:rFonts w:hint="eastAsia" w:ascii="宋体" w:hAnsi="宋体" w:cs="宋体"/>
          <w:b/>
          <w:bCs/>
          <w:color w:val="auto"/>
          <w:kern w:val="0"/>
          <w:szCs w:val="21"/>
          <w:highlight w:val="none"/>
        </w:rPr>
        <w:t>4.1 监理人的一般规定</w:t>
      </w:r>
      <w:bookmarkEnd w:id="733"/>
    </w:p>
    <w:p w14:paraId="51E624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28E22C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66EC4DC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按渝建质安〔2021〕63号文《关于实施房屋市政工程监理工作“十不准”规定的通知》不提供监理人；但提供1～2间工作用房和1间会议室作为发包人临时办公场所，总面积40～60平方米，直至满足办公需求</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承包人应为发包人指定的第三方提供</w:t>
      </w:r>
      <w:r>
        <w:rPr>
          <w:rFonts w:hint="eastAsia" w:ascii="宋体" w:hAnsi="宋体"/>
          <w:color w:val="auto"/>
          <w:szCs w:val="21"/>
          <w:highlight w:val="none"/>
          <w:u w:val="single"/>
        </w:rPr>
        <w:t>临时办公场所</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本条约定使用办公场所产生的</w:t>
      </w:r>
      <w:r>
        <w:rPr>
          <w:rFonts w:hint="eastAsia" w:ascii="宋体" w:hAnsi="宋体"/>
          <w:color w:val="auto"/>
          <w:szCs w:val="21"/>
          <w:highlight w:val="none"/>
          <w:u w:val="single"/>
        </w:rPr>
        <w:t>费用由承包人承担，已包含在投标报价中不单独计算。</w:t>
      </w:r>
    </w:p>
    <w:p w14:paraId="48AA001A">
      <w:pPr>
        <w:widowControl/>
        <w:spacing w:line="360" w:lineRule="auto"/>
        <w:ind w:firstLine="422" w:firstLineChars="200"/>
        <w:jc w:val="left"/>
        <w:outlineLvl w:val="4"/>
        <w:rPr>
          <w:rFonts w:ascii="宋体" w:hAnsi="宋体" w:cs="宋体"/>
          <w:b/>
          <w:bCs/>
          <w:color w:val="auto"/>
          <w:kern w:val="0"/>
          <w:szCs w:val="21"/>
          <w:highlight w:val="none"/>
        </w:rPr>
      </w:pPr>
      <w:bookmarkStart w:id="734" w:name="_Toc532377342"/>
      <w:r>
        <w:rPr>
          <w:rFonts w:hint="eastAsia" w:ascii="宋体" w:hAnsi="宋体" w:cs="宋体"/>
          <w:b/>
          <w:bCs/>
          <w:color w:val="auto"/>
          <w:kern w:val="0"/>
          <w:szCs w:val="21"/>
          <w:highlight w:val="none"/>
        </w:rPr>
        <w:t>4.2 监理人员</w:t>
      </w:r>
      <w:bookmarkEnd w:id="734"/>
    </w:p>
    <w:p w14:paraId="762C6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2AC29F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6CFDF8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14:paraId="4D049A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64A4C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465408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0073FF2A">
      <w:pPr>
        <w:widowControl/>
        <w:spacing w:line="360" w:lineRule="auto"/>
        <w:ind w:firstLine="420" w:firstLineChars="200"/>
        <w:jc w:val="left"/>
        <w:outlineLvl w:val="4"/>
        <w:rPr>
          <w:rFonts w:ascii="宋体" w:hAnsi="宋体" w:cs="宋体"/>
          <w:bCs/>
          <w:color w:val="auto"/>
          <w:kern w:val="0"/>
          <w:szCs w:val="21"/>
          <w:highlight w:val="none"/>
        </w:rPr>
      </w:pPr>
      <w:bookmarkStart w:id="735" w:name="_Toc532377343"/>
      <w:r>
        <w:rPr>
          <w:rFonts w:hint="eastAsia" w:ascii="宋体" w:hAnsi="宋体" w:cs="宋体"/>
          <w:bCs/>
          <w:color w:val="auto"/>
          <w:kern w:val="0"/>
          <w:szCs w:val="21"/>
          <w:highlight w:val="none"/>
        </w:rPr>
        <w:t>4.4 商定或确定</w:t>
      </w:r>
      <w:bookmarkEnd w:id="735"/>
    </w:p>
    <w:p w14:paraId="77F68D9D">
      <w:pPr>
        <w:spacing w:line="360" w:lineRule="auto"/>
        <w:ind w:firstLine="420" w:firstLineChars="200"/>
        <w:jc w:val="left"/>
        <w:rPr>
          <w:rFonts w:ascii="宋体" w:hAnsi="宋体"/>
          <w:color w:val="auto"/>
          <w:szCs w:val="21"/>
          <w:highlight w:val="none"/>
        </w:rPr>
      </w:pPr>
      <w:bookmarkStart w:id="736" w:name="_Toc267251418"/>
      <w:r>
        <w:rPr>
          <w:rFonts w:hint="eastAsia" w:ascii="宋体" w:hAnsi="宋体"/>
          <w:color w:val="auto"/>
          <w:szCs w:val="21"/>
          <w:highlight w:val="none"/>
        </w:rPr>
        <w:t>在发包人和承包人不能通过协商达成一致意见时，发包人授权监理人对以下事项进行确定：</w:t>
      </w:r>
    </w:p>
    <w:p w14:paraId="70C2D0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168D290">
      <w:pPr>
        <w:keepNext/>
        <w:keepLines/>
        <w:widowControl/>
        <w:spacing w:before="156" w:beforeLines="50" w:after="156" w:afterLines="50" w:line="360" w:lineRule="auto"/>
        <w:outlineLvl w:val="3"/>
        <w:rPr>
          <w:rFonts w:ascii="宋体" w:hAnsi="宋体" w:cs="宋体"/>
          <w:b/>
          <w:color w:val="auto"/>
          <w:szCs w:val="21"/>
          <w:highlight w:val="none"/>
        </w:rPr>
      </w:pPr>
      <w:bookmarkStart w:id="737" w:name="_Toc351203637"/>
      <w:bookmarkStart w:id="738" w:name="_Toc532375612"/>
      <w:bookmarkStart w:id="739" w:name="_Toc532377344"/>
      <w:r>
        <w:rPr>
          <w:rFonts w:hint="eastAsia" w:ascii="宋体" w:hAnsi="宋体" w:cs="宋体"/>
          <w:b/>
          <w:bCs/>
          <w:color w:val="auto"/>
          <w:szCs w:val="21"/>
          <w:highlight w:val="none"/>
        </w:rPr>
        <w:t>5</w:t>
      </w:r>
      <w:bookmarkEnd w:id="736"/>
      <w:bookmarkStart w:id="740" w:name="_Toc296503163"/>
      <w:bookmarkStart w:id="741" w:name="_Toc297120463"/>
      <w:bookmarkStart w:id="742" w:name="_Toc296346664"/>
      <w:bookmarkStart w:id="743" w:name="_Toc292559872"/>
      <w:bookmarkStart w:id="744" w:name="_Toc296890991"/>
      <w:bookmarkStart w:id="745" w:name="_Toc296891203"/>
      <w:bookmarkStart w:id="746" w:name="_Toc292559367"/>
      <w:bookmarkStart w:id="747" w:name="_Toc297048349"/>
      <w:bookmarkStart w:id="748" w:name="_Toc296944502"/>
      <w:bookmarkStart w:id="749" w:name="_Toc296347162"/>
      <w:r>
        <w:rPr>
          <w:rFonts w:hint="eastAsia" w:ascii="宋体" w:hAnsi="宋体" w:cs="宋体"/>
          <w:b/>
          <w:bCs/>
          <w:color w:val="auto"/>
          <w:szCs w:val="21"/>
          <w:highlight w:val="none"/>
        </w:rPr>
        <w:t>. 工程质量</w:t>
      </w:r>
      <w:bookmarkEnd w:id="737"/>
      <w:bookmarkEnd w:id="738"/>
      <w:bookmarkEnd w:id="739"/>
    </w:p>
    <w:p w14:paraId="1F1AF2BB">
      <w:pPr>
        <w:widowControl/>
        <w:spacing w:line="360" w:lineRule="auto"/>
        <w:ind w:firstLine="422" w:firstLineChars="200"/>
        <w:jc w:val="left"/>
        <w:outlineLvl w:val="4"/>
        <w:rPr>
          <w:rFonts w:ascii="宋体" w:hAnsi="宋体" w:cs="宋体"/>
          <w:b/>
          <w:bCs/>
          <w:color w:val="auto"/>
          <w:kern w:val="0"/>
          <w:szCs w:val="21"/>
          <w:highlight w:val="none"/>
        </w:rPr>
      </w:pPr>
      <w:bookmarkStart w:id="750" w:name="_Toc532377345"/>
      <w:r>
        <w:rPr>
          <w:rFonts w:hint="eastAsia" w:ascii="宋体" w:hAnsi="宋体" w:cs="宋体"/>
          <w:b/>
          <w:bCs/>
          <w:color w:val="auto"/>
          <w:kern w:val="0"/>
          <w:szCs w:val="21"/>
          <w:highlight w:val="none"/>
        </w:rPr>
        <w:t>5.1 质量要求</w:t>
      </w:r>
      <w:bookmarkEnd w:id="750"/>
      <w:bookmarkStart w:id="751" w:name="_Hlk528909888"/>
      <w:bookmarkStart w:id="752" w:name="_Toc312677997"/>
      <w:bookmarkStart w:id="753" w:name="_Toc304295527"/>
      <w:bookmarkStart w:id="754" w:name="_Toc300934949"/>
      <w:bookmarkStart w:id="755" w:name="_Toc318581164"/>
      <w:bookmarkStart w:id="756" w:name="_Toc297216155"/>
      <w:bookmarkStart w:id="757" w:name="_Toc303539106"/>
      <w:bookmarkStart w:id="758" w:name="_Toc297123496"/>
    </w:p>
    <w:p w14:paraId="4000790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达到国家和重庆市现行有关施工质量验收规范要求及合同文件中所有发包人之其他相关工程质量规定，并须在存有任何标准不一致时按较高标准的要求执行，达到一次性验收合格标准。</w:t>
      </w:r>
    </w:p>
    <w:bookmarkEnd w:id="751"/>
    <w:p w14:paraId="4CE6B7C6">
      <w:pPr>
        <w:widowControl/>
        <w:spacing w:line="360" w:lineRule="auto"/>
        <w:ind w:firstLine="422" w:firstLineChars="200"/>
        <w:jc w:val="left"/>
        <w:outlineLvl w:val="4"/>
        <w:rPr>
          <w:rFonts w:ascii="宋体" w:hAnsi="宋体" w:cs="宋体"/>
          <w:b/>
          <w:bCs/>
          <w:color w:val="auto"/>
          <w:kern w:val="0"/>
          <w:szCs w:val="21"/>
          <w:highlight w:val="none"/>
        </w:rPr>
      </w:pPr>
      <w:bookmarkStart w:id="759" w:name="_Toc532377346"/>
      <w:r>
        <w:rPr>
          <w:rFonts w:hint="eastAsia" w:ascii="宋体" w:hAnsi="宋体" w:cs="宋体"/>
          <w:b/>
          <w:bCs/>
          <w:color w:val="auto"/>
          <w:kern w:val="0"/>
          <w:szCs w:val="21"/>
          <w:highlight w:val="none"/>
        </w:rPr>
        <w:t>5.2 质量保证措施</w:t>
      </w:r>
      <w:bookmarkEnd w:id="759"/>
    </w:p>
    <w:p w14:paraId="0AEDCDC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669C04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377A2E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0E79AA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76193A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669196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3392F7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00437E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5791F4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2CF90A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22599E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3D39C2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7A3453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发包人质量要求 </w:t>
      </w:r>
      <w:r>
        <w:rPr>
          <w:rFonts w:hint="eastAsia" w:ascii="宋体" w:hAnsi="宋体"/>
          <w:color w:val="auto"/>
          <w:szCs w:val="21"/>
          <w:highlight w:val="none"/>
        </w:rPr>
        <w:t>。</w:t>
      </w:r>
    </w:p>
    <w:p w14:paraId="27D194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65E75819">
      <w:pPr>
        <w:widowControl/>
        <w:spacing w:line="360" w:lineRule="auto"/>
        <w:ind w:firstLine="422" w:firstLineChars="200"/>
        <w:jc w:val="left"/>
        <w:outlineLvl w:val="4"/>
        <w:rPr>
          <w:rFonts w:ascii="宋体" w:hAnsi="宋体" w:cs="宋体"/>
          <w:b/>
          <w:bCs/>
          <w:color w:val="auto"/>
          <w:kern w:val="0"/>
          <w:szCs w:val="21"/>
          <w:highlight w:val="none"/>
        </w:rPr>
      </w:pPr>
      <w:bookmarkStart w:id="760" w:name="_Toc351203536"/>
      <w:bookmarkStart w:id="761" w:name="_Toc532377347"/>
      <w:bookmarkStart w:id="762" w:name="_Hlk528927873"/>
      <w:r>
        <w:rPr>
          <w:rFonts w:hint="eastAsia" w:ascii="宋体" w:hAnsi="宋体" w:cs="宋体"/>
          <w:b/>
          <w:bCs/>
          <w:color w:val="auto"/>
          <w:kern w:val="0"/>
          <w:szCs w:val="21"/>
          <w:highlight w:val="none"/>
        </w:rPr>
        <w:t>5.3隐蔽工程检查</w:t>
      </w:r>
    </w:p>
    <w:p w14:paraId="165962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25BC53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12 </w:t>
      </w:r>
      <w:r>
        <w:rPr>
          <w:rFonts w:hint="eastAsia" w:ascii="宋体" w:hAnsi="宋体"/>
          <w:color w:val="auto"/>
          <w:szCs w:val="21"/>
          <w:highlight w:val="none"/>
        </w:rPr>
        <w:t>小时书面通知监理人检查，通知中应载明隐蔽检查的内容、时间和地点，并应附有自检记录和必要的检查资料。对于隐蔽工程发包人将委托有资质的检测单位进行现场抽检，一旦发现问题，承包人必须按照要求进行整改，承担10万元/次的违约金，并支付相应的检测费用。</w:t>
      </w:r>
    </w:p>
    <w:p w14:paraId="794614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5.3.3 重新检查</w:t>
      </w:r>
    </w:p>
    <w:p w14:paraId="0F2C6D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（1）隐蔽工程在隐蔽前，承包人应当通知发包人、和质量监督机构、监理、地勘设计，对未经监理人员验收或验收不合格的工序，监理人员应拒绝签认，并要求承包单位严禁进入下一道工序的施工。</w:t>
      </w:r>
    </w:p>
    <w:p w14:paraId="70E23C14">
      <w:pPr>
        <w:spacing w:line="360" w:lineRule="auto"/>
        <w:ind w:firstLine="420" w:firstLineChars="200"/>
        <w:jc w:val="left"/>
        <w:rPr>
          <w:color w:val="auto"/>
          <w:highlight w:val="none"/>
        </w:rPr>
      </w:pPr>
      <w:r>
        <w:rPr>
          <w:rFonts w:hint="eastAsia" w:ascii="宋体" w:hAnsi="宋体"/>
          <w:color w:val="auto"/>
          <w:szCs w:val="21"/>
          <w:highlight w:val="none"/>
        </w:rPr>
        <w:t>（2）发包人及上级监督机构将不定期抽查监理单位对“重点部位、关键工序”实施旁站监理情况。</w:t>
      </w:r>
    </w:p>
    <w:p w14:paraId="6CC55743">
      <w:pPr>
        <w:widowControl/>
        <w:spacing w:line="360" w:lineRule="auto"/>
        <w:ind w:firstLine="422" w:firstLineChars="200"/>
        <w:jc w:val="left"/>
        <w:outlineLvl w:val="4"/>
        <w:rPr>
          <w:rFonts w:ascii="宋体" w:hAnsi="宋体" w:cs="宋体"/>
          <w:b/>
          <w:bCs/>
          <w:color w:val="auto"/>
          <w:kern w:val="0"/>
          <w:szCs w:val="21"/>
          <w:highlight w:val="none"/>
        </w:rPr>
      </w:pPr>
      <w:r>
        <w:rPr>
          <w:rFonts w:hint="eastAsia" w:ascii="宋体" w:hAnsi="宋体" w:cs="宋体"/>
          <w:b/>
          <w:bCs/>
          <w:color w:val="auto"/>
          <w:kern w:val="0"/>
          <w:szCs w:val="21"/>
          <w:highlight w:val="none"/>
        </w:rPr>
        <w:t>5</w:t>
      </w:r>
      <w:bookmarkStart w:id="763" w:name="_Toc337558762"/>
      <w:r>
        <w:rPr>
          <w:rFonts w:hint="eastAsia" w:ascii="宋体" w:hAnsi="宋体" w:cs="宋体"/>
          <w:b/>
          <w:bCs/>
          <w:color w:val="auto"/>
          <w:kern w:val="0"/>
          <w:szCs w:val="21"/>
          <w:highlight w:val="none"/>
        </w:rPr>
        <w:t>.4 不合格工程的处理</w:t>
      </w:r>
      <w:bookmarkEnd w:id="760"/>
      <w:bookmarkEnd w:id="761"/>
    </w:p>
    <w:bookmarkEnd w:id="763"/>
    <w:p w14:paraId="6D5CEB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08411D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承包人在收到监理人发出的《不合格分项报告》或监理通知单后，必须在监理人规定时间内按要求完成整改，未能在限定时间内完成整改的，须承担相应违约责任，发包人有权解除本合同。</w:t>
      </w:r>
    </w:p>
    <w:p w14:paraId="2C362B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5.5 质量争议检测</w:t>
      </w:r>
    </w:p>
    <w:p w14:paraId="7202A3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双方约定工程质量有争议时：由发包人处理。</w:t>
      </w:r>
    </w:p>
    <w:p w14:paraId="65B35B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762"/>
    <w:p w14:paraId="2D71EC57">
      <w:pPr>
        <w:widowControl/>
        <w:spacing w:line="360" w:lineRule="auto"/>
        <w:ind w:firstLine="422" w:firstLineChars="200"/>
        <w:jc w:val="left"/>
        <w:outlineLvl w:val="4"/>
        <w:rPr>
          <w:rFonts w:ascii="宋体" w:hAnsi="宋体" w:cs="宋体"/>
          <w:b/>
          <w:bCs/>
          <w:color w:val="auto"/>
          <w:kern w:val="0"/>
          <w:szCs w:val="21"/>
          <w:highlight w:val="none"/>
        </w:rPr>
      </w:pPr>
      <w:bookmarkStart w:id="764" w:name="_Toc532377348"/>
      <w:r>
        <w:rPr>
          <w:rFonts w:hint="eastAsia" w:ascii="宋体" w:hAnsi="宋体" w:cs="宋体"/>
          <w:b/>
          <w:bCs/>
          <w:color w:val="auto"/>
          <w:kern w:val="0"/>
          <w:szCs w:val="21"/>
          <w:highlight w:val="none"/>
        </w:rPr>
        <w:t>5.6 质量事故的处理</w:t>
      </w:r>
      <w:bookmarkEnd w:id="764"/>
    </w:p>
    <w:p w14:paraId="4C1DEC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605EF8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40"/>
    <w:bookmarkEnd w:id="741"/>
    <w:bookmarkEnd w:id="742"/>
    <w:bookmarkEnd w:id="743"/>
    <w:bookmarkEnd w:id="744"/>
    <w:bookmarkEnd w:id="745"/>
    <w:bookmarkEnd w:id="746"/>
    <w:bookmarkEnd w:id="747"/>
    <w:bookmarkEnd w:id="748"/>
    <w:bookmarkEnd w:id="749"/>
    <w:bookmarkEnd w:id="752"/>
    <w:bookmarkEnd w:id="753"/>
    <w:bookmarkEnd w:id="754"/>
    <w:bookmarkEnd w:id="755"/>
    <w:bookmarkEnd w:id="756"/>
    <w:bookmarkEnd w:id="757"/>
    <w:bookmarkEnd w:id="758"/>
    <w:p w14:paraId="0261E51B">
      <w:pPr>
        <w:keepNext/>
        <w:keepLines/>
        <w:widowControl/>
        <w:spacing w:before="156" w:beforeLines="50" w:after="156" w:afterLines="50" w:line="360" w:lineRule="auto"/>
        <w:outlineLvl w:val="3"/>
        <w:rPr>
          <w:rFonts w:ascii="宋体" w:hAnsi="宋体" w:cs="宋体"/>
          <w:b/>
          <w:color w:val="auto"/>
          <w:szCs w:val="21"/>
          <w:highlight w:val="none"/>
        </w:rPr>
      </w:pPr>
      <w:bookmarkStart w:id="765" w:name="_Toc532375613"/>
      <w:bookmarkStart w:id="766" w:name="_Toc351203638"/>
      <w:bookmarkStart w:id="767" w:name="_Toc532377349"/>
      <w:bookmarkStart w:id="768" w:name="_Toc296346674"/>
      <w:bookmarkStart w:id="769" w:name="_Toc296891001"/>
      <w:bookmarkStart w:id="770" w:name="_Toc296891213"/>
      <w:bookmarkStart w:id="771" w:name="_Toc296503173"/>
      <w:bookmarkStart w:id="772" w:name="_Toc297048359"/>
      <w:bookmarkStart w:id="773" w:name="_Toc296944512"/>
      <w:bookmarkStart w:id="774" w:name="_Toc292559883"/>
      <w:bookmarkStart w:id="775" w:name="_Toc351203642"/>
      <w:bookmarkStart w:id="776" w:name="_Toc296347172"/>
      <w:bookmarkStart w:id="777" w:name="_Toc292559378"/>
      <w:bookmarkStart w:id="778" w:name="_Toc267251427"/>
      <w:bookmarkStart w:id="779" w:name="_Toc267251428"/>
      <w:bookmarkStart w:id="780" w:name="_Toc297120473"/>
      <w:r>
        <w:rPr>
          <w:rFonts w:hint="eastAsia" w:ascii="宋体" w:hAnsi="宋体" w:cs="宋体"/>
          <w:b/>
          <w:bCs/>
          <w:color w:val="auto"/>
          <w:szCs w:val="21"/>
          <w:highlight w:val="none"/>
        </w:rPr>
        <w:t>6. 安全文明施工与环境保护</w:t>
      </w:r>
      <w:bookmarkEnd w:id="765"/>
      <w:bookmarkEnd w:id="766"/>
      <w:bookmarkEnd w:id="767"/>
    </w:p>
    <w:p w14:paraId="340C5E8B">
      <w:pPr>
        <w:widowControl/>
        <w:spacing w:line="360" w:lineRule="auto"/>
        <w:ind w:firstLine="422" w:firstLineChars="200"/>
        <w:jc w:val="left"/>
        <w:outlineLvl w:val="4"/>
        <w:rPr>
          <w:rFonts w:ascii="宋体" w:hAnsi="宋体" w:cs="宋体"/>
          <w:b/>
          <w:bCs/>
          <w:color w:val="auto"/>
          <w:kern w:val="0"/>
          <w:szCs w:val="21"/>
          <w:highlight w:val="none"/>
        </w:rPr>
      </w:pPr>
      <w:bookmarkStart w:id="781" w:name="_Toc532377350"/>
      <w:bookmarkStart w:id="782" w:name="_Toc532375614"/>
      <w:r>
        <w:rPr>
          <w:rFonts w:hint="eastAsia" w:ascii="宋体" w:hAnsi="宋体" w:cs="宋体"/>
          <w:b/>
          <w:bCs/>
          <w:color w:val="auto"/>
          <w:kern w:val="0"/>
          <w:szCs w:val="21"/>
          <w:highlight w:val="none"/>
        </w:rPr>
        <w:t>6.1 安全文明施工</w:t>
      </w:r>
      <w:bookmarkEnd w:id="781"/>
      <w:bookmarkEnd w:id="782"/>
    </w:p>
    <w:p w14:paraId="79BC4D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承包人必须认真贯彻执行国家安全生产法律、法规、规章和标准，按照重庆市现行的质量、安全文明施工有关规定和发包人安全管理的有关规定，建立完善的质量、安全、文明施工管理制度。</w:t>
      </w:r>
    </w:p>
    <w:p w14:paraId="0E544A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承包人应按照相关规定要求做好安全防护措施，若发包人发现现场安全防护措施未按照相关规定要求设置，则视为承包人违约，发包人根据现场情况有权要求承包人向发包人承担10000元/次的违约金。</w:t>
      </w:r>
    </w:p>
    <w:p w14:paraId="4A2490E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安全“零事故”目标，达到《建筑施工安全检查标准》（JGJ59-2011）的要求</w:t>
      </w:r>
      <w:r>
        <w:rPr>
          <w:rFonts w:hint="eastAsia" w:ascii="宋体" w:hAnsi="宋体"/>
          <w:color w:val="auto"/>
          <w:szCs w:val="21"/>
          <w:highlight w:val="none"/>
        </w:rPr>
        <w:t>。</w:t>
      </w:r>
    </w:p>
    <w:p w14:paraId="655E55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440B34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4ADE3E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54B53B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1CBC77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5B52D121">
      <w:pPr>
        <w:spacing w:line="360" w:lineRule="auto"/>
        <w:ind w:firstLine="420" w:firstLineChars="200"/>
        <w:jc w:val="left"/>
        <w:rPr>
          <w:color w:val="auto"/>
          <w:highlight w:val="none"/>
        </w:rPr>
      </w:pPr>
      <w:r>
        <w:rPr>
          <w:rFonts w:hint="eastAsia" w:ascii="宋体" w:hAnsi="宋体"/>
          <w:color w:val="auto"/>
          <w:szCs w:val="21"/>
          <w:highlight w:val="none"/>
          <w:u w:val="single"/>
        </w:rPr>
        <w:t>（6）承包人必须与分包单位及相邻施工单位（若有）签署安全生产协议，对分包单位的安全生产活动负责，履行对分包单位的安全管理责任。</w:t>
      </w:r>
    </w:p>
    <w:p w14:paraId="7A10C8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25BA625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4960D4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601AF47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w:t>
      </w:r>
      <w:r>
        <w:rPr>
          <w:rFonts w:hint="eastAsia" w:ascii="宋体" w:hAnsi="宋体" w:eastAsia="宋体" w:cs="Times New Roman"/>
          <w:color w:val="auto"/>
          <w:szCs w:val="21"/>
          <w:highlight w:val="none"/>
          <w:u w:val="single"/>
        </w:rPr>
        <w:t>于印发&lt;</w:t>
      </w:r>
      <w:r>
        <w:rPr>
          <w:rFonts w:hint="eastAsia" w:ascii="宋体" w:hAnsi="宋体" w:eastAsia="宋体" w:cs="Times New Roman"/>
          <w:i w:val="0"/>
          <w:iCs w:val="0"/>
          <w:caps w:val="0"/>
          <w:color w:val="auto"/>
          <w:spacing w:val="0"/>
          <w:sz w:val="21"/>
          <w:szCs w:val="21"/>
          <w:highlight w:val="none"/>
          <w:u w:val="single"/>
          <w:shd w:val="clear" w:color="auto" w:fill="auto"/>
        </w:rPr>
        <w:t>重庆市房屋建筑和市政基础设施工程施工现场文明施工标准（试行）</w:t>
      </w:r>
      <w:r>
        <w:rPr>
          <w:rFonts w:hint="eastAsia" w:ascii="宋体" w:hAnsi="宋体" w:eastAsia="宋体" w:cs="Times New Roman"/>
          <w:color w:val="auto"/>
          <w:szCs w:val="21"/>
          <w:highlight w:val="none"/>
          <w:u w:val="single"/>
        </w:rPr>
        <w:t>》（</w:t>
      </w:r>
      <w:r>
        <w:rPr>
          <w:rFonts w:hint="eastAsia" w:ascii="宋体" w:hAnsi="宋体" w:eastAsia="宋体" w:cs="Times New Roman"/>
          <w:i w:val="0"/>
          <w:iCs w:val="0"/>
          <w:caps w:val="0"/>
          <w:color w:val="auto"/>
          <w:spacing w:val="0"/>
          <w:sz w:val="21"/>
          <w:szCs w:val="21"/>
          <w:highlight w:val="none"/>
          <w:u w:val="single"/>
          <w:shd w:val="clear" w:color="auto" w:fill="auto"/>
        </w:rPr>
        <w:t>渝建质安〔2020〕33号</w:t>
      </w:r>
      <w:r>
        <w:rPr>
          <w:rFonts w:hint="eastAsia" w:ascii="宋体" w:hAnsi="宋体" w:eastAsia="宋体" w:cs="Times New Roman"/>
          <w:color w:val="auto"/>
          <w:szCs w:val="21"/>
          <w:highlight w:val="none"/>
          <w:u w:val="single"/>
        </w:rPr>
        <w:t>）</w:t>
      </w:r>
      <w:r>
        <w:rPr>
          <w:rFonts w:hint="eastAsia" w:ascii="宋体" w:hAnsi="宋体"/>
          <w:color w:val="auto"/>
          <w:szCs w:val="21"/>
          <w:highlight w:val="none"/>
          <w:u w:val="single"/>
        </w:rPr>
        <w:t>等相关规定履行好施工扬尘控制、文明施工等责任</w:t>
      </w:r>
      <w:r>
        <w:rPr>
          <w:rFonts w:hint="eastAsia" w:ascii="宋体" w:hAnsi="宋体"/>
          <w:color w:val="auto"/>
          <w:szCs w:val="21"/>
          <w:highlight w:val="none"/>
        </w:rPr>
        <w:t>。</w:t>
      </w:r>
    </w:p>
    <w:p w14:paraId="523435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承包人应按规定设置施工现场围挡，承包人采用的围挡主体形式应从重庆市城乡建委发布的标准图集（DJBT</w:t>
      </w:r>
      <w:r>
        <w:rPr>
          <w:rFonts w:hint="eastAsia" w:ascii="宋体" w:hAnsi="宋体"/>
          <w:color w:val="auto"/>
          <w:szCs w:val="21"/>
          <w:highlight w:val="none"/>
          <w:u w:val="single"/>
          <w:lang w:val="en-US" w:eastAsia="zh-CN"/>
        </w:rPr>
        <w:t>50</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3）中选用，做好施工围挡，围挡应整齐美观，承包人按相关要求做好日常维护和保洁，围挡高度满足规范要求，相关费用已包含在签约合同价中，不再单独计算</w:t>
      </w:r>
      <w:r>
        <w:rPr>
          <w:rFonts w:hint="eastAsia" w:ascii="宋体" w:hAnsi="宋体"/>
          <w:color w:val="auto"/>
          <w:szCs w:val="21"/>
          <w:highlight w:val="none"/>
        </w:rPr>
        <w:t>。</w:t>
      </w:r>
    </w:p>
    <w:p w14:paraId="75B7796F">
      <w:pPr>
        <w:spacing w:line="360" w:lineRule="auto"/>
        <w:ind w:firstLine="420" w:firstLineChars="200"/>
        <w:jc w:val="left"/>
        <w:rPr>
          <w:color w:val="auto"/>
          <w:highlight w:val="none"/>
        </w:rPr>
      </w:pPr>
      <w:r>
        <w:rPr>
          <w:rFonts w:hint="eastAsia" w:ascii="宋体" w:hAnsi="宋体"/>
          <w:color w:val="auto"/>
          <w:szCs w:val="21"/>
          <w:highlight w:val="none"/>
          <w:u w:val="single"/>
        </w:rPr>
        <w:t>确保安全施工及施工红线范围内和工程使用区域内的现场安全，其费用综合考虑在投标报价中。施工中，若承包人未认真履行义务，应承担全部责任和经济损失。</w:t>
      </w:r>
    </w:p>
    <w:p w14:paraId="1767BF6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14:paraId="25F76A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5B783E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6.1.7环境保护工作由承包方全权负责，执行国家和重庆相关规定。施工现场内不得随地抛洒剩饭及生活垃圾等，更不能将其随意倒至施工区外，施工区内不得随处大小便，否则承担500元/次违约金。做到工完场地清；施工机械设备进场前，应做好清洁、保养和维护工作。出场车辆应有专人打扫、清洗。有密封要求的按规定必须达到：</w:t>
      </w:r>
    </w:p>
    <w:p w14:paraId="03A7A0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6.1.8施工期间必须保证周边单位的正常工作及居民的正常生活，尽量减少粉尘、噪声、振动等污染的扰民。必须按市委、市人大、市政府及有关部门的临时要求，调整作业方式，停止高粉尘、高噪音作业或爆破作业等；</w:t>
      </w:r>
    </w:p>
    <w:p w14:paraId="1345DB71">
      <w:pPr>
        <w:spacing w:line="360" w:lineRule="auto"/>
        <w:ind w:firstLine="420" w:firstLineChars="200"/>
        <w:jc w:val="left"/>
        <w:rPr>
          <w:color w:val="auto"/>
          <w:highlight w:val="none"/>
        </w:rPr>
      </w:pPr>
      <w:r>
        <w:rPr>
          <w:rFonts w:hint="eastAsia" w:ascii="宋体" w:hAnsi="宋体"/>
          <w:color w:val="auto"/>
          <w:szCs w:val="21"/>
          <w:highlight w:val="none"/>
        </w:rPr>
        <w:t>6.1.9按规定做好施工区域封闭及场地硬化工作，施工围墙（围挡）等维护设施应安全、美观、耐久，非施工相关人员不许入内。若发包人发现一次则由承包人承担2000元/次的违约金。</w:t>
      </w:r>
    </w:p>
    <w:p w14:paraId="3CC4CA88">
      <w:pPr>
        <w:widowControl/>
        <w:spacing w:line="360" w:lineRule="auto"/>
        <w:ind w:firstLine="422" w:firstLineChars="200"/>
        <w:jc w:val="left"/>
        <w:outlineLvl w:val="4"/>
        <w:rPr>
          <w:rFonts w:ascii="宋体" w:hAnsi="宋体" w:cs="宋体"/>
          <w:b/>
          <w:bCs/>
          <w:color w:val="auto"/>
          <w:kern w:val="0"/>
          <w:szCs w:val="21"/>
          <w:highlight w:val="none"/>
        </w:rPr>
      </w:pPr>
      <w:bookmarkStart w:id="783" w:name="_Toc532375615"/>
      <w:bookmarkStart w:id="784" w:name="_Toc532377351"/>
      <w:r>
        <w:rPr>
          <w:rFonts w:hint="eastAsia" w:ascii="宋体" w:hAnsi="宋体" w:cs="宋体"/>
          <w:b/>
          <w:bCs/>
          <w:color w:val="auto"/>
          <w:kern w:val="0"/>
          <w:szCs w:val="21"/>
          <w:highlight w:val="none"/>
        </w:rPr>
        <w:t>6.3 环境保护</w:t>
      </w:r>
      <w:bookmarkEnd w:id="783"/>
      <w:bookmarkEnd w:id="784"/>
    </w:p>
    <w:p w14:paraId="5C0AB9F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6C7D5EE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C560F2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1DA7DC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32B239C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2159716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556060C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37434B8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084650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529BDE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承包人应按照发包人要求做好环境保护管理工作 </w:t>
      </w:r>
      <w:r>
        <w:rPr>
          <w:rFonts w:hint="eastAsia" w:ascii="宋体" w:hAnsi="宋体"/>
          <w:color w:val="auto"/>
          <w:szCs w:val="21"/>
          <w:highlight w:val="none"/>
        </w:rPr>
        <w:t>。承包人完工拆场清场的所有事项，包括但不限于临设的拆除及清理，开荒清洁等达到移交接收标准，所需发生的费用由承包人承担。</w:t>
      </w:r>
    </w:p>
    <w:p w14:paraId="3097AC42">
      <w:pPr>
        <w:tabs>
          <w:tab w:val="left" w:pos="711"/>
          <w:tab w:val="left" w:pos="2580"/>
        </w:tabs>
        <w:spacing w:line="360" w:lineRule="auto"/>
        <w:ind w:firstLine="420" w:firstLineChars="200"/>
        <w:jc w:val="left"/>
        <w:textAlignment w:val="baseline"/>
        <w:rPr>
          <w:color w:val="auto"/>
          <w:highlight w:val="none"/>
        </w:rPr>
      </w:pPr>
      <w:r>
        <w:rPr>
          <w:rFonts w:hint="eastAsia" w:ascii="宋体" w:hAnsi="宋体"/>
          <w:color w:val="auto"/>
          <w:szCs w:val="21"/>
          <w:highlight w:val="none"/>
        </w:rPr>
        <w:t>6.3.10因履行本合同约定环境保护义务，相应的费用或因保护不当造成的损失及法律责任由承包人承担。</w:t>
      </w:r>
    </w:p>
    <w:p w14:paraId="2DD62E93">
      <w:pPr>
        <w:keepNext/>
        <w:keepLines/>
        <w:widowControl/>
        <w:spacing w:before="156" w:beforeLines="50" w:after="156" w:afterLines="50" w:line="360" w:lineRule="auto"/>
        <w:outlineLvl w:val="3"/>
        <w:rPr>
          <w:rFonts w:ascii="宋体" w:hAnsi="宋体" w:cs="宋体"/>
          <w:b/>
          <w:color w:val="auto"/>
          <w:szCs w:val="21"/>
          <w:highlight w:val="none"/>
        </w:rPr>
      </w:pPr>
      <w:bookmarkStart w:id="785" w:name="_Toc532377352"/>
      <w:bookmarkStart w:id="786" w:name="_Toc532375616"/>
      <w:bookmarkStart w:id="787" w:name="_Toc351203639"/>
      <w:r>
        <w:rPr>
          <w:rFonts w:hint="eastAsia" w:ascii="宋体" w:hAnsi="宋体" w:cs="宋体"/>
          <w:b/>
          <w:bCs/>
          <w:color w:val="auto"/>
          <w:szCs w:val="21"/>
          <w:highlight w:val="none"/>
        </w:rPr>
        <w:t>7. 工期和进度</w:t>
      </w:r>
      <w:bookmarkEnd w:id="785"/>
      <w:bookmarkEnd w:id="786"/>
      <w:bookmarkEnd w:id="787"/>
    </w:p>
    <w:p w14:paraId="5A9D6B7A">
      <w:pPr>
        <w:widowControl/>
        <w:spacing w:line="360" w:lineRule="auto"/>
        <w:ind w:firstLine="422" w:firstLineChars="200"/>
        <w:jc w:val="left"/>
        <w:outlineLvl w:val="4"/>
        <w:rPr>
          <w:rFonts w:ascii="宋体" w:hAnsi="宋体" w:cs="宋体"/>
          <w:b/>
          <w:bCs/>
          <w:color w:val="auto"/>
          <w:kern w:val="0"/>
          <w:szCs w:val="21"/>
          <w:highlight w:val="none"/>
        </w:rPr>
      </w:pPr>
      <w:bookmarkStart w:id="788" w:name="_Toc532375617"/>
      <w:bookmarkStart w:id="789" w:name="_Toc532377353"/>
      <w:r>
        <w:rPr>
          <w:rFonts w:hint="eastAsia" w:ascii="宋体" w:hAnsi="宋体" w:cs="宋体"/>
          <w:b/>
          <w:bCs/>
          <w:color w:val="auto"/>
          <w:kern w:val="0"/>
          <w:szCs w:val="21"/>
          <w:highlight w:val="none"/>
        </w:rPr>
        <w:t>7.1 施工组织设计</w:t>
      </w:r>
      <w:bookmarkEnd w:id="788"/>
      <w:bookmarkEnd w:id="789"/>
    </w:p>
    <w:p w14:paraId="7FC3CF6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6FBEFDDB">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1DA3FBD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承包人提交详细施工组织设计等的期限的约定：</w:t>
      </w:r>
      <w:r>
        <w:rPr>
          <w:rFonts w:hint="eastAsia" w:ascii="宋体" w:hAnsi="宋体"/>
          <w:color w:val="auto"/>
          <w:szCs w:val="21"/>
          <w:highlight w:val="none"/>
          <w:u w:val="single"/>
        </w:rPr>
        <w:t>合同签订后7天内，向发包人提供完善（经优化）的施工组织设计和工程进度总计划及本年度施工进度计划一式陆份。进度计划安排必须符合发包人对本工程总体进度计划的安排，按时提交其它专业施工所需工作面。监理人批复承包人提供文件的期限：收到施工组织设计和进度计划后14天内审查确认，月进度报表及次月工程进度计划审批时间为5天</w:t>
      </w:r>
      <w:r>
        <w:rPr>
          <w:rFonts w:hint="eastAsia" w:ascii="宋体" w:hAnsi="宋体"/>
          <w:color w:val="auto"/>
          <w:szCs w:val="21"/>
          <w:highlight w:val="none"/>
        </w:rPr>
        <w:t>。</w:t>
      </w:r>
    </w:p>
    <w:p w14:paraId="62A0CC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  天内</w:t>
      </w:r>
      <w:r>
        <w:rPr>
          <w:rFonts w:hint="eastAsia" w:ascii="宋体" w:hAnsi="宋体"/>
          <w:color w:val="auto"/>
          <w:szCs w:val="21"/>
          <w:highlight w:val="none"/>
        </w:rPr>
        <w:t>。</w:t>
      </w:r>
    </w:p>
    <w:p w14:paraId="238FD081">
      <w:pPr>
        <w:widowControl/>
        <w:spacing w:line="360" w:lineRule="auto"/>
        <w:ind w:firstLine="422" w:firstLineChars="200"/>
        <w:jc w:val="left"/>
        <w:outlineLvl w:val="4"/>
        <w:rPr>
          <w:rFonts w:ascii="宋体" w:hAnsi="宋体" w:cs="宋体"/>
          <w:b/>
          <w:bCs/>
          <w:color w:val="auto"/>
          <w:kern w:val="0"/>
          <w:szCs w:val="21"/>
          <w:highlight w:val="none"/>
        </w:rPr>
      </w:pPr>
      <w:bookmarkStart w:id="790" w:name="_Toc532377354"/>
      <w:bookmarkStart w:id="791" w:name="_Toc532375618"/>
      <w:r>
        <w:rPr>
          <w:rFonts w:hint="eastAsia" w:ascii="宋体" w:hAnsi="宋体" w:cs="宋体"/>
          <w:b/>
          <w:bCs/>
          <w:color w:val="auto"/>
          <w:kern w:val="0"/>
          <w:szCs w:val="21"/>
          <w:highlight w:val="none"/>
        </w:rPr>
        <w:t>7.2 施工进度计划</w:t>
      </w:r>
      <w:bookmarkEnd w:id="790"/>
      <w:bookmarkEnd w:id="791"/>
    </w:p>
    <w:p w14:paraId="3A10D1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62DC5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收到修订的施工进度计划后7天内</w:t>
      </w:r>
      <w:r>
        <w:rPr>
          <w:rFonts w:hint="eastAsia" w:ascii="宋体" w:hAnsi="宋体"/>
          <w:color w:val="auto"/>
          <w:szCs w:val="21"/>
          <w:highlight w:val="none"/>
        </w:rPr>
        <w:t>。</w:t>
      </w:r>
    </w:p>
    <w:p w14:paraId="25491954">
      <w:pPr>
        <w:widowControl/>
        <w:spacing w:line="360" w:lineRule="auto"/>
        <w:ind w:firstLine="422" w:firstLineChars="200"/>
        <w:jc w:val="left"/>
        <w:outlineLvl w:val="4"/>
        <w:rPr>
          <w:rFonts w:ascii="宋体" w:hAnsi="宋体" w:cs="宋体"/>
          <w:b/>
          <w:bCs/>
          <w:color w:val="auto"/>
          <w:kern w:val="0"/>
          <w:szCs w:val="21"/>
          <w:highlight w:val="none"/>
        </w:rPr>
      </w:pPr>
      <w:bookmarkStart w:id="792" w:name="_Toc532377355"/>
      <w:bookmarkStart w:id="793" w:name="_Toc532375619"/>
      <w:bookmarkStart w:id="794" w:name="_Toc297216173"/>
      <w:bookmarkStart w:id="795" w:name="_Toc312678005"/>
      <w:bookmarkStart w:id="796" w:name="_Toc303539123"/>
      <w:bookmarkStart w:id="797" w:name="_Toc297123514"/>
      <w:bookmarkStart w:id="798" w:name="_Toc300934966"/>
      <w:bookmarkStart w:id="799" w:name="_Toc312677479"/>
      <w:bookmarkStart w:id="800" w:name="_Toc304295541"/>
      <w:r>
        <w:rPr>
          <w:rFonts w:hint="eastAsia" w:ascii="宋体" w:hAnsi="宋体" w:cs="宋体"/>
          <w:b/>
          <w:bCs/>
          <w:color w:val="auto"/>
          <w:kern w:val="0"/>
          <w:szCs w:val="21"/>
          <w:highlight w:val="none"/>
        </w:rPr>
        <w:t>7.3 开工</w:t>
      </w:r>
      <w:bookmarkEnd w:id="792"/>
      <w:bookmarkEnd w:id="793"/>
    </w:p>
    <w:p w14:paraId="529573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6170FC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p w14:paraId="6F482F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p w14:paraId="34FB3D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bookmarkEnd w:id="794"/>
    <w:bookmarkEnd w:id="795"/>
    <w:bookmarkEnd w:id="796"/>
    <w:bookmarkEnd w:id="797"/>
    <w:bookmarkEnd w:id="798"/>
    <w:bookmarkEnd w:id="799"/>
    <w:bookmarkEnd w:id="800"/>
    <w:p w14:paraId="52BBE2C3">
      <w:pPr>
        <w:widowControl/>
        <w:spacing w:line="360" w:lineRule="auto"/>
        <w:ind w:firstLine="422" w:firstLineChars="200"/>
        <w:jc w:val="left"/>
        <w:outlineLvl w:val="4"/>
        <w:rPr>
          <w:rFonts w:ascii="宋体" w:hAnsi="宋体" w:cs="宋体"/>
          <w:b/>
          <w:bCs/>
          <w:color w:val="auto"/>
          <w:kern w:val="0"/>
          <w:szCs w:val="21"/>
          <w:highlight w:val="none"/>
        </w:rPr>
      </w:pPr>
      <w:bookmarkStart w:id="801" w:name="_Toc532375620"/>
      <w:bookmarkStart w:id="802" w:name="_Toc532377356"/>
      <w:r>
        <w:rPr>
          <w:rFonts w:hint="eastAsia" w:ascii="宋体" w:hAnsi="宋体" w:cs="宋体"/>
          <w:b/>
          <w:bCs/>
          <w:color w:val="auto"/>
          <w:kern w:val="0"/>
          <w:szCs w:val="21"/>
          <w:highlight w:val="none"/>
        </w:rPr>
        <w:t>7.4 测量放线</w:t>
      </w:r>
      <w:bookmarkEnd w:id="801"/>
      <w:bookmarkEnd w:id="802"/>
    </w:p>
    <w:p w14:paraId="58C909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不晚于开工前5天</w:t>
      </w:r>
      <w:r>
        <w:rPr>
          <w:rFonts w:hint="eastAsia" w:ascii="宋体" w:hAnsi="宋体"/>
          <w:color w:val="auto"/>
          <w:szCs w:val="21"/>
          <w:highlight w:val="none"/>
        </w:rPr>
        <w:t>。</w:t>
      </w:r>
    </w:p>
    <w:p w14:paraId="2FA5F3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270AC6EC">
      <w:pPr>
        <w:widowControl/>
        <w:spacing w:line="360" w:lineRule="auto"/>
        <w:ind w:firstLine="422" w:firstLineChars="200"/>
        <w:jc w:val="left"/>
        <w:outlineLvl w:val="4"/>
        <w:rPr>
          <w:rFonts w:ascii="宋体" w:hAnsi="宋体" w:cs="宋体"/>
          <w:b/>
          <w:bCs/>
          <w:color w:val="auto"/>
          <w:kern w:val="0"/>
          <w:szCs w:val="21"/>
          <w:highlight w:val="none"/>
        </w:rPr>
      </w:pPr>
      <w:bookmarkStart w:id="803" w:name="_Toc532377357"/>
      <w:bookmarkStart w:id="804" w:name="_Toc532375621"/>
      <w:r>
        <w:rPr>
          <w:rFonts w:hint="eastAsia" w:ascii="宋体" w:hAnsi="宋体" w:cs="宋体"/>
          <w:b/>
          <w:bCs/>
          <w:color w:val="auto"/>
          <w:kern w:val="0"/>
          <w:szCs w:val="21"/>
          <w:highlight w:val="none"/>
        </w:rPr>
        <w:t>7</w:t>
      </w:r>
      <w:bookmarkStart w:id="805" w:name="_Toc312677484"/>
      <w:bookmarkStart w:id="806" w:name="_Toc297216175"/>
      <w:bookmarkStart w:id="807" w:name="_Toc303539125"/>
      <w:bookmarkStart w:id="808" w:name="_Toc304295546"/>
      <w:bookmarkStart w:id="809" w:name="_Toc300934968"/>
      <w:bookmarkStart w:id="810" w:name="_Toc297123516"/>
      <w:bookmarkStart w:id="811" w:name="_Toc312678010"/>
      <w:r>
        <w:rPr>
          <w:rFonts w:hint="eastAsia" w:ascii="宋体" w:hAnsi="宋体" w:cs="宋体"/>
          <w:b/>
          <w:bCs/>
          <w:color w:val="auto"/>
          <w:kern w:val="0"/>
          <w:szCs w:val="21"/>
          <w:highlight w:val="none"/>
        </w:rPr>
        <w:t>.5 工期延误</w:t>
      </w:r>
      <w:bookmarkEnd w:id="803"/>
      <w:bookmarkEnd w:id="804"/>
    </w:p>
    <w:bookmarkEnd w:id="805"/>
    <w:bookmarkEnd w:id="806"/>
    <w:bookmarkEnd w:id="807"/>
    <w:bookmarkEnd w:id="808"/>
    <w:bookmarkEnd w:id="809"/>
    <w:bookmarkEnd w:id="810"/>
    <w:bookmarkEnd w:id="811"/>
    <w:p w14:paraId="2CC0648A">
      <w:pPr>
        <w:spacing w:line="360" w:lineRule="auto"/>
        <w:ind w:firstLine="420" w:firstLineChars="200"/>
        <w:jc w:val="left"/>
        <w:rPr>
          <w:rFonts w:ascii="宋体" w:hAnsi="宋体"/>
          <w:color w:val="auto"/>
          <w:szCs w:val="21"/>
          <w:highlight w:val="none"/>
        </w:rPr>
      </w:pPr>
      <w:bookmarkStart w:id="812" w:name="_Hlk528927940"/>
      <w:r>
        <w:rPr>
          <w:rFonts w:hint="eastAsia" w:ascii="宋体" w:hAnsi="宋体"/>
          <w:color w:val="auto"/>
          <w:szCs w:val="21"/>
          <w:highlight w:val="none"/>
        </w:rPr>
        <w:t>7.5.1 因发包人原因导致工期延误：</w:t>
      </w:r>
    </w:p>
    <w:p w14:paraId="785B92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w:t>
      </w:r>
    </w:p>
    <w:p w14:paraId="68E115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63F2BC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（2）监理人未按合同约定发出指示、批准等文件，且该未按合同约定发出指示、批准直接影响项目关键线路的；</w:t>
      </w:r>
    </w:p>
    <w:p w14:paraId="322DA9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（3）变更未及时审批，直接影响项目关键线路的；</w:t>
      </w:r>
    </w:p>
    <w:p w14:paraId="495473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（4）实施变更直接影响项目关键线路的；</w:t>
      </w:r>
    </w:p>
    <w:p w14:paraId="3B8B8C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（5）因发包人原因导致工程暂停施工、停建、缓建的；</w:t>
      </w:r>
    </w:p>
    <w:p w14:paraId="4EDB53F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5954C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35E93C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725859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812"/>
    <w:p w14:paraId="2EC32766">
      <w:pPr>
        <w:widowControl/>
        <w:spacing w:line="360" w:lineRule="auto"/>
        <w:ind w:firstLine="422" w:firstLineChars="200"/>
        <w:jc w:val="left"/>
        <w:outlineLvl w:val="4"/>
        <w:rPr>
          <w:rFonts w:ascii="宋体" w:hAnsi="宋体" w:cs="宋体"/>
          <w:b/>
          <w:bCs/>
          <w:color w:val="auto"/>
          <w:kern w:val="0"/>
          <w:szCs w:val="21"/>
          <w:highlight w:val="none"/>
        </w:rPr>
      </w:pPr>
      <w:bookmarkStart w:id="813" w:name="_Toc532375622"/>
      <w:bookmarkStart w:id="814" w:name="_Toc532377358"/>
      <w:bookmarkStart w:id="815" w:name="_Hlk528927997"/>
      <w:r>
        <w:rPr>
          <w:rFonts w:hint="eastAsia" w:ascii="宋体" w:hAnsi="宋体" w:cs="宋体"/>
          <w:b/>
          <w:bCs/>
          <w:color w:val="auto"/>
          <w:kern w:val="0"/>
          <w:szCs w:val="21"/>
          <w:highlight w:val="none"/>
        </w:rPr>
        <w:t>7</w:t>
      </w:r>
      <w:bookmarkStart w:id="816" w:name="_Toc300934971"/>
      <w:bookmarkStart w:id="817" w:name="_Toc312678015"/>
      <w:bookmarkStart w:id="818" w:name="_Toc303539128"/>
      <w:bookmarkStart w:id="819" w:name="_Toc297123519"/>
      <w:bookmarkStart w:id="820" w:name="_Toc297216178"/>
      <w:bookmarkStart w:id="821" w:name="_Toc304295549"/>
      <w:r>
        <w:rPr>
          <w:rFonts w:hint="eastAsia" w:ascii="宋体" w:hAnsi="宋体" w:cs="宋体"/>
          <w:b/>
          <w:bCs/>
          <w:color w:val="auto"/>
          <w:kern w:val="0"/>
          <w:szCs w:val="21"/>
          <w:highlight w:val="none"/>
        </w:rPr>
        <w:t>.6 不</w:t>
      </w:r>
      <w:bookmarkEnd w:id="816"/>
      <w:bookmarkEnd w:id="817"/>
      <w:bookmarkEnd w:id="818"/>
      <w:bookmarkEnd w:id="819"/>
      <w:bookmarkEnd w:id="820"/>
      <w:bookmarkEnd w:id="821"/>
      <w:r>
        <w:rPr>
          <w:rFonts w:hint="eastAsia" w:ascii="宋体" w:hAnsi="宋体" w:cs="宋体"/>
          <w:b/>
          <w:bCs/>
          <w:color w:val="auto"/>
          <w:kern w:val="0"/>
          <w:szCs w:val="21"/>
          <w:highlight w:val="none"/>
        </w:rPr>
        <w:t>利物质条件</w:t>
      </w:r>
      <w:bookmarkEnd w:id="813"/>
      <w:bookmarkEnd w:id="814"/>
    </w:p>
    <w:bookmarkEnd w:id="815"/>
    <w:p w14:paraId="0B8B1724">
      <w:pPr>
        <w:spacing w:line="360" w:lineRule="auto"/>
        <w:ind w:firstLine="420" w:firstLineChars="200"/>
        <w:jc w:val="left"/>
        <w:rPr>
          <w:rFonts w:ascii="宋体" w:hAnsi="宋体"/>
          <w:bCs/>
          <w:color w:val="auto"/>
          <w:szCs w:val="21"/>
          <w:highlight w:val="none"/>
        </w:rPr>
      </w:pPr>
      <w:bookmarkStart w:id="822" w:name="_Toc318581172"/>
      <w:bookmarkStart w:id="823" w:name="_Toc300934972"/>
      <w:bookmarkStart w:id="824" w:name="_Toc303539129"/>
      <w:bookmarkStart w:id="825" w:name="_Toc304295550"/>
      <w:bookmarkStart w:id="826" w:name="_Toc297216179"/>
      <w:bookmarkStart w:id="827" w:name="_Toc297123520"/>
      <w:bookmarkStart w:id="828" w:name="_Toc312678016"/>
      <w:r>
        <w:rPr>
          <w:rFonts w:hint="eastAsia" w:ascii="宋体" w:hAnsi="宋体"/>
          <w:color w:val="auto"/>
          <w:szCs w:val="21"/>
          <w:highlight w:val="none"/>
        </w:rPr>
        <w:t>不利物质条件的其他情形和有关约定：</w:t>
      </w:r>
      <w:bookmarkStart w:id="829" w:name="_Hlk528910274"/>
      <w:r>
        <w:rPr>
          <w:rFonts w:hint="eastAsia" w:ascii="宋体" w:hAnsi="宋体"/>
          <w:color w:val="auto"/>
          <w:szCs w:val="21"/>
          <w:highlight w:val="none"/>
          <w:u w:val="single"/>
        </w:rPr>
        <w:t xml:space="preserve">  承包人按要求对施工场地和周围环境进行踏勘并充分收集相关资料，不利物质条件由承包人自行考虑，其费用已纳入合同价中，不再单独计取  </w:t>
      </w:r>
      <w:r>
        <w:rPr>
          <w:rFonts w:hint="eastAsia" w:ascii="宋体" w:hAnsi="宋体"/>
          <w:color w:val="auto"/>
          <w:szCs w:val="21"/>
          <w:highlight w:val="none"/>
        </w:rPr>
        <w:t>。</w:t>
      </w:r>
    </w:p>
    <w:bookmarkEnd w:id="822"/>
    <w:bookmarkEnd w:id="823"/>
    <w:bookmarkEnd w:id="824"/>
    <w:bookmarkEnd w:id="825"/>
    <w:bookmarkEnd w:id="826"/>
    <w:bookmarkEnd w:id="827"/>
    <w:bookmarkEnd w:id="828"/>
    <w:bookmarkEnd w:id="829"/>
    <w:p w14:paraId="26BC0E6C">
      <w:pPr>
        <w:widowControl/>
        <w:spacing w:line="360" w:lineRule="auto"/>
        <w:ind w:firstLine="422" w:firstLineChars="200"/>
        <w:jc w:val="left"/>
        <w:outlineLvl w:val="4"/>
        <w:rPr>
          <w:rFonts w:ascii="宋体" w:hAnsi="宋体" w:cs="宋体"/>
          <w:b/>
          <w:bCs/>
          <w:color w:val="auto"/>
          <w:kern w:val="0"/>
          <w:szCs w:val="21"/>
          <w:highlight w:val="none"/>
        </w:rPr>
      </w:pPr>
      <w:bookmarkStart w:id="830" w:name="_Toc532377359"/>
      <w:bookmarkStart w:id="831" w:name="_Toc532375623"/>
      <w:r>
        <w:rPr>
          <w:rFonts w:hint="eastAsia" w:ascii="宋体" w:hAnsi="宋体" w:cs="宋体"/>
          <w:b/>
          <w:bCs/>
          <w:color w:val="auto"/>
          <w:kern w:val="0"/>
          <w:szCs w:val="21"/>
          <w:highlight w:val="none"/>
        </w:rPr>
        <w:t>7</w:t>
      </w:r>
      <w:bookmarkStart w:id="832" w:name="_Toc300934973"/>
      <w:bookmarkStart w:id="833" w:name="_Toc312678017"/>
      <w:bookmarkStart w:id="834" w:name="_Toc303539130"/>
      <w:bookmarkStart w:id="835" w:name="_Toc297216180"/>
      <w:bookmarkStart w:id="836" w:name="_Toc304295551"/>
      <w:bookmarkStart w:id="837" w:name="_Toc297123521"/>
      <w:r>
        <w:rPr>
          <w:rFonts w:hint="eastAsia" w:ascii="宋体" w:hAnsi="宋体" w:cs="宋体"/>
          <w:b/>
          <w:bCs/>
          <w:color w:val="auto"/>
          <w:kern w:val="0"/>
          <w:szCs w:val="21"/>
          <w:highlight w:val="none"/>
        </w:rPr>
        <w:t>.7异常恶劣的气候条件</w:t>
      </w:r>
      <w:bookmarkEnd w:id="830"/>
      <w:bookmarkEnd w:id="831"/>
    </w:p>
    <w:bookmarkEnd w:id="832"/>
    <w:bookmarkEnd w:id="833"/>
    <w:bookmarkEnd w:id="834"/>
    <w:bookmarkEnd w:id="835"/>
    <w:bookmarkEnd w:id="836"/>
    <w:bookmarkEnd w:id="837"/>
    <w:p w14:paraId="404C29C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以气象部门书面通知的禁止施工条件为准（异常气候是指项目所在地50年以上一遇的罕见气候现象）</w:t>
      </w:r>
      <w:r>
        <w:rPr>
          <w:rFonts w:hint="eastAsia" w:ascii="宋体" w:hAnsi="宋体"/>
          <w:color w:val="auto"/>
          <w:szCs w:val="21"/>
          <w:highlight w:val="none"/>
        </w:rPr>
        <w:t>。</w:t>
      </w:r>
    </w:p>
    <w:p w14:paraId="1DD61D94">
      <w:pPr>
        <w:widowControl/>
        <w:spacing w:line="360" w:lineRule="auto"/>
        <w:ind w:firstLine="422" w:firstLineChars="200"/>
        <w:jc w:val="left"/>
        <w:outlineLvl w:val="4"/>
        <w:rPr>
          <w:rFonts w:ascii="宋体" w:hAnsi="宋体" w:cs="宋体"/>
          <w:b/>
          <w:bCs/>
          <w:color w:val="auto"/>
          <w:kern w:val="0"/>
          <w:szCs w:val="21"/>
          <w:highlight w:val="none"/>
        </w:rPr>
      </w:pPr>
      <w:bookmarkStart w:id="838" w:name="_Toc532375624"/>
      <w:bookmarkStart w:id="839" w:name="_Toc532377360"/>
      <w:r>
        <w:rPr>
          <w:rFonts w:hint="eastAsia" w:ascii="宋体" w:hAnsi="宋体" w:cs="宋体"/>
          <w:b/>
          <w:bCs/>
          <w:color w:val="auto"/>
          <w:kern w:val="0"/>
          <w:szCs w:val="21"/>
          <w:highlight w:val="none"/>
        </w:rPr>
        <w:t>7.9 提前竣工</w:t>
      </w:r>
      <w:bookmarkEnd w:id="838"/>
      <w:bookmarkEnd w:id="839"/>
    </w:p>
    <w:p w14:paraId="41FFBD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074501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98ABD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6CB9BB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无</w:t>
      </w:r>
      <w:r>
        <w:rPr>
          <w:rFonts w:hint="eastAsia" w:ascii="宋体" w:hAnsi="宋体"/>
          <w:color w:val="auto"/>
          <w:szCs w:val="21"/>
          <w:highlight w:val="none"/>
        </w:rPr>
        <w:t>。</w:t>
      </w:r>
    </w:p>
    <w:p w14:paraId="2014735E">
      <w:pPr>
        <w:keepNext/>
        <w:keepLines/>
        <w:widowControl/>
        <w:spacing w:before="156" w:beforeLines="50" w:after="156" w:afterLines="50" w:line="360" w:lineRule="auto"/>
        <w:outlineLvl w:val="3"/>
        <w:rPr>
          <w:rFonts w:ascii="宋体" w:hAnsi="宋体" w:cs="宋体"/>
          <w:b/>
          <w:color w:val="auto"/>
          <w:szCs w:val="21"/>
          <w:highlight w:val="none"/>
        </w:rPr>
      </w:pPr>
      <w:bookmarkStart w:id="840" w:name="_Toc532377361"/>
      <w:bookmarkStart w:id="841" w:name="_Toc351203640"/>
      <w:bookmarkStart w:id="842" w:name="_Toc532375625"/>
      <w:r>
        <w:rPr>
          <w:rFonts w:hint="eastAsia" w:ascii="宋体" w:hAnsi="宋体" w:cs="宋体"/>
          <w:b/>
          <w:bCs/>
          <w:color w:val="auto"/>
          <w:szCs w:val="21"/>
          <w:highlight w:val="none"/>
        </w:rPr>
        <w:t>8. 材料与设备</w:t>
      </w:r>
      <w:bookmarkEnd w:id="840"/>
      <w:bookmarkEnd w:id="841"/>
      <w:bookmarkEnd w:id="842"/>
    </w:p>
    <w:p w14:paraId="0AA5B419">
      <w:pPr>
        <w:widowControl/>
        <w:spacing w:line="360" w:lineRule="auto"/>
        <w:ind w:firstLine="422" w:firstLineChars="200"/>
        <w:jc w:val="left"/>
        <w:outlineLvl w:val="4"/>
        <w:rPr>
          <w:rFonts w:ascii="宋体" w:hAnsi="宋体" w:cs="宋体"/>
          <w:b/>
          <w:bCs/>
          <w:color w:val="auto"/>
          <w:kern w:val="0"/>
          <w:szCs w:val="21"/>
          <w:highlight w:val="none"/>
        </w:rPr>
      </w:pPr>
      <w:bookmarkStart w:id="843" w:name="_Toc532377362"/>
      <w:bookmarkStart w:id="844" w:name="_Toc532375626"/>
      <w:r>
        <w:rPr>
          <w:rFonts w:hint="eastAsia" w:ascii="宋体" w:hAnsi="宋体" w:cs="宋体"/>
          <w:b/>
          <w:bCs/>
          <w:color w:val="auto"/>
          <w:kern w:val="0"/>
          <w:szCs w:val="21"/>
          <w:highlight w:val="none"/>
        </w:rPr>
        <w:t>8.1发包人供应材料与工程设备</w:t>
      </w:r>
      <w:bookmarkEnd w:id="843"/>
      <w:bookmarkEnd w:id="844"/>
    </w:p>
    <w:p w14:paraId="561AC1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6CA918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102A57F5">
      <w:pPr>
        <w:widowControl/>
        <w:spacing w:line="360" w:lineRule="auto"/>
        <w:ind w:firstLine="422" w:firstLineChars="200"/>
        <w:jc w:val="left"/>
        <w:outlineLvl w:val="4"/>
        <w:rPr>
          <w:rFonts w:ascii="宋体" w:hAnsi="宋体" w:cs="宋体"/>
          <w:b/>
          <w:bCs/>
          <w:color w:val="auto"/>
          <w:kern w:val="0"/>
          <w:szCs w:val="21"/>
          <w:highlight w:val="none"/>
        </w:rPr>
      </w:pPr>
      <w:bookmarkStart w:id="845" w:name="_Toc532375627"/>
      <w:bookmarkStart w:id="846" w:name="_Toc351203554"/>
      <w:bookmarkStart w:id="847" w:name="_Toc532377363"/>
      <w:r>
        <w:rPr>
          <w:rFonts w:hint="eastAsia" w:ascii="宋体" w:hAnsi="宋体" w:cs="宋体"/>
          <w:b/>
          <w:bCs/>
          <w:color w:val="auto"/>
          <w:kern w:val="0"/>
          <w:szCs w:val="21"/>
          <w:highlight w:val="none"/>
        </w:rPr>
        <w:t>8</w:t>
      </w:r>
      <w:bookmarkStart w:id="848" w:name="_Toc296503060"/>
      <w:bookmarkStart w:id="849" w:name="_Toc337558778"/>
      <w:bookmarkStart w:id="850" w:name="_Toc296346561"/>
      <w:r>
        <w:rPr>
          <w:rFonts w:hint="eastAsia" w:ascii="宋体" w:hAnsi="宋体" w:cs="宋体"/>
          <w:b/>
          <w:bCs/>
          <w:color w:val="auto"/>
          <w:kern w:val="0"/>
          <w:szCs w:val="21"/>
          <w:highlight w:val="none"/>
        </w:rPr>
        <w:t>.2 承包人采购材料与工程设备</w:t>
      </w:r>
      <w:bookmarkEnd w:id="845"/>
      <w:bookmarkEnd w:id="846"/>
      <w:bookmarkEnd w:id="847"/>
    </w:p>
    <w:bookmarkEnd w:id="848"/>
    <w:bookmarkEnd w:id="849"/>
    <w:bookmarkEnd w:id="850"/>
    <w:p w14:paraId="4492FC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6E1627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重要（主要）材料设备使用前28天</w:t>
      </w:r>
      <w:r>
        <w:rPr>
          <w:rFonts w:hint="eastAsia" w:ascii="宋体" w:hAnsi="宋体"/>
          <w:color w:val="auto"/>
          <w:szCs w:val="21"/>
          <w:highlight w:val="none"/>
        </w:rPr>
        <w:t>。</w:t>
      </w:r>
    </w:p>
    <w:p w14:paraId="7A6B0E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576392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202033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79151B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649805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D.承包人选择的装配式建筑材料供应商应满足下列条件：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7146DE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E.承包人采购的材料与设计或标准要求不符时，承包人应按发包人和监理人要求的时间运出施工场地，并重新采购符合要求的产品，并承担由此发生的费用，因此延误的工期不予顺延。</w:t>
      </w:r>
    </w:p>
    <w:p w14:paraId="7BF77C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F.承包人采购的材料在使用前，应按发包人和监理人的要求进行检验或试验，不合格的不得使用。</w:t>
      </w:r>
    </w:p>
    <w:p w14:paraId="1F2F7D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G.即使投标报价中的材料价格低于市场价格和招标清单限价价格，必须按照设计标准和合同要求的标准供应材料，且不得低于招标清单限价价格同档次材料品质，发包人有权参与材料的选择。</w:t>
      </w:r>
    </w:p>
    <w:p w14:paraId="4F72C5A9">
      <w:pPr>
        <w:widowControl/>
        <w:spacing w:line="360" w:lineRule="auto"/>
        <w:ind w:firstLine="422" w:firstLineChars="200"/>
        <w:jc w:val="left"/>
        <w:outlineLvl w:val="4"/>
        <w:rPr>
          <w:rFonts w:ascii="宋体" w:hAnsi="宋体" w:cs="宋体"/>
          <w:b/>
          <w:bCs/>
          <w:color w:val="auto"/>
          <w:kern w:val="0"/>
          <w:szCs w:val="21"/>
          <w:highlight w:val="none"/>
        </w:rPr>
      </w:pPr>
      <w:bookmarkStart w:id="851" w:name="_Toc532375628"/>
      <w:bookmarkStart w:id="852" w:name="_Toc532377364"/>
      <w:r>
        <w:rPr>
          <w:rFonts w:hint="eastAsia" w:ascii="宋体" w:hAnsi="宋体" w:cs="宋体"/>
          <w:b/>
          <w:bCs/>
          <w:color w:val="auto"/>
          <w:kern w:val="0"/>
          <w:szCs w:val="21"/>
          <w:highlight w:val="none"/>
        </w:rPr>
        <w:t>8</w:t>
      </w:r>
      <w:bookmarkStart w:id="853" w:name="_Toc304295556"/>
      <w:bookmarkStart w:id="854" w:name="_Toc296347166"/>
      <w:bookmarkStart w:id="855" w:name="_Toc297123527"/>
      <w:bookmarkStart w:id="856" w:name="_Toc297216186"/>
      <w:bookmarkStart w:id="857" w:name="_Toc292559372"/>
      <w:bookmarkStart w:id="858" w:name="_Toc296891207"/>
      <w:bookmarkStart w:id="859" w:name="_Toc312677493"/>
      <w:bookmarkStart w:id="860" w:name="_Toc296944506"/>
      <w:bookmarkStart w:id="861" w:name="_Toc303539136"/>
      <w:bookmarkStart w:id="862" w:name="_Toc296503167"/>
      <w:bookmarkStart w:id="863" w:name="_Toc280868654"/>
      <w:bookmarkStart w:id="864" w:name="_Toc296890995"/>
      <w:bookmarkStart w:id="865" w:name="_Toc312678019"/>
      <w:bookmarkStart w:id="866" w:name="_Toc296346668"/>
      <w:bookmarkStart w:id="867" w:name="_Toc300934979"/>
      <w:bookmarkStart w:id="868" w:name="_Toc297048353"/>
      <w:bookmarkStart w:id="869" w:name="_Toc297120467"/>
      <w:bookmarkStart w:id="870" w:name="_Toc292559877"/>
      <w:bookmarkStart w:id="871" w:name="_Toc267251424"/>
      <w:bookmarkStart w:id="872" w:name="_Toc280868655"/>
      <w:bookmarkStart w:id="873" w:name="_Toc280868656"/>
      <w:r>
        <w:rPr>
          <w:rFonts w:hint="eastAsia" w:ascii="宋体" w:hAnsi="宋体" w:cs="宋体"/>
          <w:b/>
          <w:bCs/>
          <w:color w:val="auto"/>
          <w:kern w:val="0"/>
          <w:szCs w:val="21"/>
          <w:highlight w:val="none"/>
        </w:rPr>
        <w:t>.4 材料与工程设备的保管与使用</w:t>
      </w:r>
      <w:bookmarkEnd w:id="851"/>
      <w:bookmarkEnd w:id="852"/>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14:paraId="1E8C8A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874" w:name="_Toc292559373"/>
      <w:bookmarkStart w:id="875" w:name="_Toc292559878"/>
      <w:bookmarkStart w:id="876" w:name="_Toc297120468"/>
      <w:bookmarkStart w:id="877" w:name="_Toc312677494"/>
      <w:bookmarkStart w:id="878" w:name="_Toc297216187"/>
      <w:bookmarkStart w:id="879" w:name="_Toc296503168"/>
      <w:bookmarkStart w:id="880" w:name="_Toc296944507"/>
      <w:bookmarkStart w:id="881" w:name="_Toc312678020"/>
      <w:bookmarkStart w:id="882" w:name="_Toc296891208"/>
      <w:bookmarkStart w:id="883" w:name="_Toc304295557"/>
      <w:bookmarkStart w:id="884" w:name="_Toc296890996"/>
      <w:bookmarkStart w:id="885" w:name="_Toc318581173"/>
      <w:bookmarkStart w:id="886" w:name="_Toc297048354"/>
      <w:bookmarkStart w:id="887" w:name="_Toc296346669"/>
      <w:bookmarkStart w:id="888" w:name="_Toc303539137"/>
      <w:bookmarkStart w:id="889" w:name="_Toc300934980"/>
      <w:bookmarkStart w:id="890" w:name="_Toc297123528"/>
      <w:bookmarkStart w:id="891" w:name="_Toc296347167"/>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承包人承担，其费用包含在投标报价中  </w:t>
      </w:r>
      <w:r>
        <w:rPr>
          <w:rFonts w:hint="eastAsia" w:ascii="宋体" w:hAnsi="宋体"/>
          <w:color w:val="auto"/>
          <w:szCs w:val="21"/>
          <w:highlight w:val="none"/>
        </w:rPr>
        <w:t>。</w:t>
      </w:r>
      <w:bookmarkEnd w:id="874"/>
      <w:bookmarkEnd w:id="875"/>
    </w:p>
    <w:p w14:paraId="73FB1225">
      <w:pPr>
        <w:widowControl/>
        <w:spacing w:line="360" w:lineRule="auto"/>
        <w:ind w:firstLine="422" w:firstLineChars="200"/>
        <w:jc w:val="left"/>
        <w:outlineLvl w:val="4"/>
        <w:rPr>
          <w:rFonts w:ascii="宋体" w:hAnsi="宋体" w:cs="宋体"/>
          <w:b/>
          <w:bCs/>
          <w:color w:val="auto"/>
          <w:kern w:val="0"/>
          <w:szCs w:val="21"/>
          <w:highlight w:val="none"/>
        </w:rPr>
      </w:pPr>
      <w:bookmarkStart w:id="892" w:name="_Toc532375629"/>
      <w:bookmarkStart w:id="893" w:name="_Toc532377365"/>
      <w:r>
        <w:rPr>
          <w:rFonts w:hint="eastAsia" w:ascii="宋体" w:hAnsi="宋体" w:cs="宋体"/>
          <w:b/>
          <w:bCs/>
          <w:color w:val="auto"/>
          <w:kern w:val="0"/>
          <w:szCs w:val="21"/>
          <w:highlight w:val="none"/>
        </w:rPr>
        <w:t>8.6 样品</w:t>
      </w:r>
      <w:bookmarkEnd w:id="892"/>
      <w:bookmarkEnd w:id="893"/>
    </w:p>
    <w:p w14:paraId="6CEE4B6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74B364F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样品的报送与封存</w:t>
      </w:r>
    </w:p>
    <w:p w14:paraId="6008261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需要承包人报送样品的材料或工程设备，样品的种类、名称、规格、数量要求： 按发包人要求执行，费用由承包人承担且已包含在合同价款中 。</w:t>
      </w:r>
    </w:p>
    <w:p w14:paraId="212D501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本工程发包人供应部分材料，其余材料、设备均由承包人自行采购，但所采购的材料必须符合国家规范标准及设计文件、招标文件要求，并提供相应合格证明资料、质保书等。</w:t>
      </w:r>
    </w:p>
    <w:p w14:paraId="68EDE92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承包人采购的材料与设计或标准要求不符时，承包人应按监理工程师或发包人要求的时间运出施工场地，重新采购符合要求的产品，并承担由此发生的费用，由此延误的工期不予顺延。</w:t>
      </w:r>
    </w:p>
    <w:p w14:paraId="0930A2A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本工程所需的主要材料（设备）须采用中档及以上品牌（厂家）的产品，同时报送三家及以上的品牌（厂家）的产品，承包人应在采购前14日内将所采购材料设备的厂家、技术参数、品牌、质量等级等指标以书面形式通知发包人及监理人，发包人收到承包人的书面报告后14日内予以确认，经发包人及监理人认质、封样（如有必要）后承包人方可采购进场。发包人及监理人认为承包人所使用的材料（设备）品质存在缺陷，或者偏离图纸及规范要求（以设计和监理书面意见为准），不能适用于本工程，发包人及监理人有权要求承包人无条件更换，发包人不因更换材料（设备）品牌而调整材料价格及相关费用；承包人拒绝按发包人及监理人要求更换，该种材料（设备）改为第三方供货，发包人收取承包人该类材料（设备）费的20%作为违约金，并按发包人实际支付的货款从承包人的结算价款中扣除，并且由此造成的工期延误由承包人负责。</w:t>
      </w:r>
    </w:p>
    <w:p w14:paraId="09FE2C2B">
      <w:pPr>
        <w:widowControl/>
        <w:spacing w:line="360" w:lineRule="auto"/>
        <w:ind w:firstLine="422" w:firstLineChars="200"/>
        <w:jc w:val="left"/>
        <w:outlineLvl w:val="4"/>
        <w:rPr>
          <w:rFonts w:ascii="宋体" w:hAnsi="宋体" w:cs="宋体"/>
          <w:b/>
          <w:bCs/>
          <w:color w:val="auto"/>
          <w:kern w:val="0"/>
          <w:szCs w:val="21"/>
          <w:highlight w:val="none"/>
        </w:rPr>
      </w:pPr>
      <w:bookmarkStart w:id="894" w:name="_Toc532377366"/>
      <w:bookmarkStart w:id="895" w:name="_Toc532375630"/>
      <w:r>
        <w:rPr>
          <w:rFonts w:hint="eastAsia" w:ascii="宋体" w:hAnsi="宋体" w:cs="宋体"/>
          <w:b/>
          <w:bCs/>
          <w:color w:val="auto"/>
          <w:kern w:val="0"/>
          <w:szCs w:val="21"/>
          <w:highlight w:val="none"/>
        </w:rPr>
        <w:t>8.8 施工设备和临时设施</w:t>
      </w:r>
      <w:bookmarkEnd w:id="894"/>
      <w:bookmarkEnd w:id="895"/>
    </w:p>
    <w:p w14:paraId="26252BF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0C490D5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由承包人承担，其费用包含在投标报价中</w:t>
      </w:r>
      <w:r>
        <w:rPr>
          <w:rFonts w:hint="eastAsia" w:ascii="宋体" w:hAnsi="宋体"/>
          <w:color w:val="auto"/>
          <w:szCs w:val="21"/>
          <w:highlight w:val="none"/>
        </w:rPr>
        <w:t>。</w:t>
      </w:r>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14:paraId="04CCF1FB">
      <w:pPr>
        <w:keepNext/>
        <w:keepLines/>
        <w:widowControl/>
        <w:spacing w:before="156" w:beforeLines="50" w:after="156" w:afterLines="50" w:line="360" w:lineRule="auto"/>
        <w:outlineLvl w:val="3"/>
        <w:rPr>
          <w:rFonts w:ascii="宋体" w:hAnsi="宋体" w:cs="宋体"/>
          <w:b/>
          <w:color w:val="auto"/>
          <w:szCs w:val="21"/>
          <w:highlight w:val="none"/>
        </w:rPr>
      </w:pPr>
      <w:bookmarkStart w:id="896" w:name="_Toc532375631"/>
      <w:bookmarkStart w:id="897" w:name="_Toc351203641"/>
      <w:bookmarkStart w:id="898" w:name="_Toc532377367"/>
      <w:r>
        <w:rPr>
          <w:rFonts w:hint="eastAsia" w:ascii="宋体" w:hAnsi="宋体" w:cs="宋体"/>
          <w:b/>
          <w:bCs/>
          <w:color w:val="auto"/>
          <w:szCs w:val="21"/>
          <w:highlight w:val="none"/>
        </w:rPr>
        <w:t>9</w:t>
      </w:r>
      <w:bookmarkEnd w:id="871"/>
      <w:bookmarkEnd w:id="872"/>
      <w:bookmarkEnd w:id="873"/>
      <w:bookmarkStart w:id="899" w:name="_Toc312677495"/>
      <w:bookmarkStart w:id="900" w:name="_Toc303539139"/>
      <w:bookmarkStart w:id="901" w:name="_Toc312678021"/>
      <w:bookmarkStart w:id="902" w:name="_Toc300934982"/>
      <w:bookmarkStart w:id="903" w:name="_Toc297216192"/>
      <w:bookmarkStart w:id="904" w:name="_Toc304295559"/>
      <w:bookmarkStart w:id="905" w:name="_Toc297123533"/>
      <w:r>
        <w:rPr>
          <w:rFonts w:hint="eastAsia" w:ascii="宋体" w:hAnsi="宋体" w:cs="宋体"/>
          <w:b/>
          <w:bCs/>
          <w:color w:val="auto"/>
          <w:szCs w:val="21"/>
          <w:highlight w:val="none"/>
        </w:rPr>
        <w:t>. 试验与检验</w:t>
      </w:r>
      <w:bookmarkEnd w:id="896"/>
      <w:bookmarkEnd w:id="897"/>
      <w:bookmarkEnd w:id="898"/>
    </w:p>
    <w:bookmarkEnd w:id="899"/>
    <w:bookmarkEnd w:id="900"/>
    <w:bookmarkEnd w:id="901"/>
    <w:bookmarkEnd w:id="902"/>
    <w:bookmarkEnd w:id="903"/>
    <w:bookmarkEnd w:id="904"/>
    <w:bookmarkEnd w:id="905"/>
    <w:p w14:paraId="228785D1">
      <w:pPr>
        <w:widowControl/>
        <w:spacing w:line="360" w:lineRule="auto"/>
        <w:ind w:firstLine="422" w:firstLineChars="200"/>
        <w:jc w:val="left"/>
        <w:outlineLvl w:val="4"/>
        <w:rPr>
          <w:rFonts w:ascii="宋体" w:hAnsi="宋体" w:cs="宋体"/>
          <w:b/>
          <w:bCs/>
          <w:color w:val="auto"/>
          <w:kern w:val="0"/>
          <w:szCs w:val="21"/>
          <w:highlight w:val="none"/>
        </w:rPr>
      </w:pPr>
      <w:bookmarkStart w:id="906" w:name="_Toc532375632"/>
      <w:bookmarkStart w:id="907" w:name="_Toc532377368"/>
      <w:r>
        <w:rPr>
          <w:rFonts w:hint="eastAsia" w:ascii="宋体" w:hAnsi="宋体" w:cs="宋体"/>
          <w:b/>
          <w:bCs/>
          <w:color w:val="auto"/>
          <w:kern w:val="0"/>
          <w:szCs w:val="21"/>
          <w:highlight w:val="none"/>
        </w:rPr>
        <w:t>9</w:t>
      </w:r>
      <w:bookmarkStart w:id="908" w:name="_Toc300934983"/>
      <w:bookmarkStart w:id="909" w:name="_Toc304295560"/>
      <w:bookmarkStart w:id="910" w:name="_Toc303539140"/>
      <w:bookmarkStart w:id="911" w:name="_Toc312678022"/>
      <w:bookmarkStart w:id="912" w:name="_Toc297123534"/>
      <w:bookmarkStart w:id="913" w:name="_Toc312677496"/>
      <w:bookmarkStart w:id="914" w:name="_Toc297216193"/>
      <w:r>
        <w:rPr>
          <w:rFonts w:hint="eastAsia" w:ascii="宋体" w:hAnsi="宋体" w:cs="宋体"/>
          <w:b/>
          <w:bCs/>
          <w:color w:val="auto"/>
          <w:kern w:val="0"/>
          <w:szCs w:val="21"/>
          <w:highlight w:val="none"/>
        </w:rPr>
        <w:t>.1 试验设备与试验人员</w:t>
      </w:r>
      <w:bookmarkEnd w:id="906"/>
      <w:bookmarkEnd w:id="907"/>
    </w:p>
    <w:bookmarkEnd w:id="908"/>
    <w:bookmarkEnd w:id="909"/>
    <w:bookmarkEnd w:id="910"/>
    <w:bookmarkEnd w:id="911"/>
    <w:bookmarkEnd w:id="912"/>
    <w:bookmarkEnd w:id="913"/>
    <w:bookmarkEnd w:id="914"/>
    <w:p w14:paraId="1FEDA0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915" w:name="_Toc312677497"/>
      <w:bookmarkStart w:id="916" w:name="_Toc300934984"/>
      <w:bookmarkStart w:id="917" w:name="_Toc304295561"/>
      <w:bookmarkStart w:id="918" w:name="_Toc297123535"/>
      <w:bookmarkStart w:id="919" w:name="_Toc312678023"/>
      <w:bookmarkStart w:id="920" w:name="_Toc297216194"/>
      <w:bookmarkStart w:id="921" w:name="_Toc303539141"/>
      <w:bookmarkStart w:id="922" w:name="_Toc318581174"/>
      <w:r>
        <w:rPr>
          <w:rFonts w:hint="eastAsia" w:ascii="宋体" w:hAnsi="宋体"/>
          <w:color w:val="auto"/>
          <w:szCs w:val="21"/>
          <w:highlight w:val="none"/>
        </w:rPr>
        <w:t>.1.2 试验设备</w:t>
      </w:r>
    </w:p>
    <w:p w14:paraId="13D571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915"/>
      <w:bookmarkEnd w:id="916"/>
      <w:bookmarkEnd w:id="917"/>
      <w:bookmarkEnd w:id="918"/>
      <w:bookmarkEnd w:id="919"/>
      <w:bookmarkEnd w:id="920"/>
      <w:bookmarkEnd w:id="921"/>
      <w:bookmarkStart w:id="923" w:name="_Toc303539142"/>
      <w:bookmarkStart w:id="924" w:name="_Toc312677498"/>
      <w:bookmarkStart w:id="925" w:name="_Toc304295562"/>
      <w:bookmarkStart w:id="926" w:name="_Toc297216195"/>
      <w:bookmarkStart w:id="927" w:name="_Toc312678024"/>
      <w:bookmarkStart w:id="928" w:name="_Toc300934985"/>
      <w:bookmarkStart w:id="929" w:name="_Toc297123536"/>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32F054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00F711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2C0D7F76">
      <w:pPr>
        <w:widowControl/>
        <w:spacing w:line="360" w:lineRule="auto"/>
        <w:ind w:firstLine="422" w:firstLineChars="200"/>
        <w:jc w:val="left"/>
        <w:outlineLvl w:val="4"/>
        <w:rPr>
          <w:rFonts w:ascii="宋体" w:hAnsi="宋体" w:cs="宋体"/>
          <w:b/>
          <w:bCs/>
          <w:color w:val="auto"/>
          <w:kern w:val="0"/>
          <w:szCs w:val="21"/>
          <w:highlight w:val="none"/>
        </w:rPr>
      </w:pPr>
      <w:bookmarkStart w:id="930" w:name="_Toc532375633"/>
      <w:bookmarkStart w:id="931" w:name="_Toc532377369"/>
      <w:r>
        <w:rPr>
          <w:rFonts w:hint="eastAsia" w:ascii="宋体" w:hAnsi="宋体" w:cs="宋体"/>
          <w:b/>
          <w:bCs/>
          <w:color w:val="auto"/>
          <w:kern w:val="0"/>
          <w:szCs w:val="21"/>
          <w:highlight w:val="none"/>
        </w:rPr>
        <w:t>9.4 现场工艺试验</w:t>
      </w:r>
      <w:bookmarkEnd w:id="930"/>
      <w:bookmarkEnd w:id="931"/>
    </w:p>
    <w:p w14:paraId="4B81F9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922"/>
    <w:bookmarkEnd w:id="923"/>
    <w:bookmarkEnd w:id="924"/>
    <w:bookmarkEnd w:id="925"/>
    <w:bookmarkEnd w:id="926"/>
    <w:bookmarkEnd w:id="927"/>
    <w:bookmarkEnd w:id="928"/>
    <w:bookmarkEnd w:id="929"/>
    <w:p w14:paraId="504601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191A675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64B3349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42DDA5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74AB3A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223A9BC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5F6E4D9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5E1CF48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25BE1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590D3FB2">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768"/>
    <w:bookmarkEnd w:id="769"/>
    <w:bookmarkEnd w:id="770"/>
    <w:bookmarkEnd w:id="771"/>
    <w:bookmarkEnd w:id="772"/>
    <w:bookmarkEnd w:id="773"/>
    <w:bookmarkEnd w:id="774"/>
    <w:bookmarkEnd w:id="775"/>
    <w:bookmarkEnd w:id="776"/>
    <w:bookmarkEnd w:id="777"/>
    <w:bookmarkEnd w:id="778"/>
    <w:bookmarkEnd w:id="779"/>
    <w:bookmarkEnd w:id="780"/>
    <w:p w14:paraId="70ABAD4A">
      <w:pPr>
        <w:keepNext/>
        <w:keepLines/>
        <w:widowControl/>
        <w:spacing w:before="156" w:beforeLines="50" w:after="156" w:afterLines="50" w:line="360" w:lineRule="auto"/>
        <w:outlineLvl w:val="3"/>
        <w:rPr>
          <w:rFonts w:ascii="宋体" w:hAnsi="宋体" w:cs="宋体"/>
          <w:b/>
          <w:color w:val="auto"/>
          <w:szCs w:val="21"/>
          <w:highlight w:val="none"/>
        </w:rPr>
      </w:pPr>
      <w:bookmarkStart w:id="932" w:name="_Toc532377370"/>
      <w:bookmarkStart w:id="933" w:name="_Toc532375634"/>
      <w:bookmarkStart w:id="934" w:name="_Toc267251482"/>
      <w:bookmarkStart w:id="935" w:name="_Toc267251485"/>
      <w:bookmarkStart w:id="936" w:name="_Toc267251490"/>
      <w:bookmarkStart w:id="937" w:name="_Hlk524298112"/>
      <w:bookmarkStart w:id="938" w:name="_Toc267251489"/>
      <w:bookmarkStart w:id="939" w:name="_Toc267251484"/>
      <w:bookmarkStart w:id="940" w:name="_Toc267251488"/>
      <w:bookmarkStart w:id="941" w:name="_Toc267251486"/>
      <w:bookmarkStart w:id="942" w:name="_Toc267251496"/>
      <w:bookmarkStart w:id="943" w:name="_Toc267251509"/>
      <w:bookmarkStart w:id="944" w:name="_Toc267251513"/>
      <w:bookmarkStart w:id="945" w:name="_Toc267251503"/>
      <w:bookmarkStart w:id="946" w:name="_Toc267251498"/>
      <w:bookmarkStart w:id="947" w:name="_Toc267251511"/>
      <w:bookmarkStart w:id="948" w:name="_Toc267251515"/>
      <w:bookmarkStart w:id="949" w:name="_Toc267251499"/>
      <w:bookmarkStart w:id="950" w:name="_Toc267251510"/>
      <w:bookmarkStart w:id="951" w:name="_Toc267251495"/>
      <w:bookmarkStart w:id="952" w:name="_Toc267251508"/>
      <w:bookmarkStart w:id="953" w:name="_Toc267251506"/>
      <w:bookmarkStart w:id="954" w:name="_Toc267251507"/>
      <w:bookmarkStart w:id="955" w:name="_Toc267251493"/>
      <w:bookmarkStart w:id="956" w:name="_Toc267251504"/>
      <w:bookmarkStart w:id="957" w:name="_Toc267251491"/>
      <w:bookmarkStart w:id="958" w:name="_Toc267251502"/>
      <w:bookmarkStart w:id="959" w:name="_Toc267251494"/>
      <w:bookmarkStart w:id="960" w:name="_Toc267251497"/>
      <w:bookmarkStart w:id="961" w:name="_Toc267251492"/>
      <w:bookmarkStart w:id="962" w:name="_Toc267251514"/>
      <w:bookmarkStart w:id="963" w:name="_Toc267251501"/>
      <w:r>
        <w:rPr>
          <w:rFonts w:hint="eastAsia" w:ascii="宋体" w:hAnsi="宋体" w:cs="宋体"/>
          <w:b/>
          <w:bCs/>
          <w:color w:val="auto"/>
          <w:szCs w:val="21"/>
          <w:highlight w:val="none"/>
        </w:rPr>
        <w:t>1</w:t>
      </w:r>
      <w:bookmarkStart w:id="964" w:name="_Toc297123540"/>
      <w:bookmarkStart w:id="965" w:name="_Toc292559398"/>
      <w:bookmarkStart w:id="966" w:name="_Toc292559903"/>
      <w:bookmarkStart w:id="967" w:name="_Toc297216199"/>
      <w:bookmarkStart w:id="968" w:name="_Toc300934989"/>
      <w:bookmarkStart w:id="969" w:name="_Toc296944532"/>
      <w:bookmarkStart w:id="970" w:name="_Toc303539146"/>
      <w:bookmarkStart w:id="971" w:name="_Toc296891233"/>
      <w:bookmarkStart w:id="972" w:name="_Toc296347192"/>
      <w:bookmarkStart w:id="973" w:name="_Toc296503193"/>
      <w:bookmarkStart w:id="974" w:name="_Toc304295566"/>
      <w:bookmarkStart w:id="975" w:name="_Toc297048379"/>
      <w:bookmarkStart w:id="976" w:name="_Toc297120493"/>
      <w:bookmarkStart w:id="977" w:name="_Toc296346694"/>
      <w:bookmarkStart w:id="978" w:name="_Toc296891021"/>
      <w:bookmarkStart w:id="979" w:name="_Toc312678025"/>
      <w:bookmarkStart w:id="980" w:name="_Toc312677499"/>
      <w:bookmarkStart w:id="981" w:name="_Toc267251435"/>
      <w:bookmarkStart w:id="982" w:name="_Toc267251439"/>
      <w:bookmarkStart w:id="983" w:name="_Toc267251441"/>
      <w:bookmarkStart w:id="984" w:name="_Toc267251433"/>
      <w:bookmarkStart w:id="985" w:name="_Toc267251437"/>
      <w:bookmarkStart w:id="986" w:name="_Toc267251440"/>
      <w:r>
        <w:rPr>
          <w:rFonts w:hint="eastAsia" w:ascii="宋体" w:hAnsi="宋体" w:cs="宋体"/>
          <w:b/>
          <w:bCs/>
          <w:color w:val="auto"/>
          <w:szCs w:val="21"/>
          <w:highlight w:val="none"/>
        </w:rPr>
        <w:t>0. 变更</w:t>
      </w:r>
      <w:bookmarkEnd w:id="932"/>
      <w:bookmarkEnd w:id="93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bookmarkEnd w:id="979"/>
    <w:bookmarkEnd w:id="980"/>
    <w:p w14:paraId="482DAD0B">
      <w:pPr>
        <w:widowControl/>
        <w:spacing w:line="360" w:lineRule="auto"/>
        <w:ind w:firstLine="422" w:firstLineChars="200"/>
        <w:jc w:val="left"/>
        <w:outlineLvl w:val="4"/>
        <w:rPr>
          <w:rFonts w:ascii="宋体" w:hAnsi="宋体" w:cs="宋体"/>
          <w:b/>
          <w:bCs/>
          <w:color w:val="auto"/>
          <w:kern w:val="0"/>
          <w:szCs w:val="21"/>
          <w:highlight w:val="none"/>
        </w:rPr>
      </w:pPr>
      <w:bookmarkStart w:id="987" w:name="_Toc532375635"/>
      <w:bookmarkStart w:id="988" w:name="_Toc532377371"/>
      <w:r>
        <w:rPr>
          <w:rFonts w:hint="eastAsia" w:ascii="宋体" w:hAnsi="宋体" w:cs="宋体"/>
          <w:b/>
          <w:bCs/>
          <w:color w:val="auto"/>
          <w:kern w:val="0"/>
          <w:szCs w:val="21"/>
          <w:highlight w:val="none"/>
        </w:rPr>
        <w:t>1</w:t>
      </w:r>
      <w:bookmarkStart w:id="989" w:name="_Toc296944533"/>
      <w:bookmarkStart w:id="990" w:name="_Toc292559399"/>
      <w:bookmarkStart w:id="991" w:name="_Toc296346695"/>
      <w:bookmarkStart w:id="992" w:name="_Toc312677500"/>
      <w:bookmarkStart w:id="993" w:name="_Toc296347193"/>
      <w:bookmarkStart w:id="994" w:name="_Toc296891022"/>
      <w:bookmarkStart w:id="995" w:name="_Toc297120494"/>
      <w:bookmarkStart w:id="996" w:name="_Toc296503194"/>
      <w:bookmarkStart w:id="997" w:name="_Toc304295567"/>
      <w:bookmarkStart w:id="998" w:name="_Toc292559904"/>
      <w:bookmarkStart w:id="999" w:name="_Toc297048380"/>
      <w:bookmarkStart w:id="1000" w:name="_Toc312678026"/>
      <w:bookmarkStart w:id="1001" w:name="_Toc296891234"/>
      <w:bookmarkStart w:id="1002" w:name="_Toc297123541"/>
      <w:bookmarkStart w:id="1003" w:name="_Toc297216200"/>
      <w:bookmarkStart w:id="1004" w:name="_Toc300934990"/>
      <w:bookmarkStart w:id="1005" w:name="_Toc303539147"/>
      <w:r>
        <w:rPr>
          <w:rFonts w:hint="eastAsia" w:ascii="宋体" w:hAnsi="宋体" w:cs="宋体"/>
          <w:b/>
          <w:bCs/>
          <w:color w:val="auto"/>
          <w:kern w:val="0"/>
          <w:szCs w:val="21"/>
          <w:highlight w:val="none"/>
        </w:rPr>
        <w:t>0.1变更的范围</w:t>
      </w:r>
      <w:bookmarkEnd w:id="987"/>
      <w:bookmarkEnd w:id="988"/>
    </w:p>
    <w:p w14:paraId="154E19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138D16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56F968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5563F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5E7E2D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0425AB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3EDA25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（6）经发包人审核认可的勘察设计变更；</w:t>
      </w:r>
    </w:p>
    <w:p w14:paraId="0F3B93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0322F2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16EEE4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426FD0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502F1B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设计变更、发包人要求的施工变更及合同范围内的减项、合同范围外的增项均属工程变更。工程变更必须按程序先审批后实施。所有工程变更必须征得发包人的同意签认后，才可以实施。承包人不得直接向设计单位提出设计变更，确需进行设计变更的，由承包人向监理工程师和发包人提出，经监理工程师和发包人同意后，由发包人向设计单位提出进行设计变更。施工中发生工程变更，承包人按照经发包人认可的变更设计文件，进行变更施工 </w:t>
      </w:r>
      <w:r>
        <w:rPr>
          <w:rFonts w:hint="eastAsia" w:ascii="宋体" w:hAnsi="宋体"/>
          <w:color w:val="auto"/>
          <w:szCs w:val="21"/>
          <w:highlight w:val="none"/>
        </w:rPr>
        <w:t>。</w:t>
      </w:r>
    </w:p>
    <w:p w14:paraId="18B71F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39C2D6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承包人对其提供的材料、工程设备、施工、无负荷试车、热负荷试车及图纸参数存在的缺陷，自费修正、调整和完善，不属于变更。因此种情形变化发生的费用均由承包人自行承担。</w:t>
      </w:r>
    </w:p>
    <w:p w14:paraId="05E7DADB">
      <w:pPr>
        <w:widowControl/>
        <w:spacing w:line="360" w:lineRule="auto"/>
        <w:ind w:firstLine="422" w:firstLineChars="200"/>
        <w:jc w:val="left"/>
        <w:outlineLvl w:val="4"/>
        <w:rPr>
          <w:rFonts w:ascii="宋体" w:hAnsi="宋体" w:cs="宋体"/>
          <w:b/>
          <w:bCs/>
          <w:color w:val="auto"/>
          <w:kern w:val="0"/>
          <w:szCs w:val="21"/>
          <w:highlight w:val="none"/>
        </w:rPr>
      </w:pPr>
      <w:bookmarkStart w:id="1006" w:name="_Toc532375636"/>
      <w:bookmarkStart w:id="1007" w:name="_Toc532377372"/>
      <w:bookmarkStart w:id="1008" w:name="_Toc351203569"/>
      <w:r>
        <w:rPr>
          <w:rFonts w:hint="eastAsia" w:ascii="宋体" w:hAnsi="宋体" w:cs="宋体"/>
          <w:b/>
          <w:bCs/>
          <w:color w:val="auto"/>
          <w:kern w:val="0"/>
          <w:szCs w:val="21"/>
          <w:highlight w:val="none"/>
        </w:rPr>
        <w:t>1</w:t>
      </w:r>
      <w:bookmarkStart w:id="1009" w:name="_Toc337558789"/>
      <w:bookmarkStart w:id="1010" w:name="_Toc296346586"/>
      <w:bookmarkStart w:id="1011" w:name="_Toc296503085"/>
      <w:r>
        <w:rPr>
          <w:rFonts w:hint="eastAsia" w:ascii="宋体" w:hAnsi="宋体" w:cs="宋体"/>
          <w:b/>
          <w:bCs/>
          <w:color w:val="auto"/>
          <w:kern w:val="0"/>
          <w:szCs w:val="21"/>
          <w:highlight w:val="none"/>
        </w:rPr>
        <w:t>0.2变更权</w:t>
      </w:r>
      <w:bookmarkEnd w:id="1006"/>
      <w:bookmarkEnd w:id="1007"/>
      <w:bookmarkEnd w:id="1008"/>
    </w:p>
    <w:bookmarkEnd w:id="1009"/>
    <w:bookmarkEnd w:id="1010"/>
    <w:bookmarkEnd w:id="1011"/>
    <w:p w14:paraId="34019F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62DABD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226AE8C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3C63B3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2F148D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781845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51908CB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250BF4D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0674F2E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4A5D8E0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1B7123E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04AD6250">
      <w:pPr>
        <w:widowControl/>
        <w:spacing w:line="360" w:lineRule="auto"/>
        <w:ind w:firstLine="422" w:firstLineChars="200"/>
        <w:jc w:val="left"/>
        <w:outlineLvl w:val="4"/>
        <w:rPr>
          <w:rFonts w:ascii="宋体" w:hAnsi="宋体" w:cs="宋体"/>
          <w:b/>
          <w:bCs/>
          <w:color w:val="auto"/>
          <w:kern w:val="0"/>
          <w:szCs w:val="21"/>
          <w:highlight w:val="none"/>
        </w:rPr>
      </w:pPr>
      <w:bookmarkStart w:id="1012" w:name="_Toc532375637"/>
      <w:bookmarkStart w:id="1013" w:name="_Toc532377373"/>
      <w:bookmarkStart w:id="1014" w:name="_Hlk528928195"/>
      <w:bookmarkStart w:id="1015" w:name="_Toc351203570"/>
      <w:r>
        <w:rPr>
          <w:rFonts w:hint="eastAsia" w:ascii="宋体" w:hAnsi="宋体" w:cs="宋体"/>
          <w:b/>
          <w:bCs/>
          <w:color w:val="auto"/>
          <w:kern w:val="0"/>
          <w:szCs w:val="21"/>
          <w:highlight w:val="none"/>
        </w:rPr>
        <w:t>1</w:t>
      </w:r>
      <w:bookmarkStart w:id="1016" w:name="_Toc337558790"/>
      <w:bookmarkStart w:id="1017" w:name="_Toc296346587"/>
      <w:bookmarkStart w:id="1018" w:name="_Toc296503086"/>
      <w:r>
        <w:rPr>
          <w:rFonts w:hint="eastAsia" w:ascii="宋体" w:hAnsi="宋体" w:cs="宋体"/>
          <w:b/>
          <w:bCs/>
          <w:color w:val="auto"/>
          <w:kern w:val="0"/>
          <w:szCs w:val="21"/>
          <w:highlight w:val="none"/>
        </w:rPr>
        <w:t>0.3变更程序</w:t>
      </w:r>
      <w:bookmarkEnd w:id="1012"/>
      <w:bookmarkEnd w:id="1013"/>
    </w:p>
    <w:bookmarkEnd w:id="1016"/>
    <w:bookmarkEnd w:id="1017"/>
    <w:bookmarkEnd w:id="1018"/>
    <w:p w14:paraId="63D2DB03">
      <w:pPr>
        <w:autoSpaceDE w:val="0"/>
        <w:autoSpaceDN w:val="0"/>
        <w:spacing w:line="360" w:lineRule="auto"/>
        <w:ind w:firstLine="420" w:firstLineChars="200"/>
        <w:jc w:val="left"/>
        <w:rPr>
          <w:rFonts w:ascii="宋体" w:hAnsi="宋体"/>
          <w:color w:val="auto"/>
          <w:szCs w:val="21"/>
          <w:highlight w:val="none"/>
        </w:rPr>
      </w:pPr>
      <w:bookmarkStart w:id="1019" w:name="_Hlk524353972"/>
      <w:r>
        <w:rPr>
          <w:rFonts w:hint="eastAsia" w:ascii="宋体" w:hAnsi="宋体"/>
          <w:color w:val="auto"/>
          <w:szCs w:val="21"/>
          <w:highlight w:val="none"/>
        </w:rPr>
        <w:t>10.3.3 变更执行</w:t>
      </w:r>
    </w:p>
    <w:p w14:paraId="24FCF5C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0DF9BB4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52AF83F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5E51B50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南岸区政府投资项目管理办法》（南岸府发【2017】29号文）规定的程序自行决策或者报批；经论证不需要变更的，继续按合同执行。</w:t>
      </w:r>
    </w:p>
    <w:p w14:paraId="51658B00">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5D29B83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3D014526">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556A89EB">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3FF3601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014"/>
    <w:bookmarkEnd w:id="1015"/>
    <w:bookmarkEnd w:id="1019"/>
    <w:p w14:paraId="00166F33">
      <w:pPr>
        <w:widowControl/>
        <w:spacing w:line="360" w:lineRule="auto"/>
        <w:ind w:firstLine="422" w:firstLineChars="200"/>
        <w:jc w:val="left"/>
        <w:outlineLvl w:val="4"/>
        <w:rPr>
          <w:rFonts w:ascii="宋体" w:hAnsi="宋体" w:cs="宋体"/>
          <w:b/>
          <w:bCs/>
          <w:color w:val="auto"/>
          <w:kern w:val="0"/>
          <w:szCs w:val="21"/>
          <w:highlight w:val="none"/>
        </w:rPr>
      </w:pPr>
      <w:bookmarkStart w:id="1020" w:name="_Toc532375638"/>
      <w:bookmarkStart w:id="1021" w:name="_Toc532377374"/>
      <w:r>
        <w:rPr>
          <w:rFonts w:hint="eastAsia" w:ascii="宋体" w:hAnsi="宋体" w:cs="宋体"/>
          <w:b/>
          <w:bCs/>
          <w:color w:val="auto"/>
          <w:kern w:val="0"/>
          <w:szCs w:val="21"/>
          <w:highlight w:val="none"/>
        </w:rPr>
        <w:t>10.4 变更估价</w:t>
      </w:r>
      <w:bookmarkEnd w:id="1020"/>
      <w:bookmarkEnd w:id="1021"/>
    </w:p>
    <w:p w14:paraId="75186692">
      <w:pPr>
        <w:spacing w:line="360" w:lineRule="auto"/>
        <w:ind w:firstLine="420" w:firstLineChars="200"/>
        <w:jc w:val="left"/>
        <w:rPr>
          <w:rFonts w:ascii="宋体" w:hAnsi="宋体"/>
          <w:color w:val="auto"/>
          <w:szCs w:val="21"/>
          <w:highlight w:val="none"/>
        </w:rPr>
      </w:pPr>
      <w:bookmarkStart w:id="1022" w:name="_Hlk524296629"/>
      <w:r>
        <w:rPr>
          <w:rFonts w:hint="eastAsia" w:ascii="宋体" w:hAnsi="宋体"/>
          <w:color w:val="auto"/>
          <w:szCs w:val="21"/>
          <w:highlight w:val="none"/>
        </w:rPr>
        <w:t>10.4.1 变更估价原则</w:t>
      </w:r>
    </w:p>
    <w:p w14:paraId="3954D6E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专用合同条款12.3.1 </w:t>
      </w:r>
      <w:r>
        <w:rPr>
          <w:rFonts w:hint="eastAsia" w:ascii="宋体" w:hAnsi="宋体"/>
          <w:color w:val="auto"/>
          <w:szCs w:val="21"/>
          <w:highlight w:val="none"/>
        </w:rPr>
        <w:t>规定的计算规则及已标价工程量清单规定的工程量计算规则计量，按以下办法计价：</w:t>
      </w:r>
      <w:bookmarkStart w:id="1023" w:name="_Hlk524770102"/>
    </w:p>
    <w:bookmarkEnd w:id="1023"/>
    <w:p w14:paraId="6DEB69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249525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1C4538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0DBB52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38DA61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050989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2129F4C">
      <w:pPr>
        <w:spacing w:line="360" w:lineRule="auto"/>
        <w:ind w:firstLine="420" w:firstLineChars="200"/>
        <w:jc w:val="left"/>
        <w:rPr>
          <w:rFonts w:ascii="宋体" w:hAnsi="宋体"/>
          <w:color w:val="auto"/>
          <w:szCs w:val="21"/>
          <w:highlight w:val="none"/>
        </w:rPr>
      </w:pPr>
      <w:bookmarkStart w:id="1024" w:name="_Hlk529023896"/>
      <w:r>
        <w:rPr>
          <w:rFonts w:hint="eastAsia" w:ascii="宋体" w:hAnsi="宋体"/>
          <w:color w:val="auto"/>
          <w:szCs w:val="21"/>
          <w:highlight w:val="none"/>
        </w:rPr>
        <w:t>（2）材料单价：</w:t>
      </w:r>
    </w:p>
    <w:p w14:paraId="1EF82C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025" w:name="_Hlk529023354"/>
      <w:r>
        <w:rPr>
          <w:rFonts w:hint="eastAsia" w:ascii="宋体" w:hAnsi="宋体"/>
          <w:color w:val="auto"/>
          <w:szCs w:val="21"/>
          <w:highlight w:val="none"/>
        </w:rPr>
        <w:t>开标当期《重庆工程造价信息》发布的项目所在地的信息价</w:t>
      </w:r>
      <w:bookmarkEnd w:id="1025"/>
      <w:r>
        <w:rPr>
          <w:rFonts w:hint="eastAsia" w:ascii="宋体" w:hAnsi="宋体"/>
          <w:color w:val="auto"/>
          <w:szCs w:val="21"/>
          <w:highlight w:val="none"/>
        </w:rPr>
        <w:t>执行；</w:t>
      </w:r>
    </w:p>
    <w:p w14:paraId="32B95C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337AFD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024"/>
    <w:p w14:paraId="242A38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64F52E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59CA7F04">
      <w:pPr>
        <w:spacing w:line="360" w:lineRule="auto"/>
        <w:ind w:firstLine="420" w:firstLineChars="200"/>
        <w:jc w:val="left"/>
        <w:rPr>
          <w:color w:val="auto"/>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4FBA364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7EC541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3DAE85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78E0D8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227E2D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6D69FB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3C847CF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022"/>
    <w:p w14:paraId="506EDB19">
      <w:pPr>
        <w:widowControl/>
        <w:spacing w:line="360" w:lineRule="auto"/>
        <w:ind w:firstLine="422" w:firstLineChars="200"/>
        <w:jc w:val="left"/>
        <w:outlineLvl w:val="4"/>
        <w:rPr>
          <w:rFonts w:ascii="宋体" w:hAnsi="宋体" w:cs="宋体"/>
          <w:b/>
          <w:bCs/>
          <w:color w:val="auto"/>
          <w:kern w:val="0"/>
          <w:szCs w:val="21"/>
          <w:highlight w:val="none"/>
        </w:rPr>
      </w:pPr>
      <w:bookmarkStart w:id="1026" w:name="_Toc532377375"/>
      <w:bookmarkStart w:id="1027" w:name="_Toc532375639"/>
      <w:r>
        <w:rPr>
          <w:rFonts w:hint="eastAsia" w:ascii="宋体" w:hAnsi="宋体" w:cs="宋体"/>
          <w:b/>
          <w:bCs/>
          <w:color w:val="auto"/>
          <w:kern w:val="0"/>
          <w:szCs w:val="21"/>
          <w:highlight w:val="none"/>
        </w:rPr>
        <w:t>1</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Start w:id="1028" w:name="_Toc296347196"/>
      <w:bookmarkStart w:id="1029" w:name="_Toc300934993"/>
      <w:bookmarkStart w:id="1030" w:name="_Toc297216203"/>
      <w:bookmarkStart w:id="1031" w:name="_Toc297048383"/>
      <w:bookmarkStart w:id="1032" w:name="_Toc296346698"/>
      <w:bookmarkStart w:id="1033" w:name="_Toc292559402"/>
      <w:bookmarkStart w:id="1034" w:name="_Toc296944536"/>
      <w:bookmarkStart w:id="1035" w:name="_Toc297120497"/>
      <w:bookmarkStart w:id="1036" w:name="_Toc292559907"/>
      <w:bookmarkStart w:id="1037" w:name="_Toc296891025"/>
      <w:bookmarkStart w:id="1038" w:name="_Toc303539150"/>
      <w:bookmarkStart w:id="1039" w:name="_Toc296891237"/>
      <w:bookmarkStart w:id="1040" w:name="_Toc297123544"/>
      <w:bookmarkStart w:id="1041" w:name="_Toc296503197"/>
      <w:bookmarkStart w:id="1042" w:name="_Toc312678029"/>
      <w:bookmarkStart w:id="1043" w:name="_Toc312677503"/>
      <w:bookmarkStart w:id="1044" w:name="_Toc304295570"/>
      <w:r>
        <w:rPr>
          <w:rFonts w:hint="eastAsia" w:ascii="宋体" w:hAnsi="宋体" w:cs="宋体"/>
          <w:b/>
          <w:bCs/>
          <w:color w:val="auto"/>
          <w:kern w:val="0"/>
          <w:szCs w:val="21"/>
          <w:highlight w:val="none"/>
        </w:rPr>
        <w:t>0.5承</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5" w:name="_Toc303539151"/>
      <w:bookmarkStart w:id="1046" w:name="_Toc297216204"/>
      <w:bookmarkStart w:id="1047" w:name="_Toc300934994"/>
      <w:bookmarkStart w:id="1048" w:name="_Toc296944542"/>
      <w:bookmarkStart w:id="1049" w:name="_Toc292559913"/>
      <w:bookmarkStart w:id="1050" w:name="_Toc296891243"/>
      <w:bookmarkStart w:id="1051" w:name="_Toc296347202"/>
      <w:bookmarkStart w:id="1052" w:name="_Toc296503203"/>
      <w:bookmarkStart w:id="1053" w:name="_Toc297123545"/>
      <w:bookmarkStart w:id="1054" w:name="_Toc297120503"/>
      <w:bookmarkStart w:id="1055" w:name="_Toc296346704"/>
      <w:bookmarkStart w:id="1056" w:name="_Toc292559408"/>
      <w:bookmarkStart w:id="1057" w:name="_Toc297048389"/>
      <w:bookmarkStart w:id="1058" w:name="_Toc296891031"/>
      <w:r>
        <w:rPr>
          <w:rFonts w:hint="eastAsia" w:ascii="宋体" w:hAnsi="宋体" w:cs="宋体"/>
          <w:b/>
          <w:bCs/>
          <w:color w:val="auto"/>
          <w:kern w:val="0"/>
          <w:szCs w:val="21"/>
          <w:highlight w:val="none"/>
        </w:rPr>
        <w:t>包人的合理化建议</w:t>
      </w:r>
      <w:bookmarkEnd w:id="1026"/>
      <w:bookmarkEnd w:id="1027"/>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7B1A74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5D96E3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09228B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3FC7987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059" w:name="_Toc304295571"/>
      <w:bookmarkStart w:id="1060" w:name="_Toc318581175"/>
      <w:bookmarkStart w:id="1061" w:name="_Toc296503204"/>
      <w:bookmarkStart w:id="1062" w:name="_Toc296891032"/>
      <w:bookmarkStart w:id="1063" w:name="_Toc297120504"/>
      <w:bookmarkStart w:id="1064" w:name="_Toc297123546"/>
      <w:bookmarkStart w:id="1065" w:name="_Toc297216205"/>
      <w:bookmarkStart w:id="1066" w:name="_Toc297048390"/>
      <w:bookmarkStart w:id="1067" w:name="_Toc292559409"/>
      <w:bookmarkStart w:id="1068" w:name="_Toc292559914"/>
      <w:bookmarkStart w:id="1069" w:name="_Toc300934995"/>
      <w:bookmarkStart w:id="1070" w:name="_Toc312678030"/>
      <w:bookmarkStart w:id="1071" w:name="_Toc296347203"/>
      <w:bookmarkStart w:id="1072" w:name="_Toc296891244"/>
      <w:bookmarkStart w:id="1073" w:name="_Toc303539152"/>
      <w:bookmarkStart w:id="1074" w:name="_Toc296944543"/>
      <w:bookmarkStart w:id="1075" w:name="_Toc312677504"/>
      <w:bookmarkStart w:id="1076" w:name="_Toc296346705"/>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合理化建议带来经济效益的5～10 %，具体比例由发包人确认</w:t>
      </w:r>
      <w:r>
        <w:rPr>
          <w:rFonts w:hint="eastAsia" w:ascii="宋体" w:hAnsi="宋体"/>
          <w:color w:val="auto"/>
          <w:szCs w:val="21"/>
          <w:highlight w:val="none"/>
        </w:rPr>
        <w:t>。</w:t>
      </w:r>
    </w:p>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14:paraId="7E32E05A">
      <w:pPr>
        <w:widowControl/>
        <w:spacing w:line="360" w:lineRule="auto"/>
        <w:ind w:firstLine="422" w:firstLineChars="200"/>
        <w:jc w:val="left"/>
        <w:outlineLvl w:val="4"/>
        <w:rPr>
          <w:rFonts w:ascii="宋体" w:hAnsi="宋体" w:cs="宋体"/>
          <w:b/>
          <w:bCs/>
          <w:color w:val="auto"/>
          <w:kern w:val="0"/>
          <w:szCs w:val="21"/>
          <w:highlight w:val="none"/>
        </w:rPr>
      </w:pPr>
      <w:bookmarkStart w:id="1077" w:name="_Toc532375640"/>
      <w:bookmarkStart w:id="1078" w:name="_Toc532377376"/>
      <w:r>
        <w:rPr>
          <w:rFonts w:hint="eastAsia" w:ascii="宋体" w:hAnsi="宋体" w:cs="宋体"/>
          <w:b/>
          <w:bCs/>
          <w:color w:val="auto"/>
          <w:kern w:val="0"/>
          <w:szCs w:val="21"/>
          <w:highlight w:val="none"/>
        </w:rPr>
        <w:t>1</w:t>
      </w:r>
      <w:bookmarkStart w:id="1079" w:name="_Toc296944538"/>
      <w:bookmarkStart w:id="1080" w:name="_Toc297123548"/>
      <w:bookmarkStart w:id="1081" w:name="_Toc296346700"/>
      <w:bookmarkStart w:id="1082" w:name="_Toc296347198"/>
      <w:bookmarkStart w:id="1083" w:name="_Toc292559909"/>
      <w:bookmarkStart w:id="1084" w:name="_Toc292559404"/>
      <w:bookmarkStart w:id="1085" w:name="_Toc296503199"/>
      <w:bookmarkStart w:id="1086" w:name="_Toc297216207"/>
      <w:bookmarkStart w:id="1087" w:name="_Toc297048385"/>
      <w:bookmarkStart w:id="1088" w:name="_Toc300934997"/>
      <w:bookmarkStart w:id="1089" w:name="_Toc312678033"/>
      <w:bookmarkStart w:id="1090" w:name="_Toc297120499"/>
      <w:bookmarkStart w:id="1091" w:name="_Toc296891027"/>
      <w:bookmarkStart w:id="1092" w:name="_Toc303539154"/>
      <w:bookmarkStart w:id="1093" w:name="_Toc304295574"/>
      <w:bookmarkStart w:id="1094" w:name="_Toc312677507"/>
      <w:bookmarkStart w:id="1095" w:name="_Toc296891239"/>
      <w:r>
        <w:rPr>
          <w:rFonts w:hint="eastAsia" w:ascii="宋体" w:hAnsi="宋体" w:cs="宋体"/>
          <w:b/>
          <w:bCs/>
          <w:color w:val="auto"/>
          <w:kern w:val="0"/>
          <w:szCs w:val="21"/>
          <w:highlight w:val="none"/>
        </w:rPr>
        <w:t>0.7 暂估价</w:t>
      </w:r>
      <w:bookmarkEnd w:id="1077"/>
      <w:bookmarkEnd w:id="1078"/>
    </w:p>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10074C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20A1FA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26BC37A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561376F5">
      <w:pPr>
        <w:widowControl/>
        <w:spacing w:line="360" w:lineRule="auto"/>
        <w:ind w:firstLine="422" w:firstLineChars="200"/>
        <w:jc w:val="left"/>
        <w:outlineLvl w:val="4"/>
        <w:rPr>
          <w:rFonts w:ascii="宋体" w:hAnsi="宋体" w:cs="宋体"/>
          <w:b/>
          <w:bCs/>
          <w:color w:val="auto"/>
          <w:kern w:val="0"/>
          <w:szCs w:val="21"/>
          <w:highlight w:val="none"/>
        </w:rPr>
      </w:pPr>
      <w:bookmarkStart w:id="1096" w:name="_Toc532377377"/>
      <w:bookmarkStart w:id="1097" w:name="_Toc532375641"/>
      <w:r>
        <w:rPr>
          <w:rFonts w:hint="eastAsia" w:ascii="宋体" w:hAnsi="宋体" w:cs="宋体"/>
          <w:b/>
          <w:bCs/>
          <w:color w:val="auto"/>
          <w:kern w:val="0"/>
          <w:szCs w:val="21"/>
          <w:highlight w:val="none"/>
        </w:rPr>
        <w:t>10.8 暂列金额</w:t>
      </w:r>
      <w:bookmarkEnd w:id="1096"/>
      <w:bookmarkEnd w:id="1097"/>
    </w:p>
    <w:p w14:paraId="5CE703A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由发包人确定</w:t>
      </w:r>
      <w:r>
        <w:rPr>
          <w:rFonts w:hint="eastAsia" w:ascii="宋体" w:hAnsi="宋体"/>
          <w:color w:val="auto"/>
          <w:szCs w:val="21"/>
          <w:highlight w:val="none"/>
        </w:rPr>
        <w:t>。</w:t>
      </w:r>
    </w:p>
    <w:p w14:paraId="5D9368FF">
      <w:pPr>
        <w:keepNext/>
        <w:keepLines/>
        <w:widowControl/>
        <w:spacing w:before="156" w:beforeLines="50" w:after="156" w:afterLines="50" w:line="360" w:lineRule="auto"/>
        <w:outlineLvl w:val="3"/>
        <w:rPr>
          <w:rFonts w:ascii="宋体" w:hAnsi="宋体" w:cs="宋体"/>
          <w:b/>
          <w:color w:val="auto"/>
          <w:szCs w:val="21"/>
          <w:highlight w:val="none"/>
        </w:rPr>
      </w:pPr>
      <w:bookmarkStart w:id="1098" w:name="_Toc532377378"/>
      <w:bookmarkStart w:id="1099" w:name="_Toc351203643"/>
      <w:bookmarkStart w:id="1100" w:name="_Toc532375642"/>
      <w:r>
        <w:rPr>
          <w:rFonts w:hint="eastAsia" w:ascii="宋体" w:hAnsi="宋体" w:cs="宋体"/>
          <w:b/>
          <w:bCs/>
          <w:color w:val="auto"/>
          <w:szCs w:val="21"/>
          <w:highlight w:val="none"/>
        </w:rPr>
        <w:t>11. 价格调整</w:t>
      </w:r>
      <w:bookmarkEnd w:id="1098"/>
      <w:bookmarkEnd w:id="1099"/>
      <w:bookmarkEnd w:id="1100"/>
    </w:p>
    <w:p w14:paraId="7041B20F">
      <w:pPr>
        <w:widowControl/>
        <w:spacing w:line="360" w:lineRule="auto"/>
        <w:ind w:firstLine="422" w:firstLineChars="200"/>
        <w:jc w:val="left"/>
        <w:outlineLvl w:val="4"/>
        <w:rPr>
          <w:rFonts w:ascii="宋体" w:hAnsi="宋体" w:cs="宋体"/>
          <w:b/>
          <w:bCs/>
          <w:color w:val="auto"/>
          <w:kern w:val="0"/>
          <w:szCs w:val="21"/>
          <w:highlight w:val="none"/>
        </w:rPr>
      </w:pPr>
      <w:bookmarkStart w:id="1101" w:name="_Toc532375643"/>
      <w:bookmarkStart w:id="1102" w:name="_Toc532377379"/>
      <w:bookmarkStart w:id="1103" w:name="_Toc296944540"/>
      <w:bookmarkStart w:id="1104" w:name="_Toc304295577"/>
      <w:bookmarkStart w:id="1105" w:name="_Toc300935000"/>
      <w:bookmarkStart w:id="1106" w:name="_Toc297048387"/>
      <w:bookmarkStart w:id="1107" w:name="_Toc292559911"/>
      <w:bookmarkStart w:id="1108" w:name="_Toc296347200"/>
      <w:bookmarkStart w:id="1109" w:name="_Toc312678039"/>
      <w:bookmarkStart w:id="1110" w:name="_Toc297120501"/>
      <w:bookmarkStart w:id="1111" w:name="_Toc296503201"/>
      <w:bookmarkStart w:id="1112" w:name="_Toc292559406"/>
      <w:bookmarkStart w:id="1113" w:name="_Toc296891029"/>
      <w:bookmarkStart w:id="1114" w:name="_Toc297216209"/>
      <w:bookmarkStart w:id="1115" w:name="_Toc296346702"/>
      <w:bookmarkStart w:id="1116" w:name="_Toc296891241"/>
      <w:bookmarkStart w:id="1117" w:name="_Toc297123550"/>
      <w:bookmarkStart w:id="1118" w:name="_Toc303539157"/>
      <w:r>
        <w:rPr>
          <w:rFonts w:hint="eastAsia" w:ascii="宋体" w:hAnsi="宋体" w:cs="宋体"/>
          <w:b/>
          <w:bCs/>
          <w:color w:val="auto"/>
          <w:kern w:val="0"/>
          <w:szCs w:val="21"/>
          <w:highlight w:val="none"/>
        </w:rPr>
        <w:t>11.1 市场价格波动引起的调整</w:t>
      </w:r>
      <w:bookmarkEnd w:id="1101"/>
      <w:bookmarkEnd w:id="1102"/>
    </w:p>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14:paraId="69B81783">
      <w:pPr>
        <w:spacing w:line="360" w:lineRule="auto"/>
        <w:ind w:firstLine="420" w:firstLineChars="200"/>
        <w:jc w:val="left"/>
        <w:rPr>
          <w:rFonts w:ascii="宋体" w:hAnsi="宋体"/>
          <w:color w:val="auto"/>
          <w:szCs w:val="21"/>
          <w:highlight w:val="none"/>
        </w:rPr>
      </w:pPr>
      <w:bookmarkStart w:id="1119" w:name="_Toc467689641"/>
      <w:bookmarkStart w:id="1120" w:name="_Toc466913513"/>
      <w:bookmarkStart w:id="1121" w:name="_Toc466911545"/>
      <w:bookmarkStart w:id="1122" w:name="_Toc466913963"/>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。人工费用由承包人自行考虑后纳入签约合同价格中，不再予以调整。</w:t>
      </w:r>
    </w:p>
    <w:p w14:paraId="48A3E1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因市场价格波动调整合同价格，采用以下第2种方式对合同价格进行调整：</w:t>
      </w:r>
    </w:p>
    <w:p w14:paraId="42E5B1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w:t>
      </w:r>
      <w:r>
        <w:rPr>
          <w:rFonts w:hint="eastAsia" w:ascii="宋体" w:hAnsi="宋体"/>
          <w:color w:val="auto"/>
          <w:szCs w:val="21"/>
          <w:highlight w:val="none"/>
          <w:u w:val="single"/>
        </w:rPr>
        <w:t>采用价格指数进行价格调整</w:t>
      </w:r>
      <w:r>
        <w:rPr>
          <w:rFonts w:hint="eastAsia" w:ascii="宋体" w:hAnsi="宋体"/>
          <w:color w:val="auto"/>
          <w:szCs w:val="21"/>
          <w:highlight w:val="none"/>
        </w:rPr>
        <w:t>。</w:t>
      </w:r>
    </w:p>
    <w:p w14:paraId="599719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不采用 </w:t>
      </w:r>
      <w:r>
        <w:rPr>
          <w:rFonts w:hint="eastAsia" w:ascii="宋体" w:hAnsi="宋体"/>
          <w:color w:val="auto"/>
          <w:szCs w:val="21"/>
          <w:highlight w:val="none"/>
        </w:rPr>
        <w:t>；</w:t>
      </w:r>
    </w:p>
    <w:p w14:paraId="03AECE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w:t>
      </w:r>
      <w:r>
        <w:rPr>
          <w:rFonts w:hint="eastAsia" w:ascii="宋体" w:hAnsi="宋体"/>
          <w:color w:val="auto"/>
          <w:szCs w:val="21"/>
          <w:highlight w:val="none"/>
          <w:u w:val="single"/>
        </w:rPr>
        <w:t>采用造价信息进行价格调整，调整方法如下</w:t>
      </w:r>
      <w:r>
        <w:rPr>
          <w:rFonts w:hint="eastAsia" w:ascii="宋体" w:hAnsi="宋体"/>
          <w:color w:val="auto"/>
          <w:szCs w:val="21"/>
          <w:highlight w:val="none"/>
        </w:rPr>
        <w:t>：</w:t>
      </w:r>
    </w:p>
    <w:p w14:paraId="6A51B339">
      <w:pPr>
        <w:spacing w:line="360" w:lineRule="auto"/>
        <w:ind w:firstLine="420" w:firstLineChars="200"/>
        <w:jc w:val="left"/>
        <w:rPr>
          <w:rFonts w:ascii="宋体" w:hAnsi="宋体"/>
          <w:color w:val="auto"/>
          <w:szCs w:val="21"/>
          <w:highlight w:val="none"/>
        </w:rPr>
      </w:pPr>
      <w:bookmarkStart w:id="1123" w:name="_Hlk524296901"/>
      <w:r>
        <w:rPr>
          <w:rFonts w:hint="eastAsia" w:ascii="宋体" w:hAnsi="宋体"/>
          <w:color w:val="auto"/>
          <w:szCs w:val="21"/>
          <w:highlight w:val="none"/>
        </w:rPr>
        <w:t>11.1.1人工费价差调整办法</w:t>
      </w:r>
      <w:bookmarkEnd w:id="1119"/>
      <w:bookmarkEnd w:id="1120"/>
      <w:bookmarkEnd w:id="1121"/>
      <w:bookmarkEnd w:id="1122"/>
    </w:p>
    <w:p w14:paraId="0054AD55">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124" w:name="_Toc466913966"/>
      <w:bookmarkStart w:id="1125" w:name="_Toc466913516"/>
      <w:bookmarkStart w:id="1126" w:name="_Toc467689644"/>
      <w:bookmarkStart w:id="1127" w:name="_Toc466911548"/>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4321BA0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7EF1A44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3C0EE3E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bookmarkEnd w:id="1123"/>
    <w:p w14:paraId="3ACE2F79">
      <w:pPr>
        <w:spacing w:line="360" w:lineRule="auto"/>
        <w:ind w:firstLine="420" w:firstLineChars="200"/>
        <w:jc w:val="left"/>
        <w:rPr>
          <w:rFonts w:ascii="宋体" w:hAnsi="宋体"/>
          <w:color w:val="auto"/>
          <w:szCs w:val="21"/>
          <w:highlight w:val="none"/>
        </w:rPr>
      </w:pPr>
      <w:bookmarkStart w:id="1128" w:name="_Hlk524297138"/>
      <w:r>
        <w:rPr>
          <w:rFonts w:hint="eastAsia" w:ascii="宋体" w:hAnsi="宋体"/>
          <w:color w:val="auto"/>
          <w:szCs w:val="21"/>
          <w:highlight w:val="none"/>
        </w:rPr>
        <w:t>11.1.2 材料费价差调整</w:t>
      </w:r>
      <w:bookmarkEnd w:id="1124"/>
      <w:bookmarkEnd w:id="1125"/>
      <w:bookmarkEnd w:id="1126"/>
      <w:bookmarkEnd w:id="1127"/>
      <w:r>
        <w:rPr>
          <w:rFonts w:hint="eastAsia" w:ascii="宋体" w:hAnsi="宋体"/>
          <w:color w:val="auto"/>
          <w:szCs w:val="21"/>
          <w:highlight w:val="none"/>
        </w:rPr>
        <w:t>办法</w:t>
      </w:r>
    </w:p>
    <w:p w14:paraId="6880A23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水泥、商品砼、碎石、砂、钢筋、型钢、沥青混凝土、水泥稳定碎石拌和料、预拌商品砂浆、砌筑材料、装配式构建、电缆等主要材料</w:t>
      </w:r>
      <w:r>
        <w:rPr>
          <w:rFonts w:hint="eastAsia" w:ascii="宋体" w:hAnsi="宋体"/>
          <w:color w:val="auto"/>
          <w:szCs w:val="21"/>
          <w:highlight w:val="none"/>
        </w:rPr>
        <w:t>。</w:t>
      </w:r>
    </w:p>
    <w:p w14:paraId="0FE14F3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981"/>
    <w:bookmarkEnd w:id="982"/>
    <w:bookmarkEnd w:id="983"/>
    <w:bookmarkEnd w:id="984"/>
    <w:bookmarkEnd w:id="985"/>
    <w:bookmarkEnd w:id="986"/>
    <w:p w14:paraId="448DCBEB">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129" w:name="_Toc296944544"/>
      <w:bookmarkStart w:id="1130" w:name="_Toc297120505"/>
      <w:bookmarkStart w:id="1131" w:name="_Toc296346706"/>
      <w:bookmarkStart w:id="1132" w:name="_Toc296347204"/>
      <w:bookmarkStart w:id="1133" w:name="_Toc296891033"/>
      <w:bookmarkStart w:id="1134" w:name="_Toc292559410"/>
      <w:bookmarkStart w:id="1135" w:name="_Toc292559915"/>
      <w:bookmarkStart w:id="1136" w:name="_Toc296503205"/>
      <w:bookmarkStart w:id="1137" w:name="_Toc297048391"/>
      <w:bookmarkStart w:id="1138" w:name="_Toc296891245"/>
      <w:bookmarkStart w:id="1139" w:name="_Toc351203644"/>
      <w:bookmarkStart w:id="1140" w:name="_Toc300935002"/>
      <w:bookmarkStart w:id="1141" w:name="_Toc312678040"/>
      <w:bookmarkStart w:id="1142" w:name="_Toc303539159"/>
      <w:bookmarkStart w:id="1143" w:name="_Toc304295579"/>
      <w:bookmarkStart w:id="1144" w:name="_Toc297216211"/>
      <w:bookmarkStart w:id="1145" w:name="_Toc297123552"/>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1D292FE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7684AAE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29DF9FA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3077909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bookmarkEnd w:id="1128"/>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4CF35403">
      <w:pPr>
        <w:widowControl/>
        <w:spacing w:line="360" w:lineRule="auto"/>
        <w:ind w:firstLine="422" w:firstLineChars="200"/>
        <w:jc w:val="left"/>
        <w:outlineLvl w:val="4"/>
        <w:rPr>
          <w:rFonts w:ascii="宋体" w:hAnsi="宋体" w:cs="宋体"/>
          <w:b/>
          <w:bCs/>
          <w:color w:val="auto"/>
          <w:kern w:val="0"/>
          <w:szCs w:val="21"/>
          <w:highlight w:val="none"/>
        </w:rPr>
      </w:pPr>
      <w:bookmarkStart w:id="1146" w:name="_Toc532375644"/>
      <w:bookmarkStart w:id="1147" w:name="_Toc532377380"/>
      <w:bookmarkStart w:id="1148" w:name="_Hlk528928232"/>
      <w:r>
        <w:rPr>
          <w:rFonts w:hint="eastAsia" w:ascii="宋体" w:hAnsi="宋体" w:cs="宋体"/>
          <w:b/>
          <w:bCs/>
          <w:color w:val="auto"/>
          <w:kern w:val="0"/>
          <w:szCs w:val="21"/>
          <w:highlight w:val="none"/>
        </w:rPr>
        <w:t>11.2 法律变化引起的调整</w:t>
      </w:r>
      <w:bookmarkEnd w:id="1146"/>
      <w:bookmarkEnd w:id="1147"/>
    </w:p>
    <w:p w14:paraId="6CCFDE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不予调整。不属于强制性执行的，则不增减合同价款。</w:t>
      </w:r>
    </w:p>
    <w:p w14:paraId="629E3A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148"/>
    <w:p w14:paraId="2635D3B5">
      <w:pPr>
        <w:widowControl/>
        <w:spacing w:line="360" w:lineRule="auto"/>
        <w:ind w:firstLine="422" w:firstLineChars="200"/>
        <w:jc w:val="left"/>
        <w:outlineLvl w:val="4"/>
        <w:rPr>
          <w:rFonts w:ascii="宋体" w:hAnsi="宋体" w:cs="宋体"/>
          <w:b/>
          <w:bCs/>
          <w:color w:val="auto"/>
          <w:kern w:val="0"/>
          <w:szCs w:val="21"/>
          <w:highlight w:val="none"/>
        </w:rPr>
      </w:pPr>
      <w:bookmarkStart w:id="1149" w:name="_Toc532375645"/>
      <w:bookmarkStart w:id="1150" w:name="_Toc532377381"/>
      <w:r>
        <w:rPr>
          <w:rFonts w:hint="eastAsia" w:ascii="宋体" w:hAnsi="宋体" w:cs="宋体"/>
          <w:b/>
          <w:bCs/>
          <w:color w:val="auto"/>
          <w:kern w:val="0"/>
          <w:szCs w:val="21"/>
          <w:highlight w:val="none"/>
        </w:rPr>
        <w:t>11.3 严重不平衡报价引起的调整</w:t>
      </w:r>
      <w:bookmarkEnd w:id="1149"/>
      <w:bookmarkEnd w:id="1150"/>
    </w:p>
    <w:p w14:paraId="364F65E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4D7CE86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2269684B">
      <w:pPr>
        <w:keepNext/>
        <w:keepLines/>
        <w:widowControl/>
        <w:spacing w:before="156" w:beforeLines="50" w:after="156" w:afterLines="50" w:line="360" w:lineRule="auto"/>
        <w:outlineLvl w:val="3"/>
        <w:rPr>
          <w:rFonts w:ascii="宋体" w:hAnsi="宋体" w:cs="宋体"/>
          <w:b/>
          <w:color w:val="auto"/>
          <w:szCs w:val="21"/>
          <w:highlight w:val="none"/>
        </w:rPr>
      </w:pPr>
      <w:bookmarkStart w:id="1151" w:name="_Toc532375646"/>
      <w:bookmarkStart w:id="1152" w:name="_Toc532377382"/>
      <w:r>
        <w:rPr>
          <w:rFonts w:hint="eastAsia" w:ascii="宋体" w:hAnsi="宋体" w:cs="宋体"/>
          <w:b/>
          <w:bCs/>
          <w:color w:val="auto"/>
          <w:szCs w:val="21"/>
          <w:highlight w:val="none"/>
        </w:rPr>
        <w:t xml:space="preserve">12. </w:t>
      </w:r>
      <w:bookmarkEnd w:id="1129"/>
      <w:bookmarkEnd w:id="1130"/>
      <w:bookmarkEnd w:id="1131"/>
      <w:bookmarkEnd w:id="1132"/>
      <w:bookmarkEnd w:id="1133"/>
      <w:bookmarkEnd w:id="1134"/>
      <w:bookmarkEnd w:id="1135"/>
      <w:bookmarkEnd w:id="1136"/>
      <w:bookmarkEnd w:id="1137"/>
      <w:bookmarkEnd w:id="1138"/>
      <w:r>
        <w:rPr>
          <w:rFonts w:hint="eastAsia" w:ascii="宋体" w:hAnsi="宋体" w:cs="宋体"/>
          <w:b/>
          <w:bCs/>
          <w:color w:val="auto"/>
          <w:szCs w:val="21"/>
          <w:highlight w:val="none"/>
        </w:rPr>
        <w:t>合同价格、计量与支付</w:t>
      </w:r>
      <w:bookmarkEnd w:id="1139"/>
      <w:bookmarkEnd w:id="1151"/>
      <w:bookmarkEnd w:id="1152"/>
    </w:p>
    <w:bookmarkEnd w:id="1140"/>
    <w:bookmarkEnd w:id="1141"/>
    <w:bookmarkEnd w:id="1142"/>
    <w:bookmarkEnd w:id="1143"/>
    <w:bookmarkEnd w:id="1144"/>
    <w:bookmarkEnd w:id="1145"/>
    <w:p w14:paraId="675DDB34">
      <w:pPr>
        <w:widowControl/>
        <w:spacing w:line="360" w:lineRule="auto"/>
        <w:ind w:firstLine="422" w:firstLineChars="200"/>
        <w:jc w:val="left"/>
        <w:outlineLvl w:val="4"/>
        <w:rPr>
          <w:rFonts w:ascii="宋体" w:hAnsi="宋体" w:cs="宋体"/>
          <w:b/>
          <w:bCs/>
          <w:color w:val="auto"/>
          <w:kern w:val="0"/>
          <w:szCs w:val="21"/>
          <w:highlight w:val="none"/>
        </w:rPr>
      </w:pPr>
      <w:bookmarkStart w:id="1153" w:name="_Toc292559411"/>
      <w:bookmarkStart w:id="1154" w:name="_Toc267251461"/>
      <w:bookmarkStart w:id="1155" w:name="_Toc292559916"/>
      <w:bookmarkStart w:id="1156" w:name="_Toc297120506"/>
      <w:bookmarkStart w:id="1157" w:name="_Toc296891246"/>
      <w:bookmarkStart w:id="1158" w:name="_Toc297048392"/>
      <w:bookmarkStart w:id="1159" w:name="_Toc296891034"/>
      <w:bookmarkStart w:id="1160" w:name="_Toc296347205"/>
      <w:bookmarkStart w:id="1161" w:name="_Toc296944545"/>
      <w:bookmarkStart w:id="1162" w:name="_Toc296503206"/>
      <w:bookmarkStart w:id="1163" w:name="_Toc296346707"/>
      <w:bookmarkStart w:id="1164" w:name="_Toc532375647"/>
      <w:bookmarkStart w:id="1165" w:name="_Toc532377383"/>
      <w:bookmarkStart w:id="1166" w:name="_Toc312678041"/>
      <w:bookmarkStart w:id="1167" w:name="_Toc303539160"/>
      <w:bookmarkStart w:id="1168" w:name="_Toc304295580"/>
      <w:bookmarkStart w:id="1169" w:name="_Toc297216212"/>
      <w:bookmarkStart w:id="1170" w:name="_Toc297123553"/>
      <w:bookmarkStart w:id="1171" w:name="_Toc300935003"/>
      <w:r>
        <w:rPr>
          <w:rFonts w:hint="eastAsia" w:ascii="宋体" w:hAnsi="宋体" w:cs="宋体"/>
          <w:b/>
          <w:bCs/>
          <w:color w:val="auto"/>
          <w:kern w:val="0"/>
          <w:szCs w:val="21"/>
          <w:highlight w:val="none"/>
        </w:rPr>
        <w:t>12.1 合</w:t>
      </w:r>
      <w:bookmarkEnd w:id="1153"/>
      <w:bookmarkEnd w:id="1154"/>
      <w:bookmarkEnd w:id="1155"/>
      <w:r>
        <w:rPr>
          <w:rFonts w:hint="eastAsia" w:ascii="宋体" w:hAnsi="宋体" w:cs="宋体"/>
          <w:b/>
          <w:bCs/>
          <w:color w:val="auto"/>
          <w:kern w:val="0"/>
          <w:szCs w:val="21"/>
          <w:highlight w:val="none"/>
        </w:rPr>
        <w:t>同价</w:t>
      </w:r>
      <w:bookmarkEnd w:id="1156"/>
      <w:bookmarkEnd w:id="1157"/>
      <w:bookmarkEnd w:id="1158"/>
      <w:bookmarkEnd w:id="1159"/>
      <w:bookmarkEnd w:id="1160"/>
      <w:bookmarkEnd w:id="1161"/>
      <w:bookmarkEnd w:id="1162"/>
      <w:bookmarkEnd w:id="1163"/>
      <w:r>
        <w:rPr>
          <w:rFonts w:hint="eastAsia" w:ascii="宋体" w:hAnsi="宋体" w:cs="宋体"/>
          <w:b/>
          <w:bCs/>
          <w:color w:val="auto"/>
          <w:kern w:val="0"/>
          <w:szCs w:val="21"/>
          <w:highlight w:val="none"/>
        </w:rPr>
        <w:t>格形式</w:t>
      </w:r>
      <w:bookmarkEnd w:id="1164"/>
      <w:bookmarkEnd w:id="1165"/>
      <w:r>
        <w:rPr>
          <w:rFonts w:hint="eastAsia" w:ascii="宋体" w:hAnsi="宋体" w:cs="宋体"/>
          <w:b/>
          <w:bCs/>
          <w:color w:val="auto"/>
          <w:kern w:val="0"/>
          <w:szCs w:val="21"/>
          <w:highlight w:val="none"/>
        </w:rPr>
        <w:t>（采用单价合同）</w:t>
      </w:r>
    </w:p>
    <w:bookmarkEnd w:id="1166"/>
    <w:bookmarkEnd w:id="1167"/>
    <w:bookmarkEnd w:id="1168"/>
    <w:bookmarkEnd w:id="1169"/>
    <w:bookmarkEnd w:id="1170"/>
    <w:bookmarkEnd w:id="1171"/>
    <w:p w14:paraId="376EAE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1E6E739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税费、利润、风险费、施工技术措施项目费、施工组织措施项目费及缺陷修复、二次设计费、建设智慧平台管理第三方单位管理培训（不超过工程费用总价万分之二）等费用，以及</w:t>
      </w:r>
      <w:bookmarkStart w:id="1172"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172"/>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r>
        <w:rPr>
          <w:rFonts w:hint="eastAsia" w:ascii="宋体" w:hAnsi="宋体"/>
          <w:color w:val="auto"/>
          <w:szCs w:val="21"/>
          <w:highlight w:val="none"/>
          <w:u w:val="single"/>
        </w:rPr>
        <w:t>除《专用合同条款》第11款明确约定可以进行调整的项目除外，综合单价均不予以调整。</w:t>
      </w:r>
    </w:p>
    <w:p w14:paraId="6614CCC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3E2579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承包人承担建设智慧平台管理第三方单位管理培训费用</w:t>
      </w:r>
      <w:r>
        <w:rPr>
          <w:rFonts w:hint="eastAsia" w:ascii="宋体" w:hAnsi="宋体"/>
          <w:color w:val="auto"/>
          <w:szCs w:val="21"/>
          <w:highlight w:val="none"/>
          <w:lang w:val="en-US" w:eastAsia="zh-CN"/>
        </w:rPr>
        <w:t>2000元（大写：贰仟元整）</w:t>
      </w:r>
      <w:r>
        <w:rPr>
          <w:rFonts w:hint="eastAsia" w:ascii="宋体" w:hAnsi="宋体"/>
          <w:color w:val="auto"/>
          <w:szCs w:val="21"/>
          <w:highlight w:val="none"/>
        </w:rPr>
        <w:t>，签订合同后由承包人一次性支付给平台第三方管理培训单位.</w:t>
      </w:r>
    </w:p>
    <w:p w14:paraId="1758E5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142E2E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2148487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税费、利润、风险费、施工技术措施项目费、施工组织措施项目费、总承包服务费、规费和税金及缺陷修复、建设智慧平台管理第三方单位管理培训（不超过工程费用总价万分之二）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624552E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7221A92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lang w:eastAsia="zh-CN"/>
        </w:rPr>
        <w:t>承包人承担建设智慧平台管理第三方单位管理培训费用2000元（大写：贰仟元整），签订合同后由承包人一次性支付给平台第三方管理培训单位</w:t>
      </w:r>
      <w:r>
        <w:rPr>
          <w:rFonts w:hint="eastAsia" w:ascii="宋体" w:hAnsi="宋体"/>
          <w:color w:val="auto"/>
          <w:szCs w:val="21"/>
          <w:highlight w:val="none"/>
        </w:rPr>
        <w:t>.</w:t>
      </w:r>
    </w:p>
    <w:p w14:paraId="5908D7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107ED3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461B95B">
      <w:pPr>
        <w:widowControl/>
        <w:spacing w:line="360" w:lineRule="auto"/>
        <w:ind w:firstLine="422" w:firstLineChars="200"/>
        <w:jc w:val="left"/>
        <w:outlineLvl w:val="4"/>
        <w:rPr>
          <w:rFonts w:ascii="宋体" w:hAnsi="宋体" w:cs="宋体"/>
          <w:b/>
          <w:bCs/>
          <w:color w:val="auto"/>
          <w:kern w:val="0"/>
          <w:szCs w:val="21"/>
          <w:highlight w:val="none"/>
        </w:rPr>
      </w:pPr>
      <w:bookmarkStart w:id="1173" w:name="_Toc532375648"/>
      <w:bookmarkStart w:id="1174" w:name="_Toc532377384"/>
      <w:bookmarkStart w:id="1175" w:name="_Toc303539161"/>
      <w:bookmarkStart w:id="1176" w:name="_Toc297216213"/>
      <w:bookmarkStart w:id="1177" w:name="_Toc304295581"/>
      <w:bookmarkStart w:id="1178" w:name="_Toc312678042"/>
      <w:bookmarkStart w:id="1179" w:name="_Toc300935004"/>
      <w:bookmarkStart w:id="1180" w:name="_Toc297123554"/>
      <w:bookmarkStart w:id="1181" w:name="_Toc296347206"/>
      <w:bookmarkStart w:id="1182" w:name="_Toc292559917"/>
      <w:bookmarkStart w:id="1183" w:name="_Toc296944546"/>
      <w:bookmarkStart w:id="1184" w:name="_Toc297120507"/>
      <w:bookmarkStart w:id="1185" w:name="_Toc292559412"/>
      <w:bookmarkStart w:id="1186" w:name="_Toc296346708"/>
      <w:bookmarkStart w:id="1187" w:name="_Toc297048393"/>
      <w:bookmarkStart w:id="1188" w:name="_Toc296891035"/>
      <w:bookmarkStart w:id="1189" w:name="_Toc296503207"/>
      <w:bookmarkStart w:id="1190" w:name="_Toc296891247"/>
      <w:r>
        <w:rPr>
          <w:rFonts w:hint="eastAsia" w:ascii="宋体" w:hAnsi="宋体" w:cs="宋体"/>
          <w:b/>
          <w:bCs/>
          <w:color w:val="auto"/>
          <w:kern w:val="0"/>
          <w:szCs w:val="21"/>
          <w:highlight w:val="none"/>
        </w:rPr>
        <w:t>12.2 预付款</w:t>
      </w:r>
      <w:bookmarkEnd w:id="1173"/>
      <w:bookmarkEnd w:id="1174"/>
    </w:p>
    <w:bookmarkEnd w:id="1175"/>
    <w:bookmarkEnd w:id="1176"/>
    <w:bookmarkEnd w:id="1177"/>
    <w:bookmarkEnd w:id="1178"/>
    <w:bookmarkEnd w:id="1179"/>
    <w:bookmarkEnd w:id="1180"/>
    <w:p w14:paraId="35AAAB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4C3ACC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不支付预付款</w:t>
      </w:r>
      <w:r>
        <w:rPr>
          <w:rFonts w:hint="eastAsia" w:ascii="宋体" w:hAnsi="宋体"/>
          <w:color w:val="auto"/>
          <w:szCs w:val="21"/>
          <w:highlight w:val="none"/>
        </w:rPr>
        <w:t>。</w:t>
      </w:r>
    </w:p>
    <w:p w14:paraId="3C5B49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w:t>
      </w:r>
      <w:r>
        <w:rPr>
          <w:rFonts w:hint="eastAsia" w:ascii="宋体" w:hAnsi="宋体"/>
          <w:color w:val="auto"/>
          <w:szCs w:val="21"/>
          <w:highlight w:val="none"/>
        </w:rPr>
        <w:t>。</w:t>
      </w:r>
    </w:p>
    <w:p w14:paraId="14616CF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w:t>
      </w:r>
      <w:r>
        <w:rPr>
          <w:rFonts w:hint="eastAsia" w:ascii="宋体" w:hAnsi="宋体"/>
          <w:color w:val="auto"/>
          <w:szCs w:val="21"/>
          <w:highlight w:val="none"/>
        </w:rPr>
        <w:t>。</w:t>
      </w:r>
    </w:p>
    <w:bookmarkEnd w:id="1181"/>
    <w:bookmarkEnd w:id="1182"/>
    <w:bookmarkEnd w:id="1183"/>
    <w:bookmarkEnd w:id="1184"/>
    <w:bookmarkEnd w:id="1185"/>
    <w:bookmarkEnd w:id="1186"/>
    <w:bookmarkEnd w:id="1187"/>
    <w:bookmarkEnd w:id="1188"/>
    <w:bookmarkEnd w:id="1189"/>
    <w:bookmarkEnd w:id="1190"/>
    <w:p w14:paraId="6A1C13F5">
      <w:pPr>
        <w:widowControl/>
        <w:spacing w:line="360" w:lineRule="auto"/>
        <w:ind w:firstLine="422" w:firstLineChars="200"/>
        <w:jc w:val="left"/>
        <w:outlineLvl w:val="4"/>
        <w:rPr>
          <w:rFonts w:ascii="宋体" w:hAnsi="宋体" w:cs="宋体"/>
          <w:b/>
          <w:bCs/>
          <w:color w:val="auto"/>
          <w:kern w:val="0"/>
          <w:szCs w:val="21"/>
          <w:highlight w:val="none"/>
        </w:rPr>
      </w:pPr>
      <w:bookmarkStart w:id="1191" w:name="_Toc532375649"/>
      <w:bookmarkStart w:id="1192" w:name="_Toc532377385"/>
      <w:r>
        <w:rPr>
          <w:rFonts w:hint="eastAsia" w:ascii="宋体" w:hAnsi="宋体" w:cs="宋体"/>
          <w:b/>
          <w:bCs/>
          <w:color w:val="auto"/>
          <w:kern w:val="0"/>
          <w:szCs w:val="21"/>
          <w:highlight w:val="none"/>
        </w:rPr>
        <w:t>12.3 计量</w:t>
      </w:r>
      <w:bookmarkEnd w:id="1191"/>
      <w:bookmarkEnd w:id="1192"/>
    </w:p>
    <w:p w14:paraId="11AFC4F5">
      <w:pPr>
        <w:spacing w:line="360" w:lineRule="auto"/>
        <w:ind w:firstLine="420" w:firstLineChars="200"/>
        <w:jc w:val="left"/>
        <w:rPr>
          <w:rFonts w:ascii="宋体" w:hAnsi="宋体"/>
          <w:color w:val="auto"/>
          <w:szCs w:val="21"/>
          <w:highlight w:val="none"/>
        </w:rPr>
      </w:pPr>
      <w:bookmarkStart w:id="1193" w:name="_Hlk528928260"/>
      <w:r>
        <w:rPr>
          <w:rFonts w:hint="eastAsia" w:ascii="宋体" w:hAnsi="宋体"/>
          <w:color w:val="auto"/>
          <w:szCs w:val="21"/>
          <w:highlight w:val="none"/>
        </w:rPr>
        <w:t>12.3.1 计量原则</w:t>
      </w:r>
    </w:p>
    <w:p w14:paraId="7BE230FC">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193"/>
    <w:p w14:paraId="662D47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5E4CA7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86C32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7577BB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5EF75631">
      <w:pPr>
        <w:spacing w:line="360" w:lineRule="auto"/>
        <w:ind w:firstLine="420" w:firstLineChars="200"/>
        <w:jc w:val="left"/>
        <w:rPr>
          <w:rFonts w:ascii="宋体" w:hAnsi="宋体"/>
          <w:color w:val="auto"/>
          <w:szCs w:val="21"/>
          <w:highlight w:val="none"/>
          <w:u w:val="single"/>
        </w:rPr>
      </w:pPr>
      <w:bookmarkStart w:id="1194" w:name="_Hlk528926162"/>
      <w:r>
        <w:rPr>
          <w:rFonts w:hint="eastAsia" w:ascii="宋体" w:hAnsi="宋体"/>
          <w:color w:val="auto"/>
          <w:szCs w:val="21"/>
          <w:highlight w:val="none"/>
          <w:u w:val="single"/>
        </w:rPr>
        <w:t>（1）承包人应于当月20日前向监理人报送上月已完成的工程量，并附进度付款申请单、已完成工程量报表和其他有关资料</w:t>
      </w:r>
      <w:r>
        <w:rPr>
          <w:rFonts w:hint="eastAsia" w:ascii="宋体" w:hAnsi="宋体"/>
          <w:color w:val="auto"/>
          <w:szCs w:val="21"/>
          <w:highlight w:val="none"/>
        </w:rPr>
        <w:t>。</w:t>
      </w:r>
    </w:p>
    <w:bookmarkEnd w:id="1194"/>
    <w:p w14:paraId="06A51F2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6D5D971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63873D4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079815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550744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1BE1FB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15EB2D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2C7DCC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30E114DC">
      <w:pPr>
        <w:widowControl/>
        <w:spacing w:line="360" w:lineRule="auto"/>
        <w:ind w:firstLine="422" w:firstLineChars="200"/>
        <w:jc w:val="left"/>
        <w:outlineLvl w:val="4"/>
        <w:rPr>
          <w:rFonts w:ascii="宋体" w:hAnsi="宋体" w:cs="宋体"/>
          <w:b/>
          <w:bCs/>
          <w:color w:val="auto"/>
          <w:kern w:val="0"/>
          <w:szCs w:val="21"/>
          <w:highlight w:val="none"/>
        </w:rPr>
      </w:pPr>
      <w:bookmarkStart w:id="1195" w:name="_Toc532377386"/>
      <w:bookmarkStart w:id="1196" w:name="_Toc532375650"/>
      <w:bookmarkStart w:id="1197" w:name="_Hlk528928289"/>
      <w:r>
        <w:rPr>
          <w:rFonts w:hint="eastAsia" w:ascii="宋体" w:hAnsi="宋体" w:cs="宋体"/>
          <w:b/>
          <w:bCs/>
          <w:color w:val="auto"/>
          <w:kern w:val="0"/>
          <w:szCs w:val="21"/>
          <w:highlight w:val="none"/>
        </w:rPr>
        <w:t>12.4 工程进度款支付</w:t>
      </w:r>
      <w:bookmarkEnd w:id="1195"/>
      <w:bookmarkEnd w:id="1196"/>
    </w:p>
    <w:bookmarkEnd w:id="1197"/>
    <w:p w14:paraId="604FE5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45DDEB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lang w:val="en-US" w:eastAsia="zh-CN"/>
        </w:rPr>
        <w:t>竣工验收后一次性支付</w:t>
      </w:r>
      <w:r>
        <w:rPr>
          <w:rFonts w:hint="eastAsia" w:ascii="宋体" w:hAnsi="宋体"/>
          <w:color w:val="auto"/>
          <w:szCs w:val="21"/>
          <w:highlight w:val="none"/>
        </w:rPr>
        <w:t>。</w:t>
      </w:r>
    </w:p>
    <w:p w14:paraId="3281EC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6AD89E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2F1446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77D16E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629CAB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627568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271A84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62914B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6CA1CB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53B794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23613B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2F81F9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7B8ECE5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118CAE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66C9963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413DFF1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54F86C7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11FA98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509AC47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0D6BC67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5F2529C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69B7B3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031CA0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22C1D87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①发包人将农民工工资支付凭证和收到承包人开具的应支付金额的增值税专用发票作为支付的前置条件。</w:t>
      </w:r>
      <w:bookmarkStart w:id="1463" w:name="_GoBack"/>
      <w:bookmarkEnd w:id="1463"/>
    </w:p>
    <w:p w14:paraId="0B6392D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合同签订且承包人提供等额增值税专用发票后，发包人在开工前按签约合同价中安全文明施工费的50％支付承包人，用于现场安全文明施工建设</w:t>
      </w:r>
      <w:r>
        <w:rPr>
          <w:rFonts w:hint="eastAsia" w:ascii="宋体" w:hAnsi="宋体"/>
          <w:color w:val="auto"/>
          <w:szCs w:val="21"/>
          <w:highlight w:val="none"/>
        </w:rPr>
        <w:t>。</w:t>
      </w:r>
    </w:p>
    <w:p w14:paraId="311AAF2F">
      <w:pPr>
        <w:spacing w:line="360" w:lineRule="auto"/>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③</w:t>
      </w:r>
      <w:r>
        <w:rPr>
          <w:rFonts w:hint="eastAsia" w:ascii="宋体" w:hAnsi="宋体"/>
          <w:color w:val="auto"/>
          <w:szCs w:val="21"/>
          <w:highlight w:val="none"/>
          <w:u w:val="single"/>
          <w:lang w:val="en-US" w:eastAsia="zh-CN"/>
        </w:rPr>
        <w:t>40#铁塔拆除完工且承包人提交等额增值税专用发票后7天内，</w:t>
      </w:r>
      <w:r>
        <w:rPr>
          <w:rFonts w:hint="eastAsia" w:ascii="宋体" w:hAnsi="宋体"/>
          <w:color w:val="auto"/>
          <w:szCs w:val="21"/>
          <w:highlight w:val="none"/>
          <w:u w:val="single"/>
        </w:rPr>
        <w:t>发包人向承包人支付至</w:t>
      </w:r>
      <w:r>
        <w:rPr>
          <w:rFonts w:hint="eastAsia" w:ascii="宋体" w:hAnsi="宋体"/>
          <w:color w:val="auto"/>
          <w:szCs w:val="21"/>
          <w:highlight w:val="none"/>
          <w:u w:val="single"/>
          <w:lang w:val="en-US" w:eastAsia="zh-CN"/>
        </w:rPr>
        <w:t>合同签约</w:t>
      </w:r>
      <w:r>
        <w:rPr>
          <w:rFonts w:hint="eastAsia" w:ascii="宋体" w:hAnsi="宋体"/>
          <w:color w:val="auto"/>
          <w:szCs w:val="21"/>
          <w:highlight w:val="none"/>
          <w:u w:val="single"/>
        </w:rPr>
        <w:t>金额的</w:t>
      </w:r>
      <w:r>
        <w:rPr>
          <w:rFonts w:hint="eastAsia" w:ascii="宋体" w:hAnsi="宋体"/>
          <w:color w:val="auto"/>
          <w:szCs w:val="21"/>
          <w:highlight w:val="none"/>
          <w:u w:val="single"/>
          <w:lang w:val="en-US" w:eastAsia="zh-CN"/>
        </w:rPr>
        <w:t>100</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w:t>
      </w:r>
    </w:p>
    <w:p w14:paraId="1E9D887F">
      <w:pPr>
        <w:spacing w:line="360" w:lineRule="auto"/>
        <w:ind w:firstLine="420" w:firstLineChars="200"/>
        <w:jc w:val="left"/>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④工程竣工验收合格后，承包人提交完整的工程结算资料，经建设单位委托的跟踪审计单位完成结算审核，承包人以跟审审核的结算金额为准30天内多退少补。</w:t>
      </w:r>
    </w:p>
    <w:p w14:paraId="3FE2AB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lang w:val="en-US" w:eastAsia="zh-CN"/>
        </w:rPr>
        <w:t>⑤若重庆市南岸区财政局或重庆市南岸区审计局对本项目进行二审，则最终审定金额以重庆市南岸区财政局或重庆市南岸区审计局审计金额为准，以二审最终审定金额为准多退少补。</w:t>
      </w:r>
    </w:p>
    <w:p w14:paraId="64C39881">
      <w:pPr>
        <w:numPr>
          <w:ilvl w:val="0"/>
          <w:numId w:val="2"/>
        </w:numPr>
        <w:spacing w:line="360" w:lineRule="auto"/>
        <w:ind w:firstLine="420" w:firstLineChars="200"/>
        <w:jc w:val="left"/>
        <w:rPr>
          <w:rFonts w:hint="eastAsia" w:ascii="宋体" w:hAnsi="宋体"/>
          <w:color w:val="auto"/>
          <w:szCs w:val="21"/>
          <w:highlight w:val="none"/>
          <w:u w:val="single"/>
          <w:lang w:eastAsia="zh-CN"/>
        </w:rPr>
      </w:pPr>
      <w:r>
        <w:rPr>
          <w:rFonts w:hint="eastAsia" w:ascii="宋体" w:hAnsi="宋体"/>
          <w:color w:val="auto"/>
          <w:szCs w:val="21"/>
          <w:highlight w:val="none"/>
          <w:u w:val="single"/>
        </w:rPr>
        <w:t>未收到发票，发包人有权拒绝支付工程款，一切责任由承包人承担。承包人若未按月足额支付农民工工资，由此造成的工期延误、停工损失等全部责任由承包人承担，不得将未完成与人工费分包审计作为延期支付人工费的理由</w:t>
      </w:r>
      <w:r>
        <w:rPr>
          <w:rFonts w:hint="eastAsia" w:ascii="宋体" w:hAnsi="宋体"/>
          <w:color w:val="auto"/>
          <w:szCs w:val="21"/>
          <w:highlight w:val="none"/>
          <w:u w:val="single"/>
          <w:lang w:eastAsia="zh-CN"/>
        </w:rPr>
        <w:t>。</w:t>
      </w:r>
    </w:p>
    <w:p w14:paraId="755D7037">
      <w:pPr>
        <w:numPr>
          <w:ilvl w:val="0"/>
          <w:numId w:val="2"/>
        </w:numPr>
        <w:spacing w:line="360" w:lineRule="auto"/>
        <w:ind w:firstLine="420" w:firstLineChars="200"/>
        <w:jc w:val="left"/>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若重庆市南岸区财政局或重庆市南岸区审计局要求对本项目进行审计，则最终审定金额以重庆市南岸区财政局或重庆市南岸区审计局审计金额为准，其他条款与本条款有冲突的，以本条款约定为准。</w:t>
      </w:r>
    </w:p>
    <w:p w14:paraId="5AE91649">
      <w:pPr>
        <w:numPr>
          <w:ilvl w:val="0"/>
          <w:numId w:val="2"/>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若本合同涉及财政资金或专项资金支持，在发包人未收到财政资金或专项资金的情形下，发包人有权迟延付款且不承担违约责任，在符合其他付款条件且收到财政资金或专项资金后付款。</w:t>
      </w:r>
    </w:p>
    <w:p w14:paraId="292A9ADA">
      <w:pPr>
        <w:numPr>
          <w:ilvl w:val="0"/>
          <w:numId w:val="2"/>
        </w:num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lang w:val="en-US" w:eastAsia="zh-CN"/>
        </w:rPr>
        <w:t>若涉及财评，则在财评结果未出之前，发包人有权迟延付款且不承担违约责任</w:t>
      </w:r>
      <w:r>
        <w:rPr>
          <w:rFonts w:hint="eastAsia" w:ascii="宋体" w:hAnsi="宋体"/>
          <w:color w:val="auto"/>
          <w:szCs w:val="21"/>
          <w:highlight w:val="none"/>
          <w:u w:val="single"/>
        </w:rPr>
        <w:t>。</w:t>
      </w:r>
    </w:p>
    <w:p w14:paraId="6C98A9CB">
      <w:pPr>
        <w:widowControl/>
        <w:spacing w:line="360" w:lineRule="auto"/>
        <w:ind w:firstLine="422" w:firstLineChars="200"/>
        <w:jc w:val="left"/>
        <w:outlineLvl w:val="4"/>
        <w:rPr>
          <w:rFonts w:ascii="宋体" w:hAnsi="宋体" w:cs="宋体"/>
          <w:b/>
          <w:bCs/>
          <w:color w:val="auto"/>
          <w:kern w:val="0"/>
          <w:szCs w:val="21"/>
          <w:highlight w:val="none"/>
        </w:rPr>
      </w:pPr>
      <w:bookmarkStart w:id="1198" w:name="_Toc351203585"/>
      <w:bookmarkStart w:id="1199" w:name="_Toc532377387"/>
      <w:r>
        <w:rPr>
          <w:rFonts w:hint="eastAsia" w:ascii="宋体" w:hAnsi="宋体" w:cs="宋体"/>
          <w:b/>
          <w:bCs/>
          <w:color w:val="auto"/>
          <w:kern w:val="0"/>
          <w:szCs w:val="21"/>
          <w:highlight w:val="none"/>
        </w:rPr>
        <w:t>12.5支付账户</w:t>
      </w:r>
      <w:bookmarkEnd w:id="1198"/>
      <w:bookmarkEnd w:id="1199"/>
    </w:p>
    <w:p w14:paraId="701C45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4A9ECE27">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3F651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48057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F26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发包人应将人工费（工资款）支付至如下承包人指定的农民工工资专用账户：</w:t>
      </w:r>
    </w:p>
    <w:p w14:paraId="202981C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53DA41D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2769B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5E86097D">
      <w:pPr>
        <w:spacing w:after="120"/>
        <w:rPr>
          <w:color w:val="auto"/>
          <w:highlight w:val="none"/>
        </w:rPr>
      </w:pPr>
      <w:r>
        <w:rPr>
          <w:rFonts w:hint="eastAsia"/>
          <w:color w:val="auto"/>
          <w:highlight w:val="none"/>
        </w:rPr>
        <w:t xml:space="preserve"> </w:t>
      </w:r>
      <w:r>
        <w:rPr>
          <w:color w:val="auto"/>
          <w:highlight w:val="none"/>
        </w:rPr>
        <w:t xml:space="preserve">  12.6 </w:t>
      </w:r>
      <w:r>
        <w:rPr>
          <w:rFonts w:hint="eastAsia"/>
          <w:color w:val="auto"/>
          <w:highlight w:val="none"/>
        </w:rPr>
        <w:t>发包人每次付款前，承包人应当提供等额有效的</w:t>
      </w:r>
      <w:r>
        <w:rPr>
          <w:rFonts w:hint="eastAsia"/>
          <w:color w:val="auto"/>
          <w:highlight w:val="none"/>
          <w:lang w:eastAsia="zh-Hans"/>
        </w:rPr>
        <w:t>增值税专用</w:t>
      </w:r>
      <w:r>
        <w:rPr>
          <w:rFonts w:hint="eastAsia"/>
          <w:color w:val="auto"/>
          <w:highlight w:val="none"/>
        </w:rPr>
        <w:t>发票。否则承包人有权拒绝付款且不承担逾期付款的违约责任。</w:t>
      </w:r>
    </w:p>
    <w:p w14:paraId="331152BB">
      <w:pPr>
        <w:keepNext/>
        <w:keepLines/>
        <w:widowControl/>
        <w:spacing w:before="156" w:beforeLines="50" w:after="156" w:afterLines="50" w:line="360" w:lineRule="auto"/>
        <w:outlineLvl w:val="3"/>
        <w:rPr>
          <w:rFonts w:ascii="宋体" w:hAnsi="宋体" w:cs="宋体"/>
          <w:b/>
          <w:color w:val="auto"/>
          <w:szCs w:val="21"/>
          <w:highlight w:val="none"/>
        </w:rPr>
      </w:pPr>
      <w:bookmarkStart w:id="1200" w:name="_Toc532377388"/>
      <w:bookmarkStart w:id="1201" w:name="_Toc351203645"/>
      <w:bookmarkStart w:id="1202" w:name="_Toc532375651"/>
      <w:bookmarkStart w:id="1203" w:name="_Toc296891259"/>
      <w:bookmarkStart w:id="1204" w:name="_Toc292559424"/>
      <w:bookmarkStart w:id="1205" w:name="_Toc300935015"/>
      <w:bookmarkStart w:id="1206" w:name="_Toc303539172"/>
      <w:bookmarkStart w:id="1207" w:name="_Toc296944558"/>
      <w:bookmarkStart w:id="1208" w:name="_Toc297048405"/>
      <w:bookmarkStart w:id="1209" w:name="_Toc296347218"/>
      <w:bookmarkStart w:id="1210" w:name="_Toc297216223"/>
      <w:bookmarkStart w:id="1211" w:name="_Toc292559929"/>
      <w:bookmarkStart w:id="1212" w:name="_Toc312678053"/>
      <w:bookmarkStart w:id="1213" w:name="_Toc297123564"/>
      <w:bookmarkStart w:id="1214" w:name="_Toc297120519"/>
      <w:bookmarkStart w:id="1215" w:name="_Toc296891047"/>
      <w:bookmarkStart w:id="1216" w:name="_Toc296503219"/>
      <w:bookmarkStart w:id="1217" w:name="_Toc296346720"/>
      <w:bookmarkStart w:id="1218" w:name="_Toc304295593"/>
      <w:r>
        <w:rPr>
          <w:rFonts w:hint="eastAsia" w:ascii="宋体" w:hAnsi="宋体" w:cs="宋体"/>
          <w:b/>
          <w:bCs/>
          <w:color w:val="auto"/>
          <w:szCs w:val="21"/>
          <w:highlight w:val="none"/>
        </w:rPr>
        <w:t>13. 验收和工程试车</w:t>
      </w:r>
      <w:bookmarkEnd w:id="1200"/>
      <w:bookmarkEnd w:id="1201"/>
      <w:bookmarkEnd w:id="1202"/>
    </w:p>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14:paraId="066C8142">
      <w:pPr>
        <w:widowControl/>
        <w:spacing w:line="360" w:lineRule="auto"/>
        <w:ind w:firstLine="422" w:firstLineChars="200"/>
        <w:jc w:val="left"/>
        <w:outlineLvl w:val="4"/>
        <w:rPr>
          <w:rFonts w:ascii="宋体" w:hAnsi="宋体" w:cs="宋体"/>
          <w:b/>
          <w:bCs/>
          <w:color w:val="auto"/>
          <w:kern w:val="0"/>
          <w:szCs w:val="21"/>
          <w:highlight w:val="none"/>
        </w:rPr>
      </w:pPr>
      <w:bookmarkStart w:id="1219" w:name="_Toc532377389"/>
      <w:bookmarkStart w:id="1220" w:name="_Toc532375652"/>
      <w:bookmarkStart w:id="1221" w:name="_Toc280868704"/>
      <w:bookmarkStart w:id="1222" w:name="_Toc280868705"/>
      <w:bookmarkStart w:id="1223" w:name="_Toc280868706"/>
      <w:bookmarkStart w:id="1224" w:name="_Toc280868707"/>
      <w:bookmarkStart w:id="1225" w:name="_Toc280868708"/>
      <w:bookmarkStart w:id="1226" w:name="_Toc267251475"/>
      <w:bookmarkStart w:id="1227" w:name="_Toc267251474"/>
      <w:bookmarkStart w:id="1228" w:name="_Toc267251473"/>
      <w:bookmarkStart w:id="1229" w:name="_Toc267251471"/>
      <w:bookmarkStart w:id="1230" w:name="_Toc267251476"/>
      <w:bookmarkStart w:id="1231" w:name="_Toc267251472"/>
      <w:bookmarkStart w:id="1232" w:name="_Toc280868709"/>
      <w:bookmarkStart w:id="1233" w:name="_Toc267251470"/>
      <w:r>
        <w:rPr>
          <w:rFonts w:hint="eastAsia" w:ascii="宋体" w:hAnsi="宋体" w:cs="宋体"/>
          <w:b/>
          <w:bCs/>
          <w:color w:val="auto"/>
          <w:kern w:val="0"/>
          <w:szCs w:val="21"/>
          <w:highlight w:val="none"/>
        </w:rPr>
        <w:t>13.1 分部分项工程验收</w:t>
      </w:r>
      <w:bookmarkEnd w:id="1219"/>
      <w:bookmarkEnd w:id="1220"/>
    </w:p>
    <w:p w14:paraId="20869F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3FCF57A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59ECB327">
      <w:pPr>
        <w:widowControl/>
        <w:spacing w:line="360" w:lineRule="auto"/>
        <w:ind w:firstLine="422" w:firstLineChars="200"/>
        <w:jc w:val="left"/>
        <w:outlineLvl w:val="4"/>
        <w:rPr>
          <w:rFonts w:ascii="宋体" w:hAnsi="宋体" w:cs="宋体"/>
          <w:b/>
          <w:bCs/>
          <w:color w:val="auto"/>
          <w:kern w:val="0"/>
          <w:szCs w:val="21"/>
          <w:highlight w:val="none"/>
        </w:rPr>
      </w:pPr>
      <w:bookmarkStart w:id="1234" w:name="_Toc532375653"/>
      <w:bookmarkStart w:id="1235" w:name="_Toc532377390"/>
      <w:bookmarkStart w:id="1236" w:name="_Toc297048409"/>
      <w:bookmarkStart w:id="1237" w:name="_Toc312678056"/>
      <w:bookmarkStart w:id="1238" w:name="_Toc292559933"/>
      <w:bookmarkStart w:id="1239" w:name="_Toc297120523"/>
      <w:bookmarkStart w:id="1240" w:name="_Toc296346724"/>
      <w:bookmarkStart w:id="1241" w:name="_Toc296347222"/>
      <w:bookmarkStart w:id="1242" w:name="_Toc297216224"/>
      <w:bookmarkStart w:id="1243" w:name="_Toc304295596"/>
      <w:bookmarkStart w:id="1244" w:name="_Toc300935016"/>
      <w:bookmarkStart w:id="1245" w:name="_Toc296944562"/>
      <w:bookmarkStart w:id="1246" w:name="_Toc296891263"/>
      <w:bookmarkStart w:id="1247" w:name="_Toc296891051"/>
      <w:bookmarkStart w:id="1248" w:name="_Toc297123565"/>
      <w:bookmarkStart w:id="1249" w:name="_Toc303539173"/>
      <w:bookmarkStart w:id="1250" w:name="_Toc296503223"/>
      <w:bookmarkStart w:id="1251" w:name="_Toc292559428"/>
      <w:r>
        <w:rPr>
          <w:rFonts w:hint="eastAsia" w:ascii="宋体" w:hAnsi="宋体" w:cs="宋体"/>
          <w:b/>
          <w:bCs/>
          <w:color w:val="auto"/>
          <w:kern w:val="0"/>
          <w:szCs w:val="21"/>
          <w:highlight w:val="none"/>
        </w:rPr>
        <w:t>13.2 竣工验收</w:t>
      </w:r>
      <w:bookmarkEnd w:id="1234"/>
      <w:bookmarkEnd w:id="1235"/>
    </w:p>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14:paraId="026E7E6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221"/>
    <w:p w14:paraId="765BB42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8F6F3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2B569D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7F7AD35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3E0626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93700D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14CEB03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048D06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6DF24DB6">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承包人提供纸质版竣工图伍套，电子版竣工图伍套（刻光盘）</w:t>
      </w:r>
      <w:r>
        <w:rPr>
          <w:rFonts w:hint="eastAsia" w:ascii="宋体" w:hAnsi="宋体"/>
          <w:color w:val="auto"/>
          <w:szCs w:val="21"/>
          <w:highlight w:val="none"/>
        </w:rPr>
        <w:t>。</w:t>
      </w:r>
    </w:p>
    <w:bookmarkEnd w:id="1222"/>
    <w:p w14:paraId="059DEE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223"/>
    <w:p w14:paraId="7BB9455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33A5A64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224"/>
    <w:p w14:paraId="3D2500C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‰/天支付违约金</w:t>
      </w:r>
      <w:r>
        <w:rPr>
          <w:rFonts w:hint="eastAsia" w:ascii="宋体" w:hAnsi="宋体"/>
          <w:color w:val="auto"/>
          <w:szCs w:val="21"/>
          <w:highlight w:val="none"/>
        </w:rPr>
        <w:t>。</w:t>
      </w:r>
    </w:p>
    <w:p w14:paraId="0A17C062">
      <w:pPr>
        <w:widowControl/>
        <w:spacing w:line="360" w:lineRule="auto"/>
        <w:ind w:firstLine="422" w:firstLineChars="200"/>
        <w:jc w:val="left"/>
        <w:outlineLvl w:val="4"/>
        <w:rPr>
          <w:rFonts w:ascii="宋体" w:hAnsi="宋体" w:cs="宋体"/>
          <w:b/>
          <w:bCs/>
          <w:color w:val="auto"/>
          <w:kern w:val="0"/>
          <w:szCs w:val="21"/>
          <w:highlight w:val="none"/>
        </w:rPr>
      </w:pPr>
      <w:bookmarkStart w:id="1252" w:name="_Toc532377391"/>
      <w:bookmarkStart w:id="1253" w:name="_Toc532375654"/>
      <w:r>
        <w:rPr>
          <w:rFonts w:hint="eastAsia" w:ascii="宋体" w:hAnsi="宋体" w:cs="宋体"/>
          <w:b/>
          <w:bCs/>
          <w:color w:val="auto"/>
          <w:kern w:val="0"/>
          <w:szCs w:val="21"/>
          <w:highlight w:val="none"/>
        </w:rPr>
        <w:t>13.3 工程试车</w:t>
      </w:r>
      <w:bookmarkEnd w:id="1252"/>
      <w:bookmarkEnd w:id="1253"/>
    </w:p>
    <w:p w14:paraId="7A2A013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0D6811C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28A5A4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4933C9F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0AF97DB1">
      <w:pPr>
        <w:widowControl/>
        <w:spacing w:line="360" w:lineRule="auto"/>
        <w:ind w:firstLine="422" w:firstLineChars="200"/>
        <w:jc w:val="left"/>
        <w:outlineLvl w:val="4"/>
        <w:rPr>
          <w:rFonts w:ascii="宋体" w:hAnsi="宋体" w:cs="宋体"/>
          <w:b/>
          <w:bCs/>
          <w:color w:val="auto"/>
          <w:kern w:val="0"/>
          <w:szCs w:val="21"/>
          <w:highlight w:val="none"/>
        </w:rPr>
      </w:pPr>
      <w:bookmarkStart w:id="1254" w:name="_Toc532377392"/>
      <w:bookmarkStart w:id="1255" w:name="_Toc532375655"/>
      <w:r>
        <w:rPr>
          <w:rFonts w:hint="eastAsia" w:ascii="宋体" w:hAnsi="宋体" w:cs="宋体"/>
          <w:b/>
          <w:bCs/>
          <w:color w:val="auto"/>
          <w:kern w:val="0"/>
          <w:szCs w:val="21"/>
          <w:highlight w:val="none"/>
        </w:rPr>
        <w:t>13.6 竣工退场</w:t>
      </w:r>
      <w:bookmarkEnd w:id="1254"/>
      <w:bookmarkEnd w:id="1255"/>
    </w:p>
    <w:p w14:paraId="34891E8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591FDABA">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225"/>
    <w:p w14:paraId="2D4968E8">
      <w:pPr>
        <w:keepNext/>
        <w:keepLines/>
        <w:widowControl/>
        <w:spacing w:before="156" w:beforeLines="50" w:after="156" w:afterLines="50" w:line="360" w:lineRule="auto"/>
        <w:outlineLvl w:val="3"/>
        <w:rPr>
          <w:rFonts w:ascii="宋体" w:hAnsi="宋体" w:cs="宋体"/>
          <w:b/>
          <w:color w:val="auto"/>
          <w:szCs w:val="21"/>
          <w:highlight w:val="none"/>
        </w:rPr>
      </w:pPr>
      <w:bookmarkStart w:id="1256" w:name="_Toc532375656"/>
      <w:bookmarkStart w:id="1257" w:name="_Toc351203646"/>
      <w:bookmarkStart w:id="1258" w:name="_Toc532377393"/>
      <w:r>
        <w:rPr>
          <w:rFonts w:hint="eastAsia" w:ascii="宋体" w:hAnsi="宋体" w:cs="宋体"/>
          <w:b/>
          <w:bCs/>
          <w:color w:val="auto"/>
          <w:szCs w:val="21"/>
          <w:highlight w:val="none"/>
        </w:rPr>
        <w:t>14. 竣工结算</w:t>
      </w:r>
      <w:bookmarkEnd w:id="1256"/>
      <w:bookmarkEnd w:id="1257"/>
      <w:bookmarkEnd w:id="1258"/>
    </w:p>
    <w:p w14:paraId="4DD514CE">
      <w:pPr>
        <w:widowControl/>
        <w:spacing w:line="360" w:lineRule="auto"/>
        <w:ind w:firstLine="422" w:firstLineChars="200"/>
        <w:jc w:val="left"/>
        <w:outlineLvl w:val="4"/>
        <w:rPr>
          <w:rFonts w:ascii="宋体" w:hAnsi="宋体" w:cs="宋体"/>
          <w:b/>
          <w:bCs/>
          <w:color w:val="auto"/>
          <w:kern w:val="0"/>
          <w:szCs w:val="21"/>
          <w:highlight w:val="none"/>
        </w:rPr>
      </w:pPr>
      <w:bookmarkStart w:id="1259" w:name="_Toc532375657"/>
      <w:bookmarkStart w:id="1260" w:name="_Toc532377394"/>
      <w:r>
        <w:rPr>
          <w:rFonts w:hint="eastAsia" w:ascii="宋体" w:hAnsi="宋体" w:cs="宋体"/>
          <w:b/>
          <w:bCs/>
          <w:color w:val="auto"/>
          <w:kern w:val="0"/>
          <w:szCs w:val="21"/>
          <w:highlight w:val="none"/>
        </w:rPr>
        <w:t>14.1 竣工结算申请</w:t>
      </w:r>
      <w:bookmarkEnd w:id="1259"/>
      <w:bookmarkEnd w:id="1260"/>
    </w:p>
    <w:p w14:paraId="1C9549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261"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经发包人要求，承包人仍未提交竣工结算资料时，发包人有权委托第三方进行审计，结算金额以审计结果为准，承包人对此无异议。</w:t>
      </w:r>
      <w:r>
        <w:rPr>
          <w:rFonts w:hint="eastAsia" w:ascii="宋体" w:hAnsi="宋体"/>
          <w:color w:val="auto"/>
          <w:szCs w:val="21"/>
          <w:highlight w:val="none"/>
          <w:u w:val="single"/>
          <w:lang w:val="en-US" w:eastAsia="zh-CN"/>
        </w:rPr>
        <w:t>承包人提交的结算送审资料应包括刻盘电子版一份。</w:t>
      </w:r>
      <w:r>
        <w:rPr>
          <w:rFonts w:hint="eastAsia" w:ascii="宋体" w:hAnsi="宋体"/>
          <w:color w:val="auto"/>
          <w:szCs w:val="21"/>
          <w:highlight w:val="none"/>
        </w:rPr>
        <w:t>竣工结算申请单包括但不限于以下内容：</w:t>
      </w:r>
    </w:p>
    <w:p w14:paraId="11B999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62F17EA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0028653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06F4572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361ED8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7F025A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7E0C0C4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1000774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261"/>
    </w:p>
    <w:p w14:paraId="1CC6E17A">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承包人承诺</w:t>
      </w:r>
      <w:r>
        <w:rPr>
          <w:rFonts w:ascii="宋体" w:hAnsi="宋体"/>
          <w:color w:val="auto"/>
          <w:szCs w:val="21"/>
          <w:highlight w:val="none"/>
        </w:rPr>
        <w:t>，</w:t>
      </w:r>
      <w:r>
        <w:rPr>
          <w:rFonts w:hint="eastAsia" w:ascii="宋体" w:hAnsi="宋体"/>
          <w:color w:val="auto"/>
          <w:szCs w:val="21"/>
          <w:highlight w:val="none"/>
        </w:rPr>
        <w:t>在</w:t>
      </w:r>
      <w:r>
        <w:rPr>
          <w:rFonts w:hint="eastAsia" w:ascii="宋体" w:hAnsi="宋体"/>
          <w:color w:val="auto"/>
          <w:szCs w:val="21"/>
          <w:highlight w:val="none"/>
          <w:lang w:eastAsia="zh-Hans"/>
        </w:rPr>
        <w:t>竣工结算</w:t>
      </w:r>
      <w:r>
        <w:rPr>
          <w:rFonts w:hint="eastAsia" w:ascii="宋体" w:hAnsi="宋体"/>
          <w:color w:val="auto"/>
          <w:szCs w:val="21"/>
          <w:highlight w:val="none"/>
        </w:rPr>
        <w:t>送审资料交接完成后：</w:t>
      </w:r>
    </w:p>
    <w:p w14:paraId="31BF4B5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①在审价过程中不再增加任何结算资料，包括图纸、联系单、签证单、价格凭证等,如上述资料可能会导致工程结算价款增加，均视为承包人放弃该部分工程价款；</w:t>
      </w:r>
    </w:p>
    <w:p w14:paraId="48AC6514">
      <w:pPr>
        <w:spacing w:line="360" w:lineRule="auto"/>
        <w:ind w:right="105" w:rightChars="50" w:firstLine="420" w:firstLineChars="200"/>
        <w:jc w:val="left"/>
        <w:rPr>
          <w:color w:val="auto"/>
          <w:highlight w:val="none"/>
        </w:rPr>
      </w:pPr>
      <w:r>
        <w:rPr>
          <w:rFonts w:hint="eastAsia" w:ascii="宋体" w:hAnsi="宋体"/>
          <w:color w:val="auto"/>
          <w:szCs w:val="21"/>
          <w:highlight w:val="none"/>
        </w:rPr>
        <w:t>②在送审结算书中项目的工程量如发生变化，可作调整</w:t>
      </w:r>
      <w:r>
        <w:rPr>
          <w:rFonts w:ascii="宋体" w:hAnsi="宋体"/>
          <w:color w:val="auto"/>
          <w:szCs w:val="21"/>
          <w:highlight w:val="none"/>
        </w:rPr>
        <w:t>；</w:t>
      </w:r>
      <w:r>
        <w:rPr>
          <w:rFonts w:hint="eastAsia" w:ascii="宋体" w:hAnsi="宋体"/>
          <w:color w:val="auto"/>
          <w:szCs w:val="21"/>
          <w:highlight w:val="none"/>
        </w:rPr>
        <w:t>若</w:t>
      </w:r>
      <w:r>
        <w:rPr>
          <w:rFonts w:hint="eastAsia" w:ascii="宋体" w:hAnsi="宋体"/>
          <w:color w:val="auto"/>
          <w:szCs w:val="21"/>
          <w:highlight w:val="none"/>
          <w:lang w:eastAsia="zh-Hans"/>
        </w:rPr>
        <w:t>项目存在</w:t>
      </w:r>
      <w:r>
        <w:rPr>
          <w:rFonts w:hint="eastAsia" w:ascii="宋体" w:hAnsi="宋体"/>
          <w:color w:val="auto"/>
          <w:szCs w:val="21"/>
          <w:highlight w:val="none"/>
        </w:rPr>
        <w:t>遗漏，均视为施工单位放弃该部分工程价款，不作增加调整。</w:t>
      </w:r>
    </w:p>
    <w:p w14:paraId="75F9A04F">
      <w:pPr>
        <w:widowControl/>
        <w:spacing w:line="360" w:lineRule="auto"/>
        <w:ind w:firstLine="422" w:firstLineChars="200"/>
        <w:jc w:val="left"/>
        <w:outlineLvl w:val="4"/>
        <w:rPr>
          <w:rFonts w:ascii="宋体" w:hAnsi="宋体" w:cs="宋体"/>
          <w:b/>
          <w:bCs/>
          <w:color w:val="auto"/>
          <w:kern w:val="0"/>
          <w:szCs w:val="21"/>
          <w:highlight w:val="none"/>
        </w:rPr>
      </w:pPr>
      <w:bookmarkStart w:id="1262" w:name="_Toc532377395"/>
      <w:bookmarkStart w:id="1263" w:name="_Toc532375658"/>
      <w:r>
        <w:rPr>
          <w:rFonts w:hint="eastAsia" w:ascii="宋体" w:hAnsi="宋体" w:cs="宋体"/>
          <w:b/>
          <w:bCs/>
          <w:color w:val="auto"/>
          <w:kern w:val="0"/>
          <w:szCs w:val="21"/>
          <w:highlight w:val="none"/>
        </w:rPr>
        <w:t>14.2 竣工结算审核</w:t>
      </w:r>
      <w:bookmarkEnd w:id="1262"/>
      <w:bookmarkEnd w:id="1263"/>
    </w:p>
    <w:p w14:paraId="2576DD5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7CAC9D0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2511428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573CB6C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2D36847A">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263731A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1A5E857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3882BF7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3B3085C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3283BC5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4935CBC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024D2CF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70460E3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①已标价工程量清单范围内以项为计量单位的措施项目费（安全文明施工费除外）包干使用，但未实施的措施项目不予计算；不以项为计量单位的措施项目费按第14.2.1项〔竣工结算办理办法〕分部分项约定执行</w:t>
      </w:r>
      <w:r>
        <w:rPr>
          <w:rFonts w:hint="eastAsia" w:ascii="宋体" w:hAnsi="宋体"/>
          <w:color w:val="auto"/>
          <w:szCs w:val="21"/>
          <w:highlight w:val="none"/>
        </w:rPr>
        <w:t>。</w:t>
      </w:r>
    </w:p>
    <w:p w14:paraId="4D003E3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5F6A44D7">
      <w:pPr>
        <w:tabs>
          <w:tab w:val="left" w:pos="711"/>
          <w:tab w:val="left" w:pos="2580"/>
        </w:tabs>
        <w:spacing w:line="360" w:lineRule="auto"/>
        <w:ind w:right="105" w:rightChars="50" w:firstLine="420" w:firstLineChars="200"/>
        <w:jc w:val="left"/>
        <w:textAlignment w:val="baseline"/>
        <w:rPr>
          <w:rFonts w:hint="eastAsia" w:ascii="宋体" w:hAnsi="宋体"/>
          <w:color w:val="auto"/>
          <w:szCs w:val="21"/>
          <w:highlight w:val="none"/>
          <w:u w:val="single"/>
        </w:rPr>
      </w:pPr>
      <w:r>
        <w:rPr>
          <w:rFonts w:hint="eastAsia" w:ascii="宋体" w:hAnsi="宋体"/>
          <w:color w:val="auto"/>
          <w:szCs w:val="21"/>
          <w:highlight w:val="none"/>
          <w:u w:val="single"/>
        </w:rPr>
        <w:t>③安全文明施工费按照</w:t>
      </w:r>
      <w:r>
        <w:rPr>
          <w:rFonts w:hint="eastAsia" w:ascii="宋体" w:hAnsi="宋体" w:cs="宋体"/>
          <w:color w:val="auto"/>
          <w:szCs w:val="21"/>
          <w:highlight w:val="none"/>
          <w:lang w:val="en-US" w:eastAsia="zh-CN"/>
        </w:rPr>
        <w:t>《重庆市建设工程安全文明施工费计取及使用管理规定》（渝建管[2024]38号）</w:t>
      </w:r>
      <w:r>
        <w:rPr>
          <w:rFonts w:hint="eastAsia" w:ascii="宋体" w:hAnsi="宋体"/>
          <w:color w:val="auto"/>
          <w:szCs w:val="21"/>
          <w:highlight w:val="none"/>
          <w:u w:val="single"/>
        </w:rPr>
        <w:t>、《重庆市建设工程费用定额》（CQFYDE-2018）、《重庆市城乡建设委员会关于适用增值税新税率调整建设工程计价依据的通知》（渝建〔2019〕143号）的规定进行结算。</w:t>
      </w:r>
    </w:p>
    <w:p w14:paraId="56BC488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54B56D9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159C8D6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4C5122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33C6BB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327C214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22A30B0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1AC09D9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06C49AB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4D987E5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6EBC199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7D91ECD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1A6F6DC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143D7787">
      <w:pPr>
        <w:pStyle w:val="2"/>
        <w:ind w:firstLine="420" w:firstLineChars="200"/>
        <w:rPr>
          <w:color w:val="auto"/>
          <w:highlight w:val="non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5CEEA27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0A77EB92">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auto"/>
          <w:szCs w:val="21"/>
          <w:highlight w:val="none"/>
          <w:u w:val="none"/>
        </w:rPr>
      </w:pPr>
      <w:bookmarkStart w:id="1264" w:name="_Hlk528660512"/>
      <w:r>
        <w:rPr>
          <w:rFonts w:hint="eastAsia" w:ascii="宋体" w:hAnsi="宋体" w:eastAsia="宋体" w:cs="Times New Roman"/>
          <w:color w:val="auto"/>
          <w:szCs w:val="21"/>
          <w:highlight w:val="none"/>
          <w:u w:val="none"/>
        </w:rPr>
        <w:t>以发包人会同跟审单位、监理人、承包人根据有效资料共同确定竣工结算金额，最终结算金额以发包人指定的第三人或重庆市南岸区财政局、重庆市南岸区审计局审计结算确认的为准。</w:t>
      </w:r>
      <w:r>
        <w:rPr>
          <w:rFonts w:hint="eastAsia" w:ascii="宋体" w:hAnsi="宋体"/>
          <w:color w:val="auto"/>
          <w:szCs w:val="21"/>
          <w:highlight w:val="none"/>
          <w:u w:val="single"/>
        </w:rPr>
        <w:t>审减金额超过5%时，承包人承担5%以外的审减效益费。</w:t>
      </w:r>
    </w:p>
    <w:p w14:paraId="1A06FAF9">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u w:val="none"/>
          <w:lang w:val="en-US" w:eastAsia="zh-CN"/>
        </w:rPr>
        <w:t>14.2.1.4 如本项目因非合同双方原因导致无法实施，合同双方根据合同结算原则按实际完成工作量进行结算，承包人自行承担相关风险，不得就此原因对发包人发起索赔。</w:t>
      </w:r>
    </w:p>
    <w:bookmarkEnd w:id="1264"/>
    <w:p w14:paraId="71E12E1B">
      <w:pPr>
        <w:spacing w:line="360" w:lineRule="auto"/>
        <w:ind w:right="105" w:rightChars="50" w:firstLine="420" w:firstLineChars="200"/>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14.2.2 竣工结算审核期限</w:t>
      </w:r>
    </w:p>
    <w:p w14:paraId="73C795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0520E67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跟审人审核竣工付款申请单的期限：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72DB21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44A330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完成竣工付款申请单审核后60天内</w:t>
      </w:r>
      <w:r>
        <w:rPr>
          <w:rFonts w:hint="eastAsia" w:ascii="宋体" w:hAnsi="宋体"/>
          <w:color w:val="auto"/>
          <w:szCs w:val="21"/>
          <w:highlight w:val="none"/>
        </w:rPr>
        <w:t>。</w:t>
      </w:r>
    </w:p>
    <w:p w14:paraId="01BF42B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7E6BDFF">
      <w:pPr>
        <w:widowControl/>
        <w:spacing w:line="360" w:lineRule="auto"/>
        <w:ind w:firstLine="422" w:firstLineChars="200"/>
        <w:jc w:val="left"/>
        <w:outlineLvl w:val="4"/>
        <w:rPr>
          <w:rFonts w:ascii="宋体" w:hAnsi="宋体" w:cs="宋体"/>
          <w:b/>
          <w:bCs/>
          <w:color w:val="auto"/>
          <w:kern w:val="0"/>
          <w:szCs w:val="21"/>
          <w:highlight w:val="none"/>
        </w:rPr>
      </w:pPr>
      <w:bookmarkStart w:id="1265" w:name="_Toc532377396"/>
      <w:bookmarkStart w:id="1266" w:name="_Toc532375659"/>
      <w:r>
        <w:rPr>
          <w:rFonts w:hint="eastAsia" w:ascii="宋体" w:hAnsi="宋体" w:cs="宋体"/>
          <w:b/>
          <w:bCs/>
          <w:color w:val="auto"/>
          <w:kern w:val="0"/>
          <w:szCs w:val="21"/>
          <w:highlight w:val="none"/>
        </w:rPr>
        <w:t>14.4 最终结清</w:t>
      </w:r>
      <w:bookmarkEnd w:id="1265"/>
      <w:bookmarkEnd w:id="1266"/>
    </w:p>
    <w:p w14:paraId="1DC9560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CD565C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6份</w:t>
      </w:r>
      <w:r>
        <w:rPr>
          <w:rFonts w:hint="eastAsia" w:ascii="宋体" w:hAnsi="宋体"/>
          <w:color w:val="auto"/>
          <w:szCs w:val="21"/>
          <w:highlight w:val="none"/>
        </w:rPr>
        <w:t>。</w:t>
      </w:r>
    </w:p>
    <w:p w14:paraId="79E9C1F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质保期终止证书颁发后14天内</w:t>
      </w:r>
      <w:r>
        <w:rPr>
          <w:rFonts w:hint="eastAsia" w:ascii="宋体" w:hAnsi="宋体"/>
          <w:color w:val="auto"/>
          <w:szCs w:val="21"/>
          <w:highlight w:val="none"/>
        </w:rPr>
        <w:t>。</w:t>
      </w:r>
    </w:p>
    <w:p w14:paraId="489202F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5C6CC46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39D7820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0C20220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226"/>
    <w:bookmarkEnd w:id="1227"/>
    <w:bookmarkEnd w:id="1228"/>
    <w:bookmarkEnd w:id="1229"/>
    <w:bookmarkEnd w:id="1230"/>
    <w:bookmarkEnd w:id="1231"/>
    <w:bookmarkEnd w:id="1232"/>
    <w:bookmarkEnd w:id="1233"/>
    <w:p w14:paraId="29A70BF3">
      <w:pPr>
        <w:widowControl/>
        <w:spacing w:line="360" w:lineRule="auto"/>
        <w:ind w:firstLine="422" w:firstLineChars="200"/>
        <w:jc w:val="left"/>
        <w:outlineLvl w:val="4"/>
        <w:rPr>
          <w:rFonts w:ascii="宋体" w:hAnsi="宋体" w:cs="宋体"/>
          <w:b/>
          <w:bCs/>
          <w:color w:val="auto"/>
          <w:kern w:val="0"/>
          <w:szCs w:val="21"/>
          <w:highlight w:val="none"/>
        </w:rPr>
      </w:pPr>
      <w:bookmarkStart w:id="1267" w:name="_Toc532375660"/>
      <w:bookmarkStart w:id="1268" w:name="_Toc532377397"/>
      <w:r>
        <w:rPr>
          <w:rFonts w:hint="eastAsia" w:ascii="宋体" w:hAnsi="宋体" w:cs="宋体"/>
          <w:b/>
          <w:bCs/>
          <w:color w:val="auto"/>
          <w:kern w:val="0"/>
          <w:szCs w:val="21"/>
          <w:highlight w:val="none"/>
        </w:rPr>
        <w:t>14.5 逾期办理或不配合办理竣工结算的处理</w:t>
      </w:r>
      <w:bookmarkEnd w:id="1267"/>
      <w:bookmarkEnd w:id="1268"/>
    </w:p>
    <w:p w14:paraId="27A00A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承包人认可前述结算金额</w:t>
      </w:r>
      <w:r>
        <w:rPr>
          <w:rFonts w:hint="eastAsia" w:ascii="宋体" w:hAnsi="宋体"/>
          <w:color w:val="auto"/>
          <w:szCs w:val="21"/>
          <w:highlight w:val="none"/>
        </w:rPr>
        <w:t>。</w:t>
      </w:r>
    </w:p>
    <w:p w14:paraId="657A524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269" w:name="_Hlk529133622"/>
      <w:r>
        <w:rPr>
          <w:rFonts w:hint="eastAsia" w:ascii="宋体" w:hAnsi="宋体"/>
          <w:color w:val="auto"/>
          <w:szCs w:val="21"/>
          <w:highlight w:val="none"/>
        </w:rPr>
        <w:t>次书面催告仍未在限期内报送的</w:t>
      </w:r>
      <w:bookmarkEnd w:id="1269"/>
      <w:r>
        <w:rPr>
          <w:rFonts w:hint="eastAsia" w:ascii="宋体" w:hAnsi="宋体"/>
          <w:color w:val="auto"/>
          <w:szCs w:val="21"/>
          <w:highlight w:val="none"/>
        </w:rPr>
        <w:t>；</w:t>
      </w:r>
    </w:p>
    <w:p w14:paraId="562ED4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0641E0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12D5155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934"/>
    <w:bookmarkEnd w:id="935"/>
    <w:bookmarkEnd w:id="936"/>
    <w:bookmarkEnd w:id="937"/>
    <w:bookmarkEnd w:id="938"/>
    <w:bookmarkEnd w:id="939"/>
    <w:bookmarkEnd w:id="940"/>
    <w:bookmarkEnd w:id="941"/>
    <w:p w14:paraId="1D52F742">
      <w:pPr>
        <w:keepNext/>
        <w:keepLines/>
        <w:widowControl/>
        <w:spacing w:before="156" w:beforeLines="50" w:after="156" w:afterLines="50" w:line="360" w:lineRule="auto"/>
        <w:outlineLvl w:val="3"/>
        <w:rPr>
          <w:rFonts w:ascii="宋体" w:hAnsi="宋体" w:cs="宋体"/>
          <w:b/>
          <w:color w:val="auto"/>
          <w:szCs w:val="21"/>
          <w:highlight w:val="none"/>
        </w:rPr>
      </w:pPr>
      <w:bookmarkStart w:id="1270" w:name="_Toc532377398"/>
      <w:bookmarkStart w:id="1271" w:name="_Toc532375661"/>
      <w:bookmarkStart w:id="1272" w:name="_Toc351203647"/>
      <w:bookmarkStart w:id="1273" w:name="_Toc267251483"/>
      <w:bookmarkStart w:id="1274" w:name="_Toc280868717"/>
      <w:bookmarkStart w:id="1275" w:name="_Toc280868718"/>
      <w:r>
        <w:rPr>
          <w:rFonts w:hint="eastAsia" w:ascii="宋体" w:hAnsi="宋体" w:cs="宋体"/>
          <w:b/>
          <w:bCs/>
          <w:color w:val="auto"/>
          <w:szCs w:val="21"/>
          <w:highlight w:val="none"/>
        </w:rPr>
        <w:t>15. 缺陷责任期与保修</w:t>
      </w:r>
      <w:bookmarkEnd w:id="1270"/>
      <w:bookmarkEnd w:id="1271"/>
      <w:bookmarkEnd w:id="1272"/>
    </w:p>
    <w:bookmarkEnd w:id="1273"/>
    <w:p w14:paraId="23421907">
      <w:pPr>
        <w:widowControl/>
        <w:spacing w:line="360" w:lineRule="auto"/>
        <w:ind w:firstLine="422" w:firstLineChars="200"/>
        <w:jc w:val="left"/>
        <w:outlineLvl w:val="4"/>
        <w:rPr>
          <w:rFonts w:ascii="宋体" w:hAnsi="宋体" w:cs="宋体"/>
          <w:b/>
          <w:bCs/>
          <w:color w:val="auto"/>
          <w:kern w:val="0"/>
          <w:szCs w:val="21"/>
          <w:highlight w:val="none"/>
        </w:rPr>
      </w:pPr>
      <w:bookmarkStart w:id="1276" w:name="_Toc532375662"/>
      <w:bookmarkStart w:id="1277" w:name="_Toc532377399"/>
      <w:r>
        <w:rPr>
          <w:rFonts w:hint="eastAsia" w:ascii="宋体" w:hAnsi="宋体" w:cs="宋体"/>
          <w:b/>
          <w:bCs/>
          <w:color w:val="auto"/>
          <w:kern w:val="0"/>
          <w:szCs w:val="21"/>
          <w:highlight w:val="none"/>
        </w:rPr>
        <w:t>15.3 质量保证金</w:t>
      </w:r>
      <w:bookmarkEnd w:id="1276"/>
      <w:bookmarkEnd w:id="1277"/>
    </w:p>
    <w:p w14:paraId="2E411A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0354FA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1BDADC0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3618426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14:paraId="7651A02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地市级及以上国家政策性银行或股份制商业银行的支行或其上级银行</w:t>
      </w:r>
      <w:r>
        <w:rPr>
          <w:rFonts w:hint="eastAsia" w:ascii="宋体" w:hAnsi="宋体"/>
          <w:color w:val="auto"/>
          <w:szCs w:val="21"/>
          <w:highlight w:val="none"/>
        </w:rPr>
        <w:t>；</w:t>
      </w:r>
    </w:p>
    <w:p w14:paraId="48017FD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D5631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69CA72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承包人提交质量保证金保函的，发包人应同时退还（若有）扣留的作为质量保证金的工程价款、履约担保；保函金额不得超过工程价款结算总额的3%</w:t>
      </w:r>
      <w:r>
        <w:rPr>
          <w:rFonts w:hint="eastAsia" w:ascii="宋体" w:hAnsi="宋体"/>
          <w:color w:val="auto"/>
          <w:szCs w:val="21"/>
          <w:highlight w:val="none"/>
        </w:rPr>
        <w:t>。</w:t>
      </w:r>
    </w:p>
    <w:p w14:paraId="21C51E5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D7704B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5EBE8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293A6A3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4B4C8F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6EB039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20004A0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（3）其他扣留方式：</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4BD122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533F086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（1）在发包人颁发质保期终止证书之日起14天内无息退还。</w:t>
      </w:r>
    </w:p>
    <w:p w14:paraId="31D6BB0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13318A1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2EA83B6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 年 / 月公布的5年期贷款市场报价利率支付利息</w:t>
      </w:r>
      <w:r>
        <w:rPr>
          <w:rFonts w:hint="eastAsia" w:ascii="宋体" w:hAnsi="宋体"/>
          <w:color w:val="auto"/>
          <w:szCs w:val="21"/>
          <w:highlight w:val="none"/>
        </w:rPr>
        <w:t>。</w:t>
      </w:r>
    </w:p>
    <w:p w14:paraId="3C2586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7779F278">
      <w:pPr>
        <w:widowControl/>
        <w:spacing w:line="360" w:lineRule="auto"/>
        <w:ind w:firstLine="422" w:firstLineChars="200"/>
        <w:jc w:val="left"/>
        <w:outlineLvl w:val="4"/>
        <w:rPr>
          <w:rFonts w:ascii="宋体" w:hAnsi="宋体" w:cs="宋体"/>
          <w:b/>
          <w:bCs/>
          <w:color w:val="auto"/>
          <w:kern w:val="0"/>
          <w:szCs w:val="21"/>
          <w:highlight w:val="none"/>
        </w:rPr>
      </w:pPr>
      <w:bookmarkStart w:id="1278" w:name="_Toc532377400"/>
      <w:bookmarkStart w:id="1279" w:name="_Toc532375663"/>
      <w:r>
        <w:rPr>
          <w:rFonts w:hint="eastAsia" w:ascii="宋体" w:hAnsi="宋体" w:cs="宋体"/>
          <w:b/>
          <w:bCs/>
          <w:color w:val="auto"/>
          <w:kern w:val="0"/>
          <w:szCs w:val="21"/>
          <w:highlight w:val="none"/>
        </w:rPr>
        <w:t>15.4 保修</w:t>
      </w:r>
      <w:bookmarkEnd w:id="1278"/>
      <w:bookmarkEnd w:id="1279"/>
    </w:p>
    <w:p w14:paraId="1CB9FA5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33E1FF1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280" w:name="_Hlk524381274"/>
      <w:r>
        <w:rPr>
          <w:rFonts w:hint="eastAsia" w:ascii="宋体" w:hAnsi="宋体"/>
          <w:color w:val="auto"/>
          <w:szCs w:val="21"/>
          <w:highlight w:val="none"/>
        </w:rPr>
        <w:t>按照附件1《工程质量保修书》的规定执行。</w:t>
      </w:r>
      <w:bookmarkEnd w:id="1280"/>
    </w:p>
    <w:p w14:paraId="3858D1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03BCD84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6小时内，最长不能超过12小时</w:t>
      </w:r>
      <w:r>
        <w:rPr>
          <w:rFonts w:hint="eastAsia" w:ascii="宋体" w:hAnsi="宋体"/>
          <w:color w:val="auto"/>
          <w:szCs w:val="21"/>
          <w:highlight w:val="none"/>
        </w:rPr>
        <w:t>。</w:t>
      </w:r>
    </w:p>
    <w:p w14:paraId="26305216">
      <w:pPr>
        <w:keepNext/>
        <w:keepLines/>
        <w:widowControl/>
        <w:spacing w:before="156" w:beforeLines="50" w:after="156" w:afterLines="50" w:line="360" w:lineRule="auto"/>
        <w:outlineLvl w:val="3"/>
        <w:rPr>
          <w:rFonts w:ascii="宋体" w:hAnsi="宋体" w:cs="宋体"/>
          <w:b/>
          <w:color w:val="auto"/>
          <w:szCs w:val="21"/>
          <w:highlight w:val="none"/>
        </w:rPr>
      </w:pPr>
      <w:bookmarkStart w:id="1281" w:name="_Toc532375664"/>
      <w:bookmarkStart w:id="1282" w:name="_Toc351203648"/>
      <w:bookmarkStart w:id="1283" w:name="_Toc532377401"/>
      <w:r>
        <w:rPr>
          <w:rFonts w:hint="eastAsia" w:ascii="宋体" w:hAnsi="宋体" w:cs="宋体"/>
          <w:b/>
          <w:bCs/>
          <w:color w:val="auto"/>
          <w:szCs w:val="21"/>
          <w:highlight w:val="none"/>
        </w:rPr>
        <w:t>16. 违约</w:t>
      </w:r>
      <w:bookmarkEnd w:id="1281"/>
      <w:bookmarkEnd w:id="1282"/>
      <w:bookmarkEnd w:id="1283"/>
    </w:p>
    <w:p w14:paraId="24E13B58">
      <w:pPr>
        <w:widowControl/>
        <w:spacing w:line="360" w:lineRule="auto"/>
        <w:ind w:firstLine="422" w:firstLineChars="200"/>
        <w:jc w:val="left"/>
        <w:outlineLvl w:val="4"/>
        <w:rPr>
          <w:rFonts w:ascii="宋体" w:hAnsi="宋体" w:cs="宋体"/>
          <w:b/>
          <w:bCs/>
          <w:color w:val="auto"/>
          <w:kern w:val="0"/>
          <w:szCs w:val="21"/>
          <w:highlight w:val="none"/>
        </w:rPr>
      </w:pPr>
      <w:bookmarkStart w:id="1284" w:name="_Toc532377403"/>
      <w:r>
        <w:rPr>
          <w:rFonts w:hint="eastAsia" w:ascii="宋体" w:hAnsi="宋体" w:cs="宋体"/>
          <w:b/>
          <w:bCs/>
          <w:color w:val="auto"/>
          <w:kern w:val="0"/>
          <w:szCs w:val="21"/>
          <w:highlight w:val="none"/>
        </w:rPr>
        <w:t>16.2 承包人违约</w:t>
      </w:r>
      <w:bookmarkEnd w:id="1284"/>
    </w:p>
    <w:p w14:paraId="1675D218">
      <w:pPr>
        <w:snapToGrid w:val="0"/>
        <w:spacing w:line="360" w:lineRule="auto"/>
        <w:ind w:firstLine="420" w:firstLineChars="200"/>
        <w:jc w:val="left"/>
        <w:rPr>
          <w:rFonts w:ascii="宋体" w:hAnsi="宋体" w:cs="Microsoft Sans Serif"/>
          <w:color w:val="auto"/>
          <w:kern w:val="0"/>
          <w:szCs w:val="21"/>
          <w:highlight w:val="none"/>
        </w:rPr>
      </w:pPr>
      <w:bookmarkStart w:id="1285" w:name="_Hlk524380579"/>
      <w:r>
        <w:rPr>
          <w:rFonts w:hint="eastAsia" w:ascii="宋体" w:hAnsi="宋体" w:cs="Microsoft Sans Serif"/>
          <w:color w:val="auto"/>
          <w:kern w:val="0"/>
          <w:szCs w:val="21"/>
          <w:highlight w:val="none"/>
        </w:rPr>
        <w:t>16.2.1 承包人违约的情形</w:t>
      </w:r>
    </w:p>
    <w:p w14:paraId="462E262B">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4F84164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7673518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58B850B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4FA2571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07D9AEB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58E25C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6D66155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4C011E5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5751250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51AF657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09C7109D">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09AE9DF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034780C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315AA47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56B2CCD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2D6A47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48B0C2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27606A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7）发包人有正当理由认为项目经理不称职/不履职/不满意，且承包人在约定时间内不予更换的；</w:t>
      </w:r>
    </w:p>
    <w:p w14:paraId="660067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489AD92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1C2E8BF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5E9CA9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0739F8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7F96050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5B7679A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43511B2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6325130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0240070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6CA9803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7CD7911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27E5B84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20DC0D4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3A6BCB8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不按发包人要求、制度履行本工程项目。</w:t>
      </w:r>
    </w:p>
    <w:bookmarkEnd w:id="1285"/>
    <w:p w14:paraId="72B14559">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4EA8561A">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0537C4B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lang w:val="zh-CN"/>
        </w:rPr>
        <w:t>。逾期7</w:t>
      </w:r>
      <w:r>
        <w:rPr>
          <w:rFonts w:hint="eastAsia" w:ascii="宋体" w:hAnsi="宋体" w:cs="Microsoft Sans Serif"/>
          <w:color w:val="auto"/>
          <w:kern w:val="0"/>
          <w:szCs w:val="21"/>
          <w:highlight w:val="none"/>
        </w:rPr>
        <w:t>天</w:t>
      </w:r>
      <w:r>
        <w:rPr>
          <w:rFonts w:hint="eastAsia" w:ascii="宋体" w:hAnsi="宋体" w:cs="Microsoft Sans Serif"/>
          <w:color w:val="auto"/>
          <w:kern w:val="0"/>
          <w:szCs w:val="21"/>
          <w:highlight w:val="none"/>
          <w:lang w:val="zh-CN"/>
        </w:rPr>
        <w:t>未提供履约担保、质量保证金，</w:t>
      </w:r>
      <w:r>
        <w:rPr>
          <w:rFonts w:hint="eastAsia" w:ascii="宋体" w:hAnsi="宋体" w:cs="Microsoft Sans Serif"/>
          <w:color w:val="auto"/>
          <w:kern w:val="0"/>
          <w:szCs w:val="21"/>
          <w:highlight w:val="none"/>
        </w:rPr>
        <w:t>发包人</w:t>
      </w:r>
      <w:r>
        <w:rPr>
          <w:rFonts w:hint="eastAsia" w:ascii="宋体" w:hAnsi="宋体" w:cs="Microsoft Sans Serif"/>
          <w:color w:val="auto"/>
          <w:kern w:val="0"/>
          <w:szCs w:val="21"/>
          <w:highlight w:val="none"/>
          <w:lang w:val="zh-CN"/>
        </w:rPr>
        <w:t>有权拒绝签订合同或选择解除合同，责任由承包人承担。</w:t>
      </w:r>
    </w:p>
    <w:p w14:paraId="594DA43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rPr>
        <w:t>支付违约金，违法转/分包商应在7天内撤离出场。</w:t>
      </w:r>
    </w:p>
    <w:p w14:paraId="4C82609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rPr>
        <w:t>支付违约金。</w:t>
      </w:r>
    </w:p>
    <w:p w14:paraId="5063F17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rPr>
        <w:t>支付违约金。</w:t>
      </w:r>
    </w:p>
    <w:p w14:paraId="523B0A7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5%</w:t>
      </w:r>
      <w:r>
        <w:rPr>
          <w:rFonts w:hint="eastAsia" w:ascii="宋体" w:hAnsi="宋体" w:cs="Microsoft Sans Serif"/>
          <w:color w:val="auto"/>
          <w:kern w:val="0"/>
          <w:szCs w:val="21"/>
          <w:highlight w:val="none"/>
        </w:rPr>
        <w:t>支付违约金。</w:t>
      </w:r>
    </w:p>
    <w:p w14:paraId="2E07173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50000元/天</w:t>
      </w:r>
      <w:r>
        <w:rPr>
          <w:rFonts w:hint="eastAsia" w:ascii="宋体" w:hAnsi="宋体" w:cs="Microsoft Sans Serif"/>
          <w:color w:val="auto"/>
          <w:kern w:val="0"/>
          <w:szCs w:val="21"/>
          <w:highlight w:val="none"/>
        </w:rPr>
        <w:t>计算逾期竣工违约金，累计违约金上限：不超过签约合同价的3%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2F3A871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2%</w:t>
      </w:r>
      <w:r>
        <w:rPr>
          <w:rFonts w:hint="eastAsia" w:ascii="宋体" w:hAnsi="宋体" w:cs="Microsoft Sans Serif"/>
          <w:color w:val="auto"/>
          <w:kern w:val="0"/>
          <w:szCs w:val="21"/>
          <w:highlight w:val="none"/>
        </w:rPr>
        <w:t>支付违约金。</w:t>
      </w:r>
    </w:p>
    <w:p w14:paraId="62D4163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rPr>
        <w:t>支付违约金。</w:t>
      </w:r>
    </w:p>
    <w:p w14:paraId="7D7FAE8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5000元/次</w:t>
      </w:r>
      <w:r>
        <w:rPr>
          <w:rFonts w:hint="eastAsia" w:ascii="宋体" w:hAnsi="宋体" w:cs="Microsoft Sans Serif"/>
          <w:color w:val="auto"/>
          <w:kern w:val="0"/>
          <w:szCs w:val="21"/>
          <w:highlight w:val="none"/>
        </w:rPr>
        <w:t>支付违约金。</w:t>
      </w:r>
    </w:p>
    <w:p w14:paraId="507202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23BC3EC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50000元/台·次</w:t>
      </w:r>
      <w:r>
        <w:rPr>
          <w:rFonts w:hint="eastAsia" w:ascii="宋体" w:hAnsi="宋体" w:cs="Microsoft Sans Serif"/>
          <w:color w:val="auto"/>
          <w:kern w:val="0"/>
          <w:szCs w:val="21"/>
          <w:highlight w:val="none"/>
        </w:rPr>
        <w:t>支付违约金。</w:t>
      </w:r>
    </w:p>
    <w:p w14:paraId="6A86D7D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4‰/次</w:t>
      </w:r>
      <w:r>
        <w:rPr>
          <w:rFonts w:hint="eastAsia" w:ascii="宋体" w:hAnsi="宋体" w:cs="Microsoft Sans Serif"/>
          <w:color w:val="auto"/>
          <w:kern w:val="0"/>
          <w:szCs w:val="21"/>
          <w:highlight w:val="none"/>
        </w:rPr>
        <w:t>支付违约金（累计不超过签约合同价的1%，详见附件9安全管理协议）。</w:t>
      </w:r>
    </w:p>
    <w:p w14:paraId="64BBB44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200000元/次</w:t>
      </w:r>
      <w:r>
        <w:rPr>
          <w:rFonts w:hint="eastAsia" w:ascii="宋体" w:hAnsi="宋体" w:cs="Microsoft Sans Serif"/>
          <w:color w:val="auto"/>
          <w:kern w:val="0"/>
          <w:szCs w:val="21"/>
          <w:highlight w:val="none"/>
        </w:rPr>
        <w:t>支付违约金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同时，发包人有权选择将承包人欠付的工资支付并有权从应支付给承包人的工程款中扣除该部分工资</w:t>
      </w:r>
      <w:r>
        <w:rPr>
          <w:rFonts w:hint="eastAsia" w:ascii="宋体" w:hAnsi="宋体" w:cs="Microsoft Sans Serif"/>
          <w:color w:val="auto"/>
          <w:kern w:val="0"/>
          <w:szCs w:val="21"/>
          <w:highlight w:val="none"/>
        </w:rPr>
        <w:t>。</w:t>
      </w:r>
    </w:p>
    <w:p w14:paraId="2D0CF4C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100000元/次</w:t>
      </w:r>
      <w:r>
        <w:rPr>
          <w:rFonts w:hint="eastAsia" w:ascii="宋体" w:hAnsi="宋体" w:cs="Microsoft Sans Serif"/>
          <w:color w:val="auto"/>
          <w:kern w:val="0"/>
          <w:szCs w:val="21"/>
          <w:highlight w:val="none"/>
        </w:rPr>
        <w:t>支付违约金。</w:t>
      </w:r>
    </w:p>
    <w:p w14:paraId="719BAF8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1‰</w:t>
      </w:r>
      <w:r>
        <w:rPr>
          <w:rFonts w:hint="eastAsia" w:ascii="宋体" w:hAnsi="宋体" w:cs="Microsoft Sans Serif"/>
          <w:color w:val="auto"/>
          <w:kern w:val="0"/>
          <w:szCs w:val="21"/>
          <w:highlight w:val="none"/>
        </w:rPr>
        <w:t>支付违约金。</w:t>
      </w:r>
    </w:p>
    <w:p w14:paraId="4D0A8F3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09A3D7C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649EB2B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r>
        <w:rPr>
          <w:rFonts w:hint="eastAsia" w:ascii="宋体" w:hAnsi="宋体" w:cs="Microsoft Sans Serif"/>
          <w:color w:val="auto"/>
          <w:kern w:val="0"/>
          <w:szCs w:val="21"/>
          <w:highlight w:val="none"/>
          <w:u w:val="single"/>
        </w:rPr>
        <w:t>，同时，发包人有权解除本合同</w:t>
      </w:r>
      <w:r>
        <w:rPr>
          <w:rFonts w:hint="eastAsia" w:ascii="宋体" w:hAnsi="宋体" w:cs="Microsoft Sans Serif"/>
          <w:color w:val="auto"/>
          <w:kern w:val="0"/>
          <w:szCs w:val="21"/>
          <w:highlight w:val="none"/>
        </w:rPr>
        <w:t>。</w:t>
      </w:r>
    </w:p>
    <w:p w14:paraId="338700D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100万，同时，发包人有权解除本合同。</w:t>
      </w:r>
    </w:p>
    <w:p w14:paraId="50CCE2AB">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5000元/天·次</w:t>
      </w:r>
      <w:r>
        <w:rPr>
          <w:rFonts w:hint="eastAsia" w:ascii="宋体" w:hAnsi="宋体" w:cs="Microsoft Sans Serif"/>
          <w:color w:val="auto"/>
          <w:kern w:val="0"/>
          <w:szCs w:val="21"/>
          <w:highlight w:val="none"/>
        </w:rPr>
        <w:t>计算违约金。</w:t>
      </w:r>
    </w:p>
    <w:p w14:paraId="7B65E74D">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不按发包人要求、制度履行本工程项目违约责任：根据具体情节，按100000元/次支付违约金。</w:t>
      </w:r>
    </w:p>
    <w:p w14:paraId="6B5A1341">
      <w:pPr>
        <w:snapToGrid w:val="0"/>
        <w:spacing w:line="360" w:lineRule="auto"/>
        <w:ind w:firstLine="420" w:firstLineChars="200"/>
        <w:jc w:val="left"/>
        <w:rPr>
          <w:rFonts w:ascii="宋体" w:hAnsi="宋体" w:cs="Microsoft Sans Serif"/>
          <w:color w:val="auto"/>
          <w:kern w:val="0"/>
          <w:szCs w:val="21"/>
          <w:highlight w:val="none"/>
        </w:rPr>
      </w:pPr>
      <w:bookmarkStart w:id="1286" w:name="_Hlk524380347"/>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73F2FDB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24A0888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286"/>
    <w:p w14:paraId="70BF458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27E5488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6E3341F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（1）未按合同约定延迟提供履约担保、质量保证金超过14天的；</w:t>
      </w:r>
    </w:p>
    <w:p w14:paraId="05EDAB8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（2）未按合同约定购买保险且经催告后超过56天的；</w:t>
      </w:r>
    </w:p>
    <w:p w14:paraId="39601D6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（3）因承包人原因导致开工时间累计延误超过56天的；</w:t>
      </w:r>
    </w:p>
    <w:p w14:paraId="69D7F5E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（4）因承包人原因导致工期延误的；</w:t>
      </w:r>
    </w:p>
    <w:p w14:paraId="585B382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（5）发生第21.2款〔退出机制〕约定的情形的；</w:t>
      </w:r>
    </w:p>
    <w:p w14:paraId="1C262E8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（6）监理人发出整改通知后，承包人在监理人限定的期限内仍不纠正违约行为的；</w:t>
      </w:r>
    </w:p>
    <w:p w14:paraId="23FB484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（7）承包人进入清算或者严重资不抵债且无法履行合同的；</w:t>
      </w:r>
    </w:p>
    <w:p w14:paraId="28AA492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6FE6F31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5F0DA8E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（10）合</w:t>
      </w:r>
      <w:r>
        <w:rPr>
          <w:rFonts w:hint="eastAsia" w:ascii="宋体" w:hAnsi="宋体" w:cs="Microsoft Sans Serif"/>
          <w:color w:val="auto"/>
          <w:kern w:val="0"/>
          <w:szCs w:val="21"/>
          <w:highlight w:val="none"/>
          <w:u w:val="single"/>
        </w:rPr>
        <w:t>同约定的发包人有权解除合同的其他情形</w:t>
      </w:r>
      <w:r>
        <w:rPr>
          <w:rFonts w:hint="eastAsia" w:ascii="宋体" w:hAnsi="宋体" w:cs="Microsoft Sans Serif"/>
          <w:color w:val="auto"/>
          <w:kern w:val="0"/>
          <w:szCs w:val="21"/>
          <w:highlight w:val="none"/>
        </w:rPr>
        <w:t>。</w:t>
      </w:r>
    </w:p>
    <w:p w14:paraId="6756784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7B88380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1B2AC69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应妥善做好在建或已建工程、现场剩余材料和设备以及在建或已建工程和设备的技术及计经资料的保护和移交工作，按</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要求撤出施工场地。在交接手续办理完毕及撤离现场之前，</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仍应负责工程照管。</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移交工作完毕且</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人员全部撤离现场后，且根据合同</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已支付了</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蒙受的任何损失和违约金等全部费用后，</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可依据合同计价的约定，仅对</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已完合格的工程办理结算，</w:t>
      </w:r>
      <w:r>
        <w:rPr>
          <w:rFonts w:hint="eastAsia" w:ascii="宋体" w:hAnsi="宋体" w:cs="Microsoft Sans Serif"/>
          <w:color w:val="auto"/>
          <w:kern w:val="0"/>
          <w:szCs w:val="21"/>
          <w:highlight w:val="none"/>
          <w:lang w:val="en-US" w:eastAsia="zh-CN"/>
        </w:rPr>
        <w:t>按照承包人已完工合格部分参照本合同约定确定结算金额的70%支付工程款</w:t>
      </w:r>
      <w:r>
        <w:rPr>
          <w:rFonts w:hint="eastAsia" w:ascii="宋体" w:hAnsi="宋体" w:cs="Microsoft Sans Serif"/>
          <w:color w:val="auto"/>
          <w:kern w:val="0"/>
          <w:szCs w:val="21"/>
          <w:highlight w:val="none"/>
        </w:rPr>
        <w:t>；</w:t>
      </w:r>
    </w:p>
    <w:p w14:paraId="0B80C1C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0458F7E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14F329F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（4）合同解除后，承包人应按照发包人要求和监理人的指示完成现场的清理和撤离。逾期清理和撤离时，每逾期一天按</w:t>
      </w:r>
      <w:r>
        <w:rPr>
          <w:rFonts w:ascii="宋体" w:hAnsi="宋体" w:cs="Microsoft Sans Serif"/>
          <w:color w:val="auto"/>
          <w:kern w:val="0"/>
          <w:szCs w:val="21"/>
          <w:highlight w:val="none"/>
        </w:rPr>
        <w:t>20000</w:t>
      </w:r>
      <w:r>
        <w:rPr>
          <w:rFonts w:hint="eastAsia" w:ascii="宋体" w:hAnsi="宋体" w:cs="Microsoft Sans Serif"/>
          <w:color w:val="auto"/>
          <w:kern w:val="0"/>
          <w:szCs w:val="21"/>
          <w:highlight w:val="none"/>
        </w:rPr>
        <w:t>元向发包人承担</w:t>
      </w:r>
      <w:r>
        <w:rPr>
          <w:rFonts w:hint="eastAsia" w:ascii="宋体" w:hAnsi="宋体" w:cs="Microsoft Sans Serif"/>
          <w:color w:val="auto"/>
          <w:kern w:val="0"/>
          <w:szCs w:val="21"/>
          <w:highlight w:val="none"/>
          <w:lang w:val="en-US" w:eastAsia="zh-CN"/>
        </w:rPr>
        <w:t>损失</w:t>
      </w:r>
      <w:r>
        <w:rPr>
          <w:rFonts w:hint="eastAsia" w:ascii="宋体" w:hAnsi="宋体" w:cs="Microsoft Sans Serif"/>
          <w:color w:val="auto"/>
          <w:kern w:val="0"/>
          <w:szCs w:val="21"/>
          <w:highlight w:val="none"/>
        </w:rPr>
        <w:t>。发包人有权强制清退，若现场留有承包人的物品，视为遗弃物，发包人有权任意处置，产生的一切费用由承包人承担。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w:t>
      </w:r>
      <w:r>
        <w:rPr>
          <w:rFonts w:hint="eastAsia" w:ascii="宋体" w:hAnsi="宋体" w:cs="Microsoft Sans Serif"/>
          <w:color w:val="auto"/>
          <w:kern w:val="0"/>
          <w:szCs w:val="21"/>
          <w:highlight w:val="none"/>
          <w:lang w:val="en-US" w:eastAsia="zh-CN"/>
        </w:rPr>
        <w:t>在承包人未逾期退场的情形下，</w:t>
      </w:r>
      <w:r>
        <w:rPr>
          <w:rFonts w:hint="eastAsia" w:ascii="宋体" w:hAnsi="宋体" w:cs="Microsoft Sans Serif"/>
          <w:color w:val="auto"/>
          <w:kern w:val="0"/>
          <w:szCs w:val="21"/>
          <w:highlight w:val="none"/>
        </w:rPr>
        <w:t>发包人继续使用承包人在施工现场的材料、设备、临时工程、承包人文件和由承包人或以其名义编制的其他文件的费用承担方式由双方协商确定</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若承包人已经逾期退场，则发包人有权无偿使用前述文件</w:t>
      </w:r>
      <w:r>
        <w:rPr>
          <w:rFonts w:hint="eastAsia" w:ascii="宋体" w:hAnsi="宋体" w:cs="Microsoft Sans Serif"/>
          <w:color w:val="auto"/>
          <w:kern w:val="0"/>
          <w:szCs w:val="21"/>
          <w:highlight w:val="none"/>
        </w:rPr>
        <w:t>；发包人继续使用的行为不免除或减轻承包人应承担的违约责任，也不影响发包人根据合同享有的索赔等权利</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发包人有权强制承包人退场，一切责任由承担人承担，承包人退场现状以发包人录制视听资料为准。</w:t>
      </w:r>
    </w:p>
    <w:p w14:paraId="576980CD">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     </w:t>
      </w:r>
      <w:r>
        <w:rPr>
          <w:rFonts w:hint="eastAsia" w:ascii="宋体" w:hAnsi="宋体" w:cs="Microsoft Sans Serif"/>
          <w:color w:val="auto"/>
          <w:kern w:val="0"/>
          <w:szCs w:val="21"/>
          <w:highlight w:val="none"/>
        </w:rPr>
        <w:t>。</w:t>
      </w:r>
    </w:p>
    <w:p w14:paraId="503D521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74579BB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1274"/>
    <w:bookmarkEnd w:id="1275"/>
    <w:p w14:paraId="560E05CA">
      <w:pPr>
        <w:keepNext/>
        <w:keepLines/>
        <w:widowControl/>
        <w:spacing w:before="156" w:beforeLines="50" w:after="156" w:afterLines="50" w:line="360" w:lineRule="auto"/>
        <w:outlineLvl w:val="3"/>
        <w:rPr>
          <w:rFonts w:ascii="宋体" w:hAnsi="宋体" w:cs="宋体"/>
          <w:b/>
          <w:color w:val="auto"/>
          <w:szCs w:val="21"/>
          <w:highlight w:val="none"/>
        </w:rPr>
      </w:pPr>
      <w:bookmarkStart w:id="1287" w:name="_Toc351203649"/>
      <w:bookmarkStart w:id="1288" w:name="_Toc532377404"/>
      <w:bookmarkStart w:id="1289" w:name="_Toc532375665"/>
      <w:bookmarkStart w:id="1290" w:name="_Hlk528928440"/>
      <w:r>
        <w:rPr>
          <w:rFonts w:hint="eastAsia" w:ascii="宋体" w:hAnsi="宋体" w:cs="宋体"/>
          <w:b/>
          <w:bCs/>
          <w:color w:val="auto"/>
          <w:szCs w:val="21"/>
          <w:highlight w:val="none"/>
        </w:rPr>
        <w:t>17. 不可抗力</w:t>
      </w:r>
      <w:bookmarkEnd w:id="1287"/>
      <w:bookmarkEnd w:id="1288"/>
      <w:bookmarkEnd w:id="1289"/>
    </w:p>
    <w:p w14:paraId="257D12C2">
      <w:pPr>
        <w:widowControl/>
        <w:spacing w:line="360" w:lineRule="auto"/>
        <w:ind w:firstLine="422" w:firstLineChars="200"/>
        <w:jc w:val="left"/>
        <w:outlineLvl w:val="4"/>
        <w:rPr>
          <w:rFonts w:ascii="宋体" w:hAnsi="宋体" w:cs="宋体"/>
          <w:b/>
          <w:bCs/>
          <w:color w:val="auto"/>
          <w:kern w:val="0"/>
          <w:szCs w:val="21"/>
          <w:highlight w:val="none"/>
        </w:rPr>
      </w:pPr>
      <w:bookmarkStart w:id="1291" w:name="_Toc532375666"/>
      <w:bookmarkStart w:id="1292" w:name="_Toc532377405"/>
      <w:r>
        <w:rPr>
          <w:rFonts w:hint="eastAsia" w:ascii="宋体" w:hAnsi="宋体" w:cs="宋体"/>
          <w:b/>
          <w:bCs/>
          <w:color w:val="auto"/>
          <w:kern w:val="0"/>
          <w:szCs w:val="21"/>
          <w:highlight w:val="none"/>
        </w:rPr>
        <w:t>17.1 不可抗力的确认</w:t>
      </w:r>
      <w:bookmarkEnd w:id="1291"/>
      <w:bookmarkEnd w:id="1292"/>
    </w:p>
    <w:p w14:paraId="5CEC3A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293" w:name="_Hlk524379638"/>
    </w:p>
    <w:p w14:paraId="06F29EC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08C8E4B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4EDEF8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6216E7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7CFB911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293"/>
    </w:p>
    <w:p w14:paraId="13DCA0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国家或重庆市发文认定的事件</w:t>
      </w:r>
      <w:r>
        <w:rPr>
          <w:rFonts w:hint="eastAsia" w:ascii="宋体" w:hAnsi="宋体"/>
          <w:color w:val="auto"/>
          <w:szCs w:val="21"/>
          <w:highlight w:val="none"/>
        </w:rPr>
        <w:t>。</w:t>
      </w:r>
    </w:p>
    <w:p w14:paraId="6F496B23">
      <w:pPr>
        <w:widowControl/>
        <w:spacing w:line="360" w:lineRule="auto"/>
        <w:ind w:firstLine="422" w:firstLineChars="200"/>
        <w:jc w:val="left"/>
        <w:outlineLvl w:val="4"/>
        <w:rPr>
          <w:rFonts w:ascii="宋体" w:hAnsi="宋体" w:cs="宋体"/>
          <w:b/>
          <w:bCs/>
          <w:color w:val="auto"/>
          <w:kern w:val="0"/>
          <w:szCs w:val="21"/>
          <w:highlight w:val="none"/>
        </w:rPr>
      </w:pPr>
      <w:bookmarkStart w:id="1294" w:name="_Toc351203610"/>
      <w:bookmarkStart w:id="1295" w:name="_Toc532375667"/>
      <w:bookmarkStart w:id="1296" w:name="_Toc532377406"/>
      <w:bookmarkStart w:id="1297" w:name="_Toc296503119"/>
      <w:bookmarkStart w:id="1298" w:name="_Toc337558826"/>
      <w:bookmarkStart w:id="1299" w:name="_Toc296346620"/>
      <w:r>
        <w:rPr>
          <w:rFonts w:hint="eastAsia" w:ascii="宋体" w:hAnsi="宋体" w:cs="宋体"/>
          <w:b/>
          <w:bCs/>
          <w:color w:val="auto"/>
          <w:kern w:val="0"/>
          <w:szCs w:val="21"/>
          <w:highlight w:val="none"/>
        </w:rPr>
        <w:t>17.3 不可抗力后果的承担</w:t>
      </w:r>
      <w:bookmarkEnd w:id="1294"/>
      <w:bookmarkEnd w:id="1295"/>
      <w:bookmarkEnd w:id="1296"/>
    </w:p>
    <w:bookmarkEnd w:id="1297"/>
    <w:bookmarkEnd w:id="1298"/>
    <w:bookmarkEnd w:id="1299"/>
    <w:p w14:paraId="5BA6C16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10FD12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1FC7210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048146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0ECA198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0971A4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44FF2FC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6B9BB7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0E7833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2CD4F02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2002CB9">
      <w:pPr>
        <w:widowControl/>
        <w:spacing w:line="360" w:lineRule="auto"/>
        <w:ind w:firstLine="422" w:firstLineChars="200"/>
        <w:jc w:val="left"/>
        <w:outlineLvl w:val="4"/>
        <w:rPr>
          <w:rFonts w:ascii="宋体" w:hAnsi="宋体" w:cs="宋体"/>
          <w:b/>
          <w:bCs/>
          <w:color w:val="auto"/>
          <w:kern w:val="0"/>
          <w:szCs w:val="21"/>
          <w:highlight w:val="none"/>
        </w:rPr>
      </w:pPr>
      <w:bookmarkStart w:id="1300" w:name="_Toc532377407"/>
      <w:bookmarkStart w:id="1301" w:name="_Toc532375668"/>
      <w:r>
        <w:rPr>
          <w:rFonts w:hint="eastAsia" w:ascii="宋体" w:hAnsi="宋体" w:cs="宋体"/>
          <w:b/>
          <w:bCs/>
          <w:color w:val="auto"/>
          <w:kern w:val="0"/>
          <w:szCs w:val="21"/>
          <w:highlight w:val="none"/>
        </w:rPr>
        <w:t>17.4 因不可抗力解除合同</w:t>
      </w:r>
      <w:bookmarkEnd w:id="1300"/>
      <w:bookmarkEnd w:id="1301"/>
    </w:p>
    <w:p w14:paraId="0D7FAE1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553B3E93">
      <w:pPr>
        <w:keepNext/>
        <w:keepLines/>
        <w:widowControl/>
        <w:spacing w:before="156" w:beforeLines="50" w:after="156" w:afterLines="50" w:line="360" w:lineRule="auto"/>
        <w:outlineLvl w:val="3"/>
        <w:rPr>
          <w:rFonts w:ascii="宋体" w:hAnsi="宋体" w:cs="宋体"/>
          <w:b/>
          <w:color w:val="auto"/>
          <w:szCs w:val="21"/>
          <w:highlight w:val="none"/>
        </w:rPr>
      </w:pPr>
      <w:bookmarkStart w:id="1302" w:name="_Toc532377408"/>
      <w:bookmarkStart w:id="1303" w:name="_Toc532375669"/>
      <w:bookmarkStart w:id="1304" w:name="_Toc351203650"/>
      <w:r>
        <w:rPr>
          <w:rFonts w:hint="eastAsia" w:ascii="宋体" w:hAnsi="宋体" w:cs="宋体"/>
          <w:b/>
          <w:bCs/>
          <w:color w:val="auto"/>
          <w:szCs w:val="21"/>
          <w:highlight w:val="none"/>
        </w:rPr>
        <w:t>18. 保险</w:t>
      </w:r>
      <w:bookmarkEnd w:id="1302"/>
      <w:bookmarkEnd w:id="1303"/>
      <w:bookmarkEnd w:id="1304"/>
    </w:p>
    <w:p w14:paraId="1FCAA298">
      <w:pPr>
        <w:widowControl/>
        <w:spacing w:line="360" w:lineRule="auto"/>
        <w:ind w:firstLine="422" w:firstLineChars="200"/>
        <w:jc w:val="left"/>
        <w:outlineLvl w:val="4"/>
        <w:rPr>
          <w:rFonts w:ascii="宋体" w:hAnsi="宋体" w:cs="宋体"/>
          <w:b/>
          <w:bCs/>
          <w:color w:val="auto"/>
          <w:kern w:val="0"/>
          <w:szCs w:val="21"/>
          <w:highlight w:val="none"/>
        </w:rPr>
      </w:pPr>
      <w:bookmarkStart w:id="1305" w:name="_Toc532375670"/>
      <w:bookmarkStart w:id="1306" w:name="_Toc532377409"/>
      <w:r>
        <w:rPr>
          <w:rFonts w:hint="eastAsia" w:ascii="宋体" w:hAnsi="宋体" w:cs="宋体"/>
          <w:b/>
          <w:bCs/>
          <w:color w:val="auto"/>
          <w:kern w:val="0"/>
          <w:szCs w:val="21"/>
          <w:highlight w:val="none"/>
        </w:rPr>
        <w:t>18.1 工程保险</w:t>
      </w:r>
      <w:bookmarkEnd w:id="1305"/>
      <w:bookmarkEnd w:id="1306"/>
    </w:p>
    <w:p w14:paraId="3D0E71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关于工程保险的特别约定：承包人应投保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，投保产生的保险费和其他相关费用由承包人承担，包含在投标报价中。</w:t>
      </w:r>
    </w:p>
    <w:p w14:paraId="312148AA">
      <w:pPr>
        <w:widowControl/>
        <w:spacing w:line="360" w:lineRule="auto"/>
        <w:ind w:firstLine="422" w:firstLineChars="200"/>
        <w:jc w:val="left"/>
        <w:outlineLvl w:val="4"/>
        <w:rPr>
          <w:rFonts w:ascii="宋体" w:hAnsi="宋体" w:cs="宋体"/>
          <w:b/>
          <w:bCs/>
          <w:color w:val="auto"/>
          <w:kern w:val="0"/>
          <w:szCs w:val="21"/>
          <w:highlight w:val="none"/>
        </w:rPr>
      </w:pPr>
      <w:bookmarkStart w:id="1307" w:name="_Toc532375671"/>
      <w:bookmarkStart w:id="1308" w:name="_Toc532377410"/>
      <w:r>
        <w:rPr>
          <w:rFonts w:hint="eastAsia" w:ascii="宋体" w:hAnsi="宋体" w:cs="宋体"/>
          <w:b/>
          <w:bCs/>
          <w:color w:val="auto"/>
          <w:kern w:val="0"/>
          <w:szCs w:val="21"/>
          <w:highlight w:val="none"/>
        </w:rPr>
        <w:t>18.3 其他保险</w:t>
      </w:r>
      <w:bookmarkEnd w:id="1307"/>
      <w:bookmarkEnd w:id="1308"/>
    </w:p>
    <w:p w14:paraId="778363D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C3B3C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3F3F8AB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10BC1A92">
      <w:pPr>
        <w:widowControl/>
        <w:spacing w:line="360" w:lineRule="auto"/>
        <w:ind w:firstLine="422" w:firstLineChars="200"/>
        <w:jc w:val="left"/>
        <w:outlineLvl w:val="4"/>
        <w:rPr>
          <w:rFonts w:ascii="宋体" w:hAnsi="宋体" w:cs="宋体"/>
          <w:b/>
          <w:bCs/>
          <w:color w:val="auto"/>
          <w:kern w:val="0"/>
          <w:szCs w:val="21"/>
          <w:highlight w:val="none"/>
        </w:rPr>
      </w:pPr>
      <w:bookmarkStart w:id="1309" w:name="_Toc532377411"/>
      <w:bookmarkStart w:id="1310" w:name="_Toc532375672"/>
      <w:r>
        <w:rPr>
          <w:rFonts w:hint="eastAsia" w:ascii="宋体" w:hAnsi="宋体" w:cs="宋体"/>
          <w:b/>
          <w:bCs/>
          <w:color w:val="auto"/>
          <w:kern w:val="0"/>
          <w:szCs w:val="21"/>
          <w:highlight w:val="none"/>
        </w:rPr>
        <w:t>18.7 通知义务</w:t>
      </w:r>
      <w:bookmarkEnd w:id="1309"/>
      <w:bookmarkEnd w:id="1310"/>
    </w:p>
    <w:p w14:paraId="786938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3588C96">
      <w:pPr>
        <w:widowControl/>
        <w:spacing w:line="360" w:lineRule="auto"/>
        <w:ind w:firstLine="422" w:firstLineChars="200"/>
        <w:jc w:val="left"/>
        <w:outlineLvl w:val="4"/>
        <w:rPr>
          <w:rFonts w:ascii="宋体" w:hAnsi="宋体" w:cs="宋体"/>
          <w:b/>
          <w:bCs/>
          <w:color w:val="auto"/>
          <w:kern w:val="0"/>
          <w:szCs w:val="21"/>
          <w:highlight w:val="none"/>
        </w:rPr>
      </w:pPr>
      <w:bookmarkStart w:id="1311" w:name="_Toc532377412"/>
      <w:bookmarkStart w:id="1312" w:name="_Toc532375673"/>
      <w:r>
        <w:rPr>
          <w:rFonts w:hint="eastAsia" w:ascii="宋体" w:hAnsi="宋体" w:cs="宋体"/>
          <w:b/>
          <w:bCs/>
          <w:color w:val="auto"/>
          <w:kern w:val="0"/>
          <w:szCs w:val="21"/>
          <w:highlight w:val="none"/>
        </w:rPr>
        <w:t>18.8 其他</w:t>
      </w:r>
      <w:bookmarkEnd w:id="1311"/>
      <w:bookmarkEnd w:id="1312"/>
    </w:p>
    <w:p w14:paraId="3C13D74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2CCA6BF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313" w:name="_Hlk524378346"/>
      <w:r>
        <w:rPr>
          <w:rFonts w:hint="eastAsia" w:ascii="宋体" w:hAnsi="宋体"/>
          <w:color w:val="auto"/>
          <w:szCs w:val="21"/>
          <w:highlight w:val="none"/>
        </w:rPr>
        <w:t>差额由承包人负责补足</w:t>
      </w:r>
      <w:bookmarkEnd w:id="1313"/>
      <w:r>
        <w:rPr>
          <w:rFonts w:hint="eastAsia" w:ascii="宋体" w:hAnsi="宋体"/>
          <w:color w:val="auto"/>
          <w:szCs w:val="21"/>
          <w:highlight w:val="none"/>
        </w:rPr>
        <w:t>。</w:t>
      </w:r>
    </w:p>
    <w:p w14:paraId="12BEB727">
      <w:pPr>
        <w:keepNext/>
        <w:keepLines/>
        <w:widowControl/>
        <w:spacing w:before="156" w:beforeLines="50" w:after="156" w:afterLines="50" w:line="360" w:lineRule="auto"/>
        <w:outlineLvl w:val="3"/>
        <w:rPr>
          <w:rFonts w:ascii="宋体" w:hAnsi="宋体" w:cs="宋体"/>
          <w:b/>
          <w:color w:val="auto"/>
          <w:szCs w:val="21"/>
          <w:highlight w:val="none"/>
        </w:rPr>
      </w:pPr>
      <w:bookmarkStart w:id="1314" w:name="_Toc532375674"/>
      <w:bookmarkStart w:id="1315" w:name="_Toc532377413"/>
      <w:bookmarkStart w:id="1316" w:name="_Toc351203620"/>
      <w:bookmarkStart w:id="1317" w:name="_Toc296503140"/>
      <w:bookmarkStart w:id="1318" w:name="_Toc337558835"/>
      <w:bookmarkStart w:id="1319" w:name="_Toc296346641"/>
      <w:r>
        <w:rPr>
          <w:rFonts w:hint="eastAsia" w:ascii="宋体" w:hAnsi="宋体" w:cs="宋体"/>
          <w:b/>
          <w:bCs/>
          <w:color w:val="auto"/>
          <w:szCs w:val="21"/>
          <w:highlight w:val="none"/>
        </w:rPr>
        <w:t>19. 索赔</w:t>
      </w:r>
      <w:bookmarkEnd w:id="1314"/>
      <w:bookmarkEnd w:id="1315"/>
      <w:bookmarkEnd w:id="1316"/>
    </w:p>
    <w:bookmarkEnd w:id="1317"/>
    <w:bookmarkEnd w:id="1318"/>
    <w:bookmarkEnd w:id="1319"/>
    <w:p w14:paraId="101A2C6E">
      <w:pPr>
        <w:widowControl/>
        <w:spacing w:line="360" w:lineRule="auto"/>
        <w:ind w:firstLine="422" w:firstLineChars="200"/>
        <w:jc w:val="left"/>
        <w:outlineLvl w:val="4"/>
        <w:rPr>
          <w:rFonts w:ascii="宋体" w:hAnsi="宋体" w:cs="宋体"/>
          <w:b/>
          <w:bCs/>
          <w:color w:val="auto"/>
          <w:kern w:val="0"/>
          <w:szCs w:val="21"/>
          <w:highlight w:val="none"/>
        </w:rPr>
      </w:pPr>
      <w:bookmarkStart w:id="1320" w:name="_Toc532377414"/>
      <w:bookmarkStart w:id="1321" w:name="_Toc532375675"/>
      <w:bookmarkStart w:id="1322" w:name="_Toc296346642"/>
      <w:bookmarkStart w:id="1323" w:name="_Toc337558836"/>
      <w:bookmarkStart w:id="1324" w:name="_Toc351203621"/>
      <w:bookmarkStart w:id="1325" w:name="_Toc296503141"/>
      <w:r>
        <w:rPr>
          <w:rFonts w:hint="eastAsia" w:ascii="宋体" w:hAnsi="宋体" w:cs="宋体"/>
          <w:b/>
          <w:bCs/>
          <w:color w:val="auto"/>
          <w:kern w:val="0"/>
          <w:szCs w:val="21"/>
          <w:highlight w:val="none"/>
        </w:rPr>
        <w:t>19.1 承包人的索赔</w:t>
      </w:r>
      <w:bookmarkEnd w:id="1320"/>
      <w:bookmarkEnd w:id="1321"/>
    </w:p>
    <w:p w14:paraId="6FC47F7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7E97500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421162F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090B0E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3EA5788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24A1B99F">
      <w:pPr>
        <w:widowControl/>
        <w:spacing w:line="360" w:lineRule="auto"/>
        <w:ind w:firstLine="422" w:firstLineChars="200"/>
        <w:jc w:val="left"/>
        <w:outlineLvl w:val="4"/>
        <w:rPr>
          <w:rFonts w:ascii="宋体" w:hAnsi="宋体" w:cs="宋体"/>
          <w:b/>
          <w:bCs/>
          <w:color w:val="auto"/>
          <w:kern w:val="0"/>
          <w:szCs w:val="21"/>
          <w:highlight w:val="none"/>
        </w:rPr>
      </w:pPr>
      <w:bookmarkStart w:id="1326" w:name="_Toc532377415"/>
      <w:bookmarkStart w:id="1327" w:name="_Toc532375676"/>
      <w:r>
        <w:rPr>
          <w:rFonts w:hint="eastAsia" w:ascii="宋体" w:hAnsi="宋体" w:cs="宋体"/>
          <w:b/>
          <w:bCs/>
          <w:color w:val="auto"/>
          <w:kern w:val="0"/>
          <w:szCs w:val="21"/>
          <w:highlight w:val="none"/>
        </w:rPr>
        <w:t>19.2 对承包人索赔的处理</w:t>
      </w:r>
      <w:bookmarkEnd w:id="1326"/>
      <w:bookmarkEnd w:id="1327"/>
    </w:p>
    <w:p w14:paraId="753C8E8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49327890">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1F06059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77CCE26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2BF2F161">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50702073">
      <w:pPr>
        <w:widowControl/>
        <w:spacing w:line="360" w:lineRule="auto"/>
        <w:ind w:firstLine="422" w:firstLineChars="200"/>
        <w:jc w:val="left"/>
        <w:outlineLvl w:val="4"/>
        <w:rPr>
          <w:rFonts w:ascii="宋体" w:hAnsi="宋体" w:cs="宋体"/>
          <w:b/>
          <w:bCs/>
          <w:color w:val="auto"/>
          <w:kern w:val="0"/>
          <w:szCs w:val="21"/>
          <w:highlight w:val="none"/>
        </w:rPr>
      </w:pPr>
      <w:bookmarkStart w:id="1328" w:name="_Toc532377416"/>
      <w:bookmarkStart w:id="1329" w:name="_Toc532375677"/>
      <w:r>
        <w:rPr>
          <w:rFonts w:hint="eastAsia" w:ascii="宋体" w:hAnsi="宋体" w:cs="宋体"/>
          <w:b/>
          <w:bCs/>
          <w:color w:val="auto"/>
          <w:kern w:val="0"/>
          <w:szCs w:val="21"/>
          <w:highlight w:val="none"/>
        </w:rPr>
        <w:t>19.3发包人的索赔</w:t>
      </w:r>
      <w:bookmarkEnd w:id="1328"/>
      <w:bookmarkEnd w:id="1329"/>
    </w:p>
    <w:p w14:paraId="44B5474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0C575AF2">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330" w:name="_Hlk528652769"/>
      <w:r>
        <w:rPr>
          <w:rFonts w:hint="eastAsia" w:ascii="宋体" w:hAnsi="宋体"/>
          <w:color w:val="auto"/>
          <w:szCs w:val="21"/>
          <w:highlight w:val="none"/>
        </w:rPr>
        <w:t>通过监理人向承包人正式递交最终索赔报告</w:t>
      </w:r>
      <w:bookmarkEnd w:id="1330"/>
      <w:r>
        <w:rPr>
          <w:rFonts w:hint="eastAsia" w:ascii="宋体" w:hAnsi="宋体"/>
          <w:color w:val="auto"/>
          <w:szCs w:val="21"/>
          <w:highlight w:val="none"/>
        </w:rPr>
        <w:t>。</w:t>
      </w:r>
    </w:p>
    <w:p w14:paraId="49A5ECAC">
      <w:pPr>
        <w:widowControl/>
        <w:spacing w:line="360" w:lineRule="auto"/>
        <w:ind w:firstLine="422" w:firstLineChars="200"/>
        <w:jc w:val="left"/>
        <w:outlineLvl w:val="4"/>
        <w:rPr>
          <w:rFonts w:ascii="宋体" w:hAnsi="宋体" w:cs="宋体"/>
          <w:b/>
          <w:bCs/>
          <w:color w:val="auto"/>
          <w:kern w:val="0"/>
          <w:szCs w:val="21"/>
          <w:highlight w:val="none"/>
        </w:rPr>
      </w:pPr>
      <w:bookmarkStart w:id="1331" w:name="_Toc532375678"/>
      <w:bookmarkStart w:id="1332" w:name="_Toc532377417"/>
      <w:r>
        <w:rPr>
          <w:rFonts w:hint="eastAsia" w:ascii="宋体" w:hAnsi="宋体" w:cs="宋体"/>
          <w:b/>
          <w:bCs/>
          <w:color w:val="auto"/>
          <w:kern w:val="0"/>
          <w:szCs w:val="21"/>
          <w:highlight w:val="none"/>
        </w:rPr>
        <w:t>19.4 对发包人索赔的处理</w:t>
      </w:r>
      <w:bookmarkEnd w:id="1331"/>
      <w:bookmarkEnd w:id="1332"/>
    </w:p>
    <w:p w14:paraId="39C73C04">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3A34A241">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4EEF0BF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EEE934F">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7B77163C">
      <w:pPr>
        <w:widowControl/>
        <w:spacing w:line="360" w:lineRule="auto"/>
        <w:ind w:firstLine="422" w:firstLineChars="200"/>
        <w:jc w:val="left"/>
        <w:outlineLvl w:val="4"/>
        <w:rPr>
          <w:rFonts w:ascii="宋体" w:hAnsi="宋体" w:cs="宋体"/>
          <w:b/>
          <w:bCs/>
          <w:color w:val="auto"/>
          <w:kern w:val="0"/>
          <w:szCs w:val="21"/>
          <w:highlight w:val="none"/>
        </w:rPr>
      </w:pPr>
      <w:bookmarkStart w:id="1333" w:name="_Toc532377418"/>
      <w:bookmarkStart w:id="1334" w:name="_Toc532375679"/>
      <w:bookmarkStart w:id="1335" w:name="_Hlk528928420"/>
      <w:r>
        <w:rPr>
          <w:rFonts w:hint="eastAsia" w:ascii="宋体" w:hAnsi="宋体" w:cs="宋体"/>
          <w:b/>
          <w:bCs/>
          <w:color w:val="auto"/>
          <w:kern w:val="0"/>
          <w:szCs w:val="21"/>
          <w:highlight w:val="none"/>
        </w:rPr>
        <w:t>19.5 提出索赔的期限</w:t>
      </w:r>
      <w:bookmarkEnd w:id="1333"/>
      <w:bookmarkEnd w:id="1334"/>
    </w:p>
    <w:p w14:paraId="4F65E56C">
      <w:pPr>
        <w:autoSpaceDE w:val="0"/>
        <w:autoSpaceDN w:val="0"/>
        <w:spacing w:line="360" w:lineRule="auto"/>
        <w:ind w:right="105" w:rightChars="50" w:firstLine="420" w:firstLineChars="200"/>
        <w:jc w:val="left"/>
        <w:rPr>
          <w:rFonts w:ascii="宋体" w:hAnsi="宋体"/>
          <w:color w:val="auto"/>
          <w:szCs w:val="21"/>
          <w:highlight w:val="none"/>
        </w:rPr>
      </w:pPr>
      <w:bookmarkStart w:id="1336"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322"/>
    <w:bookmarkEnd w:id="1323"/>
    <w:bookmarkEnd w:id="1324"/>
    <w:bookmarkEnd w:id="1325"/>
    <w:bookmarkEnd w:id="1335"/>
    <w:bookmarkEnd w:id="1336"/>
    <w:p w14:paraId="6618D6B2">
      <w:pPr>
        <w:keepNext/>
        <w:keepLines/>
        <w:widowControl/>
        <w:spacing w:before="156" w:beforeLines="50" w:after="156" w:afterLines="50" w:line="360" w:lineRule="auto"/>
        <w:outlineLvl w:val="3"/>
        <w:rPr>
          <w:rFonts w:ascii="宋体" w:hAnsi="宋体" w:cs="宋体"/>
          <w:b/>
          <w:color w:val="auto"/>
          <w:szCs w:val="21"/>
          <w:highlight w:val="none"/>
        </w:rPr>
      </w:pPr>
      <w:bookmarkStart w:id="1337" w:name="_Toc532375680"/>
      <w:bookmarkStart w:id="1338" w:name="_Toc351203651"/>
      <w:bookmarkStart w:id="1339" w:name="_Toc532377419"/>
      <w:r>
        <w:rPr>
          <w:rFonts w:hint="eastAsia" w:ascii="宋体" w:hAnsi="宋体" w:cs="宋体"/>
          <w:b/>
          <w:bCs/>
          <w:color w:val="auto"/>
          <w:szCs w:val="21"/>
          <w:highlight w:val="none"/>
        </w:rPr>
        <w:t>20. 争议解决</w:t>
      </w:r>
      <w:bookmarkEnd w:id="1337"/>
      <w:bookmarkEnd w:id="1338"/>
      <w:bookmarkEnd w:id="1339"/>
    </w:p>
    <w:p w14:paraId="7246E497">
      <w:pPr>
        <w:widowControl/>
        <w:spacing w:line="360" w:lineRule="auto"/>
        <w:ind w:firstLine="422" w:firstLineChars="200"/>
        <w:jc w:val="left"/>
        <w:outlineLvl w:val="4"/>
        <w:rPr>
          <w:rFonts w:ascii="宋体" w:hAnsi="宋体" w:cs="宋体"/>
          <w:b/>
          <w:bCs/>
          <w:color w:val="auto"/>
          <w:kern w:val="0"/>
          <w:szCs w:val="21"/>
          <w:highlight w:val="none"/>
        </w:rPr>
      </w:pPr>
      <w:bookmarkStart w:id="1340" w:name="_Toc532375681"/>
      <w:bookmarkStart w:id="1341" w:name="_Toc532377420"/>
      <w:r>
        <w:rPr>
          <w:rFonts w:hint="eastAsia" w:ascii="宋体" w:hAnsi="宋体" w:cs="宋体"/>
          <w:b/>
          <w:bCs/>
          <w:color w:val="auto"/>
          <w:kern w:val="0"/>
          <w:szCs w:val="21"/>
          <w:highlight w:val="none"/>
        </w:rPr>
        <w:t>20.3 争议评审</w:t>
      </w:r>
      <w:bookmarkEnd w:id="1340"/>
      <w:bookmarkEnd w:id="1341"/>
    </w:p>
    <w:p w14:paraId="3AECEE6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否      </w:t>
      </w:r>
      <w:r>
        <w:rPr>
          <w:rFonts w:hint="eastAsia" w:ascii="宋体" w:hAnsi="宋体"/>
          <w:color w:val="auto"/>
          <w:szCs w:val="21"/>
          <w:highlight w:val="none"/>
        </w:rPr>
        <w:t>。</w:t>
      </w:r>
    </w:p>
    <w:p w14:paraId="41623FA7">
      <w:pPr>
        <w:widowControl/>
        <w:spacing w:line="360" w:lineRule="auto"/>
        <w:ind w:firstLine="422" w:firstLineChars="200"/>
        <w:jc w:val="left"/>
        <w:outlineLvl w:val="4"/>
        <w:rPr>
          <w:rFonts w:ascii="宋体" w:hAnsi="宋体" w:cs="宋体"/>
          <w:b/>
          <w:bCs/>
          <w:color w:val="auto"/>
          <w:kern w:val="0"/>
          <w:szCs w:val="21"/>
          <w:highlight w:val="none"/>
        </w:rPr>
      </w:pPr>
      <w:bookmarkStart w:id="1342" w:name="_Toc532375682"/>
      <w:bookmarkStart w:id="1343" w:name="_Toc532377421"/>
      <w:r>
        <w:rPr>
          <w:rFonts w:hint="eastAsia" w:ascii="宋体" w:hAnsi="宋体" w:cs="宋体"/>
          <w:b/>
          <w:bCs/>
          <w:color w:val="auto"/>
          <w:kern w:val="0"/>
          <w:szCs w:val="21"/>
          <w:highlight w:val="none"/>
        </w:rPr>
        <w:t>20.4 仲裁或诉讼</w:t>
      </w:r>
      <w:bookmarkEnd w:id="1342"/>
      <w:bookmarkEnd w:id="1343"/>
    </w:p>
    <w:p w14:paraId="6198AF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w:t>
      </w:r>
    </w:p>
    <w:p w14:paraId="4CE530C1">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54C89DFA">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rPr>
        <w:t>工程所在地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14:paraId="2E87BD93">
      <w:pPr>
        <w:keepNext/>
        <w:keepLines/>
        <w:widowControl/>
        <w:spacing w:before="156" w:beforeLines="50" w:after="156" w:afterLines="50" w:line="360" w:lineRule="auto"/>
        <w:outlineLvl w:val="3"/>
        <w:rPr>
          <w:rFonts w:ascii="宋体" w:hAnsi="宋体" w:cs="宋体"/>
          <w:b/>
          <w:color w:val="auto"/>
          <w:szCs w:val="21"/>
          <w:highlight w:val="none"/>
        </w:rPr>
      </w:pPr>
      <w:bookmarkStart w:id="1344" w:name="_Toc532377422"/>
      <w:bookmarkStart w:id="1345" w:name="_Toc532375683"/>
      <w:r>
        <w:rPr>
          <w:rFonts w:hint="eastAsia" w:ascii="宋体" w:hAnsi="宋体" w:cs="宋体"/>
          <w:b/>
          <w:bCs/>
          <w:color w:val="auto"/>
          <w:szCs w:val="21"/>
          <w:highlight w:val="none"/>
        </w:rPr>
        <w:t>21. 补充条款</w:t>
      </w:r>
      <w:bookmarkEnd w:id="1344"/>
      <w:bookmarkEnd w:id="1345"/>
    </w:p>
    <w:p w14:paraId="0C040BA9">
      <w:pPr>
        <w:widowControl/>
        <w:spacing w:line="360" w:lineRule="auto"/>
        <w:ind w:firstLine="422" w:firstLineChars="200"/>
        <w:jc w:val="left"/>
        <w:outlineLvl w:val="4"/>
        <w:rPr>
          <w:rFonts w:ascii="宋体" w:hAnsi="宋体" w:cs="宋体"/>
          <w:b/>
          <w:bCs/>
          <w:color w:val="auto"/>
          <w:kern w:val="0"/>
          <w:szCs w:val="21"/>
          <w:highlight w:val="none"/>
        </w:rPr>
      </w:pPr>
      <w:bookmarkStart w:id="1346" w:name="_Toc532375684"/>
      <w:bookmarkStart w:id="1347" w:name="_Toc532377423"/>
      <w:r>
        <w:rPr>
          <w:rFonts w:hint="eastAsia" w:ascii="宋体" w:hAnsi="宋体" w:cs="宋体"/>
          <w:b/>
          <w:bCs/>
          <w:color w:val="auto"/>
          <w:kern w:val="0"/>
          <w:szCs w:val="21"/>
          <w:highlight w:val="none"/>
        </w:rPr>
        <w:t>21.1 退出机制</w:t>
      </w:r>
      <w:bookmarkEnd w:id="1346"/>
      <w:bookmarkEnd w:id="1347"/>
    </w:p>
    <w:p w14:paraId="4A406A3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59B7E7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236FAFAE">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7146B50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因承包人原因造成两次人员伤亡的生产安全事故或工程质量事故的 </w:t>
      </w:r>
      <w:r>
        <w:rPr>
          <w:rFonts w:hint="eastAsia" w:ascii="宋体" w:hAnsi="宋体"/>
          <w:color w:val="auto"/>
          <w:kern w:val="0"/>
          <w:szCs w:val="21"/>
          <w:highlight w:val="none"/>
        </w:rPr>
        <w:t>。</w:t>
      </w:r>
    </w:p>
    <w:p w14:paraId="558D51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049716E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18B56892">
      <w:pPr>
        <w:widowControl/>
        <w:spacing w:line="360" w:lineRule="auto"/>
        <w:ind w:firstLine="422" w:firstLineChars="200"/>
        <w:jc w:val="left"/>
        <w:outlineLvl w:val="4"/>
        <w:rPr>
          <w:rFonts w:ascii="宋体" w:hAnsi="宋体" w:cs="宋体"/>
          <w:b/>
          <w:bCs/>
          <w:color w:val="auto"/>
          <w:kern w:val="0"/>
          <w:szCs w:val="21"/>
          <w:highlight w:val="none"/>
        </w:rPr>
      </w:pPr>
      <w:bookmarkStart w:id="1348" w:name="_Toc532377424"/>
      <w:bookmarkStart w:id="1349" w:name="_Toc532375685"/>
      <w:r>
        <w:rPr>
          <w:rFonts w:hint="eastAsia" w:ascii="宋体" w:hAnsi="宋体" w:cs="宋体"/>
          <w:b/>
          <w:bCs/>
          <w:color w:val="auto"/>
          <w:kern w:val="0"/>
          <w:szCs w:val="21"/>
          <w:highlight w:val="none"/>
        </w:rPr>
        <w:t>21.2智慧工地</w:t>
      </w:r>
      <w:bookmarkEnd w:id="1348"/>
      <w:bookmarkEnd w:id="1349"/>
    </w:p>
    <w:p w14:paraId="11A2DE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w:t>
      </w:r>
      <w:r>
        <w:rPr>
          <w:rFonts w:hint="eastAsia" w:ascii="宋体" w:hAnsi="宋体" w:eastAsia="宋体" w:cs="Times New Roman"/>
          <w:color w:val="auto"/>
          <w:szCs w:val="21"/>
          <w:highlight w:val="none"/>
          <w:lang w:eastAsia="zh-CN"/>
        </w:rPr>
        <w:t>、</w:t>
      </w:r>
      <w:r>
        <w:rPr>
          <w:rFonts w:hint="eastAsia" w:ascii="宋体" w:hAnsi="宋体" w:eastAsia="宋体" w:cs="Times New Roman"/>
          <w:i w:val="0"/>
          <w:iCs w:val="0"/>
          <w:caps w:val="0"/>
          <w:color w:val="auto"/>
          <w:spacing w:val="0"/>
          <w:sz w:val="21"/>
          <w:szCs w:val="21"/>
          <w:highlight w:val="none"/>
          <w:shd w:val="clear" w:color="auto" w:fill="auto"/>
        </w:rPr>
        <w:t>渝建管〔2020〕38号</w:t>
      </w:r>
      <w:r>
        <w:rPr>
          <w:rFonts w:hint="eastAsia" w:ascii="宋体" w:hAnsi="宋体"/>
          <w:color w:val="auto"/>
          <w:szCs w:val="21"/>
          <w:highlight w:val="none"/>
        </w:rPr>
        <w:t>的相关要求建设，此项费用已包含在合同价款中不另行计算。</w:t>
      </w:r>
      <w:bookmarkEnd w:id="1290"/>
    </w:p>
    <w:p w14:paraId="1707902D">
      <w:pPr>
        <w:widowControl/>
        <w:spacing w:line="360" w:lineRule="auto"/>
        <w:ind w:firstLine="422" w:firstLineChars="200"/>
        <w:jc w:val="left"/>
        <w:outlineLvl w:val="4"/>
        <w:rPr>
          <w:rFonts w:ascii="宋体" w:hAnsi="宋体" w:cs="宋体"/>
          <w:b/>
          <w:bCs/>
          <w:color w:val="auto"/>
          <w:kern w:val="0"/>
          <w:szCs w:val="21"/>
          <w:highlight w:val="none"/>
        </w:rPr>
      </w:pPr>
      <w:r>
        <w:rPr>
          <w:rFonts w:hint="eastAsia" w:ascii="宋体" w:hAnsi="宋体" w:cs="宋体"/>
          <w:b/>
          <w:bCs/>
          <w:color w:val="auto"/>
          <w:kern w:val="0"/>
          <w:szCs w:val="21"/>
          <w:highlight w:val="none"/>
        </w:rPr>
        <w:t>21.3其他补充条款</w:t>
      </w:r>
    </w:p>
    <w:p w14:paraId="2AF62A89">
      <w:pPr>
        <w:spacing w:line="360" w:lineRule="auto"/>
        <w:ind w:right="105" w:rightChars="50" w:firstLine="420" w:firstLineChars="200"/>
        <w:jc w:val="left"/>
        <w:rPr>
          <w:color w:val="auto"/>
          <w:szCs w:val="21"/>
          <w:highlight w:val="none"/>
        </w:rPr>
      </w:pPr>
      <w:r>
        <w:rPr>
          <w:color w:val="auto"/>
          <w:szCs w:val="21"/>
          <w:highlight w:val="none"/>
        </w:rPr>
        <w:t>21.3.</w:t>
      </w:r>
      <w:r>
        <w:rPr>
          <w:rFonts w:hint="eastAsia"/>
          <w:color w:val="auto"/>
          <w:szCs w:val="21"/>
          <w:highlight w:val="none"/>
        </w:rPr>
        <w:t>1农民工工资</w:t>
      </w:r>
    </w:p>
    <w:p w14:paraId="404ED9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 主管部门备案。</w:t>
      </w:r>
    </w:p>
    <w:p w14:paraId="3865472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必须严格按照《劳动法》、《建设领域农民工工资支付管理暂行办法》劳社部发[2004]22号和《最低工资规定》等有关规定支付农民工工资，不得拖欠或克扣。承包人在施工过程中，必须按发包人要求提供民工花名册（建议增加和材料供应商、设备提供的相关支付证明），并按月付清民工的人工工资，同时及时支付材料供应商的工程材料款和机械设备租赁费用，否则发包人有权停止向承包人支付工程款。承包人应将工资直接发放给农民工本人，严禁发放给“包工头”或其他不具备用工主体资格的组织和个人。企业可委托银行发放农民工工资。</w:t>
      </w:r>
    </w:p>
    <w:p w14:paraId="5F00BC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（3）承包人应将工资按月直接发放给农民工本人，否则将视为承包人拖欠或克扣农民工工资，发包人有权在承包人的工程进度款中扣除相当于农民工工资部分的金额，代承包人支付给农民工本人。</w:t>
      </w:r>
    </w:p>
    <w:p w14:paraId="2B07EE4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每季度末施工总承包单位向建设行政主管部门报送项目部农民工花名册及工资发放情况。企业支付农民工工资应编制工资支付表，如实记录支付单位、支付时间、支付对象、支付数额等工资支付情况，并保存两年以上备查。</w:t>
      </w:r>
    </w:p>
    <w:p w14:paraId="6835F45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承包人不得以任何理由为借口拖欠民工工资，若因承包人拖欠民工工资，导致民工集体上访、闹事（如拦马路等），干扰党政机关正常办公秩序及扰乱社会秩序等不良行为发生，造成较大不良社会影响，每发生一次，发包人惩扣承包人50000元/次 （人民币）的履约保证金，同时，每发生一次，除按上述规定给付违约金外，发包人可以把工程进度款支付的控制比例降低0.5%,以此类推，最低降至60%。</w:t>
      </w:r>
    </w:p>
    <w:p w14:paraId="427FCFBF">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21.3.2</w:t>
      </w:r>
      <w:r>
        <w:rPr>
          <w:rFonts w:hint="eastAsia" w:ascii="宋体" w:hAnsi="宋体"/>
          <w:color w:val="auto"/>
          <w:szCs w:val="21"/>
          <w:highlight w:val="none"/>
        </w:rPr>
        <w:t>承包人应该按照现行有关安全文明施工要求，《重庆市建设工程安全文明施工费计取及使用管理规定》（渝建管〔2024〕38号）规定创建规范的施工现场，包括施工现场内的围挡、地面硬化、施工场地相邻的施工道路的维修、排水，宣传工作和标准化的现场管理标牌，费用含在合同包干价内。在上级职能部门、行政主管部门，发包人及监理单位的每月例行的安全文明检查中，达不到《建筑施工安全检查标准》（JQJ59-2011）合格标准，每发生一次承包人应承担违约金2000元（人民币）。</w:t>
      </w:r>
    </w:p>
    <w:p w14:paraId="5232707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3</w:t>
      </w:r>
      <w:r>
        <w:rPr>
          <w:rFonts w:hint="eastAsia" w:ascii="宋体" w:hAnsi="宋体"/>
          <w:color w:val="auto"/>
          <w:szCs w:val="21"/>
          <w:highlight w:val="none"/>
        </w:rPr>
        <w:t>承包人不严格按照《建筑工程质量管理条例》、 《工程建设标准强制性条文》执行。在施工中违反《工程建设标准强制性条文》的有关规定或不按照设计图纸、审核批准的施工组织设计和施工方案及现行施工验收规范和施工操作规程施工，经发包人或监理发现，应及时通知承包人，除了承包人立即纠正整改外，每发生一次视情节轻重，承包人应承担违约金5000元（人民币）。</w:t>
      </w:r>
    </w:p>
    <w:p w14:paraId="510F727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4</w:t>
      </w:r>
      <w:r>
        <w:rPr>
          <w:rFonts w:hint="eastAsia" w:ascii="宋体" w:hAnsi="宋体"/>
          <w:color w:val="auto"/>
          <w:szCs w:val="21"/>
          <w:highlight w:val="none"/>
        </w:rPr>
        <w:t>承包人施工中要严格按照设计图纸施工，严格执行国家现行的规范、验收标准组织施工，严格把质量关。承包人对个工序施工质量自检后，经监理、发包人、或质检站复查，发现还有分项、分部工程未能达到符合本项目有关的施工验收规范的规定，每发生一次处罚承包人违约金2000元（人民币）。</w:t>
      </w:r>
    </w:p>
    <w:p w14:paraId="7C47649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5</w:t>
      </w:r>
      <w:r>
        <w:rPr>
          <w:rFonts w:hint="eastAsia" w:ascii="宋体" w:hAnsi="宋体"/>
          <w:color w:val="auto"/>
          <w:szCs w:val="21"/>
          <w:highlight w:val="none"/>
        </w:rPr>
        <w:t>现场安全文明施工经安检站依据《建筑施工安全检查标准》（JQJ59-2011）检查，每发生一项不达标提出要求整改的，每项处罚承包人违约金2000元。提出要求停工整改的，每发生一次，承包人应承担违约金5000元（人民币）。</w:t>
      </w:r>
    </w:p>
    <w:p w14:paraId="51283C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6</w:t>
      </w:r>
      <w:r>
        <w:rPr>
          <w:rFonts w:hint="eastAsia" w:ascii="宋体" w:hAnsi="宋体"/>
          <w:color w:val="auto"/>
          <w:szCs w:val="21"/>
          <w:highlight w:val="none"/>
        </w:rPr>
        <w:t>承包人必须在发包人批准的作业范围内组织施工作业，超越发包人批准的作业范围所造成的一切损失和责任由承包人自行承担，工期不顺延。</w:t>
      </w:r>
    </w:p>
    <w:p w14:paraId="382A58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21.3.7承包人的工程施工质量低劣，或因承包人原因造成较大及以上等级生产安全事故或工程质量事故，或在规定工期内没有完成全部工程，或因承包人发生债权债务纠纷或其他纠纷导致本工程无法正常施工，或因承包人原因造成两次人员伤亡的生产安全事故或工程质量事故，发包人有权无条件解除与承包人签订的工程承包合同。承包人从收到发包人发出的解除工程承包合同通知书和撤离施工现场书面通知书之日起7 日内，必须无条件撤离施工现场，并自行承担撤离施工现场所引起的一切费用，对承包人所缴纳的履约保证金不予退还。</w:t>
      </w:r>
    </w:p>
    <w:p w14:paraId="76E7F39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21.3.8上一工序或上阶段工程必须经有关部门验收合格后方可进入下道工序或下阶段工程施工。未经验收便进入下道工序或下阶段工程施工，未造成质量安全问题的，每次支付违约金20000元（人民币），造成质量安全问题每次支付违约金100000元（人民币），累计达三次以上，按履约保证金的10%向发包人支付违约金。</w:t>
      </w:r>
    </w:p>
    <w:p w14:paraId="740B641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21.3.9 工程质量约定为一次性通过竣工验收，若未能一次性通过，则承包人对发包人承担50万元的违约金；若本工程获得鲁班奖的，发包人给承包人50万元奖励。</w:t>
      </w:r>
    </w:p>
    <w:p w14:paraId="2FCB4C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21.3.10投标人投标文件出现前后不一致的情况，如评标时未发现，在中标后发包人有权进行清标，按最有利于发包人的方式进行修正。</w:t>
      </w:r>
    </w:p>
    <w:p w14:paraId="189AA7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21.3.11本项目施工图和红线范围内发生的变更，承包人不得以任何理由拒绝实施。否则在履约保证金或进度款中等额扣除相应变更费用。</w:t>
      </w:r>
    </w:p>
    <w:p w14:paraId="3EE22CC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21.3.12发包人不定期对承包人工程进行抽查，承包人应无任何理由按要求向发包人提供承包人项目的人工费、材料款支付的相关凭证，并提供查询。同时，发包人不以此费用的支付金额作为后期结算的依据。</w:t>
      </w:r>
    </w:p>
    <w:p w14:paraId="1CEBD37F">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 xml:space="preserve">21.3.13 </w:t>
      </w:r>
      <w:r>
        <w:rPr>
          <w:rFonts w:hint="eastAsia" w:ascii="宋体" w:hAnsi="宋体"/>
          <w:color w:val="auto"/>
          <w:szCs w:val="21"/>
          <w:highlight w:val="none"/>
        </w:rPr>
        <w:t>根据违约的轻重，约定承包人的违约行为和责任如下：</w:t>
      </w:r>
    </w:p>
    <w:p w14:paraId="689ACBE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（1）工作纪律及职责：按发包人认可的管理制度执行，执行结果由发包人验收。</w:t>
      </w:r>
    </w:p>
    <w:p w14:paraId="6BB9E17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（2）通报/督办类</w:t>
      </w:r>
    </w:p>
    <w:p w14:paraId="338FAA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做好项目的管理工作，若因质量、安全、环保等问题被区级及以上部门通报批评或督查，承担相应的管理责任和法律责任并承担给发包人造成的损失。若出现国家级通报批评或督查，发包人有权解除本合同。</w:t>
      </w:r>
    </w:p>
    <w:p w14:paraId="671C2D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（3）不利舆论类</w:t>
      </w:r>
    </w:p>
    <w:p w14:paraId="610F4A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承包人原因被大众网络、微博、博客、报刊等媒体报道产生负面影响，承包人应积极消除不良影响。若承包人不主动或不配合全咨人消除不良影响的一次支付违约金20000元。不主动或不配合全咨人消除不良影响行为出现3次（含本数），发包人有权解除本合同。</w:t>
      </w:r>
    </w:p>
    <w:p w14:paraId="0A30E3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（4）其他</w:t>
      </w:r>
    </w:p>
    <w:p w14:paraId="0593C7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若发包人发现并有充分的证据证明承包人不能履行合同的义务和职责，或未能完成合同中规定的工作内容的，或者工作达不到合同规定的标准，发包人有权没收其提交的履约保证金，尚未支付的款项发包人有权不予支付，造成损失的承包人应承担相应的赔偿责任。</w:t>
      </w:r>
    </w:p>
    <w:p w14:paraId="37DFFAB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本合同未包含的违约事项，由双方按照现行法律法规等协商处理。</w:t>
      </w:r>
    </w:p>
    <w:p w14:paraId="0E80AE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3.1</w:t>
      </w:r>
      <w:r>
        <w:rPr>
          <w:rFonts w:hint="eastAsia" w:ascii="宋体" w:hAnsi="宋体"/>
          <w:color w:val="auto"/>
          <w:szCs w:val="21"/>
          <w:highlight w:val="none"/>
        </w:rPr>
        <w:t>4发包人如需剥离如分布式能源、充电桩、变配电等能采用招商引资、融资租赁或社会资金自行投入实施的项目或暂列金额相关项目，承包人应积极配合，不得以工程项目和工程量减少等因素提出索赔。</w:t>
      </w:r>
    </w:p>
    <w:p w14:paraId="642719C2">
      <w:pPr>
        <w:spacing w:line="360" w:lineRule="auto"/>
        <w:ind w:right="105" w:rightChars="50" w:firstLine="420" w:firstLineChars="200"/>
        <w:jc w:val="left"/>
        <w:rPr>
          <w:rFonts w:hint="eastAsia" w:ascii="宋体" w:hAnsi="宋体"/>
          <w:color w:val="auto"/>
          <w:szCs w:val="21"/>
          <w:highlight w:val="none"/>
        </w:rPr>
      </w:pPr>
      <w:r>
        <w:rPr>
          <w:rFonts w:ascii="宋体" w:hAnsi="宋体"/>
          <w:color w:val="auto"/>
          <w:szCs w:val="21"/>
          <w:highlight w:val="none"/>
        </w:rPr>
        <w:t>21.3.1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双方一致确认下列通讯地址及联系方式为各方履行合同义务、解决合同争议时用于接收文件信函或司法机关（法院、仲裁机构）法律文书的唯一送达地址及联系方式：</w:t>
      </w:r>
    </w:p>
    <w:p w14:paraId="0C87639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发包人</w:t>
      </w:r>
      <w:r>
        <w:rPr>
          <w:rFonts w:hint="eastAsia" w:ascii="宋体" w:hAnsi="宋体"/>
          <w:color w:val="auto"/>
          <w:szCs w:val="21"/>
          <w:highlight w:val="none"/>
        </w:rPr>
        <w:t>通讯地址：        ，收件人      ，联系电话：   。</w:t>
      </w:r>
    </w:p>
    <w:p w14:paraId="330109D2">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承包人</w:t>
      </w:r>
      <w:r>
        <w:rPr>
          <w:rFonts w:hint="eastAsia" w:ascii="宋体" w:hAnsi="宋体"/>
          <w:color w:val="auto"/>
          <w:szCs w:val="21"/>
          <w:highlight w:val="none"/>
        </w:rPr>
        <w:t>通讯地址：        ，收件人：    ，联系电话：    。</w:t>
      </w:r>
    </w:p>
    <w:p w14:paraId="4B901992">
      <w:pPr>
        <w:spacing w:line="360" w:lineRule="auto"/>
        <w:ind w:right="105" w:rightChars="50"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双方一致确认按照上述地址送达相关文件的，自寄出三日后即视为已签收；送达文书被拒收或者退回的，均视为送达。任何一方如需变更上述送达地址的，应在变更后三个工作日内以书面形式将变更后的送达地址及联系方式以书面形式通知对方；未按前述约定方式变更的，上述送达地址及联系方式仍视为有效。在因本合同及本合同相关事宜发生诉讼/仲裁的情形下，上述约定的各方通信地址，同时作为各方的诉讼/仲裁文书送达地址，该通信地址用于接收诉讼/仲裁文书（包括但不限于传票、判决书、裁决书等法律文书）。法院/仲裁机构按该地址送达的，视为当事人签收，受送达人拒收或无人签收，不影响送达的效力</w:t>
      </w:r>
      <w:r>
        <w:rPr>
          <w:rFonts w:hint="eastAsia" w:ascii="宋体" w:hAnsi="宋体"/>
          <w:color w:val="auto"/>
          <w:szCs w:val="21"/>
          <w:highlight w:val="none"/>
          <w:lang w:eastAsia="zh-CN"/>
        </w:rPr>
        <w:t>。</w:t>
      </w:r>
    </w:p>
    <w:p w14:paraId="3E695D19">
      <w:pPr>
        <w:spacing w:line="360" w:lineRule="auto"/>
        <w:ind w:right="105" w:rightChars="50"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若通讯地址为空白，则以国家企业信用信息公示系统查询住所作为通讯地址。</w:t>
      </w:r>
    </w:p>
    <w:p w14:paraId="1948EDA1">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21.3.16本合同履行过程中，在承包人无违约的情形下，发包人有权单方随时解除本合同且不承担任何违约责任，双方按照发包人通知解除之日的工程现状进行移交并按照合格部分进行结算，双方确认结算金额且发包人收到承包人开具的等额增值税专用发票后的60个工作日内支付款项，未结算或未收到发票，发包人有权拒绝付款，一切责任由承包人承担。</w:t>
      </w:r>
    </w:p>
    <w:p w14:paraId="1FE990BD">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21.3.1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 发包人对承包人的BIM实施要求（此项技术费用已包含在合同价款中，不单独计算）：</w:t>
      </w:r>
    </w:p>
    <w:tbl>
      <w:tblPr>
        <w:tblStyle w:val="47"/>
        <w:tblW w:w="847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Layout w:type="fixed"/>
        <w:tblCellMar>
          <w:top w:w="0" w:type="dxa"/>
          <w:left w:w="108" w:type="dxa"/>
          <w:bottom w:w="0" w:type="dxa"/>
          <w:right w:w="108" w:type="dxa"/>
        </w:tblCellMar>
      </w:tblPr>
      <w:tblGrid>
        <w:gridCol w:w="972"/>
        <w:gridCol w:w="1621"/>
        <w:gridCol w:w="5883"/>
      </w:tblGrid>
      <w:tr w14:paraId="3B3159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592" w:hRule="atLeast"/>
          <w:jc w:val="center"/>
        </w:trPr>
        <w:tc>
          <w:tcPr>
            <w:tcW w:w="972" w:type="dxa"/>
            <w:tcBorders>
              <w:top w:val="single" w:color="auto" w:sz="4" w:space="0"/>
              <w:left w:val="single" w:color="auto" w:sz="4" w:space="0"/>
              <w:bottom w:val="single" w:color="auto" w:sz="4" w:space="0"/>
              <w:right w:val="nil"/>
            </w:tcBorders>
            <w:shd w:val="clear" w:color="auto" w:fill="FFFFFF"/>
            <w:noWrap w:val="0"/>
            <w:vAlign w:val="center"/>
          </w:tcPr>
          <w:p w14:paraId="3A065C37">
            <w:pPr>
              <w:spacing w:line="20" w:lineRule="atLeast"/>
              <w:rPr>
                <w:rFonts w:ascii="宋体" w:hAnsi="宋体" w:cs="宋体"/>
                <w:color w:val="auto"/>
                <w:sz w:val="18"/>
                <w:szCs w:val="18"/>
                <w:highlight w:val="none"/>
              </w:rPr>
            </w:pPr>
            <w:r>
              <w:rPr>
                <w:rFonts w:hint="eastAsia" w:ascii="宋体" w:hAnsi="宋体" w:cs="宋体"/>
                <w:b/>
                <w:bCs/>
                <w:color w:val="auto"/>
                <w:sz w:val="18"/>
                <w:szCs w:val="18"/>
                <w:highlight w:val="none"/>
              </w:rPr>
              <w:t>序号</w:t>
            </w:r>
          </w:p>
        </w:tc>
        <w:tc>
          <w:tcPr>
            <w:tcW w:w="1621" w:type="dxa"/>
            <w:tcBorders>
              <w:top w:val="single" w:color="auto" w:sz="4" w:space="0"/>
              <w:left w:val="single" w:color="auto" w:sz="4" w:space="0"/>
              <w:bottom w:val="single" w:color="auto" w:sz="4" w:space="0"/>
              <w:right w:val="nil"/>
            </w:tcBorders>
            <w:shd w:val="clear" w:color="auto" w:fill="FFFFFF"/>
            <w:noWrap w:val="0"/>
            <w:vAlign w:val="center"/>
          </w:tcPr>
          <w:p w14:paraId="7C275347">
            <w:pPr>
              <w:spacing w:line="20" w:lineRule="atLeast"/>
              <w:rPr>
                <w:rFonts w:ascii="宋体" w:hAnsi="宋体" w:cs="宋体"/>
                <w:color w:val="auto"/>
                <w:sz w:val="18"/>
                <w:szCs w:val="18"/>
                <w:highlight w:val="none"/>
              </w:rPr>
            </w:pPr>
            <w:r>
              <w:rPr>
                <w:rFonts w:hint="eastAsia" w:ascii="宋体" w:hAnsi="宋体" w:cs="宋体"/>
                <w:b/>
                <w:bCs/>
                <w:color w:val="auto"/>
                <w:sz w:val="18"/>
                <w:szCs w:val="18"/>
                <w:highlight w:val="none"/>
              </w:rPr>
              <w:t>工作内容</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891244">
            <w:pPr>
              <w:spacing w:line="20" w:lineRule="atLeast"/>
              <w:ind w:firstLine="361" w:firstLineChars="200"/>
              <w:jc w:val="center"/>
              <w:rPr>
                <w:rFonts w:ascii="宋体" w:hAnsi="宋体" w:cs="宋体"/>
                <w:color w:val="auto"/>
                <w:sz w:val="18"/>
                <w:szCs w:val="18"/>
                <w:highlight w:val="none"/>
              </w:rPr>
            </w:pPr>
            <w:r>
              <w:rPr>
                <w:rFonts w:hint="eastAsia" w:ascii="宋体" w:hAnsi="宋体" w:cs="宋体"/>
                <w:b/>
                <w:bCs/>
                <w:color w:val="auto"/>
                <w:sz w:val="18"/>
                <w:szCs w:val="18"/>
                <w:highlight w:val="none"/>
              </w:rPr>
              <w:t>工作要求</w:t>
            </w:r>
          </w:p>
        </w:tc>
      </w:tr>
      <w:tr w14:paraId="0526EE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A048A4">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20FA4A">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B</w:t>
            </w:r>
            <w:r>
              <w:rPr>
                <w:rFonts w:ascii="宋体" w:hAnsi="宋体" w:cs="宋体"/>
                <w:color w:val="auto"/>
                <w:sz w:val="18"/>
                <w:szCs w:val="18"/>
                <w:highlight w:val="none"/>
              </w:rPr>
              <w:t>IM</w:t>
            </w:r>
            <w:r>
              <w:rPr>
                <w:rFonts w:hint="eastAsia" w:ascii="宋体" w:hAnsi="宋体" w:cs="宋体"/>
                <w:color w:val="auto"/>
                <w:sz w:val="18"/>
                <w:szCs w:val="18"/>
                <w:highlight w:val="none"/>
              </w:rPr>
              <w:t>实施方案</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F73463">
            <w:pPr>
              <w:spacing w:line="20" w:lineRule="atLeast"/>
              <w:rPr>
                <w:rFonts w:ascii="宋体" w:hAnsi="宋体"/>
                <w:color w:val="auto"/>
                <w:sz w:val="18"/>
                <w:szCs w:val="18"/>
                <w:highlight w:val="none"/>
              </w:rPr>
            </w:pPr>
            <w:r>
              <w:rPr>
                <w:rFonts w:hint="eastAsia" w:ascii="宋体" w:hAnsi="宋体"/>
                <w:color w:val="auto"/>
                <w:sz w:val="18"/>
                <w:szCs w:val="18"/>
                <w:highlight w:val="none"/>
              </w:rPr>
              <w:t>（1）明确人员组织架构。</w:t>
            </w:r>
          </w:p>
          <w:p w14:paraId="0A555560">
            <w:pPr>
              <w:spacing w:line="20" w:lineRule="atLeast"/>
              <w:rPr>
                <w:rFonts w:ascii="宋体" w:hAnsi="宋体"/>
                <w:color w:val="auto"/>
                <w:sz w:val="18"/>
                <w:szCs w:val="18"/>
                <w:highlight w:val="none"/>
              </w:rPr>
            </w:pPr>
            <w:r>
              <w:rPr>
                <w:rFonts w:hint="eastAsia" w:ascii="宋体" w:hAnsi="宋体"/>
                <w:color w:val="auto"/>
                <w:sz w:val="18"/>
                <w:szCs w:val="18"/>
                <w:highlight w:val="none"/>
              </w:rPr>
              <w:t>（2）梳理B</w:t>
            </w:r>
            <w:r>
              <w:rPr>
                <w:rFonts w:ascii="宋体" w:hAnsi="宋体"/>
                <w:color w:val="auto"/>
                <w:sz w:val="18"/>
                <w:szCs w:val="18"/>
                <w:highlight w:val="none"/>
              </w:rPr>
              <w:t>IM</w:t>
            </w:r>
            <w:r>
              <w:rPr>
                <w:rFonts w:hint="eastAsia" w:ascii="宋体" w:hAnsi="宋体"/>
                <w:color w:val="auto"/>
                <w:sz w:val="18"/>
                <w:szCs w:val="18"/>
                <w:highlight w:val="none"/>
              </w:rPr>
              <w:t>工作流程。</w:t>
            </w:r>
          </w:p>
          <w:p w14:paraId="555286C1">
            <w:pPr>
              <w:spacing w:line="20" w:lineRule="atLeast"/>
              <w:rPr>
                <w:rFonts w:ascii="宋体" w:hAnsi="宋体"/>
                <w:color w:val="auto"/>
                <w:sz w:val="18"/>
                <w:szCs w:val="18"/>
                <w:highlight w:val="none"/>
              </w:rPr>
            </w:pPr>
            <w:r>
              <w:rPr>
                <w:rFonts w:hint="eastAsia" w:ascii="宋体" w:hAnsi="宋体"/>
                <w:color w:val="auto"/>
                <w:sz w:val="18"/>
                <w:szCs w:val="18"/>
                <w:highlight w:val="none"/>
              </w:rPr>
              <w:t>（3）明确岗位职责划分。</w:t>
            </w:r>
          </w:p>
          <w:p w14:paraId="51023F39">
            <w:pPr>
              <w:spacing w:line="20" w:lineRule="atLeast"/>
              <w:rPr>
                <w:rFonts w:ascii="宋体" w:hAnsi="宋体"/>
                <w:color w:val="auto"/>
                <w:sz w:val="18"/>
                <w:szCs w:val="18"/>
                <w:highlight w:val="none"/>
              </w:rPr>
            </w:pPr>
            <w:r>
              <w:rPr>
                <w:rFonts w:hint="eastAsia" w:ascii="宋体" w:hAnsi="宋体"/>
                <w:color w:val="auto"/>
                <w:sz w:val="18"/>
                <w:szCs w:val="18"/>
                <w:highlight w:val="none"/>
              </w:rPr>
              <w:t>（4）确定B</w:t>
            </w:r>
            <w:r>
              <w:rPr>
                <w:rFonts w:ascii="宋体" w:hAnsi="宋体"/>
                <w:color w:val="auto"/>
                <w:sz w:val="18"/>
                <w:szCs w:val="18"/>
                <w:highlight w:val="none"/>
              </w:rPr>
              <w:t>IM</w:t>
            </w:r>
            <w:r>
              <w:rPr>
                <w:rFonts w:hint="eastAsia" w:ascii="宋体" w:hAnsi="宋体"/>
                <w:color w:val="auto"/>
                <w:sz w:val="18"/>
                <w:szCs w:val="18"/>
                <w:highlight w:val="none"/>
              </w:rPr>
              <w:t>工作内容及工作进度计划。</w:t>
            </w:r>
          </w:p>
          <w:p w14:paraId="7083671B">
            <w:pPr>
              <w:spacing w:line="20" w:lineRule="atLeast"/>
              <w:rPr>
                <w:rFonts w:ascii="宋体" w:hAnsi="宋体"/>
                <w:color w:val="auto"/>
                <w:sz w:val="18"/>
                <w:szCs w:val="18"/>
                <w:highlight w:val="none"/>
              </w:rPr>
            </w:pPr>
            <w:r>
              <w:rPr>
                <w:rFonts w:hint="eastAsia" w:ascii="宋体" w:hAnsi="宋体"/>
                <w:color w:val="auto"/>
                <w:sz w:val="18"/>
                <w:szCs w:val="18"/>
                <w:highlight w:val="none"/>
              </w:rPr>
              <w:t>（5）明确信息交付方式 。</w:t>
            </w:r>
          </w:p>
        </w:tc>
      </w:tr>
      <w:tr w14:paraId="433932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132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18AF64">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FDA549">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B</w:t>
            </w:r>
            <w:r>
              <w:rPr>
                <w:rFonts w:ascii="宋体" w:hAnsi="宋体" w:cs="宋体"/>
                <w:color w:val="auto"/>
                <w:sz w:val="18"/>
                <w:szCs w:val="18"/>
                <w:highlight w:val="none"/>
              </w:rPr>
              <w:t>IM</w:t>
            </w:r>
            <w:r>
              <w:rPr>
                <w:rFonts w:hint="eastAsia" w:ascii="宋体" w:hAnsi="宋体" w:cs="宋体"/>
                <w:color w:val="auto"/>
                <w:sz w:val="18"/>
                <w:szCs w:val="18"/>
                <w:highlight w:val="none"/>
              </w:rPr>
              <w:t>技术标准</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C2F6A4">
            <w:pPr>
              <w:spacing w:line="20" w:lineRule="atLeast"/>
              <w:ind w:firstLine="360"/>
              <w:rPr>
                <w:rFonts w:ascii="宋体" w:hAnsi="宋体"/>
                <w:color w:val="auto"/>
                <w:sz w:val="18"/>
                <w:szCs w:val="18"/>
                <w:highlight w:val="none"/>
              </w:rPr>
            </w:pPr>
            <w:r>
              <w:rPr>
                <w:rFonts w:hint="eastAsia" w:ascii="宋体" w:hAnsi="宋体"/>
                <w:color w:val="auto"/>
                <w:sz w:val="18"/>
                <w:szCs w:val="18"/>
                <w:highlight w:val="none"/>
              </w:rPr>
              <w:t>参照《重庆市建筑工程信息交付技术导则》，《重庆市建筑工程信息模型实施指南》，《建筑工程信息模型设计标准》，《重庆市建设信息模型技术深度规定》，《重庆市建设工程信息模型审查要点》进行</w:t>
            </w:r>
            <w:r>
              <w:rPr>
                <w:rFonts w:ascii="宋体" w:hAnsi="宋体"/>
                <w:color w:val="auto"/>
                <w:sz w:val="18"/>
                <w:szCs w:val="18"/>
                <w:highlight w:val="none"/>
              </w:rPr>
              <w:t>BIM</w:t>
            </w:r>
            <w:r>
              <w:rPr>
                <w:rFonts w:hint="eastAsia" w:ascii="宋体" w:hAnsi="宋体"/>
                <w:color w:val="auto"/>
                <w:sz w:val="18"/>
                <w:szCs w:val="18"/>
                <w:highlight w:val="none"/>
              </w:rPr>
              <w:t>技术标准的编制。</w:t>
            </w:r>
          </w:p>
        </w:tc>
      </w:tr>
      <w:tr w14:paraId="420D60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458"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F1985B">
            <w:pPr>
              <w:spacing w:line="20" w:lineRule="atLeast"/>
              <w:rPr>
                <w:rFonts w:ascii="宋体" w:hAnsi="宋体" w:cs="宋体"/>
                <w:color w:val="auto"/>
                <w:sz w:val="18"/>
                <w:szCs w:val="18"/>
                <w:highlight w:val="none"/>
              </w:rPr>
            </w:pPr>
            <w:r>
              <w:rPr>
                <w:rFonts w:ascii="宋体" w:hAnsi="宋体" w:cs="宋体"/>
                <w:color w:val="auto"/>
                <w:sz w:val="18"/>
                <w:szCs w:val="18"/>
                <w:highlight w:val="none"/>
              </w:rPr>
              <w:t>3</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DE6FCE">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全专业</w:t>
            </w:r>
            <w:r>
              <w:rPr>
                <w:rFonts w:ascii="宋体" w:hAnsi="宋体" w:cs="宋体"/>
                <w:color w:val="auto"/>
                <w:sz w:val="18"/>
                <w:szCs w:val="18"/>
                <w:highlight w:val="none"/>
              </w:rPr>
              <w:t>BIM</w:t>
            </w:r>
            <w:r>
              <w:rPr>
                <w:rFonts w:hint="eastAsia" w:ascii="宋体" w:hAnsi="宋体" w:cs="宋体"/>
                <w:color w:val="auto"/>
                <w:sz w:val="18"/>
                <w:szCs w:val="18"/>
                <w:highlight w:val="none"/>
              </w:rPr>
              <w:t>模型搭建</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DEDA6">
            <w:pPr>
              <w:spacing w:line="20" w:lineRule="atLeast"/>
              <w:ind w:firstLine="360"/>
              <w:rPr>
                <w:rFonts w:ascii="宋体" w:hAnsi="宋体"/>
                <w:color w:val="auto"/>
                <w:sz w:val="18"/>
                <w:szCs w:val="18"/>
                <w:highlight w:val="none"/>
              </w:rPr>
            </w:pPr>
            <w:r>
              <w:rPr>
                <w:rFonts w:hint="eastAsia" w:ascii="宋体" w:hAnsi="宋体"/>
                <w:color w:val="auto"/>
                <w:sz w:val="18"/>
                <w:szCs w:val="18"/>
                <w:highlight w:val="none"/>
              </w:rPr>
              <w:t>施工阶段模型搭建，施工阶段模型精度等级要求达到</w:t>
            </w:r>
            <w:r>
              <w:rPr>
                <w:rFonts w:ascii="宋体" w:hAnsi="宋体"/>
                <w:color w:val="auto"/>
                <w:sz w:val="18"/>
                <w:szCs w:val="18"/>
                <w:highlight w:val="none"/>
              </w:rPr>
              <w:t>LOD350</w:t>
            </w:r>
            <w:r>
              <w:rPr>
                <w:rFonts w:hint="eastAsia" w:ascii="宋体" w:hAnsi="宋体"/>
                <w:color w:val="auto"/>
                <w:sz w:val="18"/>
                <w:szCs w:val="18"/>
                <w:highlight w:val="none"/>
              </w:rPr>
              <w:t>，竣工阶段模型精度等级要求达到</w:t>
            </w:r>
            <w:r>
              <w:rPr>
                <w:rFonts w:ascii="宋体" w:hAnsi="宋体"/>
                <w:color w:val="auto"/>
                <w:sz w:val="18"/>
                <w:szCs w:val="18"/>
                <w:highlight w:val="none"/>
              </w:rPr>
              <w:t>LOD400</w:t>
            </w:r>
            <w:r>
              <w:rPr>
                <w:rFonts w:hint="eastAsia" w:ascii="宋体" w:hAnsi="宋体"/>
                <w:color w:val="auto"/>
                <w:sz w:val="18"/>
                <w:szCs w:val="18"/>
                <w:highlight w:val="none"/>
              </w:rPr>
              <w:t>。施工阶段的模型需包含完整的信息，包括尺寸、空间位置、材质、外观等，竣工模型还需包含设备信息。</w:t>
            </w:r>
          </w:p>
        </w:tc>
      </w:tr>
      <w:tr w14:paraId="685310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291"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A3B467">
            <w:pPr>
              <w:spacing w:line="20" w:lineRule="atLeast"/>
              <w:rPr>
                <w:rFonts w:ascii="宋体" w:hAnsi="宋体" w:cs="宋体"/>
                <w:color w:val="auto"/>
                <w:sz w:val="18"/>
                <w:szCs w:val="18"/>
                <w:highlight w:val="none"/>
              </w:rPr>
            </w:pPr>
            <w:r>
              <w:rPr>
                <w:rFonts w:ascii="宋体" w:hAnsi="宋体" w:cs="宋体"/>
                <w:color w:val="auto"/>
                <w:sz w:val="18"/>
                <w:szCs w:val="18"/>
                <w:highlight w:val="none"/>
              </w:rPr>
              <w:t>4</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212017">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管线综合</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377C5">
            <w:pPr>
              <w:spacing w:line="20" w:lineRule="atLeast"/>
              <w:rPr>
                <w:rFonts w:ascii="宋体" w:hAnsi="宋体"/>
                <w:color w:val="auto"/>
                <w:sz w:val="18"/>
                <w:szCs w:val="18"/>
                <w:highlight w:val="none"/>
              </w:rPr>
            </w:pPr>
            <w:r>
              <w:rPr>
                <w:rFonts w:hint="eastAsia" w:ascii="宋体" w:hAnsi="宋体"/>
                <w:color w:val="auto"/>
                <w:sz w:val="18"/>
                <w:szCs w:val="18"/>
                <w:highlight w:val="none"/>
              </w:rPr>
              <w:t>利用</w:t>
            </w:r>
            <w:r>
              <w:rPr>
                <w:rFonts w:ascii="宋体" w:hAnsi="宋体"/>
                <w:color w:val="auto"/>
                <w:sz w:val="18"/>
                <w:szCs w:val="18"/>
                <w:highlight w:val="none"/>
              </w:rPr>
              <w:t>BIM</w:t>
            </w:r>
            <w:r>
              <w:rPr>
                <w:rFonts w:hint="eastAsia" w:ascii="宋体" w:hAnsi="宋体"/>
                <w:color w:val="auto"/>
                <w:sz w:val="18"/>
                <w:szCs w:val="18"/>
                <w:highlight w:val="none"/>
              </w:rPr>
              <w:t>模型进行管线综合排布，主要包括：</w:t>
            </w:r>
          </w:p>
          <w:p w14:paraId="3567BC29">
            <w:pPr>
              <w:numPr>
                <w:ilvl w:val="0"/>
                <w:numId w:val="3"/>
              </w:numPr>
              <w:spacing w:line="20" w:lineRule="atLeast"/>
              <w:rPr>
                <w:rFonts w:ascii="宋体" w:hAnsi="宋体"/>
                <w:color w:val="auto"/>
                <w:sz w:val="18"/>
                <w:szCs w:val="18"/>
                <w:highlight w:val="none"/>
              </w:rPr>
            </w:pPr>
            <w:r>
              <w:rPr>
                <w:rFonts w:hint="eastAsia" w:ascii="宋体" w:hAnsi="宋体"/>
                <w:color w:val="auto"/>
                <w:sz w:val="18"/>
                <w:szCs w:val="18"/>
                <w:highlight w:val="none"/>
              </w:rPr>
              <w:t>前期准备</w:t>
            </w:r>
          </w:p>
          <w:p w14:paraId="406883EC">
            <w:pPr>
              <w:numPr>
                <w:ilvl w:val="0"/>
                <w:numId w:val="4"/>
              </w:numPr>
              <w:spacing w:line="20" w:lineRule="atLeast"/>
              <w:rPr>
                <w:rFonts w:ascii="宋体" w:hAnsi="宋体"/>
                <w:color w:val="auto"/>
                <w:sz w:val="18"/>
                <w:szCs w:val="18"/>
                <w:highlight w:val="none"/>
              </w:rPr>
            </w:pPr>
            <w:r>
              <w:rPr>
                <w:rFonts w:hint="eastAsia" w:ascii="宋体" w:hAnsi="宋体"/>
                <w:color w:val="auto"/>
                <w:sz w:val="18"/>
                <w:szCs w:val="18"/>
                <w:highlight w:val="none"/>
              </w:rPr>
              <w:t>确定模型如何进行划分，建立统一的标准和命名方式。</w:t>
            </w:r>
          </w:p>
          <w:p w14:paraId="1C23CDA5">
            <w:pPr>
              <w:numPr>
                <w:ilvl w:val="0"/>
                <w:numId w:val="4"/>
              </w:numPr>
              <w:spacing w:line="20" w:lineRule="atLeast"/>
              <w:rPr>
                <w:rFonts w:ascii="宋体" w:hAnsi="宋体"/>
                <w:color w:val="auto"/>
                <w:sz w:val="18"/>
                <w:szCs w:val="18"/>
                <w:highlight w:val="none"/>
              </w:rPr>
            </w:pPr>
            <w:r>
              <w:rPr>
                <w:rFonts w:hint="eastAsia" w:ascii="宋体" w:hAnsi="宋体"/>
                <w:color w:val="auto"/>
                <w:sz w:val="18"/>
                <w:szCs w:val="18"/>
                <w:highlight w:val="none"/>
              </w:rPr>
              <w:t>在深化设计之前，分析设计模型，对照相关的规范，检查有无违反规范的地方。若有违反规范的地方，在深入设计前及时修改。</w:t>
            </w:r>
          </w:p>
          <w:p w14:paraId="03D36A99">
            <w:pPr>
              <w:numPr>
                <w:ilvl w:val="0"/>
                <w:numId w:val="4"/>
              </w:numPr>
              <w:spacing w:line="20" w:lineRule="atLeast"/>
              <w:rPr>
                <w:rFonts w:ascii="宋体" w:hAnsi="宋体"/>
                <w:color w:val="auto"/>
                <w:sz w:val="18"/>
                <w:szCs w:val="18"/>
                <w:highlight w:val="none"/>
              </w:rPr>
            </w:pPr>
            <w:r>
              <w:rPr>
                <w:rFonts w:hint="eastAsia" w:ascii="宋体" w:hAnsi="宋体"/>
                <w:color w:val="auto"/>
                <w:sz w:val="18"/>
                <w:szCs w:val="18"/>
                <w:highlight w:val="none"/>
              </w:rPr>
              <w:t>确定统一项目模型的样板，包括墙梁板柱、机电管线、平面、立面、与之相对应的表达。</w:t>
            </w:r>
          </w:p>
          <w:p w14:paraId="61701ACE">
            <w:pPr>
              <w:numPr>
                <w:ilvl w:val="0"/>
                <w:numId w:val="3"/>
              </w:numPr>
              <w:spacing w:line="20" w:lineRule="atLeast"/>
              <w:rPr>
                <w:rFonts w:ascii="宋体" w:hAnsi="宋体"/>
                <w:color w:val="auto"/>
                <w:sz w:val="18"/>
                <w:szCs w:val="18"/>
                <w:highlight w:val="none"/>
              </w:rPr>
            </w:pPr>
            <w:r>
              <w:rPr>
                <w:rFonts w:hint="eastAsia" w:ascii="宋体" w:hAnsi="宋体"/>
                <w:color w:val="auto"/>
                <w:sz w:val="18"/>
                <w:szCs w:val="18"/>
                <w:highlight w:val="none"/>
              </w:rPr>
              <w:t>深化设计</w:t>
            </w:r>
          </w:p>
          <w:p w14:paraId="7E576FF3">
            <w:pPr>
              <w:numPr>
                <w:ilvl w:val="0"/>
                <w:numId w:val="5"/>
              </w:numPr>
              <w:spacing w:line="20" w:lineRule="atLeast"/>
              <w:rPr>
                <w:rFonts w:ascii="宋体" w:hAnsi="宋体"/>
                <w:color w:val="auto"/>
                <w:sz w:val="18"/>
                <w:szCs w:val="18"/>
                <w:highlight w:val="none"/>
              </w:rPr>
            </w:pPr>
            <w:r>
              <w:rPr>
                <w:rFonts w:hint="eastAsia" w:ascii="宋体" w:hAnsi="宋体"/>
                <w:color w:val="auto"/>
                <w:sz w:val="18"/>
                <w:szCs w:val="18"/>
                <w:highlight w:val="none"/>
              </w:rPr>
              <w:t>在管线综合时，应遵循管线避让原则、净高要求原则、施工方便原则、维修方便原则、布局美观原则、节约成本原则。</w:t>
            </w:r>
          </w:p>
          <w:p w14:paraId="14F2D86B">
            <w:pPr>
              <w:numPr>
                <w:ilvl w:val="0"/>
                <w:numId w:val="5"/>
              </w:numPr>
              <w:spacing w:line="20" w:lineRule="atLeast"/>
              <w:rPr>
                <w:rFonts w:ascii="宋体" w:hAnsi="宋体"/>
                <w:color w:val="auto"/>
                <w:sz w:val="18"/>
                <w:szCs w:val="18"/>
                <w:highlight w:val="none"/>
              </w:rPr>
            </w:pPr>
            <w:r>
              <w:rPr>
                <w:rFonts w:hint="eastAsia" w:ascii="宋体" w:hAnsi="宋体"/>
                <w:color w:val="auto"/>
                <w:sz w:val="18"/>
                <w:szCs w:val="18"/>
                <w:highlight w:val="none"/>
              </w:rPr>
              <w:t>经过优化，对管线、设备综合排布，使管线、设备整体布局有序、合理、美观，最大程度的提高和满足建筑使用空间；降本增效。</w:t>
            </w:r>
          </w:p>
          <w:p w14:paraId="535D6AF5">
            <w:pPr>
              <w:numPr>
                <w:ilvl w:val="0"/>
                <w:numId w:val="3"/>
              </w:numPr>
              <w:spacing w:line="20" w:lineRule="atLeast"/>
              <w:rPr>
                <w:rFonts w:ascii="宋体" w:hAnsi="宋体"/>
                <w:color w:val="auto"/>
                <w:sz w:val="18"/>
                <w:szCs w:val="18"/>
                <w:highlight w:val="none"/>
              </w:rPr>
            </w:pPr>
            <w:r>
              <w:rPr>
                <w:rFonts w:hint="eastAsia" w:ascii="宋体" w:hAnsi="宋体"/>
                <w:color w:val="auto"/>
                <w:sz w:val="18"/>
                <w:szCs w:val="18"/>
                <w:highlight w:val="none"/>
              </w:rPr>
              <w:t>应用实施</w:t>
            </w:r>
          </w:p>
          <w:p w14:paraId="432FCCCD">
            <w:pPr>
              <w:numPr>
                <w:ilvl w:val="0"/>
                <w:numId w:val="6"/>
              </w:numPr>
              <w:spacing w:line="20" w:lineRule="atLeast"/>
              <w:rPr>
                <w:rFonts w:ascii="宋体" w:hAnsi="宋体"/>
                <w:color w:val="auto"/>
                <w:sz w:val="18"/>
                <w:szCs w:val="18"/>
                <w:highlight w:val="none"/>
              </w:rPr>
            </w:pPr>
            <w:r>
              <w:rPr>
                <w:rFonts w:hint="eastAsia" w:ascii="宋体" w:hAnsi="宋体"/>
                <w:color w:val="auto"/>
                <w:sz w:val="18"/>
                <w:szCs w:val="18"/>
                <w:highlight w:val="none"/>
              </w:rPr>
              <w:t>根据项目实际需求，分专业校对出图，完成各专业平、剖面图的注释及出图。</w:t>
            </w:r>
          </w:p>
          <w:p w14:paraId="05E9B69D">
            <w:pPr>
              <w:numPr>
                <w:ilvl w:val="0"/>
                <w:numId w:val="6"/>
              </w:numPr>
              <w:spacing w:line="20" w:lineRule="atLeast"/>
              <w:rPr>
                <w:rFonts w:ascii="宋体" w:hAnsi="宋体"/>
                <w:color w:val="auto"/>
                <w:sz w:val="18"/>
                <w:szCs w:val="18"/>
                <w:highlight w:val="none"/>
              </w:rPr>
            </w:pPr>
            <w:r>
              <w:rPr>
                <w:rFonts w:hint="eastAsia" w:ascii="宋体" w:hAnsi="宋体"/>
                <w:color w:val="auto"/>
                <w:sz w:val="18"/>
                <w:szCs w:val="18"/>
                <w:highlight w:val="none"/>
              </w:rPr>
              <w:t>向所有相关工程施工人员进行交底，并经讨论，保证贯彻。</w:t>
            </w:r>
          </w:p>
        </w:tc>
      </w:tr>
      <w:tr w14:paraId="17DE56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2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C8F41D">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3628FE">
            <w:pPr>
              <w:spacing w:line="300" w:lineRule="exact"/>
              <w:jc w:val="left"/>
              <w:rPr>
                <w:rFonts w:ascii="宋体" w:hAnsi="宋体" w:cs="宋体"/>
                <w:color w:val="auto"/>
                <w:sz w:val="18"/>
                <w:szCs w:val="18"/>
                <w:highlight w:val="none"/>
              </w:rPr>
            </w:pPr>
            <w:r>
              <w:rPr>
                <w:rFonts w:hint="eastAsia" w:ascii="宋体" w:hAnsi="宋体"/>
                <w:color w:val="auto"/>
                <w:sz w:val="18"/>
                <w:szCs w:val="18"/>
                <w:highlight w:val="none"/>
              </w:rPr>
              <w:t>BIM多专业集成应</w:t>
            </w:r>
            <w:r>
              <w:rPr>
                <w:rFonts w:hint="eastAsia" w:ascii="宋体" w:hAnsi="宋体"/>
                <w:color w:val="auto"/>
                <w:sz w:val="18"/>
                <w:szCs w:val="18"/>
                <w:highlight w:val="none"/>
              </w:rPr>
              <w:br w:type="textWrapping"/>
            </w:r>
            <w:r>
              <w:rPr>
                <w:rFonts w:hint="eastAsia" w:ascii="宋体" w:hAnsi="宋体"/>
                <w:color w:val="auto"/>
                <w:sz w:val="18"/>
                <w:szCs w:val="18"/>
                <w:highlight w:val="none"/>
              </w:rPr>
              <w:t>用</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DFAFC5">
            <w:pPr>
              <w:spacing w:line="20" w:lineRule="atLeast"/>
              <w:rPr>
                <w:rFonts w:ascii="宋体" w:hAnsi="宋体"/>
                <w:color w:val="auto"/>
                <w:sz w:val="18"/>
                <w:szCs w:val="18"/>
                <w:highlight w:val="none"/>
              </w:rPr>
            </w:pPr>
            <w:r>
              <w:rPr>
                <w:rFonts w:hint="eastAsia" w:ascii="宋体" w:hAnsi="宋体"/>
                <w:color w:val="auto"/>
                <w:sz w:val="18"/>
                <w:szCs w:val="18"/>
                <w:highlight w:val="none"/>
              </w:rPr>
              <w:t>主要包括：</w:t>
            </w:r>
            <w:r>
              <w:rPr>
                <w:rFonts w:hint="eastAsia" w:ascii="宋体"/>
                <w:color w:val="auto"/>
                <w:sz w:val="18"/>
                <w:szCs w:val="18"/>
                <w:highlight w:val="none"/>
              </w:rPr>
              <w:t>各专业碰撞报告、预留孔洞图、节点深化图、指定路径漫游、动态碰撞检查（吊装运输碰撞）</w:t>
            </w:r>
          </w:p>
          <w:p w14:paraId="23B0AF55">
            <w:pPr>
              <w:spacing w:line="20" w:lineRule="atLeast"/>
              <w:rPr>
                <w:rFonts w:ascii="宋体" w:hAnsi="宋体"/>
                <w:color w:val="auto"/>
                <w:sz w:val="18"/>
                <w:szCs w:val="18"/>
                <w:highlight w:val="none"/>
              </w:rPr>
            </w:pPr>
            <w:r>
              <w:rPr>
                <w:rFonts w:hint="eastAsia" w:ascii="宋体" w:hAnsi="宋体"/>
                <w:color w:val="auto"/>
                <w:sz w:val="18"/>
                <w:szCs w:val="18"/>
                <w:highlight w:val="none"/>
              </w:rPr>
              <w:t>工作要求：缩短工期，降低财务成本；提升质量，大幅减少返工，改善工程质量，避免材料人工浪费造成施工单位索赔；提升安全，提前预见问题，减少危险因素；提前发现影响实际施工的碰撞点，加快施工进度。</w:t>
            </w:r>
          </w:p>
        </w:tc>
      </w:tr>
      <w:tr w14:paraId="0A4226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2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5435C">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96E728">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净高分析</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013263">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根据</w:t>
            </w:r>
            <w:r>
              <w:rPr>
                <w:rFonts w:ascii="宋体" w:hAnsi="宋体" w:cs="宋体"/>
                <w:color w:val="auto"/>
                <w:sz w:val="18"/>
                <w:szCs w:val="18"/>
                <w:highlight w:val="none"/>
              </w:rPr>
              <w:t>BIM</w:t>
            </w:r>
            <w:r>
              <w:rPr>
                <w:rFonts w:hint="eastAsia" w:ascii="宋体" w:hAnsi="宋体" w:cs="宋体"/>
                <w:color w:val="auto"/>
                <w:sz w:val="18"/>
                <w:szCs w:val="18"/>
                <w:highlight w:val="none"/>
              </w:rPr>
              <w:t>模型对净高要求部位进行分析，并出具净高分析报告。主要过程如下：</w:t>
            </w:r>
          </w:p>
          <w:p w14:paraId="033A5D00">
            <w:pPr>
              <w:numPr>
                <w:ilvl w:val="0"/>
                <w:numId w:val="7"/>
              </w:numPr>
              <w:spacing w:line="20" w:lineRule="atLeast"/>
              <w:jc w:val="left"/>
              <w:rPr>
                <w:rFonts w:ascii="宋体" w:hAnsi="宋体"/>
                <w:color w:val="auto"/>
                <w:sz w:val="18"/>
                <w:szCs w:val="18"/>
                <w:highlight w:val="none"/>
              </w:rPr>
            </w:pPr>
            <w:r>
              <w:rPr>
                <w:rFonts w:hint="eastAsia" w:ascii="宋体" w:hAnsi="宋体"/>
                <w:color w:val="auto"/>
                <w:sz w:val="18"/>
                <w:szCs w:val="18"/>
                <w:highlight w:val="none"/>
              </w:rPr>
              <w:t>依据甲方与项目部对各区域的净高要求，对管线进行初步排布，然后根据结果判断该净高方案是否具有可实施性，若无不合理之处，根据甲方和项目部的意见做管线的综合排布。</w:t>
            </w:r>
          </w:p>
          <w:p w14:paraId="68961889">
            <w:pPr>
              <w:numPr>
                <w:ilvl w:val="0"/>
                <w:numId w:val="7"/>
              </w:numPr>
              <w:spacing w:line="20" w:lineRule="atLeast"/>
              <w:jc w:val="left"/>
              <w:rPr>
                <w:rFonts w:ascii="宋体" w:hAnsi="宋体"/>
                <w:color w:val="auto"/>
                <w:sz w:val="18"/>
                <w:szCs w:val="18"/>
                <w:highlight w:val="none"/>
              </w:rPr>
            </w:pPr>
            <w:r>
              <w:rPr>
                <w:rFonts w:hint="eastAsia" w:ascii="宋体" w:hAnsi="宋体"/>
                <w:color w:val="auto"/>
                <w:sz w:val="18"/>
                <w:szCs w:val="18"/>
                <w:highlight w:val="none"/>
              </w:rPr>
              <w:t>若经过对管线的分析，净高方案不合理，则依据管线的初排方案与甲方和项目部进行集中沟通，并确认最终的管线方案及各区域净高。</w:t>
            </w:r>
          </w:p>
          <w:p w14:paraId="3E4F5007">
            <w:pPr>
              <w:numPr>
                <w:ilvl w:val="0"/>
                <w:numId w:val="7"/>
              </w:numPr>
              <w:spacing w:line="20" w:lineRule="atLeast"/>
              <w:jc w:val="left"/>
              <w:rPr>
                <w:rFonts w:ascii="宋体" w:hAnsi="宋体"/>
                <w:color w:val="auto"/>
                <w:sz w:val="18"/>
                <w:szCs w:val="18"/>
                <w:highlight w:val="none"/>
              </w:rPr>
            </w:pPr>
            <w:r>
              <w:rPr>
                <w:rFonts w:hint="eastAsia" w:ascii="宋体" w:hAnsi="宋体"/>
                <w:color w:val="auto"/>
                <w:sz w:val="18"/>
                <w:szCs w:val="18"/>
                <w:highlight w:val="none"/>
              </w:rPr>
              <w:t>根据各区域净高及管线初排方案对机电模型进行深度优化。</w:t>
            </w:r>
          </w:p>
          <w:p w14:paraId="62CF383A">
            <w:pPr>
              <w:numPr>
                <w:ilvl w:val="0"/>
                <w:numId w:val="7"/>
              </w:numPr>
              <w:spacing w:line="20" w:lineRule="atLeast"/>
              <w:jc w:val="left"/>
              <w:rPr>
                <w:rFonts w:ascii="Calibri" w:hAnsi="Calibri"/>
                <w:color w:val="auto"/>
                <w:sz w:val="18"/>
                <w:szCs w:val="18"/>
                <w:highlight w:val="none"/>
              </w:rPr>
            </w:pPr>
            <w:r>
              <w:rPr>
                <w:rFonts w:hint="eastAsia" w:ascii="宋体" w:hAnsi="宋体"/>
                <w:color w:val="auto"/>
                <w:sz w:val="18"/>
                <w:szCs w:val="18"/>
                <w:highlight w:val="none"/>
              </w:rPr>
              <w:t>根据管线综合的结果制作净高分析，导出净高分析报告，并进行交底。</w:t>
            </w:r>
          </w:p>
        </w:tc>
      </w:tr>
      <w:tr w14:paraId="18D931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5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81CC6">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F6F01">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模型碰撞检测</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BA131">
            <w:pPr>
              <w:spacing w:line="20" w:lineRule="atLeast"/>
              <w:rPr>
                <w:rFonts w:ascii="宋体" w:hAnsi="宋体"/>
                <w:color w:val="auto"/>
                <w:sz w:val="18"/>
                <w:szCs w:val="18"/>
                <w:highlight w:val="none"/>
              </w:rPr>
            </w:pPr>
            <w:r>
              <w:rPr>
                <w:rFonts w:ascii="宋体" w:hAnsi="宋体"/>
                <w:color w:val="auto"/>
                <w:sz w:val="18"/>
                <w:szCs w:val="18"/>
                <w:highlight w:val="none"/>
              </w:rPr>
              <w:t>用BIM技术进行碰撞检测便能够尽量减少碰撞点的数目，甚至杜绝碰撞的发生</w:t>
            </w:r>
            <w:r>
              <w:rPr>
                <w:rFonts w:hint="eastAsia" w:ascii="宋体" w:hAnsi="宋体"/>
                <w:color w:val="auto"/>
                <w:sz w:val="18"/>
                <w:szCs w:val="18"/>
                <w:highlight w:val="none"/>
              </w:rPr>
              <w:t>。</w:t>
            </w:r>
          </w:p>
          <w:p w14:paraId="267EE68B">
            <w:pPr>
              <w:numPr>
                <w:ilvl w:val="0"/>
                <w:numId w:val="8"/>
              </w:numPr>
              <w:spacing w:line="20" w:lineRule="atLeast"/>
              <w:rPr>
                <w:rFonts w:ascii="宋体" w:hAnsi="宋体"/>
                <w:color w:val="auto"/>
                <w:sz w:val="18"/>
                <w:szCs w:val="18"/>
                <w:highlight w:val="none"/>
              </w:rPr>
            </w:pPr>
            <w:r>
              <w:rPr>
                <w:rFonts w:hint="eastAsia" w:ascii="宋体" w:hAnsi="宋体"/>
                <w:color w:val="auto"/>
                <w:sz w:val="18"/>
                <w:szCs w:val="18"/>
                <w:highlight w:val="none"/>
              </w:rPr>
              <w:t>碰撞检查并输出结果，撰写并提供碰撞检查报告。</w:t>
            </w:r>
          </w:p>
          <w:p w14:paraId="799E3EC2">
            <w:pPr>
              <w:numPr>
                <w:ilvl w:val="0"/>
                <w:numId w:val="8"/>
              </w:numPr>
              <w:spacing w:line="20" w:lineRule="atLeast"/>
              <w:rPr>
                <w:rFonts w:ascii="宋体" w:hAnsi="宋体"/>
                <w:color w:val="auto"/>
                <w:sz w:val="18"/>
                <w:szCs w:val="18"/>
                <w:highlight w:val="none"/>
              </w:rPr>
            </w:pPr>
            <w:r>
              <w:rPr>
                <w:rFonts w:hint="eastAsia" w:ascii="宋体" w:hAnsi="宋体"/>
                <w:color w:val="auto"/>
                <w:sz w:val="18"/>
                <w:szCs w:val="18"/>
                <w:highlight w:val="none"/>
              </w:rPr>
              <w:t>根据碰撞报告修改优化模型。</w:t>
            </w:r>
          </w:p>
          <w:p w14:paraId="1C149A1C">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重复以上工作，直到无碰撞为止。</w:t>
            </w:r>
          </w:p>
        </w:tc>
      </w:tr>
      <w:tr w14:paraId="556546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3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3EA41A">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175FA8">
            <w:pPr>
              <w:spacing w:line="20" w:lineRule="atLeast"/>
              <w:jc w:val="left"/>
              <w:rPr>
                <w:rFonts w:ascii="宋体" w:hAnsi="宋体" w:cs="宋体"/>
                <w:color w:val="auto"/>
                <w:sz w:val="18"/>
                <w:szCs w:val="18"/>
                <w:highlight w:val="none"/>
              </w:rPr>
            </w:pPr>
            <w:r>
              <w:rPr>
                <w:rFonts w:hint="eastAsia" w:ascii="宋体" w:hAnsi="宋体"/>
                <w:color w:val="auto"/>
                <w:sz w:val="18"/>
                <w:szCs w:val="18"/>
                <w:highlight w:val="none"/>
              </w:rPr>
              <w:t>可视化交底</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213FDD">
            <w:pPr>
              <w:spacing w:line="20" w:lineRule="atLeast"/>
              <w:rPr>
                <w:rFonts w:ascii="宋体" w:hAnsi="宋体"/>
                <w:color w:val="auto"/>
                <w:sz w:val="18"/>
                <w:szCs w:val="18"/>
                <w:highlight w:val="none"/>
              </w:rPr>
            </w:pPr>
            <w:r>
              <w:rPr>
                <w:rFonts w:hint="eastAsia" w:ascii="宋体" w:hAnsi="宋体"/>
                <w:color w:val="auto"/>
                <w:sz w:val="18"/>
                <w:szCs w:val="18"/>
                <w:highlight w:val="none"/>
              </w:rPr>
              <w:t>包含内容：利用BIM可视化特点，对现场施工人员进行安装操作技术交底。</w:t>
            </w:r>
          </w:p>
          <w:p w14:paraId="62F260B6">
            <w:pPr>
              <w:spacing w:line="20" w:lineRule="atLeast"/>
              <w:rPr>
                <w:rFonts w:ascii="宋体" w:hAnsi="宋体"/>
                <w:color w:val="auto"/>
                <w:sz w:val="18"/>
                <w:szCs w:val="18"/>
                <w:highlight w:val="none"/>
              </w:rPr>
            </w:pPr>
            <w:r>
              <w:rPr>
                <w:rFonts w:hint="eastAsia" w:ascii="宋体" w:hAnsi="宋体"/>
                <w:color w:val="auto"/>
                <w:sz w:val="18"/>
                <w:szCs w:val="18"/>
                <w:highlight w:val="none"/>
              </w:rPr>
              <w:t>工作要求：安装构件进行全方位指导展示，减少现场工作时错误，提高安装效率。</w:t>
            </w:r>
          </w:p>
        </w:tc>
      </w:tr>
      <w:tr w14:paraId="707161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57F1AE">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B9056">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施工进度模拟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D8BD56">
            <w:pPr>
              <w:spacing w:line="20" w:lineRule="atLeast"/>
              <w:rPr>
                <w:rFonts w:ascii="宋体" w:hAnsi="宋体"/>
                <w:color w:val="auto"/>
                <w:sz w:val="18"/>
                <w:szCs w:val="18"/>
                <w:highlight w:val="none"/>
              </w:rPr>
            </w:pPr>
            <w:r>
              <w:rPr>
                <w:rFonts w:hint="eastAsia" w:ascii="宋体" w:hAnsi="宋体"/>
                <w:color w:val="auto"/>
                <w:sz w:val="18"/>
                <w:szCs w:val="18"/>
                <w:highlight w:val="none"/>
              </w:rPr>
              <w:t>运用</w:t>
            </w:r>
            <w:r>
              <w:rPr>
                <w:rFonts w:ascii="宋体" w:hAnsi="宋体"/>
                <w:color w:val="auto"/>
                <w:sz w:val="18"/>
                <w:szCs w:val="18"/>
                <w:highlight w:val="none"/>
              </w:rPr>
              <w:t>BIM</w:t>
            </w:r>
            <w:r>
              <w:rPr>
                <w:rFonts w:hint="eastAsia" w:ascii="宋体" w:hAnsi="宋体"/>
                <w:color w:val="auto"/>
                <w:sz w:val="18"/>
                <w:szCs w:val="18"/>
                <w:highlight w:val="none"/>
              </w:rPr>
              <w:t>进行施工进度模拟，根据施工总包单位上报的实际工作量进行计划进度和实际进度的对比，通过模型直观反映计划和实际情况的差异，</w:t>
            </w:r>
            <w:r>
              <w:rPr>
                <w:rFonts w:ascii="宋体" w:hAnsi="宋体"/>
                <w:color w:val="auto"/>
                <w:sz w:val="18"/>
                <w:szCs w:val="18"/>
                <w:highlight w:val="none"/>
              </w:rPr>
              <w:t>确保施工</w:t>
            </w:r>
            <w:r>
              <w:rPr>
                <w:rFonts w:hint="eastAsia" w:ascii="宋体" w:hAnsi="宋体"/>
                <w:color w:val="auto"/>
                <w:sz w:val="18"/>
                <w:szCs w:val="18"/>
                <w:highlight w:val="none"/>
              </w:rPr>
              <w:t>计划的</w:t>
            </w:r>
            <w:r>
              <w:rPr>
                <w:rFonts w:ascii="宋体" w:hAnsi="宋体"/>
                <w:color w:val="auto"/>
                <w:sz w:val="18"/>
                <w:szCs w:val="18"/>
                <w:highlight w:val="none"/>
              </w:rPr>
              <w:t>安全</w:t>
            </w:r>
            <w:r>
              <w:rPr>
                <w:rFonts w:hint="eastAsia" w:ascii="宋体" w:hAnsi="宋体"/>
                <w:color w:val="auto"/>
                <w:sz w:val="18"/>
                <w:szCs w:val="18"/>
                <w:highlight w:val="none"/>
              </w:rPr>
              <w:t>性与</w:t>
            </w:r>
            <w:r>
              <w:rPr>
                <w:rFonts w:ascii="宋体" w:hAnsi="宋体"/>
                <w:color w:val="auto"/>
                <w:sz w:val="18"/>
                <w:szCs w:val="18"/>
                <w:highlight w:val="none"/>
              </w:rPr>
              <w:t>合理性</w:t>
            </w:r>
            <w:r>
              <w:rPr>
                <w:rFonts w:hint="eastAsia" w:ascii="宋体" w:hAnsi="宋体"/>
                <w:color w:val="auto"/>
                <w:sz w:val="18"/>
                <w:szCs w:val="18"/>
                <w:highlight w:val="none"/>
              </w:rPr>
              <w:t>。并完成各阶段动态施工现场协调，实时反馈施工现场进度情况，每月提供施工</w:t>
            </w:r>
            <w:r>
              <w:rPr>
                <w:rFonts w:ascii="宋体" w:hAnsi="宋体"/>
                <w:color w:val="auto"/>
                <w:sz w:val="18"/>
                <w:szCs w:val="18"/>
                <w:highlight w:val="none"/>
              </w:rPr>
              <w:t>BIM进度报告。</w:t>
            </w:r>
          </w:p>
        </w:tc>
      </w:tr>
      <w:tr w14:paraId="531EA6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82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A21BDF">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59763E">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施工方案模拟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770F1E">
            <w:pPr>
              <w:spacing w:line="20" w:lineRule="atLeast"/>
              <w:rPr>
                <w:rFonts w:ascii="宋体" w:hAnsi="宋体"/>
                <w:color w:val="auto"/>
                <w:sz w:val="18"/>
                <w:szCs w:val="18"/>
                <w:highlight w:val="none"/>
              </w:rPr>
            </w:pPr>
            <w:r>
              <w:rPr>
                <w:rFonts w:hint="eastAsia" w:ascii="宋体" w:hAnsi="宋体" w:cs="宋体"/>
                <w:color w:val="auto"/>
                <w:sz w:val="18"/>
                <w:szCs w:val="18"/>
                <w:highlight w:val="none"/>
              </w:rPr>
              <w:t>对重要施工方案进行多维度可视，确定最优的施工方案</w:t>
            </w:r>
          </w:p>
        </w:tc>
      </w:tr>
      <w:tr w14:paraId="641C98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9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B3FD07">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F03E07">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施工工艺模拟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398EFE">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包含内容：施工工艺虚拟建造，</w:t>
            </w:r>
            <w:r>
              <w:rPr>
                <w:rFonts w:ascii="宋体" w:hAnsi="宋体" w:cs="宋体"/>
                <w:color w:val="auto"/>
                <w:sz w:val="18"/>
                <w:szCs w:val="18"/>
                <w:highlight w:val="none"/>
              </w:rPr>
              <w:t>BIM</w:t>
            </w:r>
            <w:r>
              <w:rPr>
                <w:rFonts w:hint="eastAsia" w:ascii="宋体" w:hAnsi="宋体" w:cs="宋体"/>
                <w:color w:val="auto"/>
                <w:sz w:val="18"/>
                <w:szCs w:val="18"/>
                <w:highlight w:val="none"/>
              </w:rPr>
              <w:t>模型渲染加工</w:t>
            </w:r>
          </w:p>
          <w:p w14:paraId="46168202">
            <w:pPr>
              <w:spacing w:line="20" w:lineRule="atLeast"/>
              <w:rPr>
                <w:rFonts w:ascii="宋体" w:hAnsi="宋体"/>
                <w:color w:val="auto"/>
                <w:sz w:val="18"/>
                <w:szCs w:val="18"/>
                <w:highlight w:val="none"/>
              </w:rPr>
            </w:pPr>
            <w:r>
              <w:rPr>
                <w:rFonts w:hint="eastAsia" w:ascii="宋体" w:hAnsi="宋体" w:cs="宋体"/>
                <w:color w:val="auto"/>
                <w:sz w:val="18"/>
                <w:szCs w:val="18"/>
                <w:highlight w:val="none"/>
              </w:rPr>
              <w:t>工作要求：施工难点提前反映，展现施工工艺流程，优化施工过程管理</w:t>
            </w:r>
          </w:p>
        </w:tc>
      </w:tr>
      <w:tr w14:paraId="7E740A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25827B">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189A13">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三维施工场地布置</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E5D60D">
            <w:pPr>
              <w:spacing w:line="20" w:lineRule="atLeast"/>
              <w:rPr>
                <w:rFonts w:ascii="宋体" w:hAnsi="宋体"/>
                <w:color w:val="auto"/>
                <w:sz w:val="18"/>
                <w:szCs w:val="18"/>
                <w:highlight w:val="none"/>
              </w:rPr>
            </w:pPr>
            <w:r>
              <w:rPr>
                <w:rFonts w:hint="eastAsia" w:ascii="宋体" w:hAnsi="宋体"/>
                <w:color w:val="auto"/>
                <w:sz w:val="18"/>
                <w:szCs w:val="18"/>
                <w:highlight w:val="none"/>
              </w:rPr>
              <w:t>对施工现场进行三维场布方案规划，施工现场的大门、围墙布置、临时道路布置、办公区、生活区临建布置、加工棚布置、材料堆场布置、塔吊布置、基坑临边防护、临水、消防设施布置、临电、配电设备安全防护布置、绿化、防尘覆盖布置等进行合理的排布，根据合理排布之后的场地，提高工程管理水平，展示现场整体三维模型效果。</w:t>
            </w:r>
          </w:p>
        </w:tc>
      </w:tr>
      <w:tr w14:paraId="724893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A76846">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13</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96DBC">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复杂节点交底及技术沟通</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F51E4C">
            <w:pPr>
              <w:spacing w:line="20" w:lineRule="atLeast"/>
              <w:rPr>
                <w:rFonts w:ascii="宋体" w:hAnsi="宋体"/>
                <w:color w:val="auto"/>
                <w:sz w:val="18"/>
                <w:szCs w:val="18"/>
                <w:highlight w:val="none"/>
              </w:rPr>
            </w:pPr>
            <w:r>
              <w:rPr>
                <w:rFonts w:hint="eastAsia" w:ascii="宋体" w:hAnsi="宋体"/>
                <w:color w:val="auto"/>
                <w:sz w:val="18"/>
                <w:szCs w:val="18"/>
                <w:highlight w:val="none"/>
              </w:rPr>
              <w:t>运用</w:t>
            </w:r>
            <w:r>
              <w:rPr>
                <w:rFonts w:ascii="宋体" w:hAnsi="宋体"/>
                <w:color w:val="auto"/>
                <w:sz w:val="18"/>
                <w:szCs w:val="18"/>
                <w:highlight w:val="none"/>
              </w:rPr>
              <w:t>BIM</w:t>
            </w:r>
            <w:r>
              <w:rPr>
                <w:rFonts w:hint="eastAsia" w:ascii="宋体" w:hAnsi="宋体"/>
                <w:color w:val="auto"/>
                <w:sz w:val="18"/>
                <w:szCs w:val="18"/>
                <w:highlight w:val="none"/>
              </w:rPr>
              <w:t>的可视化功能，在现场通过移动端或者纸质资料进行复杂节点的三维可视化交底。提高复杂节点交底效率，减少口头交底失误，使施工人员更好理解设计意图。</w:t>
            </w:r>
          </w:p>
        </w:tc>
      </w:tr>
      <w:tr w14:paraId="502E1F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C09091">
            <w:pPr>
              <w:spacing w:line="20" w:lineRule="atLeast"/>
              <w:rPr>
                <w:rFonts w:ascii="宋体" w:hAnsi="宋体" w:cs="宋体"/>
                <w:color w:val="auto"/>
                <w:sz w:val="18"/>
                <w:szCs w:val="18"/>
                <w:highlight w:val="none"/>
              </w:rPr>
            </w:pPr>
            <w:r>
              <w:rPr>
                <w:rFonts w:hint="eastAsia" w:ascii="宋体" w:hAnsi="宋体" w:cs="宋体"/>
                <w:color w:val="auto"/>
                <w:sz w:val="18"/>
                <w:szCs w:val="18"/>
                <w:highlight w:val="none"/>
              </w:rPr>
              <w:t>14</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B5E8A5">
            <w:pPr>
              <w:spacing w:line="20" w:lineRule="atLeast"/>
              <w:jc w:val="left"/>
              <w:rPr>
                <w:rFonts w:ascii="宋体" w:hAnsi="宋体" w:cs="宋体"/>
                <w:color w:val="auto"/>
                <w:sz w:val="18"/>
                <w:szCs w:val="18"/>
                <w:highlight w:val="none"/>
              </w:rPr>
            </w:pPr>
            <w:r>
              <w:rPr>
                <w:rFonts w:hint="eastAsia" w:ascii="宋体" w:hAnsi="宋体" w:cs="宋体"/>
                <w:color w:val="auto"/>
                <w:sz w:val="18"/>
                <w:szCs w:val="18"/>
                <w:highlight w:val="none"/>
              </w:rPr>
              <w:t>其他</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BDF734">
            <w:pPr>
              <w:spacing w:line="20" w:lineRule="atLeast"/>
              <w:rPr>
                <w:rFonts w:ascii="宋体" w:hAnsi="宋体"/>
                <w:color w:val="auto"/>
                <w:sz w:val="18"/>
                <w:szCs w:val="18"/>
                <w:highlight w:val="none"/>
              </w:rPr>
            </w:pPr>
            <w:r>
              <w:rPr>
                <w:rFonts w:hint="eastAsia" w:ascii="宋体" w:hAnsi="宋体"/>
                <w:color w:val="auto"/>
                <w:sz w:val="18"/>
                <w:szCs w:val="18"/>
                <w:highlight w:val="none"/>
              </w:rPr>
              <w:t>引用B</w:t>
            </w:r>
            <w:r>
              <w:rPr>
                <w:rFonts w:ascii="宋体" w:hAnsi="宋体"/>
                <w:color w:val="auto"/>
                <w:sz w:val="18"/>
                <w:szCs w:val="18"/>
                <w:highlight w:val="none"/>
              </w:rPr>
              <w:t>IM</w:t>
            </w:r>
            <w:r>
              <w:rPr>
                <w:rFonts w:hint="eastAsia" w:ascii="宋体" w:hAnsi="宋体"/>
                <w:color w:val="auto"/>
                <w:sz w:val="18"/>
                <w:szCs w:val="18"/>
                <w:highlight w:val="none"/>
              </w:rPr>
              <w:t>技术将施工进度和施工安全、施工风险点等编制成管理软件或A</w:t>
            </w:r>
            <w:r>
              <w:rPr>
                <w:rFonts w:ascii="宋体" w:hAnsi="宋体"/>
                <w:color w:val="auto"/>
                <w:sz w:val="18"/>
                <w:szCs w:val="18"/>
                <w:highlight w:val="none"/>
              </w:rPr>
              <w:t>PP</w:t>
            </w:r>
            <w:r>
              <w:rPr>
                <w:rFonts w:hint="eastAsia" w:ascii="宋体" w:hAnsi="宋体"/>
                <w:color w:val="auto"/>
                <w:sz w:val="18"/>
                <w:szCs w:val="18"/>
                <w:highlight w:val="none"/>
              </w:rPr>
              <w:t>，对接全咨人BIM管理平台接口，交发包人和全咨人使用。</w:t>
            </w:r>
          </w:p>
        </w:tc>
      </w:tr>
    </w:tbl>
    <w:p w14:paraId="36D354D9">
      <w:pPr>
        <w:pStyle w:val="7"/>
        <w:spacing w:before="0" w:beforeAutospacing="0" w:after="0" w:afterAutospacing="0" w:line="360" w:lineRule="auto"/>
        <w:rPr>
          <w:color w:val="auto"/>
          <w:sz w:val="21"/>
          <w:szCs w:val="21"/>
          <w:highlight w:val="none"/>
          <w:u w:val="single"/>
        </w:rPr>
      </w:pPr>
      <w:bookmarkStart w:id="1350" w:name="baidusnap7"/>
      <w:bookmarkEnd w:id="1350"/>
      <w:bookmarkStart w:id="1351" w:name="baidusnap3"/>
      <w:bookmarkEnd w:id="1351"/>
      <w:r>
        <w:rPr>
          <w:rFonts w:hint="eastAsia"/>
          <w:color w:val="auto"/>
          <w:sz w:val="21"/>
          <w:szCs w:val="21"/>
          <w:highlight w:val="none"/>
          <w:lang w:val="en-US" w:eastAsia="zh-CN"/>
        </w:rPr>
        <w:t>22.</w:t>
      </w:r>
      <w:r>
        <w:rPr>
          <w:rFonts w:hint="eastAsia"/>
          <w:color w:val="auto"/>
          <w:sz w:val="21"/>
          <w:szCs w:val="21"/>
          <w:highlight w:val="none"/>
        </w:rPr>
        <w:t>低价风险担保</w:t>
      </w:r>
    </w:p>
    <w:p w14:paraId="6429CD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574C2C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3477BD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45F271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3DDEE4A5">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    工作日内</w:t>
      </w:r>
      <w:r>
        <w:rPr>
          <w:rFonts w:hint="eastAsia" w:ascii="宋体" w:hAnsi="宋体"/>
          <w:color w:val="auto"/>
          <w:szCs w:val="21"/>
          <w:highlight w:val="none"/>
          <w:u w:val="single"/>
        </w:rPr>
        <w:t>；</w:t>
      </w:r>
    </w:p>
    <w:p w14:paraId="36D17025">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14:paraId="40D739FA">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14:paraId="6D39E28E">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00AD3C3F">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638F7580">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617165C3">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5147CA5C">
      <w:pPr>
        <w:pStyle w:val="7"/>
        <w:spacing w:before="0" w:beforeAutospacing="0" w:after="0" w:afterAutospacing="0" w:line="360" w:lineRule="auto"/>
        <w:ind w:firstLine="420" w:firstLineChars="200"/>
        <w:rPr>
          <w:color w:val="auto"/>
          <w:sz w:val="21"/>
          <w:szCs w:val="21"/>
          <w:highlight w:val="none"/>
        </w:rPr>
      </w:pPr>
      <w:r>
        <w:rPr>
          <w:rFonts w:hint="eastAsia" w:ascii="宋体" w:hAnsi="宋体" w:eastAsia="宋体" w:cs="Times New Roman"/>
          <w:b w:val="0"/>
          <w:bCs w:val="0"/>
          <w:color w:val="auto"/>
          <w:kern w:val="2"/>
          <w:sz w:val="21"/>
          <w:szCs w:val="21"/>
          <w:highlight w:val="none"/>
          <w:lang w:val="en-US" w:eastAsia="zh-CN" w:bidi="ar-SA"/>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428A5FC1">
      <w:pPr>
        <w:keepNext/>
        <w:keepLines/>
        <w:widowControl/>
        <w:spacing w:before="156" w:beforeLines="50" w:after="156" w:afterLines="50" w:line="360" w:lineRule="auto"/>
        <w:outlineLvl w:val="3"/>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 合同附件</w:t>
      </w:r>
    </w:p>
    <w:p w14:paraId="4E714F0C">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以下十个附件是本合同的有效组成部分：</w:t>
      </w:r>
    </w:p>
    <w:p w14:paraId="79B0C11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6DE67BD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62D0CB0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28BCA7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14:paraId="44BF9D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附件5：专业工程暂估价表</w:t>
      </w:r>
    </w:p>
    <w:p w14:paraId="7BA8B8F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附件6：廉洁从业协议</w:t>
      </w:r>
    </w:p>
    <w:p w14:paraId="0D39DD6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附件7：安全管理协议</w:t>
      </w:r>
    </w:p>
    <w:p w14:paraId="2044BBC5">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附件8：保障农民工工资支付协议</w:t>
      </w:r>
    </w:p>
    <w:p w14:paraId="20CD64A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附件9：</w:t>
      </w:r>
      <w:r>
        <w:rPr>
          <w:rFonts w:hint="eastAsia" w:ascii="宋体" w:hAnsi="宋体"/>
          <w:color w:val="auto"/>
          <w:szCs w:val="21"/>
          <w:highlight w:val="none"/>
        </w:rPr>
        <w:t>低价风险担保保函示范文本（独立保函）（如有）</w:t>
      </w:r>
    </w:p>
    <w:p w14:paraId="0A93B0AC">
      <w:pPr>
        <w:rPr>
          <w:rFonts w:hint="eastAsia" w:ascii="宋体" w:hAnsi="宋体"/>
          <w:color w:val="auto"/>
          <w:szCs w:val="21"/>
          <w:highlight w:val="none"/>
        </w:rPr>
      </w:pPr>
      <w:r>
        <w:rPr>
          <w:rFonts w:hint="eastAsia" w:ascii="宋体" w:hAnsi="宋体"/>
          <w:color w:val="auto"/>
          <w:szCs w:val="21"/>
          <w:highlight w:val="none"/>
        </w:rPr>
        <w:br w:type="page"/>
      </w:r>
    </w:p>
    <w:p w14:paraId="351EC1B2">
      <w:pPr>
        <w:spacing w:line="360" w:lineRule="auto"/>
        <w:rPr>
          <w:rFonts w:ascii="宋体" w:hAnsi="宋体"/>
          <w:color w:val="auto"/>
          <w:szCs w:val="21"/>
          <w:highlight w:val="none"/>
        </w:rPr>
      </w:pPr>
      <w:r>
        <w:rPr>
          <w:rFonts w:hint="eastAsia" w:ascii="宋体" w:hAnsi="宋体"/>
          <w:color w:val="auto"/>
          <w:szCs w:val="21"/>
          <w:highlight w:val="none"/>
        </w:rPr>
        <w:t>附</w:t>
      </w:r>
      <w:bookmarkStart w:id="1352" w:name="_Toc296346727"/>
      <w:bookmarkStart w:id="1353" w:name="_Toc296891054"/>
      <w:bookmarkStart w:id="1354" w:name="_Toc296944565"/>
      <w:bookmarkStart w:id="1355" w:name="_Toc296503226"/>
      <w:bookmarkStart w:id="1356" w:name="_Toc267261693"/>
      <w:bookmarkStart w:id="1357" w:name="_Toc296347225"/>
      <w:bookmarkStart w:id="1358" w:name="_Toc296891266"/>
      <w:r>
        <w:rPr>
          <w:rFonts w:hint="eastAsia" w:ascii="宋体" w:hAnsi="宋体"/>
          <w:color w:val="auto"/>
          <w:szCs w:val="21"/>
          <w:highlight w:val="none"/>
        </w:rPr>
        <w:t>件1：</w:t>
      </w:r>
      <w:bookmarkEnd w:id="1352"/>
      <w:bookmarkEnd w:id="1353"/>
      <w:bookmarkEnd w:id="1354"/>
      <w:bookmarkEnd w:id="1355"/>
      <w:bookmarkEnd w:id="1356"/>
      <w:bookmarkEnd w:id="1357"/>
      <w:bookmarkEnd w:id="1358"/>
    </w:p>
    <w:p w14:paraId="59BFD7E1">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0A796C0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77D9AAD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1CBEA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57B8205F">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22D2BECE">
      <w:pPr>
        <w:spacing w:line="360" w:lineRule="auto"/>
        <w:ind w:firstLine="420" w:firstLineChars="200"/>
        <w:rPr>
          <w:rFonts w:ascii="宋体" w:hAnsi="宋体"/>
          <w:color w:val="auto"/>
          <w:szCs w:val="21"/>
          <w:highlight w:val="none"/>
        </w:rPr>
      </w:pPr>
      <w:bookmarkStart w:id="1359" w:name="_Toc532375687"/>
      <w:r>
        <w:rPr>
          <w:rFonts w:hint="eastAsia" w:ascii="宋体" w:hAnsi="宋体"/>
          <w:color w:val="auto"/>
          <w:szCs w:val="21"/>
          <w:highlight w:val="none"/>
        </w:rPr>
        <w:t>一、工程质量保修范围和内容</w:t>
      </w:r>
      <w:bookmarkEnd w:id="1359"/>
    </w:p>
    <w:p w14:paraId="220C2D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5ED7B5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C3743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3435F2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2D534E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D0AA4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6C9F9665">
      <w:pPr>
        <w:spacing w:line="360" w:lineRule="auto"/>
        <w:ind w:firstLine="420" w:firstLineChars="200"/>
        <w:rPr>
          <w:rFonts w:ascii="宋体" w:hAnsi="宋体"/>
          <w:color w:val="auto"/>
          <w:szCs w:val="21"/>
          <w:highlight w:val="none"/>
        </w:rPr>
      </w:pPr>
      <w:bookmarkStart w:id="1360" w:name="_Toc532375688"/>
      <w:r>
        <w:rPr>
          <w:rFonts w:hint="eastAsia" w:ascii="宋体" w:hAnsi="宋体"/>
          <w:color w:val="auto"/>
          <w:szCs w:val="21"/>
          <w:highlight w:val="none"/>
        </w:rPr>
        <w:t>二、质量保修期</w:t>
      </w:r>
      <w:bookmarkEnd w:id="1360"/>
    </w:p>
    <w:p w14:paraId="04261C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6734B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4CB4EF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233852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01AD4A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0C91FF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49135A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4EBEFC9F">
      <w:pPr>
        <w:spacing w:line="360" w:lineRule="auto"/>
        <w:ind w:firstLine="420" w:firstLineChars="200"/>
        <w:rPr>
          <w:rFonts w:ascii="宋体" w:hAnsi="宋体"/>
          <w:color w:val="auto"/>
          <w:szCs w:val="21"/>
          <w:highlight w:val="none"/>
        </w:rPr>
      </w:pPr>
      <w:bookmarkStart w:id="1361" w:name="_Toc532375689"/>
      <w:r>
        <w:rPr>
          <w:rFonts w:hint="eastAsia" w:ascii="宋体" w:hAnsi="宋体"/>
          <w:color w:val="auto"/>
          <w:szCs w:val="21"/>
          <w:highlight w:val="none"/>
        </w:rPr>
        <w:t>三、质量保修责任</w:t>
      </w:r>
      <w:bookmarkEnd w:id="1361"/>
    </w:p>
    <w:p w14:paraId="3DE77B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51B227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223797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271FD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48A12FC4">
      <w:pPr>
        <w:spacing w:line="360" w:lineRule="auto"/>
        <w:ind w:firstLine="420" w:firstLineChars="200"/>
        <w:rPr>
          <w:rFonts w:ascii="宋体" w:hAnsi="宋体"/>
          <w:color w:val="auto"/>
          <w:szCs w:val="21"/>
          <w:highlight w:val="none"/>
        </w:rPr>
      </w:pPr>
      <w:bookmarkStart w:id="1362" w:name="_Toc532375690"/>
      <w:r>
        <w:rPr>
          <w:rFonts w:hint="eastAsia" w:ascii="宋体" w:hAnsi="宋体"/>
          <w:color w:val="auto"/>
          <w:szCs w:val="21"/>
          <w:highlight w:val="none"/>
        </w:rPr>
        <w:t>四、保修费用</w:t>
      </w:r>
      <w:bookmarkEnd w:id="1362"/>
    </w:p>
    <w:p w14:paraId="4CE2C1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2CD2B124">
      <w:pPr>
        <w:spacing w:line="360" w:lineRule="auto"/>
        <w:ind w:firstLine="420" w:firstLineChars="200"/>
        <w:rPr>
          <w:rFonts w:ascii="宋体" w:hAnsi="宋体"/>
          <w:color w:val="auto"/>
          <w:szCs w:val="21"/>
          <w:highlight w:val="none"/>
        </w:rPr>
      </w:pPr>
      <w:bookmarkStart w:id="1363" w:name="_Toc532375691"/>
      <w:r>
        <w:rPr>
          <w:rFonts w:hint="eastAsia" w:ascii="宋体" w:hAnsi="宋体"/>
          <w:color w:val="auto"/>
          <w:szCs w:val="21"/>
          <w:highlight w:val="none"/>
        </w:rPr>
        <w:t>五、双方约定的其他工程质量保修事项</w:t>
      </w:r>
    </w:p>
    <w:p w14:paraId="007F6A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363"/>
    </w:p>
    <w:p w14:paraId="36496C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7E336150">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71069E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15E9486C">
      <w:pPr>
        <w:pStyle w:val="2"/>
        <w:spacing w:line="360" w:lineRule="auto"/>
        <w:ind w:firstLine="420" w:firstLineChars="200"/>
        <w:rPr>
          <w:rFonts w:ascii="宋体" w:hAnsi="宋体"/>
          <w:color w:val="auto"/>
          <w:szCs w:val="21"/>
          <w:highlight w:val="none"/>
        </w:rPr>
      </w:pPr>
    </w:p>
    <w:p w14:paraId="576F0750">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6FDA2D8E">
      <w:pPr>
        <w:pStyle w:val="2"/>
        <w:rPr>
          <w:color w:val="auto"/>
          <w:highlight w:val="none"/>
        </w:rPr>
      </w:pPr>
    </w:p>
    <w:p w14:paraId="31A7674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D43F7A">
      <w:pPr>
        <w:spacing w:line="360" w:lineRule="auto"/>
        <w:ind w:firstLine="420" w:firstLineChars="200"/>
        <w:rPr>
          <w:rFonts w:ascii="宋体" w:hAnsi="宋体"/>
          <w:snapToGrid w:val="0"/>
          <w:color w:val="auto"/>
          <w:kern w:val="0"/>
          <w:szCs w:val="21"/>
          <w:highlight w:val="none"/>
        </w:rPr>
      </w:pPr>
    </w:p>
    <w:p w14:paraId="41ABE9FC">
      <w:pPr>
        <w:spacing w:line="360" w:lineRule="auto"/>
        <w:ind w:firstLine="420" w:firstLineChars="200"/>
        <w:rPr>
          <w:rFonts w:ascii="宋体" w:hAnsi="宋体"/>
          <w:snapToGrid w:val="0"/>
          <w:color w:val="auto"/>
          <w:kern w:val="0"/>
          <w:szCs w:val="21"/>
          <w:highlight w:val="none"/>
        </w:rPr>
      </w:pPr>
    </w:p>
    <w:p w14:paraId="018D99E6">
      <w:pPr>
        <w:pStyle w:val="2"/>
        <w:rPr>
          <w:color w:val="auto"/>
          <w:highlight w:val="none"/>
        </w:rPr>
      </w:pPr>
    </w:p>
    <w:p w14:paraId="3C96C9B0">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65567159">
      <w:pPr>
        <w:spacing w:line="360" w:lineRule="auto"/>
        <w:rPr>
          <w:rFonts w:ascii="宋体" w:hAnsi="宋体"/>
          <w:snapToGrid w:val="0"/>
          <w:color w:val="auto"/>
          <w:kern w:val="0"/>
          <w:szCs w:val="21"/>
          <w:highlight w:val="none"/>
        </w:rPr>
      </w:pPr>
    </w:p>
    <w:p w14:paraId="245E2AC8">
      <w:pPr>
        <w:spacing w:line="360" w:lineRule="auto"/>
        <w:ind w:firstLine="420" w:firstLineChars="200"/>
        <w:rPr>
          <w:rFonts w:ascii="宋体" w:hAnsi="宋体"/>
          <w:snapToGrid w:val="0"/>
          <w:color w:val="auto"/>
          <w:spacing w:val="1"/>
          <w:w w:val="99"/>
          <w:kern w:val="0"/>
          <w:position w:val="-2"/>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336EB56">
      <w:pPr>
        <w:spacing w:line="360" w:lineRule="auto"/>
        <w:ind w:firstLine="418" w:firstLineChars="200"/>
        <w:rPr>
          <w:rFonts w:ascii="宋体" w:hAnsi="宋体"/>
          <w:snapToGrid w:val="0"/>
          <w:color w:val="auto"/>
          <w:spacing w:val="1"/>
          <w:w w:val="99"/>
          <w:kern w:val="0"/>
          <w:position w:val="-2"/>
          <w:szCs w:val="21"/>
          <w:highlight w:val="none"/>
        </w:rPr>
      </w:pPr>
    </w:p>
    <w:p w14:paraId="13B9689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83D533A">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06046259">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7CC6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584B0AE0">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14:paraId="656B149E">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14:paraId="6D8D50AF">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14:paraId="35D51FB2">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2E74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213A3D7">
            <w:pPr>
              <w:spacing w:line="400" w:lineRule="exact"/>
              <w:ind w:firstLine="420" w:firstLineChars="200"/>
              <w:rPr>
                <w:rFonts w:ascii="宋体" w:hAnsi="宋体"/>
                <w:color w:val="auto"/>
                <w:szCs w:val="21"/>
                <w:highlight w:val="none"/>
              </w:rPr>
            </w:pPr>
          </w:p>
        </w:tc>
        <w:tc>
          <w:tcPr>
            <w:tcW w:w="1418" w:type="dxa"/>
            <w:noWrap w:val="0"/>
            <w:vAlign w:val="center"/>
          </w:tcPr>
          <w:p w14:paraId="310D7D6E">
            <w:pPr>
              <w:spacing w:line="400" w:lineRule="exact"/>
              <w:ind w:firstLine="420" w:firstLineChars="200"/>
              <w:rPr>
                <w:rFonts w:ascii="宋体" w:hAnsi="宋体"/>
                <w:color w:val="auto"/>
                <w:szCs w:val="21"/>
                <w:highlight w:val="none"/>
              </w:rPr>
            </w:pPr>
          </w:p>
        </w:tc>
        <w:tc>
          <w:tcPr>
            <w:tcW w:w="1418" w:type="dxa"/>
            <w:noWrap w:val="0"/>
            <w:vAlign w:val="center"/>
          </w:tcPr>
          <w:p w14:paraId="672BABD3">
            <w:pPr>
              <w:spacing w:line="400" w:lineRule="exact"/>
              <w:ind w:firstLine="420" w:firstLineChars="200"/>
              <w:rPr>
                <w:rFonts w:ascii="宋体" w:hAnsi="宋体"/>
                <w:color w:val="auto"/>
                <w:szCs w:val="21"/>
                <w:highlight w:val="none"/>
              </w:rPr>
            </w:pPr>
          </w:p>
        </w:tc>
        <w:tc>
          <w:tcPr>
            <w:tcW w:w="2917" w:type="dxa"/>
            <w:noWrap w:val="0"/>
            <w:vAlign w:val="center"/>
          </w:tcPr>
          <w:p w14:paraId="13C7F38D">
            <w:pPr>
              <w:spacing w:line="400" w:lineRule="exact"/>
              <w:ind w:firstLine="420" w:firstLineChars="200"/>
              <w:rPr>
                <w:rFonts w:ascii="宋体" w:hAnsi="宋体"/>
                <w:color w:val="auto"/>
                <w:szCs w:val="21"/>
                <w:highlight w:val="none"/>
              </w:rPr>
            </w:pPr>
          </w:p>
        </w:tc>
      </w:tr>
      <w:tr w14:paraId="21DC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B7E803F">
            <w:pPr>
              <w:spacing w:line="400" w:lineRule="exact"/>
              <w:ind w:firstLine="420" w:firstLineChars="200"/>
              <w:rPr>
                <w:rFonts w:ascii="宋体" w:hAnsi="宋体"/>
                <w:color w:val="auto"/>
                <w:szCs w:val="21"/>
                <w:highlight w:val="none"/>
              </w:rPr>
            </w:pPr>
          </w:p>
        </w:tc>
        <w:tc>
          <w:tcPr>
            <w:tcW w:w="1418" w:type="dxa"/>
            <w:noWrap w:val="0"/>
            <w:vAlign w:val="center"/>
          </w:tcPr>
          <w:p w14:paraId="45BD1999">
            <w:pPr>
              <w:spacing w:line="400" w:lineRule="exact"/>
              <w:ind w:firstLine="420" w:firstLineChars="200"/>
              <w:rPr>
                <w:rFonts w:ascii="宋体" w:hAnsi="宋体"/>
                <w:color w:val="auto"/>
                <w:szCs w:val="21"/>
                <w:highlight w:val="none"/>
              </w:rPr>
            </w:pPr>
          </w:p>
        </w:tc>
        <w:tc>
          <w:tcPr>
            <w:tcW w:w="1418" w:type="dxa"/>
            <w:noWrap w:val="0"/>
            <w:vAlign w:val="center"/>
          </w:tcPr>
          <w:p w14:paraId="3D605833">
            <w:pPr>
              <w:spacing w:line="400" w:lineRule="exact"/>
              <w:ind w:firstLine="420" w:firstLineChars="200"/>
              <w:rPr>
                <w:rFonts w:ascii="宋体" w:hAnsi="宋体"/>
                <w:color w:val="auto"/>
                <w:szCs w:val="21"/>
                <w:highlight w:val="none"/>
              </w:rPr>
            </w:pPr>
          </w:p>
        </w:tc>
        <w:tc>
          <w:tcPr>
            <w:tcW w:w="2917" w:type="dxa"/>
            <w:noWrap w:val="0"/>
            <w:vAlign w:val="center"/>
          </w:tcPr>
          <w:p w14:paraId="5CCA7066">
            <w:pPr>
              <w:spacing w:line="400" w:lineRule="exact"/>
              <w:ind w:firstLine="420" w:firstLineChars="200"/>
              <w:rPr>
                <w:rFonts w:ascii="宋体" w:hAnsi="宋体"/>
                <w:color w:val="auto"/>
                <w:szCs w:val="21"/>
                <w:highlight w:val="none"/>
              </w:rPr>
            </w:pPr>
          </w:p>
        </w:tc>
      </w:tr>
      <w:tr w14:paraId="0FB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2221C38">
            <w:pPr>
              <w:spacing w:line="400" w:lineRule="exact"/>
              <w:ind w:firstLine="420" w:firstLineChars="200"/>
              <w:rPr>
                <w:rFonts w:ascii="宋体" w:hAnsi="宋体"/>
                <w:color w:val="auto"/>
                <w:szCs w:val="21"/>
                <w:highlight w:val="none"/>
              </w:rPr>
            </w:pPr>
          </w:p>
        </w:tc>
        <w:tc>
          <w:tcPr>
            <w:tcW w:w="1418" w:type="dxa"/>
            <w:noWrap w:val="0"/>
            <w:vAlign w:val="center"/>
          </w:tcPr>
          <w:p w14:paraId="198DEF12">
            <w:pPr>
              <w:spacing w:line="400" w:lineRule="exact"/>
              <w:ind w:firstLine="420" w:firstLineChars="200"/>
              <w:rPr>
                <w:rFonts w:ascii="宋体" w:hAnsi="宋体"/>
                <w:color w:val="auto"/>
                <w:szCs w:val="21"/>
                <w:highlight w:val="none"/>
              </w:rPr>
            </w:pPr>
          </w:p>
        </w:tc>
        <w:tc>
          <w:tcPr>
            <w:tcW w:w="1418" w:type="dxa"/>
            <w:noWrap w:val="0"/>
            <w:vAlign w:val="center"/>
          </w:tcPr>
          <w:p w14:paraId="680DCD4F">
            <w:pPr>
              <w:spacing w:line="400" w:lineRule="exact"/>
              <w:ind w:firstLine="420" w:firstLineChars="200"/>
              <w:rPr>
                <w:rFonts w:ascii="宋体" w:hAnsi="宋体"/>
                <w:color w:val="auto"/>
                <w:szCs w:val="21"/>
                <w:highlight w:val="none"/>
              </w:rPr>
            </w:pPr>
          </w:p>
        </w:tc>
        <w:tc>
          <w:tcPr>
            <w:tcW w:w="2917" w:type="dxa"/>
            <w:noWrap w:val="0"/>
            <w:vAlign w:val="center"/>
          </w:tcPr>
          <w:p w14:paraId="7F751779">
            <w:pPr>
              <w:spacing w:line="400" w:lineRule="exact"/>
              <w:ind w:firstLine="420" w:firstLineChars="200"/>
              <w:rPr>
                <w:rFonts w:ascii="宋体" w:hAnsi="宋体"/>
                <w:color w:val="auto"/>
                <w:szCs w:val="21"/>
                <w:highlight w:val="none"/>
              </w:rPr>
            </w:pPr>
          </w:p>
        </w:tc>
      </w:tr>
      <w:tr w14:paraId="422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7986AFC">
            <w:pPr>
              <w:spacing w:line="400" w:lineRule="exact"/>
              <w:ind w:firstLine="420" w:firstLineChars="200"/>
              <w:rPr>
                <w:rFonts w:ascii="宋体" w:hAnsi="宋体"/>
                <w:color w:val="auto"/>
                <w:szCs w:val="21"/>
                <w:highlight w:val="none"/>
              </w:rPr>
            </w:pPr>
          </w:p>
        </w:tc>
        <w:tc>
          <w:tcPr>
            <w:tcW w:w="1418" w:type="dxa"/>
            <w:noWrap w:val="0"/>
            <w:vAlign w:val="center"/>
          </w:tcPr>
          <w:p w14:paraId="65E562CD">
            <w:pPr>
              <w:spacing w:line="400" w:lineRule="exact"/>
              <w:ind w:firstLine="420" w:firstLineChars="200"/>
              <w:rPr>
                <w:rFonts w:ascii="宋体" w:hAnsi="宋体"/>
                <w:color w:val="auto"/>
                <w:szCs w:val="21"/>
                <w:highlight w:val="none"/>
              </w:rPr>
            </w:pPr>
          </w:p>
        </w:tc>
        <w:tc>
          <w:tcPr>
            <w:tcW w:w="1418" w:type="dxa"/>
            <w:noWrap w:val="0"/>
            <w:vAlign w:val="center"/>
          </w:tcPr>
          <w:p w14:paraId="57432F8C">
            <w:pPr>
              <w:spacing w:line="400" w:lineRule="exact"/>
              <w:ind w:firstLine="420" w:firstLineChars="200"/>
              <w:rPr>
                <w:rFonts w:ascii="宋体" w:hAnsi="宋体"/>
                <w:color w:val="auto"/>
                <w:szCs w:val="21"/>
                <w:highlight w:val="none"/>
              </w:rPr>
            </w:pPr>
          </w:p>
        </w:tc>
        <w:tc>
          <w:tcPr>
            <w:tcW w:w="2917" w:type="dxa"/>
            <w:noWrap w:val="0"/>
            <w:vAlign w:val="center"/>
          </w:tcPr>
          <w:p w14:paraId="040B0E13">
            <w:pPr>
              <w:spacing w:line="400" w:lineRule="exact"/>
              <w:ind w:firstLine="420" w:firstLineChars="200"/>
              <w:rPr>
                <w:rFonts w:ascii="宋体" w:hAnsi="宋体"/>
                <w:color w:val="auto"/>
                <w:szCs w:val="21"/>
                <w:highlight w:val="none"/>
              </w:rPr>
            </w:pPr>
          </w:p>
        </w:tc>
      </w:tr>
      <w:tr w14:paraId="1CE1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EDD5370">
            <w:pPr>
              <w:spacing w:line="400" w:lineRule="exact"/>
              <w:ind w:firstLine="420" w:firstLineChars="200"/>
              <w:rPr>
                <w:rFonts w:ascii="宋体" w:hAnsi="宋体"/>
                <w:color w:val="auto"/>
                <w:szCs w:val="21"/>
                <w:highlight w:val="none"/>
              </w:rPr>
            </w:pPr>
          </w:p>
        </w:tc>
        <w:tc>
          <w:tcPr>
            <w:tcW w:w="1418" w:type="dxa"/>
            <w:noWrap w:val="0"/>
            <w:vAlign w:val="center"/>
          </w:tcPr>
          <w:p w14:paraId="6D3E6152">
            <w:pPr>
              <w:spacing w:line="400" w:lineRule="exact"/>
              <w:ind w:firstLine="420" w:firstLineChars="200"/>
              <w:rPr>
                <w:rFonts w:ascii="宋体" w:hAnsi="宋体"/>
                <w:color w:val="auto"/>
                <w:szCs w:val="21"/>
                <w:highlight w:val="none"/>
              </w:rPr>
            </w:pPr>
          </w:p>
        </w:tc>
        <w:tc>
          <w:tcPr>
            <w:tcW w:w="1418" w:type="dxa"/>
            <w:noWrap w:val="0"/>
            <w:vAlign w:val="center"/>
          </w:tcPr>
          <w:p w14:paraId="38B7209F">
            <w:pPr>
              <w:spacing w:line="400" w:lineRule="exact"/>
              <w:ind w:firstLine="420" w:firstLineChars="200"/>
              <w:rPr>
                <w:rFonts w:ascii="宋体" w:hAnsi="宋体"/>
                <w:color w:val="auto"/>
                <w:szCs w:val="21"/>
                <w:highlight w:val="none"/>
              </w:rPr>
            </w:pPr>
          </w:p>
        </w:tc>
        <w:tc>
          <w:tcPr>
            <w:tcW w:w="2917" w:type="dxa"/>
            <w:noWrap w:val="0"/>
            <w:vAlign w:val="center"/>
          </w:tcPr>
          <w:p w14:paraId="56209CF7">
            <w:pPr>
              <w:spacing w:line="400" w:lineRule="exact"/>
              <w:ind w:firstLine="420" w:firstLineChars="200"/>
              <w:rPr>
                <w:rFonts w:ascii="宋体" w:hAnsi="宋体"/>
                <w:color w:val="auto"/>
                <w:szCs w:val="21"/>
                <w:highlight w:val="none"/>
              </w:rPr>
            </w:pPr>
          </w:p>
        </w:tc>
      </w:tr>
      <w:tr w14:paraId="39A3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099E37A6">
            <w:pPr>
              <w:spacing w:line="400" w:lineRule="exact"/>
              <w:ind w:firstLine="420" w:firstLineChars="200"/>
              <w:rPr>
                <w:rFonts w:ascii="宋体" w:hAnsi="宋体"/>
                <w:color w:val="auto"/>
                <w:szCs w:val="21"/>
                <w:highlight w:val="none"/>
              </w:rPr>
            </w:pPr>
          </w:p>
        </w:tc>
        <w:tc>
          <w:tcPr>
            <w:tcW w:w="1418" w:type="dxa"/>
            <w:noWrap w:val="0"/>
            <w:vAlign w:val="center"/>
          </w:tcPr>
          <w:p w14:paraId="52773FB6">
            <w:pPr>
              <w:spacing w:line="400" w:lineRule="exact"/>
              <w:ind w:firstLine="420" w:firstLineChars="200"/>
              <w:rPr>
                <w:rFonts w:ascii="宋体" w:hAnsi="宋体"/>
                <w:color w:val="auto"/>
                <w:szCs w:val="21"/>
                <w:highlight w:val="none"/>
              </w:rPr>
            </w:pPr>
          </w:p>
        </w:tc>
        <w:tc>
          <w:tcPr>
            <w:tcW w:w="1418" w:type="dxa"/>
            <w:noWrap w:val="0"/>
            <w:vAlign w:val="center"/>
          </w:tcPr>
          <w:p w14:paraId="35F91581">
            <w:pPr>
              <w:spacing w:line="400" w:lineRule="exact"/>
              <w:ind w:firstLine="420" w:firstLineChars="200"/>
              <w:rPr>
                <w:rFonts w:ascii="宋体" w:hAnsi="宋体"/>
                <w:color w:val="auto"/>
                <w:szCs w:val="21"/>
                <w:highlight w:val="none"/>
              </w:rPr>
            </w:pPr>
          </w:p>
        </w:tc>
        <w:tc>
          <w:tcPr>
            <w:tcW w:w="2917" w:type="dxa"/>
            <w:noWrap w:val="0"/>
            <w:vAlign w:val="center"/>
          </w:tcPr>
          <w:p w14:paraId="6B006622">
            <w:pPr>
              <w:spacing w:line="400" w:lineRule="exact"/>
              <w:ind w:firstLine="420" w:firstLineChars="200"/>
              <w:rPr>
                <w:rFonts w:ascii="宋体" w:hAnsi="宋体"/>
                <w:color w:val="auto"/>
                <w:szCs w:val="21"/>
                <w:highlight w:val="none"/>
              </w:rPr>
            </w:pPr>
          </w:p>
        </w:tc>
      </w:tr>
      <w:tr w14:paraId="3A38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08D0A299">
            <w:pPr>
              <w:spacing w:line="400" w:lineRule="exact"/>
              <w:ind w:firstLine="420" w:firstLineChars="200"/>
              <w:rPr>
                <w:rFonts w:ascii="宋体" w:hAnsi="宋体"/>
                <w:color w:val="auto"/>
                <w:szCs w:val="21"/>
                <w:highlight w:val="none"/>
              </w:rPr>
            </w:pPr>
          </w:p>
        </w:tc>
        <w:tc>
          <w:tcPr>
            <w:tcW w:w="1418" w:type="dxa"/>
            <w:noWrap w:val="0"/>
            <w:vAlign w:val="center"/>
          </w:tcPr>
          <w:p w14:paraId="4FE0FD7B">
            <w:pPr>
              <w:spacing w:line="400" w:lineRule="exact"/>
              <w:ind w:firstLine="420" w:firstLineChars="200"/>
              <w:rPr>
                <w:rFonts w:ascii="宋体" w:hAnsi="宋体"/>
                <w:color w:val="auto"/>
                <w:szCs w:val="21"/>
                <w:highlight w:val="none"/>
              </w:rPr>
            </w:pPr>
          </w:p>
        </w:tc>
        <w:tc>
          <w:tcPr>
            <w:tcW w:w="1418" w:type="dxa"/>
            <w:noWrap w:val="0"/>
            <w:vAlign w:val="center"/>
          </w:tcPr>
          <w:p w14:paraId="4AB4B7F7">
            <w:pPr>
              <w:spacing w:line="400" w:lineRule="exact"/>
              <w:ind w:firstLine="420" w:firstLineChars="200"/>
              <w:rPr>
                <w:rFonts w:ascii="宋体" w:hAnsi="宋体"/>
                <w:color w:val="auto"/>
                <w:szCs w:val="21"/>
                <w:highlight w:val="none"/>
              </w:rPr>
            </w:pPr>
          </w:p>
        </w:tc>
        <w:tc>
          <w:tcPr>
            <w:tcW w:w="2917" w:type="dxa"/>
            <w:noWrap w:val="0"/>
            <w:vAlign w:val="center"/>
          </w:tcPr>
          <w:p w14:paraId="57155919">
            <w:pPr>
              <w:spacing w:line="400" w:lineRule="exact"/>
              <w:ind w:firstLine="420" w:firstLineChars="200"/>
              <w:rPr>
                <w:rFonts w:ascii="宋体" w:hAnsi="宋体"/>
                <w:color w:val="auto"/>
                <w:szCs w:val="21"/>
                <w:highlight w:val="none"/>
              </w:rPr>
            </w:pPr>
          </w:p>
        </w:tc>
      </w:tr>
      <w:tr w14:paraId="07ED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ED89188">
            <w:pPr>
              <w:spacing w:line="400" w:lineRule="exact"/>
              <w:ind w:firstLine="420" w:firstLineChars="200"/>
              <w:rPr>
                <w:rFonts w:ascii="宋体" w:hAnsi="宋体"/>
                <w:color w:val="auto"/>
                <w:szCs w:val="21"/>
                <w:highlight w:val="none"/>
              </w:rPr>
            </w:pPr>
          </w:p>
        </w:tc>
        <w:tc>
          <w:tcPr>
            <w:tcW w:w="1418" w:type="dxa"/>
            <w:noWrap w:val="0"/>
            <w:vAlign w:val="center"/>
          </w:tcPr>
          <w:p w14:paraId="3AA68A8F">
            <w:pPr>
              <w:spacing w:line="400" w:lineRule="exact"/>
              <w:ind w:firstLine="420" w:firstLineChars="200"/>
              <w:rPr>
                <w:rFonts w:ascii="宋体" w:hAnsi="宋体"/>
                <w:color w:val="auto"/>
                <w:szCs w:val="21"/>
                <w:highlight w:val="none"/>
              </w:rPr>
            </w:pPr>
          </w:p>
        </w:tc>
        <w:tc>
          <w:tcPr>
            <w:tcW w:w="1418" w:type="dxa"/>
            <w:noWrap w:val="0"/>
            <w:vAlign w:val="center"/>
          </w:tcPr>
          <w:p w14:paraId="59262C32">
            <w:pPr>
              <w:spacing w:line="400" w:lineRule="exact"/>
              <w:ind w:firstLine="420" w:firstLineChars="200"/>
              <w:rPr>
                <w:rFonts w:ascii="宋体" w:hAnsi="宋体"/>
                <w:color w:val="auto"/>
                <w:szCs w:val="21"/>
                <w:highlight w:val="none"/>
              </w:rPr>
            </w:pPr>
          </w:p>
        </w:tc>
        <w:tc>
          <w:tcPr>
            <w:tcW w:w="2917" w:type="dxa"/>
            <w:noWrap w:val="0"/>
            <w:vAlign w:val="center"/>
          </w:tcPr>
          <w:p w14:paraId="6E2CFE3F">
            <w:pPr>
              <w:spacing w:line="400" w:lineRule="exact"/>
              <w:ind w:firstLine="420" w:firstLineChars="200"/>
              <w:rPr>
                <w:rFonts w:ascii="宋体" w:hAnsi="宋体"/>
                <w:color w:val="auto"/>
                <w:szCs w:val="21"/>
                <w:highlight w:val="none"/>
              </w:rPr>
            </w:pPr>
          </w:p>
        </w:tc>
      </w:tr>
      <w:tr w14:paraId="7721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3DFCDE0">
            <w:pPr>
              <w:spacing w:line="400" w:lineRule="exact"/>
              <w:ind w:firstLine="420" w:firstLineChars="200"/>
              <w:rPr>
                <w:rFonts w:ascii="宋体" w:hAnsi="宋体"/>
                <w:color w:val="auto"/>
                <w:szCs w:val="21"/>
                <w:highlight w:val="none"/>
              </w:rPr>
            </w:pPr>
          </w:p>
        </w:tc>
        <w:tc>
          <w:tcPr>
            <w:tcW w:w="1418" w:type="dxa"/>
            <w:noWrap w:val="0"/>
            <w:vAlign w:val="top"/>
          </w:tcPr>
          <w:p w14:paraId="6EE26A16">
            <w:pPr>
              <w:spacing w:line="400" w:lineRule="exact"/>
              <w:ind w:firstLine="420" w:firstLineChars="200"/>
              <w:rPr>
                <w:rFonts w:ascii="宋体" w:hAnsi="宋体"/>
                <w:color w:val="auto"/>
                <w:szCs w:val="21"/>
                <w:highlight w:val="none"/>
              </w:rPr>
            </w:pPr>
          </w:p>
        </w:tc>
        <w:tc>
          <w:tcPr>
            <w:tcW w:w="1418" w:type="dxa"/>
            <w:noWrap w:val="0"/>
            <w:vAlign w:val="top"/>
          </w:tcPr>
          <w:p w14:paraId="13324100">
            <w:pPr>
              <w:spacing w:line="400" w:lineRule="exact"/>
              <w:ind w:firstLine="420" w:firstLineChars="200"/>
              <w:rPr>
                <w:rFonts w:ascii="宋体" w:hAnsi="宋体"/>
                <w:color w:val="auto"/>
                <w:szCs w:val="21"/>
                <w:highlight w:val="none"/>
              </w:rPr>
            </w:pPr>
          </w:p>
        </w:tc>
        <w:tc>
          <w:tcPr>
            <w:tcW w:w="2917" w:type="dxa"/>
            <w:noWrap w:val="0"/>
            <w:vAlign w:val="top"/>
          </w:tcPr>
          <w:p w14:paraId="29ADA559">
            <w:pPr>
              <w:spacing w:line="400" w:lineRule="exact"/>
              <w:ind w:firstLine="420" w:firstLineChars="200"/>
              <w:rPr>
                <w:rFonts w:ascii="宋体" w:hAnsi="宋体"/>
                <w:color w:val="auto"/>
                <w:szCs w:val="21"/>
                <w:highlight w:val="none"/>
              </w:rPr>
            </w:pPr>
          </w:p>
        </w:tc>
      </w:tr>
      <w:tr w14:paraId="1F1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7B24AA9">
            <w:pPr>
              <w:spacing w:line="400" w:lineRule="exact"/>
              <w:ind w:firstLine="420" w:firstLineChars="200"/>
              <w:rPr>
                <w:rFonts w:ascii="宋体" w:hAnsi="宋体"/>
                <w:color w:val="auto"/>
                <w:szCs w:val="21"/>
                <w:highlight w:val="none"/>
              </w:rPr>
            </w:pPr>
          </w:p>
        </w:tc>
        <w:tc>
          <w:tcPr>
            <w:tcW w:w="1418" w:type="dxa"/>
            <w:noWrap w:val="0"/>
            <w:vAlign w:val="center"/>
          </w:tcPr>
          <w:p w14:paraId="54126C5F">
            <w:pPr>
              <w:spacing w:line="400" w:lineRule="exact"/>
              <w:ind w:firstLine="420" w:firstLineChars="200"/>
              <w:rPr>
                <w:rFonts w:ascii="宋体" w:hAnsi="宋体"/>
                <w:color w:val="auto"/>
                <w:szCs w:val="21"/>
                <w:highlight w:val="none"/>
              </w:rPr>
            </w:pPr>
          </w:p>
        </w:tc>
        <w:tc>
          <w:tcPr>
            <w:tcW w:w="1418" w:type="dxa"/>
            <w:noWrap w:val="0"/>
            <w:vAlign w:val="center"/>
          </w:tcPr>
          <w:p w14:paraId="441863AE">
            <w:pPr>
              <w:spacing w:line="400" w:lineRule="exact"/>
              <w:ind w:firstLine="420" w:firstLineChars="200"/>
              <w:rPr>
                <w:rFonts w:ascii="宋体" w:hAnsi="宋体"/>
                <w:color w:val="auto"/>
                <w:szCs w:val="21"/>
                <w:highlight w:val="none"/>
              </w:rPr>
            </w:pPr>
          </w:p>
        </w:tc>
        <w:tc>
          <w:tcPr>
            <w:tcW w:w="2917" w:type="dxa"/>
            <w:noWrap w:val="0"/>
            <w:vAlign w:val="center"/>
          </w:tcPr>
          <w:p w14:paraId="0F6120E8">
            <w:pPr>
              <w:spacing w:line="400" w:lineRule="exact"/>
              <w:ind w:firstLine="420" w:firstLineChars="200"/>
              <w:rPr>
                <w:rFonts w:ascii="宋体" w:hAnsi="宋体"/>
                <w:color w:val="auto"/>
                <w:szCs w:val="21"/>
                <w:highlight w:val="none"/>
              </w:rPr>
            </w:pPr>
          </w:p>
        </w:tc>
      </w:tr>
      <w:tr w14:paraId="7150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15D3244C">
            <w:pPr>
              <w:spacing w:line="400" w:lineRule="exact"/>
              <w:ind w:firstLine="420" w:firstLineChars="200"/>
              <w:rPr>
                <w:rFonts w:ascii="宋体" w:hAnsi="宋体"/>
                <w:color w:val="auto"/>
                <w:szCs w:val="21"/>
                <w:highlight w:val="none"/>
              </w:rPr>
            </w:pPr>
          </w:p>
        </w:tc>
        <w:tc>
          <w:tcPr>
            <w:tcW w:w="1418" w:type="dxa"/>
            <w:noWrap w:val="0"/>
            <w:vAlign w:val="top"/>
          </w:tcPr>
          <w:p w14:paraId="54AA991F">
            <w:pPr>
              <w:spacing w:line="400" w:lineRule="exact"/>
              <w:ind w:firstLine="420" w:firstLineChars="200"/>
              <w:rPr>
                <w:rFonts w:ascii="宋体" w:hAnsi="宋体"/>
                <w:color w:val="auto"/>
                <w:szCs w:val="21"/>
                <w:highlight w:val="none"/>
              </w:rPr>
            </w:pPr>
          </w:p>
        </w:tc>
        <w:tc>
          <w:tcPr>
            <w:tcW w:w="1418" w:type="dxa"/>
            <w:noWrap w:val="0"/>
            <w:vAlign w:val="top"/>
          </w:tcPr>
          <w:p w14:paraId="673FA8EA">
            <w:pPr>
              <w:spacing w:line="400" w:lineRule="exact"/>
              <w:ind w:firstLine="420" w:firstLineChars="200"/>
              <w:rPr>
                <w:rFonts w:ascii="宋体" w:hAnsi="宋体"/>
                <w:color w:val="auto"/>
                <w:szCs w:val="21"/>
                <w:highlight w:val="none"/>
              </w:rPr>
            </w:pPr>
          </w:p>
        </w:tc>
        <w:tc>
          <w:tcPr>
            <w:tcW w:w="2917" w:type="dxa"/>
            <w:noWrap w:val="0"/>
            <w:vAlign w:val="top"/>
          </w:tcPr>
          <w:p w14:paraId="4FF8C353">
            <w:pPr>
              <w:spacing w:line="400" w:lineRule="exact"/>
              <w:ind w:firstLine="420" w:firstLineChars="200"/>
              <w:rPr>
                <w:rFonts w:ascii="宋体" w:hAnsi="宋体"/>
                <w:color w:val="auto"/>
                <w:szCs w:val="21"/>
                <w:highlight w:val="none"/>
              </w:rPr>
            </w:pPr>
          </w:p>
        </w:tc>
      </w:tr>
      <w:tr w14:paraId="5BC4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3F9D343">
            <w:pPr>
              <w:spacing w:line="400" w:lineRule="exact"/>
              <w:ind w:firstLine="420" w:firstLineChars="200"/>
              <w:rPr>
                <w:rFonts w:ascii="宋体" w:hAnsi="宋体"/>
                <w:color w:val="auto"/>
                <w:szCs w:val="21"/>
                <w:highlight w:val="none"/>
              </w:rPr>
            </w:pPr>
          </w:p>
        </w:tc>
        <w:tc>
          <w:tcPr>
            <w:tcW w:w="1418" w:type="dxa"/>
            <w:noWrap w:val="0"/>
            <w:vAlign w:val="top"/>
          </w:tcPr>
          <w:p w14:paraId="463C8AF3">
            <w:pPr>
              <w:spacing w:line="400" w:lineRule="exact"/>
              <w:ind w:firstLine="420" w:firstLineChars="200"/>
              <w:rPr>
                <w:rFonts w:ascii="宋体" w:hAnsi="宋体"/>
                <w:color w:val="auto"/>
                <w:szCs w:val="21"/>
                <w:highlight w:val="none"/>
              </w:rPr>
            </w:pPr>
          </w:p>
        </w:tc>
        <w:tc>
          <w:tcPr>
            <w:tcW w:w="1418" w:type="dxa"/>
            <w:noWrap w:val="0"/>
            <w:vAlign w:val="top"/>
          </w:tcPr>
          <w:p w14:paraId="79544A22">
            <w:pPr>
              <w:spacing w:line="400" w:lineRule="exact"/>
              <w:ind w:firstLine="420" w:firstLineChars="200"/>
              <w:rPr>
                <w:rFonts w:ascii="宋体" w:hAnsi="宋体"/>
                <w:color w:val="auto"/>
                <w:szCs w:val="21"/>
                <w:highlight w:val="none"/>
              </w:rPr>
            </w:pPr>
          </w:p>
        </w:tc>
        <w:tc>
          <w:tcPr>
            <w:tcW w:w="2917" w:type="dxa"/>
            <w:noWrap w:val="0"/>
            <w:vAlign w:val="top"/>
          </w:tcPr>
          <w:p w14:paraId="22375DA1">
            <w:pPr>
              <w:spacing w:line="400" w:lineRule="exact"/>
              <w:ind w:firstLine="420" w:firstLineChars="200"/>
              <w:rPr>
                <w:rFonts w:ascii="宋体" w:hAnsi="宋体"/>
                <w:color w:val="auto"/>
                <w:szCs w:val="21"/>
                <w:highlight w:val="none"/>
              </w:rPr>
            </w:pPr>
          </w:p>
        </w:tc>
      </w:tr>
      <w:tr w14:paraId="0A27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923DFE4">
            <w:pPr>
              <w:spacing w:line="400" w:lineRule="exact"/>
              <w:ind w:firstLine="420" w:firstLineChars="200"/>
              <w:rPr>
                <w:rFonts w:ascii="宋体" w:hAnsi="宋体"/>
                <w:color w:val="auto"/>
                <w:szCs w:val="21"/>
                <w:highlight w:val="none"/>
              </w:rPr>
            </w:pPr>
          </w:p>
        </w:tc>
        <w:tc>
          <w:tcPr>
            <w:tcW w:w="1418" w:type="dxa"/>
            <w:noWrap w:val="0"/>
            <w:vAlign w:val="top"/>
          </w:tcPr>
          <w:p w14:paraId="1A706C2B">
            <w:pPr>
              <w:spacing w:line="400" w:lineRule="exact"/>
              <w:ind w:firstLine="420" w:firstLineChars="200"/>
              <w:rPr>
                <w:rFonts w:ascii="宋体" w:hAnsi="宋体"/>
                <w:color w:val="auto"/>
                <w:szCs w:val="21"/>
                <w:highlight w:val="none"/>
              </w:rPr>
            </w:pPr>
          </w:p>
        </w:tc>
        <w:tc>
          <w:tcPr>
            <w:tcW w:w="1418" w:type="dxa"/>
            <w:noWrap w:val="0"/>
            <w:vAlign w:val="top"/>
          </w:tcPr>
          <w:p w14:paraId="6517D1C0">
            <w:pPr>
              <w:spacing w:line="400" w:lineRule="exact"/>
              <w:ind w:firstLine="420" w:firstLineChars="200"/>
              <w:rPr>
                <w:rFonts w:ascii="宋体" w:hAnsi="宋体"/>
                <w:color w:val="auto"/>
                <w:szCs w:val="21"/>
                <w:highlight w:val="none"/>
              </w:rPr>
            </w:pPr>
          </w:p>
        </w:tc>
        <w:tc>
          <w:tcPr>
            <w:tcW w:w="2917" w:type="dxa"/>
            <w:noWrap w:val="0"/>
            <w:vAlign w:val="top"/>
          </w:tcPr>
          <w:p w14:paraId="6264EE9F">
            <w:pPr>
              <w:spacing w:line="400" w:lineRule="exact"/>
              <w:ind w:firstLine="420" w:firstLineChars="200"/>
              <w:rPr>
                <w:rFonts w:ascii="宋体" w:hAnsi="宋体"/>
                <w:color w:val="auto"/>
                <w:szCs w:val="21"/>
                <w:highlight w:val="none"/>
              </w:rPr>
            </w:pPr>
          </w:p>
        </w:tc>
      </w:tr>
      <w:tr w14:paraId="4780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EB84AD7">
            <w:pPr>
              <w:spacing w:line="400" w:lineRule="exact"/>
              <w:ind w:firstLine="420" w:firstLineChars="200"/>
              <w:rPr>
                <w:rFonts w:ascii="宋体" w:hAnsi="宋体"/>
                <w:color w:val="auto"/>
                <w:szCs w:val="21"/>
                <w:highlight w:val="none"/>
              </w:rPr>
            </w:pPr>
          </w:p>
        </w:tc>
        <w:tc>
          <w:tcPr>
            <w:tcW w:w="1418" w:type="dxa"/>
            <w:noWrap w:val="0"/>
            <w:vAlign w:val="top"/>
          </w:tcPr>
          <w:p w14:paraId="191B261F">
            <w:pPr>
              <w:spacing w:line="400" w:lineRule="exact"/>
              <w:ind w:firstLine="420" w:firstLineChars="200"/>
              <w:rPr>
                <w:rFonts w:ascii="宋体" w:hAnsi="宋体"/>
                <w:color w:val="auto"/>
                <w:szCs w:val="21"/>
                <w:highlight w:val="none"/>
              </w:rPr>
            </w:pPr>
          </w:p>
        </w:tc>
        <w:tc>
          <w:tcPr>
            <w:tcW w:w="1418" w:type="dxa"/>
            <w:noWrap w:val="0"/>
            <w:vAlign w:val="top"/>
          </w:tcPr>
          <w:p w14:paraId="2D2069AE">
            <w:pPr>
              <w:spacing w:line="400" w:lineRule="exact"/>
              <w:ind w:firstLine="420" w:firstLineChars="200"/>
              <w:rPr>
                <w:rFonts w:ascii="宋体" w:hAnsi="宋体"/>
                <w:color w:val="auto"/>
                <w:szCs w:val="21"/>
                <w:highlight w:val="none"/>
              </w:rPr>
            </w:pPr>
          </w:p>
        </w:tc>
        <w:tc>
          <w:tcPr>
            <w:tcW w:w="2917" w:type="dxa"/>
            <w:noWrap w:val="0"/>
            <w:vAlign w:val="top"/>
          </w:tcPr>
          <w:p w14:paraId="725312AA">
            <w:pPr>
              <w:spacing w:line="400" w:lineRule="exact"/>
              <w:ind w:firstLine="420" w:firstLineChars="200"/>
              <w:rPr>
                <w:rFonts w:ascii="宋体" w:hAnsi="宋体"/>
                <w:color w:val="auto"/>
                <w:szCs w:val="21"/>
                <w:highlight w:val="none"/>
              </w:rPr>
            </w:pPr>
          </w:p>
        </w:tc>
      </w:tr>
      <w:tr w14:paraId="7F6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26E6C1D">
            <w:pPr>
              <w:spacing w:line="400" w:lineRule="exact"/>
              <w:ind w:firstLine="420" w:firstLineChars="200"/>
              <w:rPr>
                <w:rFonts w:ascii="宋体" w:hAnsi="宋体"/>
                <w:color w:val="auto"/>
                <w:szCs w:val="21"/>
                <w:highlight w:val="none"/>
              </w:rPr>
            </w:pPr>
          </w:p>
        </w:tc>
        <w:tc>
          <w:tcPr>
            <w:tcW w:w="1418" w:type="dxa"/>
            <w:noWrap w:val="0"/>
            <w:vAlign w:val="top"/>
          </w:tcPr>
          <w:p w14:paraId="4B4B1704">
            <w:pPr>
              <w:spacing w:line="400" w:lineRule="exact"/>
              <w:ind w:firstLine="420" w:firstLineChars="200"/>
              <w:rPr>
                <w:rFonts w:ascii="宋体" w:hAnsi="宋体"/>
                <w:color w:val="auto"/>
                <w:szCs w:val="21"/>
                <w:highlight w:val="none"/>
              </w:rPr>
            </w:pPr>
          </w:p>
        </w:tc>
        <w:tc>
          <w:tcPr>
            <w:tcW w:w="1418" w:type="dxa"/>
            <w:noWrap w:val="0"/>
            <w:vAlign w:val="top"/>
          </w:tcPr>
          <w:p w14:paraId="702373FE">
            <w:pPr>
              <w:spacing w:line="400" w:lineRule="exact"/>
              <w:ind w:firstLine="420" w:firstLineChars="200"/>
              <w:rPr>
                <w:rFonts w:ascii="宋体" w:hAnsi="宋体"/>
                <w:color w:val="auto"/>
                <w:szCs w:val="21"/>
                <w:highlight w:val="none"/>
              </w:rPr>
            </w:pPr>
          </w:p>
        </w:tc>
        <w:tc>
          <w:tcPr>
            <w:tcW w:w="2917" w:type="dxa"/>
            <w:noWrap w:val="0"/>
            <w:vAlign w:val="top"/>
          </w:tcPr>
          <w:p w14:paraId="27665969">
            <w:pPr>
              <w:spacing w:line="400" w:lineRule="exact"/>
              <w:ind w:firstLine="420" w:firstLineChars="200"/>
              <w:rPr>
                <w:rFonts w:ascii="宋体" w:hAnsi="宋体"/>
                <w:color w:val="auto"/>
                <w:szCs w:val="21"/>
                <w:highlight w:val="none"/>
              </w:rPr>
            </w:pPr>
          </w:p>
        </w:tc>
      </w:tr>
      <w:tr w14:paraId="6CCE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FC81DA7">
            <w:pPr>
              <w:spacing w:line="400" w:lineRule="exact"/>
              <w:ind w:firstLine="420" w:firstLineChars="200"/>
              <w:rPr>
                <w:rFonts w:ascii="宋体" w:hAnsi="宋体"/>
                <w:color w:val="auto"/>
                <w:szCs w:val="21"/>
                <w:highlight w:val="none"/>
              </w:rPr>
            </w:pPr>
          </w:p>
        </w:tc>
        <w:tc>
          <w:tcPr>
            <w:tcW w:w="1418" w:type="dxa"/>
            <w:noWrap w:val="0"/>
            <w:vAlign w:val="top"/>
          </w:tcPr>
          <w:p w14:paraId="60A86ACB">
            <w:pPr>
              <w:spacing w:line="400" w:lineRule="exact"/>
              <w:ind w:firstLine="420" w:firstLineChars="200"/>
              <w:rPr>
                <w:rFonts w:ascii="宋体" w:hAnsi="宋体"/>
                <w:color w:val="auto"/>
                <w:szCs w:val="21"/>
                <w:highlight w:val="none"/>
              </w:rPr>
            </w:pPr>
          </w:p>
        </w:tc>
        <w:tc>
          <w:tcPr>
            <w:tcW w:w="1418" w:type="dxa"/>
            <w:noWrap w:val="0"/>
            <w:vAlign w:val="top"/>
          </w:tcPr>
          <w:p w14:paraId="1C088779">
            <w:pPr>
              <w:spacing w:line="400" w:lineRule="exact"/>
              <w:ind w:firstLine="420" w:firstLineChars="200"/>
              <w:rPr>
                <w:rFonts w:ascii="宋体" w:hAnsi="宋体"/>
                <w:color w:val="auto"/>
                <w:szCs w:val="21"/>
                <w:highlight w:val="none"/>
              </w:rPr>
            </w:pPr>
          </w:p>
        </w:tc>
        <w:tc>
          <w:tcPr>
            <w:tcW w:w="2917" w:type="dxa"/>
            <w:noWrap w:val="0"/>
            <w:vAlign w:val="top"/>
          </w:tcPr>
          <w:p w14:paraId="4E199A22">
            <w:pPr>
              <w:spacing w:line="400" w:lineRule="exact"/>
              <w:ind w:firstLine="420" w:firstLineChars="200"/>
              <w:rPr>
                <w:rFonts w:ascii="宋体" w:hAnsi="宋体"/>
                <w:color w:val="auto"/>
                <w:szCs w:val="21"/>
                <w:highlight w:val="none"/>
              </w:rPr>
            </w:pPr>
          </w:p>
        </w:tc>
      </w:tr>
      <w:tr w14:paraId="0FE8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3CB87FF">
            <w:pPr>
              <w:spacing w:line="400" w:lineRule="exact"/>
              <w:ind w:firstLine="420" w:firstLineChars="200"/>
              <w:rPr>
                <w:rFonts w:ascii="宋体" w:hAnsi="宋体"/>
                <w:color w:val="auto"/>
                <w:szCs w:val="21"/>
                <w:highlight w:val="none"/>
              </w:rPr>
            </w:pPr>
          </w:p>
        </w:tc>
        <w:tc>
          <w:tcPr>
            <w:tcW w:w="1418" w:type="dxa"/>
            <w:noWrap w:val="0"/>
            <w:vAlign w:val="top"/>
          </w:tcPr>
          <w:p w14:paraId="12CF929D">
            <w:pPr>
              <w:spacing w:line="400" w:lineRule="exact"/>
              <w:ind w:firstLine="420" w:firstLineChars="200"/>
              <w:rPr>
                <w:rFonts w:ascii="宋体" w:hAnsi="宋体"/>
                <w:color w:val="auto"/>
                <w:szCs w:val="21"/>
                <w:highlight w:val="none"/>
              </w:rPr>
            </w:pPr>
          </w:p>
        </w:tc>
        <w:tc>
          <w:tcPr>
            <w:tcW w:w="1418" w:type="dxa"/>
            <w:noWrap w:val="0"/>
            <w:vAlign w:val="top"/>
          </w:tcPr>
          <w:p w14:paraId="27F4DBA5">
            <w:pPr>
              <w:spacing w:line="400" w:lineRule="exact"/>
              <w:ind w:firstLine="420" w:firstLineChars="200"/>
              <w:rPr>
                <w:rFonts w:ascii="宋体" w:hAnsi="宋体"/>
                <w:color w:val="auto"/>
                <w:szCs w:val="21"/>
                <w:highlight w:val="none"/>
              </w:rPr>
            </w:pPr>
          </w:p>
        </w:tc>
        <w:tc>
          <w:tcPr>
            <w:tcW w:w="2917" w:type="dxa"/>
            <w:noWrap w:val="0"/>
            <w:vAlign w:val="top"/>
          </w:tcPr>
          <w:p w14:paraId="42473837">
            <w:pPr>
              <w:spacing w:line="400" w:lineRule="exact"/>
              <w:ind w:firstLine="420" w:firstLineChars="200"/>
              <w:rPr>
                <w:rFonts w:ascii="宋体" w:hAnsi="宋体"/>
                <w:color w:val="auto"/>
                <w:szCs w:val="21"/>
                <w:highlight w:val="none"/>
              </w:rPr>
            </w:pPr>
          </w:p>
        </w:tc>
      </w:tr>
      <w:tr w14:paraId="0EB3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C7A65FE">
            <w:pPr>
              <w:spacing w:line="400" w:lineRule="exact"/>
              <w:ind w:firstLine="420" w:firstLineChars="200"/>
              <w:rPr>
                <w:rFonts w:ascii="宋体" w:hAnsi="宋体"/>
                <w:color w:val="auto"/>
                <w:szCs w:val="21"/>
                <w:highlight w:val="none"/>
              </w:rPr>
            </w:pPr>
          </w:p>
        </w:tc>
        <w:tc>
          <w:tcPr>
            <w:tcW w:w="1418" w:type="dxa"/>
            <w:noWrap w:val="0"/>
            <w:vAlign w:val="top"/>
          </w:tcPr>
          <w:p w14:paraId="663B26A3">
            <w:pPr>
              <w:spacing w:line="400" w:lineRule="exact"/>
              <w:ind w:firstLine="420" w:firstLineChars="200"/>
              <w:rPr>
                <w:rFonts w:ascii="宋体" w:hAnsi="宋体"/>
                <w:color w:val="auto"/>
                <w:szCs w:val="21"/>
                <w:highlight w:val="none"/>
              </w:rPr>
            </w:pPr>
          </w:p>
        </w:tc>
        <w:tc>
          <w:tcPr>
            <w:tcW w:w="1418" w:type="dxa"/>
            <w:noWrap w:val="0"/>
            <w:vAlign w:val="top"/>
          </w:tcPr>
          <w:p w14:paraId="7FE22CE7">
            <w:pPr>
              <w:spacing w:line="400" w:lineRule="exact"/>
              <w:ind w:firstLine="420" w:firstLineChars="200"/>
              <w:rPr>
                <w:rFonts w:ascii="宋体" w:hAnsi="宋体"/>
                <w:color w:val="auto"/>
                <w:szCs w:val="21"/>
                <w:highlight w:val="none"/>
              </w:rPr>
            </w:pPr>
          </w:p>
        </w:tc>
        <w:tc>
          <w:tcPr>
            <w:tcW w:w="2917" w:type="dxa"/>
            <w:noWrap w:val="0"/>
            <w:vAlign w:val="top"/>
          </w:tcPr>
          <w:p w14:paraId="49AC554D">
            <w:pPr>
              <w:spacing w:line="400" w:lineRule="exact"/>
              <w:ind w:firstLine="420" w:firstLineChars="200"/>
              <w:rPr>
                <w:rFonts w:ascii="宋体" w:hAnsi="宋体"/>
                <w:color w:val="auto"/>
                <w:szCs w:val="21"/>
                <w:highlight w:val="none"/>
              </w:rPr>
            </w:pPr>
          </w:p>
        </w:tc>
      </w:tr>
    </w:tbl>
    <w:p w14:paraId="6172FC03">
      <w:pPr>
        <w:spacing w:line="360" w:lineRule="auto"/>
        <w:ind w:firstLine="420" w:firstLineChars="200"/>
        <w:rPr>
          <w:rFonts w:ascii="宋体" w:hAnsi="宋体"/>
          <w:color w:val="auto"/>
          <w:szCs w:val="21"/>
          <w:highlight w:val="none"/>
        </w:rPr>
      </w:pPr>
    </w:p>
    <w:p w14:paraId="4D88EB80">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364" w:name="_Toc296503228"/>
      <w:bookmarkStart w:id="1365" w:name="_Toc296944567"/>
      <w:bookmarkStart w:id="1366" w:name="_Toc267261699"/>
      <w:bookmarkStart w:id="1367" w:name="_Toc296346729"/>
      <w:bookmarkStart w:id="1368" w:name="_Toc296891268"/>
      <w:bookmarkStart w:id="1369" w:name="_Toc296891056"/>
      <w:bookmarkStart w:id="1370" w:name="_Toc296347227"/>
      <w:r>
        <w:rPr>
          <w:rFonts w:hint="eastAsia" w:ascii="宋体" w:hAnsi="宋体"/>
          <w:color w:val="auto"/>
          <w:szCs w:val="21"/>
          <w:highlight w:val="none"/>
        </w:rPr>
        <w:t>件3：</w:t>
      </w:r>
    </w:p>
    <w:bookmarkEnd w:id="1364"/>
    <w:bookmarkEnd w:id="1365"/>
    <w:bookmarkEnd w:id="1366"/>
    <w:bookmarkEnd w:id="1367"/>
    <w:bookmarkEnd w:id="1368"/>
    <w:bookmarkEnd w:id="1369"/>
    <w:bookmarkEnd w:id="1370"/>
    <w:p w14:paraId="1D465565">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648"/>
        <w:gridCol w:w="1328"/>
        <w:gridCol w:w="3544"/>
      </w:tblGrid>
      <w:tr w14:paraId="5439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89F6AE9">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14:paraId="6E96F6E5">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648" w:type="dxa"/>
            <w:noWrap w:val="0"/>
            <w:vAlign w:val="center"/>
          </w:tcPr>
          <w:p w14:paraId="558BDF51">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328" w:type="dxa"/>
            <w:noWrap w:val="0"/>
            <w:vAlign w:val="center"/>
          </w:tcPr>
          <w:p w14:paraId="283B4A62">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3544" w:type="dxa"/>
            <w:noWrap w:val="0"/>
            <w:vAlign w:val="center"/>
          </w:tcPr>
          <w:p w14:paraId="167B380E">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2B3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9809" w:type="dxa"/>
            <w:gridSpan w:val="5"/>
            <w:noWrap w:val="0"/>
            <w:vAlign w:val="center"/>
          </w:tcPr>
          <w:p w14:paraId="07C40C07">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42EA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C521BA">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14:paraId="311F4AF1">
            <w:pPr>
              <w:spacing w:line="400" w:lineRule="exact"/>
              <w:ind w:firstLine="420" w:firstLineChars="200"/>
              <w:rPr>
                <w:rFonts w:ascii="宋体" w:hAnsi="宋体"/>
                <w:color w:val="auto"/>
                <w:szCs w:val="21"/>
                <w:highlight w:val="none"/>
              </w:rPr>
            </w:pPr>
          </w:p>
        </w:tc>
        <w:tc>
          <w:tcPr>
            <w:tcW w:w="1648" w:type="dxa"/>
            <w:noWrap w:val="0"/>
            <w:vAlign w:val="center"/>
          </w:tcPr>
          <w:p w14:paraId="78EF577A">
            <w:pPr>
              <w:spacing w:line="400" w:lineRule="exact"/>
              <w:jc w:val="center"/>
              <w:rPr>
                <w:rFonts w:ascii="宋体" w:hAnsi="宋体"/>
                <w:color w:val="auto"/>
                <w:szCs w:val="21"/>
                <w:highlight w:val="none"/>
              </w:rPr>
            </w:pPr>
          </w:p>
        </w:tc>
        <w:tc>
          <w:tcPr>
            <w:tcW w:w="1328" w:type="dxa"/>
            <w:noWrap w:val="0"/>
            <w:vAlign w:val="center"/>
          </w:tcPr>
          <w:p w14:paraId="14BD3F9D">
            <w:pPr>
              <w:spacing w:line="400" w:lineRule="exact"/>
              <w:jc w:val="center"/>
              <w:rPr>
                <w:rFonts w:ascii="宋体" w:hAnsi="宋体"/>
                <w:color w:val="auto"/>
                <w:szCs w:val="21"/>
                <w:highlight w:val="none"/>
              </w:rPr>
            </w:pPr>
          </w:p>
        </w:tc>
        <w:tc>
          <w:tcPr>
            <w:tcW w:w="3544" w:type="dxa"/>
            <w:noWrap w:val="0"/>
            <w:vAlign w:val="center"/>
          </w:tcPr>
          <w:p w14:paraId="2A266AD4">
            <w:pPr>
              <w:spacing w:line="400" w:lineRule="exact"/>
              <w:ind w:firstLine="420" w:firstLineChars="200"/>
              <w:rPr>
                <w:rFonts w:ascii="宋体" w:hAnsi="宋体"/>
                <w:color w:val="auto"/>
                <w:szCs w:val="21"/>
                <w:highlight w:val="none"/>
              </w:rPr>
            </w:pPr>
          </w:p>
        </w:tc>
      </w:tr>
      <w:tr w14:paraId="3F0D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85F18AB">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379CD062">
            <w:pPr>
              <w:spacing w:line="400" w:lineRule="exact"/>
              <w:jc w:val="center"/>
              <w:rPr>
                <w:rFonts w:ascii="宋体" w:hAnsi="宋体"/>
                <w:color w:val="auto"/>
                <w:szCs w:val="21"/>
                <w:highlight w:val="none"/>
              </w:rPr>
            </w:pPr>
          </w:p>
        </w:tc>
        <w:tc>
          <w:tcPr>
            <w:tcW w:w="1648" w:type="dxa"/>
            <w:noWrap w:val="0"/>
            <w:vAlign w:val="center"/>
          </w:tcPr>
          <w:p w14:paraId="6756760D">
            <w:pPr>
              <w:spacing w:line="400" w:lineRule="exact"/>
              <w:jc w:val="center"/>
              <w:rPr>
                <w:rFonts w:ascii="宋体" w:hAnsi="宋体"/>
                <w:color w:val="auto"/>
                <w:szCs w:val="21"/>
                <w:highlight w:val="none"/>
              </w:rPr>
            </w:pPr>
          </w:p>
        </w:tc>
        <w:tc>
          <w:tcPr>
            <w:tcW w:w="1328" w:type="dxa"/>
            <w:noWrap w:val="0"/>
            <w:vAlign w:val="center"/>
          </w:tcPr>
          <w:p w14:paraId="4D44D762">
            <w:pPr>
              <w:spacing w:line="400" w:lineRule="exact"/>
              <w:jc w:val="center"/>
              <w:rPr>
                <w:rFonts w:ascii="宋体" w:hAnsi="宋体"/>
                <w:color w:val="auto"/>
                <w:szCs w:val="21"/>
                <w:highlight w:val="none"/>
              </w:rPr>
            </w:pPr>
          </w:p>
        </w:tc>
        <w:tc>
          <w:tcPr>
            <w:tcW w:w="3544" w:type="dxa"/>
            <w:noWrap w:val="0"/>
            <w:vAlign w:val="center"/>
          </w:tcPr>
          <w:p w14:paraId="1364B9BC">
            <w:pPr>
              <w:spacing w:line="400" w:lineRule="exact"/>
              <w:ind w:firstLine="420" w:firstLineChars="200"/>
              <w:rPr>
                <w:rFonts w:ascii="宋体" w:hAnsi="宋体"/>
                <w:color w:val="auto"/>
                <w:szCs w:val="21"/>
                <w:highlight w:val="none"/>
              </w:rPr>
            </w:pPr>
          </w:p>
        </w:tc>
      </w:tr>
      <w:tr w14:paraId="1FED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C20ED27">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0E4A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745FF2">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17313C6E">
            <w:pPr>
              <w:spacing w:line="400" w:lineRule="exact"/>
              <w:jc w:val="center"/>
              <w:rPr>
                <w:rFonts w:ascii="宋体" w:hAnsi="宋体"/>
                <w:color w:val="auto"/>
                <w:szCs w:val="21"/>
                <w:highlight w:val="none"/>
              </w:rPr>
            </w:pPr>
          </w:p>
        </w:tc>
        <w:tc>
          <w:tcPr>
            <w:tcW w:w="1648" w:type="dxa"/>
            <w:noWrap w:val="0"/>
            <w:vAlign w:val="center"/>
          </w:tcPr>
          <w:p w14:paraId="218E3419">
            <w:pPr>
              <w:spacing w:line="400" w:lineRule="exact"/>
              <w:jc w:val="center"/>
              <w:rPr>
                <w:rFonts w:ascii="宋体" w:hAnsi="宋体"/>
                <w:color w:val="auto"/>
                <w:szCs w:val="21"/>
                <w:highlight w:val="none"/>
              </w:rPr>
            </w:pPr>
          </w:p>
        </w:tc>
        <w:tc>
          <w:tcPr>
            <w:tcW w:w="1328" w:type="dxa"/>
            <w:noWrap w:val="0"/>
            <w:vAlign w:val="center"/>
          </w:tcPr>
          <w:p w14:paraId="172F3345">
            <w:pPr>
              <w:spacing w:line="400" w:lineRule="exact"/>
              <w:jc w:val="center"/>
              <w:rPr>
                <w:rFonts w:ascii="宋体" w:hAnsi="宋体"/>
                <w:color w:val="auto"/>
                <w:szCs w:val="21"/>
                <w:highlight w:val="none"/>
              </w:rPr>
            </w:pPr>
          </w:p>
        </w:tc>
        <w:tc>
          <w:tcPr>
            <w:tcW w:w="3544" w:type="dxa"/>
            <w:noWrap w:val="0"/>
            <w:vAlign w:val="center"/>
          </w:tcPr>
          <w:p w14:paraId="16A8C56C">
            <w:pPr>
              <w:spacing w:line="400" w:lineRule="exact"/>
              <w:ind w:firstLine="420" w:firstLineChars="200"/>
              <w:jc w:val="center"/>
              <w:rPr>
                <w:rFonts w:ascii="宋体" w:hAnsi="宋体"/>
                <w:color w:val="auto"/>
                <w:szCs w:val="21"/>
                <w:highlight w:val="none"/>
              </w:rPr>
            </w:pPr>
          </w:p>
        </w:tc>
      </w:tr>
      <w:tr w14:paraId="79E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56D4ECA">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1AD6273D">
            <w:pPr>
              <w:spacing w:line="400" w:lineRule="exact"/>
              <w:jc w:val="center"/>
              <w:rPr>
                <w:rFonts w:ascii="宋体" w:hAnsi="宋体"/>
                <w:color w:val="auto"/>
                <w:szCs w:val="21"/>
                <w:highlight w:val="none"/>
              </w:rPr>
            </w:pPr>
          </w:p>
        </w:tc>
        <w:tc>
          <w:tcPr>
            <w:tcW w:w="1648" w:type="dxa"/>
            <w:noWrap w:val="0"/>
            <w:vAlign w:val="center"/>
          </w:tcPr>
          <w:p w14:paraId="78A4775A">
            <w:pPr>
              <w:spacing w:line="400" w:lineRule="exact"/>
              <w:jc w:val="center"/>
              <w:rPr>
                <w:rFonts w:ascii="宋体" w:hAnsi="宋体"/>
                <w:color w:val="auto"/>
                <w:szCs w:val="21"/>
                <w:highlight w:val="none"/>
              </w:rPr>
            </w:pPr>
          </w:p>
        </w:tc>
        <w:tc>
          <w:tcPr>
            <w:tcW w:w="1328" w:type="dxa"/>
            <w:noWrap w:val="0"/>
            <w:vAlign w:val="center"/>
          </w:tcPr>
          <w:p w14:paraId="34653C94">
            <w:pPr>
              <w:spacing w:line="400" w:lineRule="exact"/>
              <w:jc w:val="center"/>
              <w:rPr>
                <w:rFonts w:ascii="宋体" w:hAnsi="宋体"/>
                <w:color w:val="auto"/>
                <w:szCs w:val="21"/>
                <w:highlight w:val="none"/>
              </w:rPr>
            </w:pPr>
          </w:p>
        </w:tc>
        <w:tc>
          <w:tcPr>
            <w:tcW w:w="3544" w:type="dxa"/>
            <w:noWrap w:val="0"/>
            <w:vAlign w:val="center"/>
          </w:tcPr>
          <w:p w14:paraId="704F30EE">
            <w:pPr>
              <w:spacing w:line="400" w:lineRule="exact"/>
              <w:jc w:val="center"/>
              <w:rPr>
                <w:rFonts w:ascii="宋体" w:hAnsi="宋体"/>
                <w:color w:val="auto"/>
                <w:szCs w:val="21"/>
                <w:highlight w:val="none"/>
              </w:rPr>
            </w:pPr>
          </w:p>
        </w:tc>
      </w:tr>
      <w:tr w14:paraId="29D1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892BADD">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032DE231">
            <w:pPr>
              <w:spacing w:line="400" w:lineRule="exact"/>
              <w:jc w:val="center"/>
              <w:rPr>
                <w:rFonts w:ascii="宋体" w:hAnsi="宋体"/>
                <w:color w:val="auto"/>
                <w:szCs w:val="21"/>
                <w:highlight w:val="none"/>
              </w:rPr>
            </w:pPr>
          </w:p>
        </w:tc>
        <w:tc>
          <w:tcPr>
            <w:tcW w:w="1648" w:type="dxa"/>
            <w:noWrap w:val="0"/>
            <w:vAlign w:val="center"/>
          </w:tcPr>
          <w:p w14:paraId="16FC1D0B">
            <w:pPr>
              <w:spacing w:line="400" w:lineRule="exact"/>
              <w:jc w:val="center"/>
              <w:rPr>
                <w:rFonts w:ascii="宋体" w:hAnsi="宋体"/>
                <w:color w:val="auto"/>
                <w:szCs w:val="21"/>
                <w:highlight w:val="none"/>
              </w:rPr>
            </w:pPr>
          </w:p>
        </w:tc>
        <w:tc>
          <w:tcPr>
            <w:tcW w:w="1328" w:type="dxa"/>
            <w:noWrap w:val="0"/>
            <w:vAlign w:val="center"/>
          </w:tcPr>
          <w:p w14:paraId="7DAA9612">
            <w:pPr>
              <w:spacing w:line="400" w:lineRule="exact"/>
              <w:jc w:val="center"/>
              <w:rPr>
                <w:rFonts w:ascii="宋体" w:hAnsi="宋体"/>
                <w:color w:val="auto"/>
                <w:szCs w:val="21"/>
                <w:highlight w:val="none"/>
              </w:rPr>
            </w:pPr>
          </w:p>
        </w:tc>
        <w:tc>
          <w:tcPr>
            <w:tcW w:w="3544" w:type="dxa"/>
            <w:noWrap w:val="0"/>
            <w:vAlign w:val="center"/>
          </w:tcPr>
          <w:p w14:paraId="20E226DC">
            <w:pPr>
              <w:spacing w:line="400" w:lineRule="exact"/>
              <w:jc w:val="center"/>
              <w:rPr>
                <w:rFonts w:ascii="宋体" w:hAnsi="宋体"/>
                <w:color w:val="auto"/>
                <w:szCs w:val="21"/>
                <w:highlight w:val="none"/>
              </w:rPr>
            </w:pPr>
          </w:p>
        </w:tc>
      </w:tr>
      <w:tr w14:paraId="71DA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B927FF3">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35CCE4CD">
            <w:pPr>
              <w:spacing w:line="400" w:lineRule="exact"/>
              <w:jc w:val="center"/>
              <w:rPr>
                <w:rFonts w:ascii="宋体" w:hAnsi="宋体"/>
                <w:color w:val="auto"/>
                <w:szCs w:val="21"/>
                <w:highlight w:val="none"/>
              </w:rPr>
            </w:pPr>
          </w:p>
        </w:tc>
        <w:tc>
          <w:tcPr>
            <w:tcW w:w="1648" w:type="dxa"/>
            <w:noWrap w:val="0"/>
            <w:vAlign w:val="center"/>
          </w:tcPr>
          <w:p w14:paraId="0618911D">
            <w:pPr>
              <w:spacing w:line="400" w:lineRule="exact"/>
              <w:jc w:val="center"/>
              <w:rPr>
                <w:rFonts w:ascii="宋体" w:hAnsi="宋体"/>
                <w:color w:val="auto"/>
                <w:szCs w:val="21"/>
                <w:highlight w:val="none"/>
              </w:rPr>
            </w:pPr>
          </w:p>
        </w:tc>
        <w:tc>
          <w:tcPr>
            <w:tcW w:w="1328" w:type="dxa"/>
            <w:noWrap w:val="0"/>
            <w:vAlign w:val="center"/>
          </w:tcPr>
          <w:p w14:paraId="3C5DD11E">
            <w:pPr>
              <w:spacing w:line="400" w:lineRule="exact"/>
              <w:jc w:val="center"/>
              <w:rPr>
                <w:rFonts w:ascii="宋体" w:hAnsi="宋体"/>
                <w:color w:val="auto"/>
                <w:szCs w:val="21"/>
                <w:highlight w:val="none"/>
              </w:rPr>
            </w:pPr>
          </w:p>
        </w:tc>
        <w:tc>
          <w:tcPr>
            <w:tcW w:w="3544" w:type="dxa"/>
            <w:noWrap w:val="0"/>
            <w:vAlign w:val="center"/>
          </w:tcPr>
          <w:p w14:paraId="3A0D44D4">
            <w:pPr>
              <w:spacing w:line="400" w:lineRule="exact"/>
              <w:jc w:val="center"/>
              <w:rPr>
                <w:rFonts w:ascii="宋体" w:hAnsi="宋体"/>
                <w:color w:val="auto"/>
                <w:szCs w:val="21"/>
                <w:highlight w:val="none"/>
              </w:rPr>
            </w:pPr>
          </w:p>
        </w:tc>
      </w:tr>
      <w:tr w14:paraId="33AD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830614">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59A20C93">
            <w:pPr>
              <w:spacing w:line="400" w:lineRule="exact"/>
              <w:jc w:val="center"/>
              <w:rPr>
                <w:rFonts w:ascii="宋体" w:hAnsi="宋体"/>
                <w:color w:val="auto"/>
                <w:szCs w:val="21"/>
                <w:highlight w:val="none"/>
              </w:rPr>
            </w:pPr>
          </w:p>
        </w:tc>
        <w:tc>
          <w:tcPr>
            <w:tcW w:w="1648" w:type="dxa"/>
            <w:noWrap w:val="0"/>
            <w:vAlign w:val="center"/>
          </w:tcPr>
          <w:p w14:paraId="6E2DA787">
            <w:pPr>
              <w:spacing w:line="400" w:lineRule="exact"/>
              <w:jc w:val="center"/>
              <w:rPr>
                <w:rFonts w:ascii="宋体" w:hAnsi="宋体"/>
                <w:color w:val="auto"/>
                <w:szCs w:val="21"/>
                <w:highlight w:val="none"/>
              </w:rPr>
            </w:pPr>
          </w:p>
        </w:tc>
        <w:tc>
          <w:tcPr>
            <w:tcW w:w="1328" w:type="dxa"/>
            <w:noWrap w:val="0"/>
            <w:vAlign w:val="center"/>
          </w:tcPr>
          <w:p w14:paraId="4F580188">
            <w:pPr>
              <w:spacing w:line="400" w:lineRule="exact"/>
              <w:jc w:val="center"/>
              <w:rPr>
                <w:rFonts w:ascii="宋体" w:hAnsi="宋体"/>
                <w:color w:val="auto"/>
                <w:szCs w:val="21"/>
                <w:highlight w:val="none"/>
              </w:rPr>
            </w:pPr>
          </w:p>
        </w:tc>
        <w:tc>
          <w:tcPr>
            <w:tcW w:w="3544" w:type="dxa"/>
            <w:noWrap w:val="0"/>
            <w:vAlign w:val="center"/>
          </w:tcPr>
          <w:p w14:paraId="61D0D7D9">
            <w:pPr>
              <w:spacing w:line="400" w:lineRule="exact"/>
              <w:jc w:val="center"/>
              <w:rPr>
                <w:rFonts w:ascii="宋体" w:hAnsi="宋体"/>
                <w:color w:val="auto"/>
                <w:szCs w:val="21"/>
                <w:highlight w:val="none"/>
              </w:rPr>
            </w:pPr>
          </w:p>
        </w:tc>
      </w:tr>
      <w:tr w14:paraId="7EE5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69978E">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14:paraId="3040850D">
            <w:pPr>
              <w:spacing w:line="400" w:lineRule="exact"/>
              <w:jc w:val="center"/>
              <w:rPr>
                <w:rFonts w:ascii="宋体" w:hAnsi="宋体"/>
                <w:color w:val="auto"/>
                <w:szCs w:val="21"/>
                <w:highlight w:val="none"/>
              </w:rPr>
            </w:pPr>
          </w:p>
        </w:tc>
        <w:tc>
          <w:tcPr>
            <w:tcW w:w="1648" w:type="dxa"/>
            <w:noWrap w:val="0"/>
            <w:vAlign w:val="center"/>
          </w:tcPr>
          <w:p w14:paraId="219BD993">
            <w:pPr>
              <w:spacing w:line="400" w:lineRule="exact"/>
              <w:jc w:val="center"/>
              <w:rPr>
                <w:rFonts w:ascii="宋体" w:hAnsi="宋体"/>
                <w:color w:val="auto"/>
                <w:szCs w:val="21"/>
                <w:highlight w:val="none"/>
              </w:rPr>
            </w:pPr>
          </w:p>
        </w:tc>
        <w:tc>
          <w:tcPr>
            <w:tcW w:w="1328" w:type="dxa"/>
            <w:noWrap w:val="0"/>
            <w:vAlign w:val="center"/>
          </w:tcPr>
          <w:p w14:paraId="23116BD5">
            <w:pPr>
              <w:spacing w:line="400" w:lineRule="exact"/>
              <w:jc w:val="center"/>
              <w:rPr>
                <w:rFonts w:ascii="宋体" w:hAnsi="宋体"/>
                <w:color w:val="auto"/>
                <w:szCs w:val="21"/>
                <w:highlight w:val="none"/>
              </w:rPr>
            </w:pPr>
          </w:p>
        </w:tc>
        <w:tc>
          <w:tcPr>
            <w:tcW w:w="3544" w:type="dxa"/>
            <w:noWrap w:val="0"/>
            <w:vAlign w:val="center"/>
          </w:tcPr>
          <w:p w14:paraId="7A76731B">
            <w:pPr>
              <w:spacing w:line="400" w:lineRule="exact"/>
              <w:jc w:val="center"/>
              <w:rPr>
                <w:rFonts w:ascii="宋体" w:hAnsi="宋体"/>
                <w:color w:val="auto"/>
                <w:szCs w:val="21"/>
                <w:highlight w:val="none"/>
              </w:rPr>
            </w:pPr>
          </w:p>
        </w:tc>
      </w:tr>
      <w:tr w14:paraId="1606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AE4B0C9">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65E78C1B">
            <w:pPr>
              <w:spacing w:line="400" w:lineRule="exact"/>
              <w:jc w:val="center"/>
              <w:rPr>
                <w:rFonts w:ascii="宋体" w:hAnsi="宋体"/>
                <w:color w:val="auto"/>
                <w:szCs w:val="21"/>
                <w:highlight w:val="none"/>
              </w:rPr>
            </w:pPr>
          </w:p>
        </w:tc>
        <w:tc>
          <w:tcPr>
            <w:tcW w:w="1648" w:type="dxa"/>
            <w:noWrap w:val="0"/>
            <w:vAlign w:val="center"/>
          </w:tcPr>
          <w:p w14:paraId="1A61C26F">
            <w:pPr>
              <w:spacing w:line="400" w:lineRule="exact"/>
              <w:jc w:val="center"/>
              <w:rPr>
                <w:rFonts w:ascii="宋体" w:hAnsi="宋体"/>
                <w:color w:val="auto"/>
                <w:szCs w:val="21"/>
                <w:highlight w:val="none"/>
              </w:rPr>
            </w:pPr>
          </w:p>
        </w:tc>
        <w:tc>
          <w:tcPr>
            <w:tcW w:w="1328" w:type="dxa"/>
            <w:noWrap w:val="0"/>
            <w:vAlign w:val="center"/>
          </w:tcPr>
          <w:p w14:paraId="63A6C99A">
            <w:pPr>
              <w:spacing w:line="400" w:lineRule="exact"/>
              <w:jc w:val="center"/>
              <w:rPr>
                <w:rFonts w:ascii="宋体" w:hAnsi="宋体"/>
                <w:color w:val="auto"/>
                <w:szCs w:val="21"/>
                <w:highlight w:val="none"/>
              </w:rPr>
            </w:pPr>
          </w:p>
        </w:tc>
        <w:tc>
          <w:tcPr>
            <w:tcW w:w="3544" w:type="dxa"/>
            <w:noWrap w:val="0"/>
            <w:vAlign w:val="center"/>
          </w:tcPr>
          <w:p w14:paraId="2E270044">
            <w:pPr>
              <w:spacing w:line="400" w:lineRule="exact"/>
              <w:jc w:val="center"/>
              <w:rPr>
                <w:rFonts w:ascii="宋体" w:hAnsi="宋体"/>
                <w:color w:val="auto"/>
                <w:szCs w:val="21"/>
                <w:highlight w:val="none"/>
              </w:rPr>
            </w:pPr>
          </w:p>
        </w:tc>
      </w:tr>
      <w:tr w14:paraId="2974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CE3AD3">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3104148C">
            <w:pPr>
              <w:spacing w:line="400" w:lineRule="exact"/>
              <w:jc w:val="center"/>
              <w:rPr>
                <w:rFonts w:ascii="宋体" w:hAnsi="宋体"/>
                <w:color w:val="auto"/>
                <w:szCs w:val="21"/>
                <w:highlight w:val="none"/>
              </w:rPr>
            </w:pPr>
          </w:p>
        </w:tc>
        <w:tc>
          <w:tcPr>
            <w:tcW w:w="1648" w:type="dxa"/>
            <w:noWrap w:val="0"/>
            <w:vAlign w:val="center"/>
          </w:tcPr>
          <w:p w14:paraId="0D7DD0DC">
            <w:pPr>
              <w:spacing w:line="400" w:lineRule="exact"/>
              <w:jc w:val="center"/>
              <w:rPr>
                <w:rFonts w:ascii="宋体" w:hAnsi="宋体"/>
                <w:color w:val="auto"/>
                <w:szCs w:val="21"/>
                <w:highlight w:val="none"/>
              </w:rPr>
            </w:pPr>
          </w:p>
        </w:tc>
        <w:tc>
          <w:tcPr>
            <w:tcW w:w="1328" w:type="dxa"/>
            <w:noWrap w:val="0"/>
            <w:vAlign w:val="center"/>
          </w:tcPr>
          <w:p w14:paraId="2FBBEA32">
            <w:pPr>
              <w:spacing w:line="400" w:lineRule="exact"/>
              <w:jc w:val="center"/>
              <w:rPr>
                <w:rFonts w:ascii="宋体" w:hAnsi="宋体"/>
                <w:color w:val="auto"/>
                <w:szCs w:val="21"/>
                <w:highlight w:val="none"/>
              </w:rPr>
            </w:pPr>
          </w:p>
        </w:tc>
        <w:tc>
          <w:tcPr>
            <w:tcW w:w="3544" w:type="dxa"/>
            <w:noWrap w:val="0"/>
            <w:vAlign w:val="center"/>
          </w:tcPr>
          <w:p w14:paraId="2DB63F25">
            <w:pPr>
              <w:spacing w:line="400" w:lineRule="exact"/>
              <w:jc w:val="center"/>
              <w:rPr>
                <w:rFonts w:ascii="宋体" w:hAnsi="宋体"/>
                <w:color w:val="auto"/>
                <w:szCs w:val="21"/>
                <w:highlight w:val="none"/>
              </w:rPr>
            </w:pPr>
          </w:p>
        </w:tc>
      </w:tr>
      <w:tr w14:paraId="5893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24A12F6">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545F74C8">
            <w:pPr>
              <w:spacing w:line="400" w:lineRule="exact"/>
              <w:jc w:val="center"/>
              <w:rPr>
                <w:rFonts w:ascii="宋体" w:hAnsi="宋体"/>
                <w:color w:val="auto"/>
                <w:szCs w:val="21"/>
                <w:highlight w:val="none"/>
              </w:rPr>
            </w:pPr>
          </w:p>
        </w:tc>
        <w:tc>
          <w:tcPr>
            <w:tcW w:w="1648" w:type="dxa"/>
            <w:noWrap w:val="0"/>
            <w:vAlign w:val="center"/>
          </w:tcPr>
          <w:p w14:paraId="067380EA">
            <w:pPr>
              <w:spacing w:line="400" w:lineRule="exact"/>
              <w:jc w:val="center"/>
              <w:rPr>
                <w:rFonts w:ascii="宋体" w:hAnsi="宋体"/>
                <w:color w:val="auto"/>
                <w:szCs w:val="21"/>
                <w:highlight w:val="none"/>
              </w:rPr>
            </w:pPr>
          </w:p>
        </w:tc>
        <w:tc>
          <w:tcPr>
            <w:tcW w:w="1328" w:type="dxa"/>
            <w:noWrap w:val="0"/>
            <w:vAlign w:val="center"/>
          </w:tcPr>
          <w:p w14:paraId="299C576F">
            <w:pPr>
              <w:spacing w:line="400" w:lineRule="exact"/>
              <w:jc w:val="center"/>
              <w:rPr>
                <w:rFonts w:ascii="宋体" w:hAnsi="宋体"/>
                <w:color w:val="auto"/>
                <w:szCs w:val="21"/>
                <w:highlight w:val="none"/>
              </w:rPr>
            </w:pPr>
          </w:p>
        </w:tc>
        <w:tc>
          <w:tcPr>
            <w:tcW w:w="3544" w:type="dxa"/>
            <w:noWrap w:val="0"/>
            <w:vAlign w:val="center"/>
          </w:tcPr>
          <w:p w14:paraId="308D5525">
            <w:pPr>
              <w:spacing w:line="400" w:lineRule="exact"/>
              <w:jc w:val="center"/>
              <w:rPr>
                <w:rFonts w:ascii="宋体" w:hAnsi="宋体"/>
                <w:color w:val="auto"/>
                <w:szCs w:val="21"/>
                <w:highlight w:val="none"/>
              </w:rPr>
            </w:pPr>
          </w:p>
        </w:tc>
      </w:tr>
    </w:tbl>
    <w:p w14:paraId="56B41339">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371" w:name="_Toc267261701"/>
      <w:r>
        <w:rPr>
          <w:rFonts w:hint="eastAsia" w:ascii="宋体" w:hAnsi="宋体"/>
          <w:color w:val="auto"/>
          <w:szCs w:val="21"/>
          <w:highlight w:val="none"/>
        </w:rPr>
        <w:t>附</w:t>
      </w:r>
      <w:bookmarkStart w:id="1372" w:name="_Toc296891271"/>
      <w:bookmarkStart w:id="1373" w:name="_Toc296891059"/>
      <w:bookmarkStart w:id="1374" w:name="_Toc296346732"/>
      <w:bookmarkStart w:id="1375" w:name="_Toc296347230"/>
      <w:bookmarkStart w:id="1376" w:name="_Toc296503231"/>
      <w:bookmarkStart w:id="1377" w:name="_Toc296944570"/>
      <w:r>
        <w:rPr>
          <w:rFonts w:hint="eastAsia" w:ascii="宋体" w:hAnsi="宋体"/>
          <w:color w:val="auto"/>
          <w:szCs w:val="21"/>
          <w:highlight w:val="none"/>
        </w:rPr>
        <w:t>件4：</w:t>
      </w:r>
    </w:p>
    <w:bookmarkEnd w:id="1371"/>
    <w:bookmarkEnd w:id="1372"/>
    <w:bookmarkEnd w:id="1373"/>
    <w:bookmarkEnd w:id="1374"/>
    <w:bookmarkEnd w:id="1375"/>
    <w:bookmarkEnd w:id="1376"/>
    <w:bookmarkEnd w:id="1377"/>
    <w:p w14:paraId="15B53B23">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履约担保（如有）</w:t>
      </w:r>
    </w:p>
    <w:p w14:paraId="33E7DE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14:paraId="6F387DD8">
      <w:pPr>
        <w:spacing w:line="360" w:lineRule="auto"/>
        <w:ind w:firstLine="420" w:firstLineChars="200"/>
        <w:rPr>
          <w:rFonts w:ascii="宋体" w:hAnsi="宋体"/>
          <w:color w:val="auto"/>
          <w:szCs w:val="21"/>
          <w:highlight w:val="none"/>
        </w:rPr>
      </w:pPr>
    </w:p>
    <w:p w14:paraId="232E5B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14:paraId="6A5B4138">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不可转让</w:t>
      </w:r>
      <w:r>
        <w:rPr>
          <w:rFonts w:hint="eastAsia" w:ascii="宋体" w:hAnsi="宋体"/>
          <w:color w:val="auto"/>
          <w:szCs w:val="21"/>
          <w:highlight w:val="none"/>
        </w:rPr>
        <w:t>地就承包人履行与你方签订的合同，向你方提供连带责任担保。</w:t>
      </w:r>
    </w:p>
    <w:p w14:paraId="1F4256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8B2BF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61"/>
          <w:rFonts w:hint="eastAsia"/>
          <w:color w:val="auto"/>
          <w:highlight w:val="none"/>
        </w:rPr>
        <w:t>我</w:t>
      </w:r>
      <w:r>
        <w:rPr>
          <w:rFonts w:hint="eastAsia" w:ascii="宋体" w:hAnsi="宋体"/>
          <w:color w:val="auto"/>
          <w:szCs w:val="21"/>
          <w:highlight w:val="none"/>
          <w:u w:val="single"/>
        </w:rPr>
        <w:t>方法定代表人（或其委托代理人）签名并加盖公章之日起至你方签发或应签发工程接收证书之日止</w:t>
      </w:r>
      <w:r>
        <w:rPr>
          <w:rFonts w:hint="eastAsia" w:ascii="宋体" w:hAnsi="宋体"/>
          <w:color w:val="auto"/>
          <w:szCs w:val="21"/>
          <w:highlight w:val="none"/>
        </w:rPr>
        <w:t>。</w:t>
      </w:r>
    </w:p>
    <w:p w14:paraId="412AC1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1A315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14:paraId="484D80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w:t>
      </w:r>
    </w:p>
    <w:p w14:paraId="0AEC5B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1852C5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工所在地程          </w:t>
      </w:r>
      <w:r>
        <w:rPr>
          <w:rFonts w:hint="eastAsia" w:ascii="宋体" w:hAnsi="宋体"/>
          <w:color w:val="auto"/>
          <w:szCs w:val="21"/>
          <w:highlight w:val="none"/>
        </w:rPr>
        <w:t>人民法院起诉。</w:t>
      </w:r>
    </w:p>
    <w:p w14:paraId="41B2D3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本保函自我方法定代表人（或其委托代理人）签名并加盖公章之日起生效。</w:t>
      </w:r>
    </w:p>
    <w:p w14:paraId="4B303EC4">
      <w:pPr>
        <w:spacing w:line="360" w:lineRule="auto"/>
        <w:rPr>
          <w:rFonts w:ascii="宋体" w:hAnsi="宋体"/>
          <w:color w:val="auto"/>
          <w:szCs w:val="21"/>
          <w:highlight w:val="none"/>
        </w:rPr>
      </w:pPr>
    </w:p>
    <w:p w14:paraId="57038DA1">
      <w:pPr>
        <w:spacing w:line="360" w:lineRule="auto"/>
        <w:rPr>
          <w:rFonts w:ascii="宋体" w:hAnsi="宋体"/>
          <w:color w:val="auto"/>
          <w:szCs w:val="21"/>
          <w:highlight w:val="none"/>
        </w:rPr>
      </w:pPr>
    </w:p>
    <w:p w14:paraId="24BD10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47A54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C1CF4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62851D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408CB6E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42E8F8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8DE9955">
      <w:pPr>
        <w:spacing w:line="360" w:lineRule="auto"/>
        <w:ind w:right="840"/>
        <w:rPr>
          <w:rFonts w:ascii="宋体" w:hAnsi="宋体"/>
          <w:color w:val="auto"/>
          <w:szCs w:val="21"/>
          <w:highlight w:val="none"/>
          <w:u w:val="single"/>
        </w:rPr>
      </w:pPr>
    </w:p>
    <w:p w14:paraId="3B52B95E">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2A5033C">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4FAC50DE">
      <w:pPr>
        <w:widowControl/>
        <w:spacing w:line="360" w:lineRule="auto"/>
        <w:ind w:right="840"/>
        <w:rPr>
          <w:rFonts w:ascii="宋体" w:hAnsi="宋体"/>
          <w:color w:val="auto"/>
          <w:szCs w:val="21"/>
          <w:highlight w:val="none"/>
        </w:rPr>
      </w:pPr>
      <w:r>
        <w:rPr>
          <w:rFonts w:hint="eastAsia" w:ascii="宋体" w:hAnsi="宋体"/>
          <w:color w:val="auto"/>
          <w:szCs w:val="21"/>
          <w:highlight w:val="none"/>
        </w:rPr>
        <w:t>附件5：</w:t>
      </w:r>
    </w:p>
    <w:p w14:paraId="3F26D276">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7"/>
        <w:tblW w:w="952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684A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86B9B54">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noWrap w:val="0"/>
            <w:vAlign w:val="top"/>
          </w:tcPr>
          <w:p w14:paraId="3CB57601">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noWrap w:val="0"/>
            <w:vAlign w:val="top"/>
          </w:tcPr>
          <w:p w14:paraId="0869D007">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noWrap w:val="0"/>
            <w:vAlign w:val="top"/>
          </w:tcPr>
          <w:p w14:paraId="6DE411EA">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5BBA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4F2727D">
            <w:pPr>
              <w:spacing w:line="400" w:lineRule="exact"/>
              <w:ind w:firstLine="420" w:firstLineChars="200"/>
              <w:rPr>
                <w:rFonts w:ascii="宋体" w:hAnsi="宋体"/>
                <w:color w:val="auto"/>
                <w:szCs w:val="21"/>
                <w:highlight w:val="none"/>
              </w:rPr>
            </w:pPr>
          </w:p>
        </w:tc>
        <w:tc>
          <w:tcPr>
            <w:tcW w:w="1984" w:type="dxa"/>
            <w:noWrap w:val="0"/>
            <w:vAlign w:val="top"/>
          </w:tcPr>
          <w:p w14:paraId="04521B9B">
            <w:pPr>
              <w:spacing w:line="400" w:lineRule="exact"/>
              <w:ind w:firstLine="420" w:firstLineChars="200"/>
              <w:rPr>
                <w:rFonts w:ascii="宋体" w:hAnsi="宋体"/>
                <w:color w:val="auto"/>
                <w:szCs w:val="21"/>
                <w:highlight w:val="none"/>
              </w:rPr>
            </w:pPr>
          </w:p>
        </w:tc>
        <w:tc>
          <w:tcPr>
            <w:tcW w:w="5103" w:type="dxa"/>
            <w:noWrap w:val="0"/>
            <w:vAlign w:val="top"/>
          </w:tcPr>
          <w:p w14:paraId="21ED6C0F">
            <w:pPr>
              <w:spacing w:line="400" w:lineRule="exact"/>
              <w:ind w:firstLine="420" w:firstLineChars="200"/>
              <w:rPr>
                <w:rFonts w:ascii="宋体" w:hAnsi="宋体"/>
                <w:color w:val="auto"/>
                <w:szCs w:val="21"/>
                <w:highlight w:val="none"/>
              </w:rPr>
            </w:pPr>
          </w:p>
        </w:tc>
        <w:tc>
          <w:tcPr>
            <w:tcW w:w="1560" w:type="dxa"/>
            <w:noWrap w:val="0"/>
            <w:vAlign w:val="top"/>
          </w:tcPr>
          <w:p w14:paraId="151A1F21">
            <w:pPr>
              <w:spacing w:line="400" w:lineRule="exact"/>
              <w:ind w:firstLine="420" w:firstLineChars="200"/>
              <w:rPr>
                <w:rFonts w:ascii="宋体" w:hAnsi="宋体"/>
                <w:color w:val="auto"/>
                <w:szCs w:val="21"/>
                <w:highlight w:val="none"/>
              </w:rPr>
            </w:pPr>
          </w:p>
        </w:tc>
      </w:tr>
      <w:tr w14:paraId="3794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A0E19F6">
            <w:pPr>
              <w:spacing w:line="400" w:lineRule="exact"/>
              <w:ind w:firstLine="420" w:firstLineChars="200"/>
              <w:rPr>
                <w:rFonts w:ascii="宋体" w:hAnsi="宋体"/>
                <w:color w:val="auto"/>
                <w:szCs w:val="21"/>
                <w:highlight w:val="none"/>
              </w:rPr>
            </w:pPr>
          </w:p>
        </w:tc>
        <w:tc>
          <w:tcPr>
            <w:tcW w:w="1984" w:type="dxa"/>
            <w:noWrap w:val="0"/>
            <w:vAlign w:val="top"/>
          </w:tcPr>
          <w:p w14:paraId="235C8C6F">
            <w:pPr>
              <w:spacing w:line="400" w:lineRule="exact"/>
              <w:ind w:firstLine="420" w:firstLineChars="200"/>
              <w:rPr>
                <w:rFonts w:ascii="宋体" w:hAnsi="宋体"/>
                <w:color w:val="auto"/>
                <w:szCs w:val="21"/>
                <w:highlight w:val="none"/>
              </w:rPr>
            </w:pPr>
          </w:p>
        </w:tc>
        <w:tc>
          <w:tcPr>
            <w:tcW w:w="5103" w:type="dxa"/>
            <w:noWrap w:val="0"/>
            <w:vAlign w:val="top"/>
          </w:tcPr>
          <w:p w14:paraId="48B133CC">
            <w:pPr>
              <w:spacing w:line="400" w:lineRule="exact"/>
              <w:ind w:firstLine="420" w:firstLineChars="200"/>
              <w:rPr>
                <w:rFonts w:ascii="宋体" w:hAnsi="宋体"/>
                <w:color w:val="auto"/>
                <w:szCs w:val="21"/>
                <w:highlight w:val="none"/>
              </w:rPr>
            </w:pPr>
          </w:p>
        </w:tc>
        <w:tc>
          <w:tcPr>
            <w:tcW w:w="1560" w:type="dxa"/>
            <w:noWrap w:val="0"/>
            <w:vAlign w:val="top"/>
          </w:tcPr>
          <w:p w14:paraId="6F3938DF">
            <w:pPr>
              <w:spacing w:line="400" w:lineRule="exact"/>
              <w:ind w:firstLine="420" w:firstLineChars="200"/>
              <w:rPr>
                <w:rFonts w:ascii="宋体" w:hAnsi="宋体"/>
                <w:color w:val="auto"/>
                <w:szCs w:val="21"/>
                <w:highlight w:val="none"/>
              </w:rPr>
            </w:pPr>
          </w:p>
        </w:tc>
      </w:tr>
      <w:tr w14:paraId="6578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2F31B58">
            <w:pPr>
              <w:spacing w:line="400" w:lineRule="exact"/>
              <w:ind w:firstLine="420" w:firstLineChars="200"/>
              <w:rPr>
                <w:rFonts w:ascii="宋体" w:hAnsi="宋体"/>
                <w:color w:val="auto"/>
                <w:szCs w:val="21"/>
                <w:highlight w:val="none"/>
              </w:rPr>
            </w:pPr>
          </w:p>
        </w:tc>
        <w:tc>
          <w:tcPr>
            <w:tcW w:w="1984" w:type="dxa"/>
            <w:noWrap w:val="0"/>
            <w:vAlign w:val="top"/>
          </w:tcPr>
          <w:p w14:paraId="1DEC39E2">
            <w:pPr>
              <w:spacing w:line="400" w:lineRule="exact"/>
              <w:ind w:firstLine="420" w:firstLineChars="200"/>
              <w:rPr>
                <w:rFonts w:ascii="宋体" w:hAnsi="宋体"/>
                <w:color w:val="auto"/>
                <w:szCs w:val="21"/>
                <w:highlight w:val="none"/>
              </w:rPr>
            </w:pPr>
          </w:p>
        </w:tc>
        <w:tc>
          <w:tcPr>
            <w:tcW w:w="5103" w:type="dxa"/>
            <w:noWrap w:val="0"/>
            <w:vAlign w:val="top"/>
          </w:tcPr>
          <w:p w14:paraId="11CED2D8">
            <w:pPr>
              <w:spacing w:line="400" w:lineRule="exact"/>
              <w:ind w:firstLine="420" w:firstLineChars="200"/>
              <w:rPr>
                <w:rFonts w:ascii="宋体" w:hAnsi="宋体"/>
                <w:color w:val="auto"/>
                <w:szCs w:val="21"/>
                <w:highlight w:val="none"/>
              </w:rPr>
            </w:pPr>
          </w:p>
        </w:tc>
        <w:tc>
          <w:tcPr>
            <w:tcW w:w="1560" w:type="dxa"/>
            <w:noWrap w:val="0"/>
            <w:vAlign w:val="top"/>
          </w:tcPr>
          <w:p w14:paraId="180E4FF4">
            <w:pPr>
              <w:spacing w:line="400" w:lineRule="exact"/>
              <w:ind w:firstLine="420" w:firstLineChars="200"/>
              <w:rPr>
                <w:rFonts w:ascii="宋体" w:hAnsi="宋体"/>
                <w:color w:val="auto"/>
                <w:szCs w:val="21"/>
                <w:highlight w:val="none"/>
              </w:rPr>
            </w:pPr>
          </w:p>
        </w:tc>
      </w:tr>
      <w:tr w14:paraId="1337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42F560">
            <w:pPr>
              <w:spacing w:line="400" w:lineRule="exact"/>
              <w:ind w:firstLine="420" w:firstLineChars="200"/>
              <w:rPr>
                <w:rFonts w:ascii="宋体" w:hAnsi="宋体"/>
                <w:color w:val="auto"/>
                <w:szCs w:val="21"/>
                <w:highlight w:val="none"/>
              </w:rPr>
            </w:pPr>
          </w:p>
        </w:tc>
        <w:tc>
          <w:tcPr>
            <w:tcW w:w="1984" w:type="dxa"/>
            <w:noWrap w:val="0"/>
            <w:vAlign w:val="top"/>
          </w:tcPr>
          <w:p w14:paraId="1C50DA66">
            <w:pPr>
              <w:spacing w:line="400" w:lineRule="exact"/>
              <w:ind w:firstLine="420" w:firstLineChars="200"/>
              <w:rPr>
                <w:rFonts w:ascii="宋体" w:hAnsi="宋体"/>
                <w:color w:val="auto"/>
                <w:szCs w:val="21"/>
                <w:highlight w:val="none"/>
              </w:rPr>
            </w:pPr>
          </w:p>
        </w:tc>
        <w:tc>
          <w:tcPr>
            <w:tcW w:w="5103" w:type="dxa"/>
            <w:noWrap w:val="0"/>
            <w:vAlign w:val="top"/>
          </w:tcPr>
          <w:p w14:paraId="482977E3">
            <w:pPr>
              <w:spacing w:line="400" w:lineRule="exact"/>
              <w:ind w:firstLine="420" w:firstLineChars="200"/>
              <w:rPr>
                <w:rFonts w:ascii="宋体" w:hAnsi="宋体"/>
                <w:color w:val="auto"/>
                <w:szCs w:val="21"/>
                <w:highlight w:val="none"/>
              </w:rPr>
            </w:pPr>
          </w:p>
        </w:tc>
        <w:tc>
          <w:tcPr>
            <w:tcW w:w="1560" w:type="dxa"/>
            <w:noWrap w:val="0"/>
            <w:vAlign w:val="top"/>
          </w:tcPr>
          <w:p w14:paraId="322347F7">
            <w:pPr>
              <w:spacing w:line="400" w:lineRule="exact"/>
              <w:ind w:firstLine="420" w:firstLineChars="200"/>
              <w:rPr>
                <w:rFonts w:ascii="宋体" w:hAnsi="宋体"/>
                <w:color w:val="auto"/>
                <w:szCs w:val="21"/>
                <w:highlight w:val="none"/>
              </w:rPr>
            </w:pPr>
          </w:p>
        </w:tc>
      </w:tr>
      <w:tr w14:paraId="0E38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F61E0DB">
            <w:pPr>
              <w:spacing w:line="400" w:lineRule="exact"/>
              <w:ind w:firstLine="420" w:firstLineChars="200"/>
              <w:rPr>
                <w:rFonts w:ascii="宋体" w:hAnsi="宋体"/>
                <w:color w:val="auto"/>
                <w:szCs w:val="21"/>
                <w:highlight w:val="none"/>
              </w:rPr>
            </w:pPr>
          </w:p>
        </w:tc>
        <w:tc>
          <w:tcPr>
            <w:tcW w:w="1984" w:type="dxa"/>
            <w:noWrap w:val="0"/>
            <w:vAlign w:val="top"/>
          </w:tcPr>
          <w:p w14:paraId="31925F26">
            <w:pPr>
              <w:spacing w:line="400" w:lineRule="exact"/>
              <w:ind w:firstLine="420" w:firstLineChars="200"/>
              <w:rPr>
                <w:rFonts w:ascii="宋体" w:hAnsi="宋体"/>
                <w:color w:val="auto"/>
                <w:szCs w:val="21"/>
                <w:highlight w:val="none"/>
              </w:rPr>
            </w:pPr>
          </w:p>
        </w:tc>
        <w:tc>
          <w:tcPr>
            <w:tcW w:w="5103" w:type="dxa"/>
            <w:noWrap w:val="0"/>
            <w:vAlign w:val="top"/>
          </w:tcPr>
          <w:p w14:paraId="456822E3">
            <w:pPr>
              <w:spacing w:line="400" w:lineRule="exact"/>
              <w:ind w:firstLine="420" w:firstLineChars="200"/>
              <w:rPr>
                <w:rFonts w:ascii="宋体" w:hAnsi="宋体"/>
                <w:color w:val="auto"/>
                <w:szCs w:val="21"/>
                <w:highlight w:val="none"/>
              </w:rPr>
            </w:pPr>
          </w:p>
        </w:tc>
        <w:tc>
          <w:tcPr>
            <w:tcW w:w="1560" w:type="dxa"/>
            <w:noWrap w:val="0"/>
            <w:vAlign w:val="top"/>
          </w:tcPr>
          <w:p w14:paraId="7EF4F95F">
            <w:pPr>
              <w:spacing w:line="400" w:lineRule="exact"/>
              <w:ind w:firstLine="420" w:firstLineChars="200"/>
              <w:rPr>
                <w:rFonts w:ascii="宋体" w:hAnsi="宋体"/>
                <w:color w:val="auto"/>
                <w:szCs w:val="21"/>
                <w:highlight w:val="none"/>
              </w:rPr>
            </w:pPr>
          </w:p>
        </w:tc>
      </w:tr>
      <w:tr w14:paraId="69A4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B4F4BA5">
            <w:pPr>
              <w:spacing w:line="400" w:lineRule="exact"/>
              <w:ind w:firstLine="420" w:firstLineChars="200"/>
              <w:rPr>
                <w:rFonts w:ascii="宋体" w:hAnsi="宋体"/>
                <w:color w:val="auto"/>
                <w:szCs w:val="21"/>
                <w:highlight w:val="none"/>
              </w:rPr>
            </w:pPr>
          </w:p>
        </w:tc>
        <w:tc>
          <w:tcPr>
            <w:tcW w:w="1984" w:type="dxa"/>
            <w:noWrap w:val="0"/>
            <w:vAlign w:val="top"/>
          </w:tcPr>
          <w:p w14:paraId="57047004">
            <w:pPr>
              <w:spacing w:line="400" w:lineRule="exact"/>
              <w:ind w:firstLine="420" w:firstLineChars="200"/>
              <w:rPr>
                <w:rFonts w:ascii="宋体" w:hAnsi="宋体"/>
                <w:color w:val="auto"/>
                <w:szCs w:val="21"/>
                <w:highlight w:val="none"/>
              </w:rPr>
            </w:pPr>
          </w:p>
        </w:tc>
        <w:tc>
          <w:tcPr>
            <w:tcW w:w="5103" w:type="dxa"/>
            <w:noWrap w:val="0"/>
            <w:vAlign w:val="top"/>
          </w:tcPr>
          <w:p w14:paraId="2D8CF21D">
            <w:pPr>
              <w:spacing w:line="400" w:lineRule="exact"/>
              <w:ind w:firstLine="420" w:firstLineChars="200"/>
              <w:rPr>
                <w:rFonts w:ascii="宋体" w:hAnsi="宋体"/>
                <w:color w:val="auto"/>
                <w:szCs w:val="21"/>
                <w:highlight w:val="none"/>
              </w:rPr>
            </w:pPr>
          </w:p>
        </w:tc>
        <w:tc>
          <w:tcPr>
            <w:tcW w:w="1560" w:type="dxa"/>
            <w:noWrap w:val="0"/>
            <w:vAlign w:val="top"/>
          </w:tcPr>
          <w:p w14:paraId="65BDC2D4">
            <w:pPr>
              <w:spacing w:line="400" w:lineRule="exact"/>
              <w:ind w:firstLine="420" w:firstLineChars="200"/>
              <w:rPr>
                <w:rFonts w:ascii="宋体" w:hAnsi="宋体"/>
                <w:color w:val="auto"/>
                <w:szCs w:val="21"/>
                <w:highlight w:val="none"/>
              </w:rPr>
            </w:pPr>
          </w:p>
        </w:tc>
      </w:tr>
      <w:tr w14:paraId="7641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D644FBD">
            <w:pPr>
              <w:spacing w:line="400" w:lineRule="exact"/>
              <w:ind w:firstLine="420" w:firstLineChars="200"/>
              <w:rPr>
                <w:rFonts w:ascii="宋体" w:hAnsi="宋体"/>
                <w:color w:val="auto"/>
                <w:szCs w:val="21"/>
                <w:highlight w:val="none"/>
              </w:rPr>
            </w:pPr>
          </w:p>
        </w:tc>
        <w:tc>
          <w:tcPr>
            <w:tcW w:w="1984" w:type="dxa"/>
            <w:noWrap w:val="0"/>
            <w:vAlign w:val="top"/>
          </w:tcPr>
          <w:p w14:paraId="05540C2C">
            <w:pPr>
              <w:spacing w:line="400" w:lineRule="exact"/>
              <w:ind w:firstLine="420" w:firstLineChars="200"/>
              <w:rPr>
                <w:rFonts w:ascii="宋体" w:hAnsi="宋体"/>
                <w:color w:val="auto"/>
                <w:szCs w:val="21"/>
                <w:highlight w:val="none"/>
              </w:rPr>
            </w:pPr>
          </w:p>
        </w:tc>
        <w:tc>
          <w:tcPr>
            <w:tcW w:w="5103" w:type="dxa"/>
            <w:noWrap w:val="0"/>
            <w:vAlign w:val="top"/>
          </w:tcPr>
          <w:p w14:paraId="408872E8">
            <w:pPr>
              <w:spacing w:line="400" w:lineRule="exact"/>
              <w:ind w:firstLine="420" w:firstLineChars="200"/>
              <w:rPr>
                <w:rFonts w:ascii="宋体" w:hAnsi="宋体"/>
                <w:color w:val="auto"/>
                <w:szCs w:val="21"/>
                <w:highlight w:val="none"/>
              </w:rPr>
            </w:pPr>
          </w:p>
        </w:tc>
        <w:tc>
          <w:tcPr>
            <w:tcW w:w="1560" w:type="dxa"/>
            <w:noWrap w:val="0"/>
            <w:vAlign w:val="top"/>
          </w:tcPr>
          <w:p w14:paraId="40BD6892">
            <w:pPr>
              <w:spacing w:line="400" w:lineRule="exact"/>
              <w:ind w:firstLine="420" w:firstLineChars="200"/>
              <w:rPr>
                <w:rFonts w:ascii="宋体" w:hAnsi="宋体"/>
                <w:color w:val="auto"/>
                <w:szCs w:val="21"/>
                <w:highlight w:val="none"/>
              </w:rPr>
            </w:pPr>
          </w:p>
        </w:tc>
      </w:tr>
      <w:tr w14:paraId="23CA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CAD0305">
            <w:pPr>
              <w:spacing w:line="400" w:lineRule="exact"/>
              <w:ind w:firstLine="420" w:firstLineChars="200"/>
              <w:rPr>
                <w:rFonts w:ascii="宋体" w:hAnsi="宋体"/>
                <w:color w:val="auto"/>
                <w:szCs w:val="21"/>
                <w:highlight w:val="none"/>
              </w:rPr>
            </w:pPr>
          </w:p>
        </w:tc>
        <w:tc>
          <w:tcPr>
            <w:tcW w:w="1984" w:type="dxa"/>
            <w:noWrap w:val="0"/>
            <w:vAlign w:val="top"/>
          </w:tcPr>
          <w:p w14:paraId="74A4BDD8">
            <w:pPr>
              <w:spacing w:line="400" w:lineRule="exact"/>
              <w:ind w:firstLine="420" w:firstLineChars="200"/>
              <w:rPr>
                <w:rFonts w:ascii="宋体" w:hAnsi="宋体"/>
                <w:color w:val="auto"/>
                <w:szCs w:val="21"/>
                <w:highlight w:val="none"/>
              </w:rPr>
            </w:pPr>
          </w:p>
        </w:tc>
        <w:tc>
          <w:tcPr>
            <w:tcW w:w="5103" w:type="dxa"/>
            <w:noWrap w:val="0"/>
            <w:vAlign w:val="top"/>
          </w:tcPr>
          <w:p w14:paraId="06C1BE34">
            <w:pPr>
              <w:spacing w:line="400" w:lineRule="exact"/>
              <w:ind w:firstLine="420" w:firstLineChars="200"/>
              <w:rPr>
                <w:rFonts w:ascii="宋体" w:hAnsi="宋体"/>
                <w:color w:val="auto"/>
                <w:szCs w:val="21"/>
                <w:highlight w:val="none"/>
              </w:rPr>
            </w:pPr>
          </w:p>
        </w:tc>
        <w:tc>
          <w:tcPr>
            <w:tcW w:w="1560" w:type="dxa"/>
            <w:noWrap w:val="0"/>
            <w:vAlign w:val="top"/>
          </w:tcPr>
          <w:p w14:paraId="37CEC68A">
            <w:pPr>
              <w:spacing w:line="400" w:lineRule="exact"/>
              <w:ind w:firstLine="420" w:firstLineChars="200"/>
              <w:rPr>
                <w:rFonts w:ascii="宋体" w:hAnsi="宋体"/>
                <w:color w:val="auto"/>
                <w:szCs w:val="21"/>
                <w:highlight w:val="none"/>
              </w:rPr>
            </w:pPr>
          </w:p>
        </w:tc>
      </w:tr>
      <w:tr w14:paraId="4263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67607B7">
            <w:pPr>
              <w:spacing w:line="400" w:lineRule="exact"/>
              <w:ind w:firstLine="420" w:firstLineChars="200"/>
              <w:rPr>
                <w:rFonts w:ascii="宋体" w:hAnsi="宋体"/>
                <w:color w:val="auto"/>
                <w:szCs w:val="21"/>
                <w:highlight w:val="none"/>
              </w:rPr>
            </w:pPr>
          </w:p>
        </w:tc>
        <w:tc>
          <w:tcPr>
            <w:tcW w:w="1984" w:type="dxa"/>
            <w:noWrap w:val="0"/>
            <w:vAlign w:val="top"/>
          </w:tcPr>
          <w:p w14:paraId="12A7048D">
            <w:pPr>
              <w:spacing w:line="400" w:lineRule="exact"/>
              <w:ind w:firstLine="420" w:firstLineChars="200"/>
              <w:rPr>
                <w:rFonts w:ascii="宋体" w:hAnsi="宋体"/>
                <w:color w:val="auto"/>
                <w:szCs w:val="21"/>
                <w:highlight w:val="none"/>
              </w:rPr>
            </w:pPr>
          </w:p>
        </w:tc>
        <w:tc>
          <w:tcPr>
            <w:tcW w:w="5103" w:type="dxa"/>
            <w:noWrap w:val="0"/>
            <w:vAlign w:val="top"/>
          </w:tcPr>
          <w:p w14:paraId="1506B856">
            <w:pPr>
              <w:spacing w:line="400" w:lineRule="exact"/>
              <w:ind w:firstLine="420" w:firstLineChars="200"/>
              <w:rPr>
                <w:rFonts w:ascii="宋体" w:hAnsi="宋体"/>
                <w:color w:val="auto"/>
                <w:szCs w:val="21"/>
                <w:highlight w:val="none"/>
              </w:rPr>
            </w:pPr>
          </w:p>
        </w:tc>
        <w:tc>
          <w:tcPr>
            <w:tcW w:w="1560" w:type="dxa"/>
            <w:noWrap w:val="0"/>
            <w:vAlign w:val="top"/>
          </w:tcPr>
          <w:p w14:paraId="0C7354A3">
            <w:pPr>
              <w:spacing w:line="400" w:lineRule="exact"/>
              <w:ind w:firstLine="420" w:firstLineChars="200"/>
              <w:rPr>
                <w:rFonts w:ascii="宋体" w:hAnsi="宋体"/>
                <w:color w:val="auto"/>
                <w:szCs w:val="21"/>
                <w:highlight w:val="none"/>
              </w:rPr>
            </w:pPr>
          </w:p>
        </w:tc>
      </w:tr>
      <w:tr w14:paraId="774A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B04A7C3">
            <w:pPr>
              <w:spacing w:line="400" w:lineRule="exact"/>
              <w:ind w:firstLine="420" w:firstLineChars="200"/>
              <w:rPr>
                <w:rFonts w:ascii="宋体" w:hAnsi="宋体"/>
                <w:color w:val="auto"/>
                <w:szCs w:val="21"/>
                <w:highlight w:val="none"/>
              </w:rPr>
            </w:pPr>
          </w:p>
        </w:tc>
        <w:tc>
          <w:tcPr>
            <w:tcW w:w="1984" w:type="dxa"/>
            <w:noWrap w:val="0"/>
            <w:vAlign w:val="top"/>
          </w:tcPr>
          <w:p w14:paraId="328D8ACE">
            <w:pPr>
              <w:spacing w:line="400" w:lineRule="exact"/>
              <w:ind w:firstLine="420" w:firstLineChars="200"/>
              <w:rPr>
                <w:rFonts w:ascii="宋体" w:hAnsi="宋体"/>
                <w:color w:val="auto"/>
                <w:szCs w:val="21"/>
                <w:highlight w:val="none"/>
              </w:rPr>
            </w:pPr>
          </w:p>
        </w:tc>
        <w:tc>
          <w:tcPr>
            <w:tcW w:w="5103" w:type="dxa"/>
            <w:noWrap w:val="0"/>
            <w:vAlign w:val="top"/>
          </w:tcPr>
          <w:p w14:paraId="0AEC12DD">
            <w:pPr>
              <w:spacing w:line="400" w:lineRule="exact"/>
              <w:ind w:firstLine="420" w:firstLineChars="200"/>
              <w:rPr>
                <w:rFonts w:ascii="宋体" w:hAnsi="宋体"/>
                <w:color w:val="auto"/>
                <w:szCs w:val="21"/>
                <w:highlight w:val="none"/>
              </w:rPr>
            </w:pPr>
          </w:p>
        </w:tc>
        <w:tc>
          <w:tcPr>
            <w:tcW w:w="1560" w:type="dxa"/>
            <w:noWrap w:val="0"/>
            <w:vAlign w:val="top"/>
          </w:tcPr>
          <w:p w14:paraId="41FF5D89">
            <w:pPr>
              <w:spacing w:line="400" w:lineRule="exact"/>
              <w:ind w:firstLine="420" w:firstLineChars="200"/>
              <w:rPr>
                <w:rFonts w:ascii="宋体" w:hAnsi="宋体"/>
                <w:color w:val="auto"/>
                <w:szCs w:val="21"/>
                <w:highlight w:val="none"/>
              </w:rPr>
            </w:pPr>
          </w:p>
        </w:tc>
      </w:tr>
      <w:tr w14:paraId="5CF3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EC18E9D">
            <w:pPr>
              <w:spacing w:line="400" w:lineRule="exact"/>
              <w:ind w:firstLine="420" w:firstLineChars="200"/>
              <w:rPr>
                <w:rFonts w:ascii="宋体" w:hAnsi="宋体"/>
                <w:color w:val="auto"/>
                <w:szCs w:val="21"/>
                <w:highlight w:val="none"/>
              </w:rPr>
            </w:pPr>
          </w:p>
        </w:tc>
        <w:tc>
          <w:tcPr>
            <w:tcW w:w="1984" w:type="dxa"/>
            <w:noWrap w:val="0"/>
            <w:vAlign w:val="top"/>
          </w:tcPr>
          <w:p w14:paraId="6534E2B6">
            <w:pPr>
              <w:spacing w:line="400" w:lineRule="exact"/>
              <w:ind w:firstLine="420" w:firstLineChars="200"/>
              <w:rPr>
                <w:rFonts w:ascii="宋体" w:hAnsi="宋体"/>
                <w:color w:val="auto"/>
                <w:szCs w:val="21"/>
                <w:highlight w:val="none"/>
              </w:rPr>
            </w:pPr>
          </w:p>
        </w:tc>
        <w:tc>
          <w:tcPr>
            <w:tcW w:w="5103" w:type="dxa"/>
            <w:noWrap w:val="0"/>
            <w:vAlign w:val="top"/>
          </w:tcPr>
          <w:p w14:paraId="653B682C">
            <w:pPr>
              <w:spacing w:line="400" w:lineRule="exact"/>
              <w:ind w:firstLine="420" w:firstLineChars="200"/>
              <w:rPr>
                <w:rFonts w:ascii="宋体" w:hAnsi="宋体"/>
                <w:color w:val="auto"/>
                <w:szCs w:val="21"/>
                <w:highlight w:val="none"/>
              </w:rPr>
            </w:pPr>
          </w:p>
        </w:tc>
        <w:tc>
          <w:tcPr>
            <w:tcW w:w="1560" w:type="dxa"/>
            <w:noWrap w:val="0"/>
            <w:vAlign w:val="top"/>
          </w:tcPr>
          <w:p w14:paraId="66F5A54D">
            <w:pPr>
              <w:spacing w:line="400" w:lineRule="exact"/>
              <w:ind w:firstLine="420" w:firstLineChars="200"/>
              <w:rPr>
                <w:rFonts w:ascii="宋体" w:hAnsi="宋体"/>
                <w:color w:val="auto"/>
                <w:szCs w:val="21"/>
                <w:highlight w:val="none"/>
              </w:rPr>
            </w:pPr>
          </w:p>
        </w:tc>
      </w:tr>
      <w:tr w14:paraId="6C97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3B2ACD2">
            <w:pPr>
              <w:spacing w:line="400" w:lineRule="exact"/>
              <w:ind w:firstLine="420" w:firstLineChars="200"/>
              <w:rPr>
                <w:rFonts w:ascii="宋体" w:hAnsi="宋体"/>
                <w:color w:val="auto"/>
                <w:szCs w:val="21"/>
                <w:highlight w:val="none"/>
              </w:rPr>
            </w:pPr>
          </w:p>
        </w:tc>
        <w:tc>
          <w:tcPr>
            <w:tcW w:w="1984" w:type="dxa"/>
            <w:noWrap w:val="0"/>
            <w:vAlign w:val="top"/>
          </w:tcPr>
          <w:p w14:paraId="47B27DF3">
            <w:pPr>
              <w:spacing w:line="400" w:lineRule="exact"/>
              <w:ind w:firstLine="420" w:firstLineChars="200"/>
              <w:rPr>
                <w:rFonts w:ascii="宋体" w:hAnsi="宋体"/>
                <w:color w:val="auto"/>
                <w:szCs w:val="21"/>
                <w:highlight w:val="none"/>
              </w:rPr>
            </w:pPr>
          </w:p>
        </w:tc>
        <w:tc>
          <w:tcPr>
            <w:tcW w:w="5103" w:type="dxa"/>
            <w:noWrap w:val="0"/>
            <w:vAlign w:val="top"/>
          </w:tcPr>
          <w:p w14:paraId="7DEE7252">
            <w:pPr>
              <w:spacing w:line="400" w:lineRule="exact"/>
              <w:ind w:firstLine="420" w:firstLineChars="200"/>
              <w:rPr>
                <w:rFonts w:ascii="宋体" w:hAnsi="宋体"/>
                <w:color w:val="auto"/>
                <w:szCs w:val="21"/>
                <w:highlight w:val="none"/>
              </w:rPr>
            </w:pPr>
          </w:p>
        </w:tc>
        <w:tc>
          <w:tcPr>
            <w:tcW w:w="1560" w:type="dxa"/>
            <w:noWrap w:val="0"/>
            <w:vAlign w:val="top"/>
          </w:tcPr>
          <w:p w14:paraId="6C46E05C">
            <w:pPr>
              <w:spacing w:line="400" w:lineRule="exact"/>
              <w:ind w:firstLine="420" w:firstLineChars="200"/>
              <w:rPr>
                <w:rFonts w:ascii="宋体" w:hAnsi="宋体"/>
                <w:color w:val="auto"/>
                <w:szCs w:val="21"/>
                <w:highlight w:val="none"/>
              </w:rPr>
            </w:pPr>
          </w:p>
        </w:tc>
      </w:tr>
      <w:tr w14:paraId="03C7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CE594D2">
            <w:pPr>
              <w:spacing w:line="400" w:lineRule="exact"/>
              <w:ind w:firstLine="420" w:firstLineChars="200"/>
              <w:rPr>
                <w:rFonts w:ascii="宋体" w:hAnsi="宋体"/>
                <w:color w:val="auto"/>
                <w:szCs w:val="21"/>
                <w:highlight w:val="none"/>
              </w:rPr>
            </w:pPr>
          </w:p>
        </w:tc>
        <w:tc>
          <w:tcPr>
            <w:tcW w:w="1984" w:type="dxa"/>
            <w:noWrap w:val="0"/>
            <w:vAlign w:val="top"/>
          </w:tcPr>
          <w:p w14:paraId="0C14EC5E">
            <w:pPr>
              <w:spacing w:line="400" w:lineRule="exact"/>
              <w:ind w:firstLine="420" w:firstLineChars="200"/>
              <w:rPr>
                <w:rFonts w:ascii="宋体" w:hAnsi="宋体"/>
                <w:color w:val="auto"/>
                <w:szCs w:val="21"/>
                <w:highlight w:val="none"/>
              </w:rPr>
            </w:pPr>
          </w:p>
        </w:tc>
        <w:tc>
          <w:tcPr>
            <w:tcW w:w="5103" w:type="dxa"/>
            <w:noWrap w:val="0"/>
            <w:vAlign w:val="top"/>
          </w:tcPr>
          <w:p w14:paraId="75241FDF">
            <w:pPr>
              <w:spacing w:line="400" w:lineRule="exact"/>
              <w:ind w:firstLine="420" w:firstLineChars="200"/>
              <w:rPr>
                <w:rFonts w:ascii="宋体" w:hAnsi="宋体"/>
                <w:color w:val="auto"/>
                <w:szCs w:val="21"/>
                <w:highlight w:val="none"/>
              </w:rPr>
            </w:pPr>
          </w:p>
        </w:tc>
        <w:tc>
          <w:tcPr>
            <w:tcW w:w="1560" w:type="dxa"/>
            <w:noWrap w:val="0"/>
            <w:vAlign w:val="top"/>
          </w:tcPr>
          <w:p w14:paraId="69DF2CD2">
            <w:pPr>
              <w:spacing w:line="400" w:lineRule="exact"/>
              <w:ind w:firstLine="420" w:firstLineChars="200"/>
              <w:rPr>
                <w:rFonts w:ascii="宋体" w:hAnsi="宋体"/>
                <w:color w:val="auto"/>
                <w:szCs w:val="21"/>
                <w:highlight w:val="none"/>
              </w:rPr>
            </w:pPr>
          </w:p>
        </w:tc>
      </w:tr>
      <w:tr w14:paraId="508B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642753F">
            <w:pPr>
              <w:spacing w:line="400" w:lineRule="exact"/>
              <w:ind w:firstLine="420" w:firstLineChars="200"/>
              <w:rPr>
                <w:rFonts w:ascii="宋体" w:hAnsi="宋体"/>
                <w:color w:val="auto"/>
                <w:szCs w:val="21"/>
                <w:highlight w:val="none"/>
              </w:rPr>
            </w:pPr>
          </w:p>
        </w:tc>
        <w:tc>
          <w:tcPr>
            <w:tcW w:w="1984" w:type="dxa"/>
            <w:noWrap w:val="0"/>
            <w:vAlign w:val="top"/>
          </w:tcPr>
          <w:p w14:paraId="44B8CA06">
            <w:pPr>
              <w:spacing w:line="400" w:lineRule="exact"/>
              <w:ind w:firstLine="420" w:firstLineChars="200"/>
              <w:rPr>
                <w:rFonts w:ascii="宋体" w:hAnsi="宋体"/>
                <w:color w:val="auto"/>
                <w:szCs w:val="21"/>
                <w:highlight w:val="none"/>
              </w:rPr>
            </w:pPr>
          </w:p>
        </w:tc>
        <w:tc>
          <w:tcPr>
            <w:tcW w:w="5103" w:type="dxa"/>
            <w:noWrap w:val="0"/>
            <w:vAlign w:val="top"/>
          </w:tcPr>
          <w:p w14:paraId="4E217054">
            <w:pPr>
              <w:spacing w:line="400" w:lineRule="exact"/>
              <w:ind w:firstLine="420" w:firstLineChars="200"/>
              <w:rPr>
                <w:rFonts w:ascii="宋体" w:hAnsi="宋体"/>
                <w:color w:val="auto"/>
                <w:szCs w:val="21"/>
                <w:highlight w:val="none"/>
              </w:rPr>
            </w:pPr>
          </w:p>
        </w:tc>
        <w:tc>
          <w:tcPr>
            <w:tcW w:w="1560" w:type="dxa"/>
            <w:noWrap w:val="0"/>
            <w:vAlign w:val="top"/>
          </w:tcPr>
          <w:p w14:paraId="15F41F47">
            <w:pPr>
              <w:spacing w:line="400" w:lineRule="exact"/>
              <w:ind w:firstLine="420" w:firstLineChars="200"/>
              <w:rPr>
                <w:rFonts w:ascii="宋体" w:hAnsi="宋体"/>
                <w:color w:val="auto"/>
                <w:szCs w:val="21"/>
                <w:highlight w:val="none"/>
              </w:rPr>
            </w:pPr>
          </w:p>
        </w:tc>
      </w:tr>
      <w:tr w14:paraId="62D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9E71284">
            <w:pPr>
              <w:spacing w:line="400" w:lineRule="exact"/>
              <w:ind w:firstLine="420" w:firstLineChars="200"/>
              <w:rPr>
                <w:rFonts w:ascii="宋体" w:hAnsi="宋体"/>
                <w:color w:val="auto"/>
                <w:szCs w:val="21"/>
                <w:highlight w:val="none"/>
              </w:rPr>
            </w:pPr>
          </w:p>
        </w:tc>
        <w:tc>
          <w:tcPr>
            <w:tcW w:w="1984" w:type="dxa"/>
            <w:noWrap w:val="0"/>
            <w:vAlign w:val="top"/>
          </w:tcPr>
          <w:p w14:paraId="6ED03993">
            <w:pPr>
              <w:spacing w:line="400" w:lineRule="exact"/>
              <w:ind w:firstLine="420" w:firstLineChars="200"/>
              <w:rPr>
                <w:rFonts w:ascii="宋体" w:hAnsi="宋体"/>
                <w:color w:val="auto"/>
                <w:szCs w:val="21"/>
                <w:highlight w:val="none"/>
              </w:rPr>
            </w:pPr>
          </w:p>
        </w:tc>
        <w:tc>
          <w:tcPr>
            <w:tcW w:w="5103" w:type="dxa"/>
            <w:noWrap w:val="0"/>
            <w:vAlign w:val="top"/>
          </w:tcPr>
          <w:p w14:paraId="589BCE49">
            <w:pPr>
              <w:spacing w:line="400" w:lineRule="exact"/>
              <w:ind w:firstLine="420" w:firstLineChars="200"/>
              <w:rPr>
                <w:rFonts w:ascii="宋体" w:hAnsi="宋体"/>
                <w:color w:val="auto"/>
                <w:szCs w:val="21"/>
                <w:highlight w:val="none"/>
              </w:rPr>
            </w:pPr>
          </w:p>
        </w:tc>
        <w:tc>
          <w:tcPr>
            <w:tcW w:w="1560" w:type="dxa"/>
            <w:noWrap w:val="0"/>
            <w:vAlign w:val="top"/>
          </w:tcPr>
          <w:p w14:paraId="61938E82">
            <w:pPr>
              <w:spacing w:line="400" w:lineRule="exact"/>
              <w:ind w:firstLine="420" w:firstLineChars="200"/>
              <w:rPr>
                <w:rFonts w:ascii="宋体" w:hAnsi="宋体"/>
                <w:color w:val="auto"/>
                <w:szCs w:val="21"/>
                <w:highlight w:val="none"/>
              </w:rPr>
            </w:pPr>
          </w:p>
        </w:tc>
      </w:tr>
      <w:tr w14:paraId="29C7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E346C7">
            <w:pPr>
              <w:spacing w:line="400" w:lineRule="exact"/>
              <w:ind w:firstLine="420" w:firstLineChars="200"/>
              <w:rPr>
                <w:rFonts w:ascii="宋体" w:hAnsi="宋体"/>
                <w:color w:val="auto"/>
                <w:szCs w:val="21"/>
                <w:highlight w:val="none"/>
              </w:rPr>
            </w:pPr>
          </w:p>
        </w:tc>
        <w:tc>
          <w:tcPr>
            <w:tcW w:w="1984" w:type="dxa"/>
            <w:noWrap w:val="0"/>
            <w:vAlign w:val="top"/>
          </w:tcPr>
          <w:p w14:paraId="3EA06675">
            <w:pPr>
              <w:spacing w:line="400" w:lineRule="exact"/>
              <w:ind w:firstLine="420" w:firstLineChars="200"/>
              <w:rPr>
                <w:rFonts w:ascii="宋体" w:hAnsi="宋体"/>
                <w:color w:val="auto"/>
                <w:szCs w:val="21"/>
                <w:highlight w:val="none"/>
              </w:rPr>
            </w:pPr>
          </w:p>
        </w:tc>
        <w:tc>
          <w:tcPr>
            <w:tcW w:w="5103" w:type="dxa"/>
            <w:noWrap w:val="0"/>
            <w:vAlign w:val="top"/>
          </w:tcPr>
          <w:p w14:paraId="09D29046">
            <w:pPr>
              <w:spacing w:line="400" w:lineRule="exact"/>
              <w:ind w:firstLine="420" w:firstLineChars="200"/>
              <w:rPr>
                <w:rFonts w:ascii="宋体" w:hAnsi="宋体"/>
                <w:color w:val="auto"/>
                <w:szCs w:val="21"/>
                <w:highlight w:val="none"/>
              </w:rPr>
            </w:pPr>
          </w:p>
        </w:tc>
        <w:tc>
          <w:tcPr>
            <w:tcW w:w="1560" w:type="dxa"/>
            <w:noWrap w:val="0"/>
            <w:vAlign w:val="top"/>
          </w:tcPr>
          <w:p w14:paraId="3053F400">
            <w:pPr>
              <w:spacing w:line="400" w:lineRule="exact"/>
              <w:ind w:firstLine="420" w:firstLineChars="200"/>
              <w:rPr>
                <w:rFonts w:ascii="宋体" w:hAnsi="宋体"/>
                <w:color w:val="auto"/>
                <w:szCs w:val="21"/>
                <w:highlight w:val="none"/>
              </w:rPr>
            </w:pPr>
          </w:p>
        </w:tc>
      </w:tr>
      <w:tr w14:paraId="0944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C1F4504">
            <w:pPr>
              <w:spacing w:line="400" w:lineRule="exact"/>
              <w:ind w:firstLine="420" w:firstLineChars="200"/>
              <w:rPr>
                <w:rFonts w:ascii="宋体" w:hAnsi="宋体"/>
                <w:color w:val="auto"/>
                <w:szCs w:val="21"/>
                <w:highlight w:val="none"/>
              </w:rPr>
            </w:pPr>
          </w:p>
        </w:tc>
        <w:tc>
          <w:tcPr>
            <w:tcW w:w="1984" w:type="dxa"/>
            <w:noWrap w:val="0"/>
            <w:vAlign w:val="top"/>
          </w:tcPr>
          <w:p w14:paraId="27C90C69">
            <w:pPr>
              <w:spacing w:line="400" w:lineRule="exact"/>
              <w:ind w:firstLine="420" w:firstLineChars="200"/>
              <w:rPr>
                <w:rFonts w:ascii="宋体" w:hAnsi="宋体"/>
                <w:color w:val="auto"/>
                <w:szCs w:val="21"/>
                <w:highlight w:val="none"/>
              </w:rPr>
            </w:pPr>
          </w:p>
        </w:tc>
        <w:tc>
          <w:tcPr>
            <w:tcW w:w="5103" w:type="dxa"/>
            <w:noWrap w:val="0"/>
            <w:vAlign w:val="top"/>
          </w:tcPr>
          <w:p w14:paraId="6FA4F254">
            <w:pPr>
              <w:spacing w:line="400" w:lineRule="exact"/>
              <w:ind w:firstLine="420" w:firstLineChars="200"/>
              <w:rPr>
                <w:rFonts w:ascii="宋体" w:hAnsi="宋体"/>
                <w:color w:val="auto"/>
                <w:szCs w:val="21"/>
                <w:highlight w:val="none"/>
              </w:rPr>
            </w:pPr>
          </w:p>
        </w:tc>
        <w:tc>
          <w:tcPr>
            <w:tcW w:w="1560" w:type="dxa"/>
            <w:noWrap w:val="0"/>
            <w:vAlign w:val="top"/>
          </w:tcPr>
          <w:p w14:paraId="24171BA4">
            <w:pPr>
              <w:spacing w:line="400" w:lineRule="exact"/>
              <w:ind w:firstLine="420" w:firstLineChars="200"/>
              <w:rPr>
                <w:rFonts w:ascii="宋体" w:hAnsi="宋体"/>
                <w:color w:val="auto"/>
                <w:szCs w:val="21"/>
                <w:highlight w:val="none"/>
              </w:rPr>
            </w:pPr>
          </w:p>
        </w:tc>
      </w:tr>
      <w:tr w14:paraId="4476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6B23F7F">
            <w:pPr>
              <w:spacing w:line="400" w:lineRule="exact"/>
              <w:ind w:firstLine="420" w:firstLineChars="200"/>
              <w:rPr>
                <w:rFonts w:ascii="宋体" w:hAnsi="宋体"/>
                <w:color w:val="auto"/>
                <w:szCs w:val="21"/>
                <w:highlight w:val="none"/>
              </w:rPr>
            </w:pPr>
          </w:p>
        </w:tc>
        <w:tc>
          <w:tcPr>
            <w:tcW w:w="1984" w:type="dxa"/>
            <w:noWrap w:val="0"/>
            <w:vAlign w:val="top"/>
          </w:tcPr>
          <w:p w14:paraId="06B86C24">
            <w:pPr>
              <w:spacing w:line="400" w:lineRule="exact"/>
              <w:ind w:firstLine="420" w:firstLineChars="200"/>
              <w:rPr>
                <w:rFonts w:ascii="宋体" w:hAnsi="宋体"/>
                <w:color w:val="auto"/>
                <w:szCs w:val="21"/>
                <w:highlight w:val="none"/>
              </w:rPr>
            </w:pPr>
          </w:p>
        </w:tc>
        <w:tc>
          <w:tcPr>
            <w:tcW w:w="5103" w:type="dxa"/>
            <w:noWrap w:val="0"/>
            <w:vAlign w:val="top"/>
          </w:tcPr>
          <w:p w14:paraId="3D795F25">
            <w:pPr>
              <w:spacing w:line="400" w:lineRule="exact"/>
              <w:ind w:firstLine="420" w:firstLineChars="200"/>
              <w:rPr>
                <w:rFonts w:ascii="宋体" w:hAnsi="宋体"/>
                <w:color w:val="auto"/>
                <w:szCs w:val="21"/>
                <w:highlight w:val="none"/>
              </w:rPr>
            </w:pPr>
          </w:p>
        </w:tc>
        <w:tc>
          <w:tcPr>
            <w:tcW w:w="1560" w:type="dxa"/>
            <w:noWrap w:val="0"/>
            <w:vAlign w:val="top"/>
          </w:tcPr>
          <w:p w14:paraId="372D8C25">
            <w:pPr>
              <w:spacing w:line="400" w:lineRule="exact"/>
              <w:ind w:firstLine="420" w:firstLineChars="200"/>
              <w:rPr>
                <w:rFonts w:ascii="宋体" w:hAnsi="宋体"/>
                <w:color w:val="auto"/>
                <w:szCs w:val="21"/>
                <w:highlight w:val="none"/>
              </w:rPr>
            </w:pPr>
          </w:p>
        </w:tc>
      </w:tr>
      <w:tr w14:paraId="211D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4D34742">
            <w:pPr>
              <w:spacing w:line="400" w:lineRule="exact"/>
              <w:ind w:firstLine="420" w:firstLineChars="200"/>
              <w:rPr>
                <w:rFonts w:ascii="宋体" w:hAnsi="宋体"/>
                <w:color w:val="auto"/>
                <w:szCs w:val="21"/>
                <w:highlight w:val="none"/>
              </w:rPr>
            </w:pPr>
          </w:p>
        </w:tc>
        <w:tc>
          <w:tcPr>
            <w:tcW w:w="1984" w:type="dxa"/>
            <w:noWrap w:val="0"/>
            <w:vAlign w:val="top"/>
          </w:tcPr>
          <w:p w14:paraId="4F19F457">
            <w:pPr>
              <w:spacing w:line="400" w:lineRule="exact"/>
              <w:ind w:firstLine="420" w:firstLineChars="200"/>
              <w:rPr>
                <w:rFonts w:ascii="宋体" w:hAnsi="宋体"/>
                <w:color w:val="auto"/>
                <w:szCs w:val="21"/>
                <w:highlight w:val="none"/>
              </w:rPr>
            </w:pPr>
          </w:p>
        </w:tc>
        <w:tc>
          <w:tcPr>
            <w:tcW w:w="5103" w:type="dxa"/>
            <w:noWrap w:val="0"/>
            <w:vAlign w:val="top"/>
          </w:tcPr>
          <w:p w14:paraId="720875C8">
            <w:pPr>
              <w:spacing w:line="400" w:lineRule="exact"/>
              <w:ind w:firstLine="420" w:firstLineChars="200"/>
              <w:rPr>
                <w:rFonts w:ascii="宋体" w:hAnsi="宋体"/>
                <w:color w:val="auto"/>
                <w:szCs w:val="21"/>
                <w:highlight w:val="none"/>
              </w:rPr>
            </w:pPr>
          </w:p>
        </w:tc>
        <w:tc>
          <w:tcPr>
            <w:tcW w:w="1560" w:type="dxa"/>
            <w:noWrap w:val="0"/>
            <w:vAlign w:val="top"/>
          </w:tcPr>
          <w:p w14:paraId="04D4A063">
            <w:pPr>
              <w:spacing w:line="400" w:lineRule="exact"/>
              <w:ind w:firstLine="420" w:firstLineChars="200"/>
              <w:rPr>
                <w:rFonts w:ascii="宋体" w:hAnsi="宋体"/>
                <w:color w:val="auto"/>
                <w:szCs w:val="21"/>
                <w:highlight w:val="none"/>
              </w:rPr>
            </w:pPr>
          </w:p>
        </w:tc>
      </w:tr>
      <w:tr w14:paraId="6754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45EE763">
            <w:pPr>
              <w:spacing w:line="400" w:lineRule="exact"/>
              <w:ind w:firstLine="420" w:firstLineChars="200"/>
              <w:rPr>
                <w:rFonts w:ascii="宋体" w:hAnsi="宋体"/>
                <w:color w:val="auto"/>
                <w:szCs w:val="21"/>
                <w:highlight w:val="none"/>
              </w:rPr>
            </w:pPr>
          </w:p>
        </w:tc>
        <w:tc>
          <w:tcPr>
            <w:tcW w:w="1984" w:type="dxa"/>
            <w:noWrap w:val="0"/>
            <w:vAlign w:val="top"/>
          </w:tcPr>
          <w:p w14:paraId="0D47E464">
            <w:pPr>
              <w:spacing w:line="400" w:lineRule="exact"/>
              <w:ind w:firstLine="420" w:firstLineChars="200"/>
              <w:rPr>
                <w:rFonts w:ascii="宋体" w:hAnsi="宋体"/>
                <w:color w:val="auto"/>
                <w:szCs w:val="21"/>
                <w:highlight w:val="none"/>
              </w:rPr>
            </w:pPr>
          </w:p>
        </w:tc>
        <w:tc>
          <w:tcPr>
            <w:tcW w:w="5103" w:type="dxa"/>
            <w:noWrap w:val="0"/>
            <w:vAlign w:val="top"/>
          </w:tcPr>
          <w:p w14:paraId="4C3DD410">
            <w:pPr>
              <w:spacing w:line="400" w:lineRule="exact"/>
              <w:ind w:firstLine="420" w:firstLineChars="200"/>
              <w:rPr>
                <w:rFonts w:ascii="宋体" w:hAnsi="宋体"/>
                <w:color w:val="auto"/>
                <w:szCs w:val="21"/>
                <w:highlight w:val="none"/>
              </w:rPr>
            </w:pPr>
          </w:p>
        </w:tc>
        <w:tc>
          <w:tcPr>
            <w:tcW w:w="1560" w:type="dxa"/>
            <w:noWrap w:val="0"/>
            <w:vAlign w:val="top"/>
          </w:tcPr>
          <w:p w14:paraId="03CEC195">
            <w:pPr>
              <w:spacing w:line="400" w:lineRule="exact"/>
              <w:ind w:firstLine="420" w:firstLineChars="200"/>
              <w:rPr>
                <w:rFonts w:ascii="宋体" w:hAnsi="宋体"/>
                <w:color w:val="auto"/>
                <w:szCs w:val="21"/>
                <w:highlight w:val="none"/>
              </w:rPr>
            </w:pPr>
          </w:p>
        </w:tc>
      </w:tr>
      <w:tr w14:paraId="415C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4711725">
            <w:pPr>
              <w:spacing w:line="400" w:lineRule="exact"/>
              <w:ind w:firstLine="420" w:firstLineChars="200"/>
              <w:rPr>
                <w:rFonts w:ascii="宋体" w:hAnsi="宋体"/>
                <w:color w:val="auto"/>
                <w:szCs w:val="21"/>
                <w:highlight w:val="none"/>
              </w:rPr>
            </w:pPr>
          </w:p>
        </w:tc>
        <w:tc>
          <w:tcPr>
            <w:tcW w:w="1984" w:type="dxa"/>
            <w:noWrap w:val="0"/>
            <w:vAlign w:val="top"/>
          </w:tcPr>
          <w:p w14:paraId="2519AB89">
            <w:pPr>
              <w:spacing w:line="400" w:lineRule="exact"/>
              <w:ind w:firstLine="420" w:firstLineChars="200"/>
              <w:rPr>
                <w:rFonts w:ascii="宋体" w:hAnsi="宋体"/>
                <w:color w:val="auto"/>
                <w:szCs w:val="21"/>
                <w:highlight w:val="none"/>
              </w:rPr>
            </w:pPr>
          </w:p>
        </w:tc>
        <w:tc>
          <w:tcPr>
            <w:tcW w:w="5103" w:type="dxa"/>
            <w:noWrap w:val="0"/>
            <w:vAlign w:val="top"/>
          </w:tcPr>
          <w:p w14:paraId="37E78DF1">
            <w:pPr>
              <w:spacing w:line="400" w:lineRule="exact"/>
              <w:ind w:firstLine="420" w:firstLineChars="200"/>
              <w:rPr>
                <w:rFonts w:ascii="宋体" w:hAnsi="宋体"/>
                <w:color w:val="auto"/>
                <w:szCs w:val="21"/>
                <w:highlight w:val="none"/>
              </w:rPr>
            </w:pPr>
          </w:p>
        </w:tc>
        <w:tc>
          <w:tcPr>
            <w:tcW w:w="1560" w:type="dxa"/>
            <w:noWrap w:val="0"/>
            <w:vAlign w:val="top"/>
          </w:tcPr>
          <w:p w14:paraId="4CB10636">
            <w:pPr>
              <w:spacing w:line="400" w:lineRule="exact"/>
              <w:ind w:firstLine="420" w:firstLineChars="200"/>
              <w:rPr>
                <w:rFonts w:ascii="宋体" w:hAnsi="宋体"/>
                <w:color w:val="auto"/>
                <w:szCs w:val="21"/>
                <w:highlight w:val="none"/>
              </w:rPr>
            </w:pPr>
          </w:p>
        </w:tc>
      </w:tr>
      <w:tr w14:paraId="32F5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67B5313">
            <w:pPr>
              <w:spacing w:line="400" w:lineRule="exact"/>
              <w:ind w:firstLine="420" w:firstLineChars="200"/>
              <w:rPr>
                <w:rFonts w:ascii="宋体" w:hAnsi="宋体"/>
                <w:color w:val="auto"/>
                <w:szCs w:val="21"/>
                <w:highlight w:val="none"/>
              </w:rPr>
            </w:pPr>
          </w:p>
        </w:tc>
        <w:tc>
          <w:tcPr>
            <w:tcW w:w="1984" w:type="dxa"/>
            <w:noWrap w:val="0"/>
            <w:vAlign w:val="top"/>
          </w:tcPr>
          <w:p w14:paraId="58CDB2F2">
            <w:pPr>
              <w:spacing w:line="400" w:lineRule="exact"/>
              <w:ind w:firstLine="420" w:firstLineChars="200"/>
              <w:rPr>
                <w:rFonts w:ascii="宋体" w:hAnsi="宋体"/>
                <w:color w:val="auto"/>
                <w:szCs w:val="21"/>
                <w:highlight w:val="none"/>
              </w:rPr>
            </w:pPr>
          </w:p>
        </w:tc>
        <w:tc>
          <w:tcPr>
            <w:tcW w:w="5103" w:type="dxa"/>
            <w:noWrap w:val="0"/>
            <w:vAlign w:val="top"/>
          </w:tcPr>
          <w:p w14:paraId="7AF751E6">
            <w:pPr>
              <w:spacing w:line="400" w:lineRule="exact"/>
              <w:ind w:firstLine="420" w:firstLineChars="200"/>
              <w:rPr>
                <w:rFonts w:ascii="宋体" w:hAnsi="宋体"/>
                <w:color w:val="auto"/>
                <w:szCs w:val="21"/>
                <w:highlight w:val="none"/>
              </w:rPr>
            </w:pPr>
          </w:p>
        </w:tc>
        <w:tc>
          <w:tcPr>
            <w:tcW w:w="1560" w:type="dxa"/>
            <w:noWrap w:val="0"/>
            <w:vAlign w:val="top"/>
          </w:tcPr>
          <w:p w14:paraId="7A5BBF54">
            <w:pPr>
              <w:spacing w:line="400" w:lineRule="exact"/>
              <w:ind w:firstLine="420" w:firstLineChars="200"/>
              <w:rPr>
                <w:rFonts w:ascii="宋体" w:hAnsi="宋体"/>
                <w:color w:val="auto"/>
                <w:szCs w:val="21"/>
                <w:highlight w:val="none"/>
              </w:rPr>
            </w:pPr>
          </w:p>
        </w:tc>
      </w:tr>
      <w:tr w14:paraId="7A13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198C37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47206047">
      <w:pPr>
        <w:spacing w:line="360" w:lineRule="auto"/>
        <w:ind w:firstLine="420" w:firstLineChars="200"/>
        <w:rPr>
          <w:rFonts w:ascii="宋体" w:hAnsi="宋体"/>
          <w:color w:val="auto"/>
          <w:szCs w:val="21"/>
          <w:highlight w:val="none"/>
        </w:rPr>
      </w:pPr>
    </w:p>
    <w:p w14:paraId="64BFE320">
      <w:pPr>
        <w:pStyle w:val="2"/>
        <w:spacing w:line="360" w:lineRule="auto"/>
        <w:rPr>
          <w:rFonts w:ascii="宋体" w:hAnsi="宋体"/>
          <w:color w:val="auto"/>
          <w:szCs w:val="21"/>
          <w:highlight w:val="none"/>
        </w:rPr>
      </w:pPr>
    </w:p>
    <w:p w14:paraId="587270CA">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08CE3085">
      <w:pPr>
        <w:spacing w:line="480" w:lineRule="auto"/>
        <w:rPr>
          <w:rFonts w:ascii="宋体" w:hAnsi="宋体"/>
          <w:color w:val="auto"/>
          <w:szCs w:val="21"/>
          <w:highlight w:val="none"/>
        </w:rPr>
      </w:pPr>
      <w:r>
        <w:rPr>
          <w:rFonts w:hint="eastAsia" w:ascii="宋体" w:hAnsi="宋体"/>
          <w:color w:val="auto"/>
          <w:szCs w:val="21"/>
          <w:highlight w:val="none"/>
        </w:rPr>
        <w:t>附件6：廉洁从业协议</w:t>
      </w:r>
    </w:p>
    <w:p w14:paraId="23C5865E">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05D4A29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703507A">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2591B4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3D297E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76C379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0F8013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5BDDC7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1347E1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55C9FB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28DEDD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7491D3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133732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7ECE29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6669D6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3A86F3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401341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426C45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27CFA1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340A95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1D6649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7EDCCA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60D92B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341090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535C18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7959FC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6A3A9C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55259F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53F3BF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2D4B2E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464AC7A5">
      <w:pPr>
        <w:spacing w:line="360" w:lineRule="auto"/>
        <w:rPr>
          <w:rFonts w:ascii="宋体" w:hAnsi="宋体"/>
          <w:color w:val="auto"/>
          <w:szCs w:val="21"/>
          <w:highlight w:val="none"/>
        </w:rPr>
      </w:pPr>
    </w:p>
    <w:p w14:paraId="37C69075">
      <w:pPr>
        <w:pStyle w:val="2"/>
        <w:spacing w:line="360" w:lineRule="auto"/>
        <w:rPr>
          <w:rFonts w:ascii="宋体" w:hAnsi="宋体"/>
          <w:color w:val="auto"/>
          <w:szCs w:val="21"/>
          <w:highlight w:val="none"/>
        </w:rPr>
      </w:pPr>
    </w:p>
    <w:p w14:paraId="5C86A6A0">
      <w:pPr>
        <w:pStyle w:val="2"/>
        <w:spacing w:line="360" w:lineRule="auto"/>
        <w:rPr>
          <w:rFonts w:ascii="宋体" w:hAnsi="宋体"/>
          <w:color w:val="auto"/>
          <w:szCs w:val="21"/>
          <w:highlight w:val="none"/>
        </w:rPr>
      </w:pPr>
    </w:p>
    <w:p w14:paraId="16D4D784">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51086EA9">
      <w:pPr>
        <w:spacing w:line="360" w:lineRule="auto"/>
        <w:rPr>
          <w:rFonts w:ascii="宋体" w:hAnsi="宋体"/>
          <w:color w:val="auto"/>
          <w:szCs w:val="21"/>
          <w:highlight w:val="none"/>
        </w:rPr>
      </w:pPr>
    </w:p>
    <w:p w14:paraId="7050FF8A">
      <w:pPr>
        <w:spacing w:line="360" w:lineRule="auto"/>
        <w:rPr>
          <w:rFonts w:ascii="宋体" w:hAnsi="宋体"/>
          <w:color w:val="auto"/>
          <w:szCs w:val="21"/>
          <w:highlight w:val="none"/>
        </w:rPr>
      </w:pPr>
    </w:p>
    <w:p w14:paraId="60ED3DAE">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3DB6C99B">
      <w:pPr>
        <w:spacing w:line="360" w:lineRule="auto"/>
        <w:rPr>
          <w:rFonts w:ascii="宋体" w:hAnsi="宋体"/>
          <w:color w:val="auto"/>
          <w:szCs w:val="21"/>
          <w:highlight w:val="none"/>
        </w:rPr>
      </w:pPr>
    </w:p>
    <w:p w14:paraId="3BAD4980">
      <w:pPr>
        <w:spacing w:line="360" w:lineRule="auto"/>
        <w:rPr>
          <w:rFonts w:ascii="宋体" w:hAnsi="宋体"/>
          <w:color w:val="auto"/>
          <w:szCs w:val="21"/>
          <w:highlight w:val="none"/>
        </w:rPr>
      </w:pPr>
    </w:p>
    <w:p w14:paraId="56F6B07B">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5D3EFC64">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附件7：安全管理协议</w:t>
      </w:r>
    </w:p>
    <w:p w14:paraId="563D070E">
      <w:pPr>
        <w:spacing w:before="156" w:beforeLines="50" w:after="156" w:afterLines="50" w:line="480" w:lineRule="auto"/>
        <w:jc w:val="center"/>
        <w:rPr>
          <w:rFonts w:ascii="宋体" w:hAnsi="宋体"/>
          <w:color w:val="auto"/>
          <w:szCs w:val="21"/>
          <w:highlight w:val="none"/>
        </w:rPr>
      </w:pPr>
      <w:bookmarkStart w:id="1378" w:name="_Toc435690184"/>
      <w:bookmarkStart w:id="1379" w:name="_Toc247431422"/>
      <w:bookmarkStart w:id="1380" w:name="_Toc435689499"/>
      <w:bookmarkStart w:id="1381" w:name="_Toc336680145"/>
      <w:bookmarkStart w:id="1382" w:name="_Toc239510288"/>
      <w:bookmarkStart w:id="1383" w:name="_Toc448406299"/>
      <w:r>
        <w:rPr>
          <w:rFonts w:hint="eastAsia" w:ascii="宋体" w:hAnsi="宋体"/>
          <w:color w:val="auto"/>
          <w:szCs w:val="21"/>
          <w:highlight w:val="none"/>
        </w:rPr>
        <w:t>安全管理协议</w:t>
      </w:r>
      <w:bookmarkEnd w:id="1378"/>
      <w:bookmarkEnd w:id="1379"/>
      <w:bookmarkEnd w:id="1380"/>
      <w:bookmarkEnd w:id="1381"/>
      <w:bookmarkEnd w:id="1382"/>
      <w:bookmarkEnd w:id="1383"/>
    </w:p>
    <w:p w14:paraId="716FD47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426E24F">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C29A2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1747AF9">
      <w:pPr>
        <w:spacing w:line="360" w:lineRule="auto"/>
        <w:ind w:firstLine="420" w:firstLineChars="200"/>
        <w:rPr>
          <w:rFonts w:ascii="宋体" w:hAnsi="宋体"/>
          <w:color w:val="auto"/>
          <w:szCs w:val="21"/>
          <w:highlight w:val="none"/>
        </w:rPr>
      </w:pPr>
      <w:bookmarkStart w:id="1384" w:name="_Toc247418263"/>
      <w:bookmarkStart w:id="1385" w:name="_Toc532375700"/>
      <w:bookmarkStart w:id="1386" w:name="_Toc239510289"/>
      <w:bookmarkStart w:id="1387" w:name="_Toc247431423"/>
      <w:r>
        <w:rPr>
          <w:rFonts w:hint="eastAsia" w:ascii="宋体" w:hAnsi="宋体"/>
          <w:color w:val="auto"/>
          <w:szCs w:val="21"/>
          <w:highlight w:val="none"/>
        </w:rPr>
        <w:t>一、协议有效期限</w:t>
      </w:r>
      <w:bookmarkEnd w:id="1384"/>
      <w:bookmarkEnd w:id="1385"/>
      <w:bookmarkEnd w:id="1386"/>
      <w:bookmarkEnd w:id="1387"/>
    </w:p>
    <w:p w14:paraId="5E020D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3794A252">
      <w:pPr>
        <w:spacing w:line="360" w:lineRule="auto"/>
        <w:ind w:firstLine="420" w:firstLineChars="200"/>
        <w:rPr>
          <w:rFonts w:ascii="宋体" w:hAnsi="宋体"/>
          <w:color w:val="auto"/>
          <w:szCs w:val="21"/>
          <w:highlight w:val="none"/>
        </w:rPr>
      </w:pPr>
      <w:bookmarkStart w:id="1388" w:name="_Toc247431424"/>
      <w:bookmarkStart w:id="1389" w:name="_Toc239510290"/>
      <w:bookmarkStart w:id="1390" w:name="_Toc532375701"/>
      <w:bookmarkStart w:id="1391" w:name="_Toc247418264"/>
      <w:r>
        <w:rPr>
          <w:rFonts w:hint="eastAsia" w:ascii="宋体" w:hAnsi="宋体"/>
          <w:color w:val="auto"/>
          <w:szCs w:val="21"/>
          <w:highlight w:val="none"/>
        </w:rPr>
        <w:t>二、责任目标</w:t>
      </w:r>
      <w:bookmarkEnd w:id="1388"/>
      <w:bookmarkEnd w:id="1389"/>
      <w:bookmarkEnd w:id="1390"/>
      <w:bookmarkEnd w:id="1391"/>
    </w:p>
    <w:p w14:paraId="636CF6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69C4B7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083A1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7A873B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77D0AF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468F5E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556A67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51CB47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30F709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0AC808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6801E983">
      <w:pPr>
        <w:spacing w:line="360" w:lineRule="auto"/>
        <w:ind w:firstLine="420" w:firstLineChars="200"/>
        <w:jc w:val="left"/>
        <w:rPr>
          <w:rFonts w:ascii="宋体" w:hAnsi="宋体"/>
          <w:color w:val="auto"/>
          <w:szCs w:val="21"/>
          <w:highlight w:val="none"/>
        </w:rPr>
      </w:pPr>
      <w:bookmarkStart w:id="1392" w:name="_Toc239510291"/>
      <w:bookmarkStart w:id="1393" w:name="_Toc247418265"/>
      <w:bookmarkStart w:id="1394" w:name="_Toc247431425"/>
      <w:r>
        <w:rPr>
          <w:rFonts w:hint="eastAsia" w:ascii="宋体" w:hAnsi="宋体"/>
          <w:color w:val="auto"/>
          <w:szCs w:val="21"/>
          <w:highlight w:val="none"/>
        </w:rPr>
        <w:t>（三）承包人承诺在施工中控制以下安全事故的发生：</w:t>
      </w:r>
      <w:bookmarkEnd w:id="1392"/>
      <w:bookmarkEnd w:id="1393"/>
      <w:bookmarkEnd w:id="1394"/>
    </w:p>
    <w:p w14:paraId="3837A8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3620C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41A881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533D4484">
      <w:pPr>
        <w:spacing w:line="360" w:lineRule="auto"/>
        <w:ind w:firstLine="420" w:firstLineChars="200"/>
        <w:rPr>
          <w:rFonts w:ascii="宋体" w:hAnsi="宋体"/>
          <w:color w:val="auto"/>
          <w:szCs w:val="21"/>
          <w:highlight w:val="none"/>
        </w:rPr>
      </w:pPr>
      <w:bookmarkStart w:id="1395" w:name="_Toc532375702"/>
      <w:bookmarkStart w:id="1396" w:name="_Toc239510292"/>
      <w:bookmarkStart w:id="1397" w:name="_Toc247431426"/>
      <w:bookmarkStart w:id="1398" w:name="_Toc247418266"/>
      <w:r>
        <w:rPr>
          <w:rFonts w:hint="eastAsia" w:ascii="宋体" w:hAnsi="宋体"/>
          <w:color w:val="auto"/>
          <w:szCs w:val="21"/>
          <w:highlight w:val="none"/>
        </w:rPr>
        <w:t>三、安全责任</w:t>
      </w:r>
      <w:bookmarkEnd w:id="1395"/>
      <w:bookmarkEnd w:id="1396"/>
      <w:bookmarkEnd w:id="1397"/>
      <w:bookmarkEnd w:id="1398"/>
    </w:p>
    <w:p w14:paraId="06D040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199890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6D35DC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28C33C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2C9249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787B48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39C385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6720F5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660B4E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5427A6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69E504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675A65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09416F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25A0AB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2A8F71CA">
      <w:pPr>
        <w:spacing w:line="360" w:lineRule="auto"/>
        <w:ind w:firstLine="420" w:firstLineChars="200"/>
        <w:rPr>
          <w:rFonts w:ascii="宋体" w:hAnsi="宋体"/>
          <w:color w:val="auto"/>
          <w:szCs w:val="21"/>
          <w:highlight w:val="none"/>
        </w:rPr>
      </w:pPr>
      <w:bookmarkStart w:id="1399" w:name="_Toc239510293"/>
      <w:bookmarkStart w:id="1400" w:name="_Toc247431427"/>
      <w:bookmarkStart w:id="1401" w:name="_Toc532375703"/>
      <w:bookmarkStart w:id="1402" w:name="_Toc247418267"/>
      <w:r>
        <w:rPr>
          <w:rFonts w:hint="eastAsia" w:ascii="宋体" w:hAnsi="宋体"/>
          <w:color w:val="auto"/>
          <w:szCs w:val="21"/>
          <w:highlight w:val="none"/>
        </w:rPr>
        <w:t>四、接口及协调</w:t>
      </w:r>
      <w:bookmarkEnd w:id="1399"/>
      <w:bookmarkEnd w:id="1400"/>
      <w:bookmarkEnd w:id="1401"/>
      <w:bookmarkEnd w:id="1402"/>
    </w:p>
    <w:p w14:paraId="0C4424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2D6CFB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15FA07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5B9F5B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6F8EB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248C67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2CF038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44A17808">
      <w:pPr>
        <w:spacing w:line="360" w:lineRule="auto"/>
        <w:ind w:firstLine="420" w:firstLineChars="200"/>
        <w:rPr>
          <w:rFonts w:ascii="宋体" w:hAnsi="宋体"/>
          <w:color w:val="auto"/>
          <w:szCs w:val="21"/>
          <w:highlight w:val="none"/>
        </w:rPr>
      </w:pPr>
      <w:bookmarkStart w:id="1403" w:name="_Toc247431428"/>
      <w:bookmarkStart w:id="1404" w:name="_Toc239510294"/>
      <w:bookmarkStart w:id="1405" w:name="_Toc247418268"/>
      <w:bookmarkStart w:id="1406" w:name="_Toc532375704"/>
      <w:r>
        <w:rPr>
          <w:rFonts w:hint="eastAsia" w:ascii="宋体" w:hAnsi="宋体"/>
          <w:color w:val="auto"/>
          <w:szCs w:val="21"/>
          <w:highlight w:val="none"/>
        </w:rPr>
        <w:t>五、安全资质审查</w:t>
      </w:r>
      <w:bookmarkEnd w:id="1403"/>
      <w:bookmarkEnd w:id="1404"/>
      <w:bookmarkEnd w:id="1405"/>
      <w:bookmarkEnd w:id="1406"/>
    </w:p>
    <w:p w14:paraId="080741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4E619A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32F762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742D32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A81E4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3A2DD2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61CCD2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36A96E97">
      <w:pPr>
        <w:spacing w:line="360" w:lineRule="auto"/>
        <w:ind w:firstLine="420" w:firstLineChars="200"/>
        <w:rPr>
          <w:rFonts w:ascii="宋体" w:hAnsi="宋体"/>
          <w:color w:val="auto"/>
          <w:szCs w:val="21"/>
          <w:highlight w:val="none"/>
        </w:rPr>
      </w:pPr>
      <w:bookmarkStart w:id="1407" w:name="_Toc239510295"/>
      <w:bookmarkStart w:id="1408" w:name="_Toc247418269"/>
      <w:bookmarkStart w:id="1409" w:name="_Toc532375705"/>
      <w:bookmarkStart w:id="1410" w:name="_Toc247431429"/>
      <w:r>
        <w:rPr>
          <w:rFonts w:hint="eastAsia" w:ascii="宋体" w:hAnsi="宋体"/>
          <w:color w:val="auto"/>
          <w:szCs w:val="21"/>
          <w:highlight w:val="none"/>
        </w:rPr>
        <w:t>六、人员基本素质</w:t>
      </w:r>
      <w:bookmarkEnd w:id="1407"/>
      <w:bookmarkEnd w:id="1408"/>
      <w:bookmarkEnd w:id="1409"/>
      <w:bookmarkEnd w:id="1410"/>
    </w:p>
    <w:p w14:paraId="2BAE42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002FCE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E40D4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2FAC7F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7F23B85A">
      <w:pPr>
        <w:spacing w:line="360" w:lineRule="auto"/>
        <w:ind w:firstLine="420" w:firstLineChars="200"/>
        <w:rPr>
          <w:rFonts w:ascii="宋体" w:hAnsi="宋体"/>
          <w:color w:val="auto"/>
          <w:szCs w:val="21"/>
          <w:highlight w:val="none"/>
        </w:rPr>
      </w:pPr>
      <w:bookmarkStart w:id="1411" w:name="_Toc247431430"/>
      <w:bookmarkStart w:id="1412" w:name="_Toc532375706"/>
      <w:bookmarkStart w:id="1413" w:name="_Toc247418270"/>
      <w:bookmarkStart w:id="1414" w:name="_Toc239510296"/>
      <w:r>
        <w:rPr>
          <w:rFonts w:hint="eastAsia" w:ascii="宋体" w:hAnsi="宋体"/>
          <w:color w:val="auto"/>
          <w:szCs w:val="21"/>
          <w:highlight w:val="none"/>
        </w:rPr>
        <w:t>七、劳动保护</w:t>
      </w:r>
      <w:bookmarkEnd w:id="1411"/>
      <w:bookmarkEnd w:id="1412"/>
      <w:bookmarkEnd w:id="1413"/>
      <w:bookmarkEnd w:id="1414"/>
    </w:p>
    <w:p w14:paraId="6A1AC3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70E823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603DF2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2BA24D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746743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37673175">
      <w:pPr>
        <w:spacing w:line="360" w:lineRule="auto"/>
        <w:ind w:firstLine="420" w:firstLineChars="200"/>
        <w:rPr>
          <w:rFonts w:ascii="宋体" w:hAnsi="宋体"/>
          <w:color w:val="auto"/>
          <w:szCs w:val="21"/>
          <w:highlight w:val="none"/>
        </w:rPr>
      </w:pPr>
      <w:bookmarkStart w:id="1415" w:name="_Toc239510297"/>
      <w:bookmarkStart w:id="1416" w:name="_Toc247431431"/>
      <w:bookmarkStart w:id="1417" w:name="_Toc532375707"/>
      <w:bookmarkStart w:id="1418" w:name="_Toc247418271"/>
      <w:r>
        <w:rPr>
          <w:rFonts w:hint="eastAsia" w:ascii="宋体" w:hAnsi="宋体"/>
          <w:color w:val="auto"/>
          <w:szCs w:val="21"/>
          <w:highlight w:val="none"/>
        </w:rPr>
        <w:t>八、施工机具与材料</w:t>
      </w:r>
      <w:bookmarkEnd w:id="1415"/>
      <w:bookmarkEnd w:id="1416"/>
      <w:bookmarkEnd w:id="1417"/>
      <w:bookmarkEnd w:id="1418"/>
    </w:p>
    <w:p w14:paraId="01129E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7E5809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6F7A03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6A87949B">
      <w:pPr>
        <w:spacing w:line="360" w:lineRule="auto"/>
        <w:ind w:firstLine="420" w:firstLineChars="200"/>
        <w:rPr>
          <w:rFonts w:ascii="宋体" w:hAnsi="宋体"/>
          <w:color w:val="auto"/>
          <w:szCs w:val="21"/>
          <w:highlight w:val="none"/>
        </w:rPr>
      </w:pPr>
      <w:bookmarkStart w:id="1419" w:name="_Toc247431432"/>
      <w:bookmarkStart w:id="1420" w:name="_Toc239510298"/>
      <w:bookmarkStart w:id="1421" w:name="_Toc247418272"/>
      <w:bookmarkStart w:id="1422" w:name="_Toc532375708"/>
      <w:r>
        <w:rPr>
          <w:rFonts w:hint="eastAsia" w:ascii="宋体" w:hAnsi="宋体"/>
          <w:color w:val="auto"/>
          <w:szCs w:val="21"/>
          <w:highlight w:val="none"/>
        </w:rPr>
        <w:t>九、开工前安全条件检查</w:t>
      </w:r>
      <w:bookmarkEnd w:id="1419"/>
      <w:bookmarkEnd w:id="1420"/>
      <w:bookmarkEnd w:id="1421"/>
      <w:bookmarkEnd w:id="1422"/>
    </w:p>
    <w:p w14:paraId="26A313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27AEF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A2508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2E1D8CB3">
      <w:pPr>
        <w:spacing w:line="360" w:lineRule="auto"/>
        <w:ind w:firstLine="420" w:firstLineChars="200"/>
        <w:rPr>
          <w:rFonts w:ascii="宋体" w:hAnsi="宋体"/>
          <w:color w:val="auto"/>
          <w:szCs w:val="21"/>
          <w:highlight w:val="none"/>
        </w:rPr>
      </w:pPr>
      <w:bookmarkStart w:id="1423" w:name="_Toc532375709"/>
      <w:bookmarkStart w:id="1424" w:name="_Toc239510299"/>
      <w:bookmarkStart w:id="1425" w:name="_Toc247418273"/>
      <w:bookmarkStart w:id="1426" w:name="_Toc247431433"/>
      <w:r>
        <w:rPr>
          <w:rFonts w:hint="eastAsia" w:ascii="宋体" w:hAnsi="宋体"/>
          <w:color w:val="auto"/>
          <w:szCs w:val="21"/>
          <w:highlight w:val="none"/>
        </w:rPr>
        <w:t>十、安全监督</w:t>
      </w:r>
      <w:bookmarkEnd w:id="1423"/>
      <w:bookmarkEnd w:id="1424"/>
      <w:bookmarkEnd w:id="1425"/>
      <w:bookmarkEnd w:id="1426"/>
    </w:p>
    <w:p w14:paraId="3F12D8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33917A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74C56F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2EB2BB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653BB4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0998BB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A060E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4ADC34A">
      <w:pPr>
        <w:spacing w:line="360" w:lineRule="auto"/>
        <w:ind w:firstLine="420" w:firstLineChars="200"/>
        <w:rPr>
          <w:rFonts w:ascii="宋体" w:hAnsi="宋体"/>
          <w:color w:val="auto"/>
          <w:szCs w:val="21"/>
          <w:highlight w:val="none"/>
        </w:rPr>
      </w:pPr>
      <w:bookmarkStart w:id="1427" w:name="_Toc247431434"/>
      <w:bookmarkStart w:id="1428" w:name="_Toc532375710"/>
      <w:bookmarkStart w:id="1429" w:name="_Toc239510300"/>
      <w:bookmarkStart w:id="1430" w:name="_Toc247418274"/>
      <w:r>
        <w:rPr>
          <w:rFonts w:hint="eastAsia" w:ascii="宋体" w:hAnsi="宋体"/>
          <w:color w:val="auto"/>
          <w:szCs w:val="21"/>
          <w:highlight w:val="none"/>
        </w:rPr>
        <w:t>十一、安全培训与授权</w:t>
      </w:r>
      <w:bookmarkEnd w:id="1427"/>
      <w:bookmarkEnd w:id="1428"/>
      <w:bookmarkEnd w:id="1429"/>
      <w:bookmarkEnd w:id="1430"/>
    </w:p>
    <w:p w14:paraId="0352BF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12C28D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64E3AB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67DE16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6D9E4DD7">
      <w:pPr>
        <w:spacing w:line="360" w:lineRule="auto"/>
        <w:ind w:firstLine="420" w:firstLineChars="200"/>
        <w:rPr>
          <w:rFonts w:ascii="宋体" w:hAnsi="宋体"/>
          <w:color w:val="auto"/>
          <w:szCs w:val="21"/>
          <w:highlight w:val="none"/>
        </w:rPr>
      </w:pPr>
      <w:bookmarkStart w:id="1431" w:name="_Toc247418275"/>
      <w:bookmarkStart w:id="1432" w:name="_Toc247431435"/>
      <w:bookmarkStart w:id="1433" w:name="_Toc239510301"/>
      <w:bookmarkStart w:id="1434" w:name="_Toc532375711"/>
      <w:r>
        <w:rPr>
          <w:rFonts w:hint="eastAsia" w:ascii="宋体" w:hAnsi="宋体"/>
          <w:color w:val="auto"/>
          <w:szCs w:val="21"/>
          <w:highlight w:val="none"/>
        </w:rPr>
        <w:t>十二、职业健康与卫生防疫</w:t>
      </w:r>
      <w:bookmarkEnd w:id="1431"/>
      <w:bookmarkEnd w:id="1432"/>
      <w:bookmarkEnd w:id="1433"/>
      <w:bookmarkEnd w:id="1434"/>
    </w:p>
    <w:p w14:paraId="6BCB9A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3815B8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1DA067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68A0711">
      <w:pPr>
        <w:spacing w:line="360" w:lineRule="auto"/>
        <w:ind w:firstLine="420" w:firstLineChars="200"/>
        <w:rPr>
          <w:rFonts w:ascii="宋体" w:hAnsi="宋体"/>
          <w:color w:val="auto"/>
          <w:szCs w:val="21"/>
          <w:highlight w:val="none"/>
        </w:rPr>
      </w:pPr>
      <w:bookmarkStart w:id="1435" w:name="_Toc247431436"/>
      <w:bookmarkStart w:id="1436" w:name="_Toc239510302"/>
      <w:bookmarkStart w:id="1437" w:name="_Toc532375712"/>
      <w:bookmarkStart w:id="1438" w:name="_Toc247418276"/>
      <w:r>
        <w:rPr>
          <w:rFonts w:hint="eastAsia" w:ascii="宋体" w:hAnsi="宋体"/>
          <w:color w:val="auto"/>
          <w:szCs w:val="21"/>
          <w:highlight w:val="none"/>
        </w:rPr>
        <w:t>十三、文明施工与环保要求</w:t>
      </w:r>
      <w:bookmarkEnd w:id="1435"/>
      <w:bookmarkEnd w:id="1436"/>
      <w:bookmarkEnd w:id="1437"/>
      <w:bookmarkEnd w:id="1438"/>
    </w:p>
    <w:p w14:paraId="620237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2A8B03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47BFC9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5DA447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38D750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49B32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658064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190BDBA">
      <w:pPr>
        <w:spacing w:line="360" w:lineRule="auto"/>
        <w:ind w:firstLine="420" w:firstLineChars="200"/>
        <w:rPr>
          <w:rFonts w:ascii="宋体" w:hAnsi="宋体"/>
          <w:color w:val="auto"/>
          <w:szCs w:val="21"/>
          <w:highlight w:val="none"/>
        </w:rPr>
      </w:pPr>
      <w:bookmarkStart w:id="1439" w:name="_Toc247418277"/>
      <w:bookmarkStart w:id="1440" w:name="_Toc532375713"/>
      <w:bookmarkStart w:id="1441" w:name="_Toc239510303"/>
      <w:bookmarkStart w:id="1442" w:name="_Toc247431437"/>
      <w:r>
        <w:rPr>
          <w:rFonts w:hint="eastAsia" w:ascii="宋体" w:hAnsi="宋体"/>
          <w:color w:val="auto"/>
          <w:szCs w:val="21"/>
          <w:highlight w:val="none"/>
        </w:rPr>
        <w:t>十四、工程风险管理与事故预防</w:t>
      </w:r>
      <w:bookmarkEnd w:id="1439"/>
      <w:bookmarkEnd w:id="1440"/>
      <w:bookmarkEnd w:id="1441"/>
      <w:bookmarkEnd w:id="1442"/>
    </w:p>
    <w:p w14:paraId="3C8F8764">
      <w:pPr>
        <w:spacing w:line="360" w:lineRule="auto"/>
        <w:ind w:firstLine="420" w:firstLineChars="200"/>
        <w:jc w:val="left"/>
        <w:rPr>
          <w:rFonts w:ascii="宋体" w:hAnsi="宋体"/>
          <w:color w:val="auto"/>
          <w:szCs w:val="21"/>
          <w:highlight w:val="none"/>
        </w:rPr>
      </w:pPr>
      <w:bookmarkStart w:id="1443" w:name="_Toc239510304"/>
      <w:bookmarkStart w:id="1444" w:name="_Toc247431438"/>
      <w:bookmarkStart w:id="1445" w:name="_Toc247418278"/>
      <w:r>
        <w:rPr>
          <w:rFonts w:hint="eastAsia" w:ascii="宋体" w:hAnsi="宋体"/>
          <w:color w:val="auto"/>
          <w:szCs w:val="21"/>
          <w:highlight w:val="none"/>
        </w:rPr>
        <w:t>（一）基本要求</w:t>
      </w:r>
      <w:bookmarkEnd w:id="1443"/>
      <w:bookmarkEnd w:id="1444"/>
      <w:bookmarkEnd w:id="1445"/>
    </w:p>
    <w:p w14:paraId="744A8D5B">
      <w:pPr>
        <w:spacing w:line="360" w:lineRule="auto"/>
        <w:ind w:firstLine="420" w:firstLineChars="200"/>
        <w:jc w:val="left"/>
        <w:rPr>
          <w:rFonts w:ascii="宋体" w:hAnsi="宋体"/>
          <w:color w:val="auto"/>
          <w:szCs w:val="21"/>
          <w:highlight w:val="none"/>
        </w:rPr>
      </w:pPr>
      <w:bookmarkStart w:id="1446"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446"/>
    </w:p>
    <w:p w14:paraId="41ABD3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0B9A62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4FD1DF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684041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69D47C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212F49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6A0BF6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5712AE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7D7431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5BCF4D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7CFEF1B3">
      <w:pPr>
        <w:spacing w:line="360" w:lineRule="auto"/>
        <w:ind w:firstLine="420" w:firstLineChars="200"/>
        <w:jc w:val="left"/>
        <w:rPr>
          <w:rFonts w:ascii="宋体" w:hAnsi="宋体"/>
          <w:color w:val="auto"/>
          <w:szCs w:val="21"/>
          <w:highlight w:val="none"/>
        </w:rPr>
      </w:pPr>
      <w:bookmarkStart w:id="1447" w:name="_Toc247418279"/>
      <w:bookmarkStart w:id="1448" w:name="_Toc239510305"/>
      <w:bookmarkStart w:id="1449" w:name="_Toc247431439"/>
      <w:r>
        <w:rPr>
          <w:rFonts w:hint="eastAsia" w:ascii="宋体" w:hAnsi="宋体"/>
          <w:color w:val="auto"/>
          <w:szCs w:val="21"/>
          <w:highlight w:val="none"/>
        </w:rPr>
        <w:t>（二）现场作业基本安全条件</w:t>
      </w:r>
      <w:bookmarkEnd w:id="1447"/>
      <w:bookmarkEnd w:id="1448"/>
      <w:bookmarkEnd w:id="1449"/>
    </w:p>
    <w:p w14:paraId="24862B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1AB535DE">
      <w:pPr>
        <w:spacing w:line="360" w:lineRule="auto"/>
        <w:ind w:firstLine="420" w:firstLineChars="200"/>
        <w:rPr>
          <w:rFonts w:ascii="宋体" w:hAnsi="宋体"/>
          <w:color w:val="auto"/>
          <w:szCs w:val="21"/>
          <w:highlight w:val="none"/>
        </w:rPr>
      </w:pPr>
      <w:bookmarkStart w:id="1450" w:name="_Toc247418280"/>
      <w:bookmarkStart w:id="1451" w:name="_Toc532375715"/>
      <w:bookmarkStart w:id="1452" w:name="_Toc239510306"/>
      <w:bookmarkStart w:id="1453" w:name="_Toc247431440"/>
      <w:r>
        <w:rPr>
          <w:rFonts w:hint="eastAsia" w:ascii="宋体" w:hAnsi="宋体"/>
          <w:color w:val="auto"/>
          <w:szCs w:val="21"/>
          <w:highlight w:val="none"/>
        </w:rPr>
        <w:t>十五、事故报告与应急救援</w:t>
      </w:r>
      <w:bookmarkEnd w:id="1450"/>
      <w:bookmarkEnd w:id="1451"/>
      <w:bookmarkEnd w:id="1452"/>
      <w:bookmarkEnd w:id="1453"/>
    </w:p>
    <w:p w14:paraId="0A05A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4EFBE6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001053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3B7DF3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292850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4203CA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04044F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18DDEF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2BBF78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7917BA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7A0541AB">
      <w:pPr>
        <w:spacing w:line="360" w:lineRule="auto"/>
        <w:ind w:firstLine="420" w:firstLineChars="200"/>
        <w:rPr>
          <w:rFonts w:ascii="宋体" w:hAnsi="宋体"/>
          <w:color w:val="auto"/>
          <w:szCs w:val="21"/>
          <w:highlight w:val="none"/>
        </w:rPr>
      </w:pPr>
      <w:bookmarkStart w:id="1454" w:name="_Toc247431441"/>
      <w:bookmarkStart w:id="1455" w:name="_Toc532375716"/>
      <w:bookmarkStart w:id="1456" w:name="_Toc247418281"/>
      <w:bookmarkStart w:id="1457" w:name="_Toc239510307"/>
      <w:r>
        <w:rPr>
          <w:rFonts w:hint="eastAsia" w:ascii="宋体" w:hAnsi="宋体"/>
          <w:color w:val="auto"/>
          <w:szCs w:val="21"/>
          <w:highlight w:val="none"/>
        </w:rPr>
        <w:t>十六、安全业绩考核</w:t>
      </w:r>
      <w:bookmarkEnd w:id="1454"/>
      <w:bookmarkEnd w:id="1455"/>
      <w:bookmarkEnd w:id="1456"/>
      <w:bookmarkEnd w:id="1457"/>
    </w:p>
    <w:p w14:paraId="7584EC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7"/>
        <w:tblW w:w="7005" w:type="dxa"/>
        <w:jc w:val="center"/>
        <w:tblLayout w:type="fixed"/>
        <w:tblCellMar>
          <w:top w:w="0" w:type="dxa"/>
          <w:left w:w="0" w:type="dxa"/>
          <w:bottom w:w="0" w:type="dxa"/>
          <w:right w:w="0" w:type="dxa"/>
        </w:tblCellMar>
      </w:tblPr>
      <w:tblGrid>
        <w:gridCol w:w="3240"/>
        <w:gridCol w:w="3765"/>
      </w:tblGrid>
      <w:tr w14:paraId="04FD19A5">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7B84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CCF1F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1430EA20">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A29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565BF21C">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4186970E">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3432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1370CB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0482D7CA">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CD24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6EC015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4C73DA76">
      <w:pPr>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74A08826">
      <w:pPr>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2C7D3F2D">
      <w:pPr>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44E53A5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4A8A06F6">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14:paraId="3814A895">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1E1B110">
      <w:pPr>
        <w:spacing w:line="276" w:lineRule="auto"/>
        <w:ind w:firstLine="420" w:firstLineChars="200"/>
        <w:rPr>
          <w:rFonts w:ascii="宋体" w:hAnsi="宋体"/>
          <w:color w:val="auto"/>
          <w:szCs w:val="21"/>
          <w:highlight w:val="none"/>
        </w:rPr>
      </w:pPr>
      <w:bookmarkStart w:id="1458" w:name="_Toc247418282"/>
      <w:bookmarkStart w:id="1459" w:name="_Toc239510308"/>
      <w:bookmarkStart w:id="1460" w:name="_Toc247431442"/>
      <w:bookmarkStart w:id="1461" w:name="_Toc532375717"/>
      <w:r>
        <w:rPr>
          <w:rFonts w:hint="eastAsia" w:ascii="宋体" w:hAnsi="宋体"/>
          <w:color w:val="auto"/>
          <w:szCs w:val="21"/>
          <w:highlight w:val="none"/>
        </w:rPr>
        <w:t>十七、协议条款的修订</w:t>
      </w:r>
      <w:bookmarkEnd w:id="1458"/>
      <w:bookmarkEnd w:id="1459"/>
      <w:bookmarkEnd w:id="1460"/>
      <w:bookmarkEnd w:id="1461"/>
    </w:p>
    <w:p w14:paraId="3ABBFAFE">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5F3B398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3FD27B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14:paraId="760124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0D77D3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3CB401C7">
      <w:pPr>
        <w:spacing w:line="360" w:lineRule="auto"/>
        <w:ind w:firstLine="420" w:firstLineChars="200"/>
        <w:jc w:val="left"/>
        <w:rPr>
          <w:rFonts w:ascii="宋体" w:hAnsi="宋体"/>
          <w:color w:val="auto"/>
          <w:szCs w:val="21"/>
          <w:highlight w:val="none"/>
        </w:rPr>
      </w:pPr>
    </w:p>
    <w:p w14:paraId="73A80CFB">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14:paraId="4A2908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38365029">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br w:type="page"/>
      </w:r>
    </w:p>
    <w:p w14:paraId="3FE49095">
      <w:pPr>
        <w:spacing w:line="480" w:lineRule="auto"/>
        <w:rPr>
          <w:rFonts w:ascii="宋体" w:hAnsi="宋体"/>
          <w:color w:val="auto"/>
          <w:szCs w:val="21"/>
          <w:highlight w:val="none"/>
        </w:rPr>
      </w:pPr>
      <w:r>
        <w:rPr>
          <w:rFonts w:hint="eastAsia" w:ascii="宋体" w:hAnsi="宋体"/>
          <w:color w:val="auto"/>
          <w:szCs w:val="21"/>
          <w:highlight w:val="none"/>
        </w:rPr>
        <w:t>附件8 保障农民工工资支付协议</w:t>
      </w:r>
    </w:p>
    <w:p w14:paraId="126A0488">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3A9E50AB">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17E40BBD">
      <w:pPr>
        <w:snapToGrid w:val="0"/>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03BEA6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3B98B5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68C61D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6FED4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0444BF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14:paraId="041C70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4A89C72">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六、本协议经双方法定代表人或委托代理人签名并加盖公章后生效，履行完毕后自然失效。</w:t>
      </w:r>
    </w:p>
    <w:p w14:paraId="4B83FE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6F805B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4498A3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34120B73">
      <w:pPr>
        <w:spacing w:line="360" w:lineRule="auto"/>
        <w:ind w:firstLine="420" w:firstLineChars="200"/>
        <w:rPr>
          <w:rFonts w:ascii="宋体" w:hAnsi="宋体"/>
          <w:color w:val="auto"/>
          <w:szCs w:val="21"/>
          <w:highlight w:val="none"/>
        </w:rPr>
      </w:pPr>
    </w:p>
    <w:p w14:paraId="4DB959EF">
      <w:pPr>
        <w:spacing w:line="360" w:lineRule="auto"/>
        <w:ind w:firstLine="420" w:firstLineChars="200"/>
        <w:rPr>
          <w:rFonts w:ascii="宋体" w:hAnsi="宋体"/>
          <w:color w:val="auto"/>
          <w:szCs w:val="21"/>
          <w:highlight w:val="none"/>
        </w:rPr>
      </w:pPr>
    </w:p>
    <w:p w14:paraId="6BA44C61">
      <w:pPr>
        <w:pStyle w:val="2"/>
        <w:spacing w:line="360" w:lineRule="auto"/>
        <w:rPr>
          <w:rFonts w:ascii="宋体" w:hAnsi="宋体"/>
          <w:color w:val="auto"/>
          <w:szCs w:val="21"/>
          <w:highlight w:val="none"/>
        </w:rPr>
      </w:pPr>
    </w:p>
    <w:p w14:paraId="706D553F">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36BD5A03">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4B3E327F">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2C3E73E5">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0B11E6E3">
      <w:pPr>
        <w:spacing w:line="360" w:lineRule="auto"/>
        <w:rPr>
          <w:rFonts w:ascii="宋体" w:hAnsi="宋体"/>
          <w:color w:val="auto"/>
          <w:szCs w:val="21"/>
          <w:highlight w:val="none"/>
        </w:rPr>
      </w:pPr>
    </w:p>
    <w:p w14:paraId="64D70F40">
      <w:pPr>
        <w:spacing w:line="360" w:lineRule="auto"/>
        <w:rPr>
          <w:rFonts w:ascii="宋体" w:hAnsi="宋体"/>
          <w:color w:val="auto"/>
          <w:szCs w:val="21"/>
          <w:highlight w:val="none"/>
        </w:rPr>
      </w:pPr>
    </w:p>
    <w:p w14:paraId="51AE890D">
      <w:pPr>
        <w:spacing w:line="360" w:lineRule="auto"/>
        <w:rPr>
          <w:rFonts w:ascii="宋体" w:hAnsi="宋体"/>
          <w:color w:val="auto"/>
          <w:szCs w:val="21"/>
          <w:highlight w:val="none"/>
        </w:rPr>
      </w:pPr>
    </w:p>
    <w:p w14:paraId="7E252CF8">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72462B98">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1DC1401A">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2B15B1AF">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6311CEA6">
      <w:pPr>
        <w:snapToGrid w:val="0"/>
        <w:spacing w:line="360" w:lineRule="auto"/>
        <w:ind w:firstLine="560"/>
        <w:rPr>
          <w:rFonts w:ascii="宋体" w:hAnsi="宋体"/>
          <w:color w:val="auto"/>
          <w:szCs w:val="21"/>
          <w:highlight w:val="none"/>
        </w:rPr>
      </w:pPr>
    </w:p>
    <w:p w14:paraId="46A3A51A">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4AD94EC3">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DD0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48411F4D">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7D0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14:paraId="6F456A6F">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noWrap w:val="0"/>
            <w:vAlign w:val="top"/>
          </w:tcPr>
          <w:p w14:paraId="332E8890">
            <w:pPr>
              <w:widowControl/>
              <w:snapToGrid w:val="0"/>
              <w:spacing w:after="100" w:afterAutospacing="1" w:line="400" w:lineRule="exact"/>
              <w:rPr>
                <w:rFonts w:ascii="宋体" w:hAnsi="宋体"/>
                <w:color w:val="auto"/>
                <w:kern w:val="0"/>
                <w:szCs w:val="21"/>
                <w:highlight w:val="none"/>
              </w:rPr>
            </w:pPr>
          </w:p>
        </w:tc>
      </w:tr>
      <w:tr w14:paraId="7AAF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14:paraId="3B458D8B">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noWrap w:val="0"/>
            <w:vAlign w:val="top"/>
          </w:tcPr>
          <w:p w14:paraId="5403DD21">
            <w:pPr>
              <w:widowControl/>
              <w:snapToGrid w:val="0"/>
              <w:spacing w:after="100" w:afterAutospacing="1" w:line="400" w:lineRule="exact"/>
              <w:rPr>
                <w:rFonts w:ascii="宋体" w:hAnsi="宋体"/>
                <w:color w:val="auto"/>
                <w:kern w:val="0"/>
                <w:szCs w:val="21"/>
                <w:highlight w:val="none"/>
              </w:rPr>
            </w:pPr>
          </w:p>
        </w:tc>
      </w:tr>
      <w:tr w14:paraId="3347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1332F4FB">
            <w:pPr>
              <w:widowControl/>
              <w:snapToGrid w:val="0"/>
              <w:spacing w:after="100" w:afterAutospacing="1" w:line="400" w:lineRule="exact"/>
              <w:rPr>
                <w:rFonts w:ascii="宋体" w:hAnsi="宋体"/>
                <w:color w:val="auto"/>
                <w:kern w:val="0"/>
                <w:szCs w:val="21"/>
                <w:highlight w:val="none"/>
                <w:u w:val="single"/>
              </w:rPr>
            </w:pPr>
          </w:p>
          <w:p w14:paraId="19FB60F0">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14:paraId="2C9B110B">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379F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14:paraId="7D4DE6B4">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noWrap w:val="0"/>
            <w:vAlign w:val="top"/>
          </w:tcPr>
          <w:p w14:paraId="283FE118">
            <w:pPr>
              <w:widowControl/>
              <w:snapToGrid w:val="0"/>
              <w:spacing w:after="100" w:afterAutospacing="1" w:line="400" w:lineRule="exact"/>
              <w:rPr>
                <w:rFonts w:ascii="宋体" w:hAnsi="宋体"/>
                <w:color w:val="auto"/>
                <w:kern w:val="0"/>
                <w:szCs w:val="21"/>
                <w:highlight w:val="none"/>
                <w:u w:val="single"/>
              </w:rPr>
            </w:pPr>
          </w:p>
          <w:p w14:paraId="3FD9AAEA">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3E70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14:paraId="5C633C06">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noWrap w:val="0"/>
            <w:vAlign w:val="top"/>
          </w:tcPr>
          <w:p w14:paraId="4881C145">
            <w:pPr>
              <w:widowControl/>
              <w:snapToGrid w:val="0"/>
              <w:spacing w:after="100" w:afterAutospacing="1" w:line="400" w:lineRule="exact"/>
              <w:rPr>
                <w:rFonts w:ascii="宋体" w:hAnsi="宋体"/>
                <w:color w:val="auto"/>
                <w:kern w:val="0"/>
                <w:szCs w:val="21"/>
                <w:highlight w:val="none"/>
                <w:u w:val="single"/>
              </w:rPr>
            </w:pPr>
          </w:p>
          <w:p w14:paraId="10328A7B">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2AD03D6A">
      <w:pPr>
        <w:pStyle w:val="2"/>
        <w:rPr>
          <w:rFonts w:ascii="宋体" w:hAnsi="宋体"/>
          <w:color w:val="auto"/>
          <w:sz w:val="24"/>
          <w:highlight w:val="none"/>
        </w:rPr>
      </w:pPr>
    </w:p>
    <w:p w14:paraId="4A1B7596">
      <w:pPr>
        <w:pStyle w:val="2"/>
        <w:rPr>
          <w:rFonts w:ascii="宋体" w:hAnsi="宋体"/>
          <w:color w:val="auto"/>
          <w:sz w:val="24"/>
          <w:highlight w:val="none"/>
        </w:rPr>
      </w:pPr>
    </w:p>
    <w:p w14:paraId="2D66C390">
      <w:pPr>
        <w:spacing w:line="240" w:lineRule="exact"/>
        <w:rPr>
          <w:rFonts w:ascii="宋体" w:hAnsi="宋体"/>
          <w:color w:val="auto"/>
          <w:szCs w:val="20"/>
          <w:highlight w:val="none"/>
        </w:rPr>
      </w:pPr>
      <w:bookmarkStart w:id="1462" w:name="招标文件05章工程量清单"/>
      <w:bookmarkEnd w:id="1462"/>
    </w:p>
    <w:p w14:paraId="04FBC940">
      <w:pPr>
        <w:spacing w:line="360" w:lineRule="auto"/>
        <w:ind w:firstLine="420" w:firstLineChars="200"/>
        <w:rPr>
          <w:rFonts w:ascii="宋体" w:hAnsi="宋体"/>
          <w:color w:val="auto"/>
          <w:szCs w:val="21"/>
          <w:highlight w:val="none"/>
        </w:rPr>
      </w:pPr>
    </w:p>
    <w:p w14:paraId="746F69D2">
      <w:pPr>
        <w:rPr>
          <w:rFonts w:hint="eastAsia" w:ascii="宋体" w:hAnsi="宋体"/>
          <w:color w:val="auto"/>
          <w:szCs w:val="21"/>
          <w:highlight w:val="none"/>
        </w:rPr>
      </w:pPr>
      <w:r>
        <w:rPr>
          <w:rFonts w:hint="eastAsia" w:ascii="宋体" w:hAnsi="宋体"/>
          <w:color w:val="auto"/>
          <w:szCs w:val="21"/>
          <w:highlight w:val="none"/>
        </w:rPr>
        <w:br w:type="page"/>
      </w:r>
    </w:p>
    <w:p w14:paraId="4D53DCAA">
      <w:pPr>
        <w:spacing w:line="36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：低价风险担保保函示范文本（独立保函）（如有）</w:t>
      </w:r>
    </w:p>
    <w:p w14:paraId="4A1D5C8E">
      <w:pPr>
        <w:spacing w:line="360" w:lineRule="auto"/>
        <w:jc w:val="center"/>
        <w:rPr>
          <w:rFonts w:asciiTheme="minorEastAsia" w:hAnsiTheme="minorEastAsia" w:eastAsiaTheme="minorEastAsia" w:cstheme="minorEastAsia"/>
          <w:b/>
          <w:bCs/>
          <w:color w:val="auto"/>
          <w:szCs w:val="21"/>
          <w:highlight w:val="none"/>
        </w:rPr>
      </w:pPr>
    </w:p>
    <w:p w14:paraId="1163D38D">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64FAF280">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38BAAE0E">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79F585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798E4BC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224F4E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7F82D9E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35E6E79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4A76640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9EB06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86DBCE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4240ED37">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5C1D9446">
      <w:pPr>
        <w:pStyle w:val="2"/>
        <w:numPr>
          <w:ilvl w:val="0"/>
          <w:numId w:val="9"/>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5A6CDA8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24E56C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5FD44E2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0DBEFB5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0EE5F99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2AA2505F">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14:paraId="133C0D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14:paraId="3C2766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CCE22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7D4085E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723C15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1FA0531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E3712B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3782E1B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037E5BF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7DD028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2CDDD84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0332C98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429F246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1E11DAF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1CB5313B">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4FAACF48">
      <w:pPr>
        <w:pStyle w:val="2"/>
        <w:rPr>
          <w:color w:val="auto"/>
          <w:highlight w:val="none"/>
        </w:rPr>
      </w:pPr>
    </w:p>
    <w:bookmarkEnd w:id="0"/>
    <w:bookmarkEnd w:id="1"/>
    <w:bookmarkEnd w:id="2"/>
    <w:bookmarkEnd w:id="3"/>
    <w:bookmarkEnd w:id="4"/>
    <w:bookmarkEnd w:id="5"/>
    <w:bookmarkEnd w:id="6"/>
    <w:bookmarkEnd w:id="7"/>
    <w:bookmarkEnd w:id="8"/>
    <w:bookmarkEnd w:id="9"/>
    <w:p w14:paraId="2F3275A1">
      <w:pPr>
        <w:pStyle w:val="32"/>
        <w:rPr>
          <w:rFonts w:hint="default"/>
          <w:color w:val="auto"/>
          <w:highlight w:val="none"/>
          <w:lang w:val="en-US" w:eastAsia="zh-CN"/>
        </w:rPr>
      </w:pPr>
    </w:p>
    <w:sectPr>
      <w:headerReference r:id="rId3" w:type="default"/>
      <w:footerReference r:id="rId4" w:type="default"/>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9769">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1E51F">
                          <w:pPr>
                            <w:pStyle w:val="30"/>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D1E51F">
                    <w:pPr>
                      <w:pStyle w:val="30"/>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E644">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6BA5CA7"/>
    <w:multiLevelType w:val="singleLevel"/>
    <w:tmpl w:val="16BA5CA7"/>
    <w:lvl w:ilvl="0" w:tentative="0">
      <w:start w:val="1"/>
      <w:numFmt w:val="decimal"/>
      <w:suff w:val="nothing"/>
      <w:lvlText w:val="（%1）"/>
      <w:lvlJc w:val="left"/>
    </w:lvl>
  </w:abstractNum>
  <w:abstractNum w:abstractNumId="2">
    <w:nsid w:val="2CBC6445"/>
    <w:multiLevelType w:val="multilevel"/>
    <w:tmpl w:val="2CBC64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35685A"/>
    <w:multiLevelType w:val="multilevel"/>
    <w:tmpl w:val="323568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117FB8"/>
    <w:multiLevelType w:val="multilevel"/>
    <w:tmpl w:val="3D117FB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1816CD5"/>
    <w:multiLevelType w:val="multilevel"/>
    <w:tmpl w:val="61816C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633F8B"/>
    <w:multiLevelType w:val="multilevel"/>
    <w:tmpl w:val="66633F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6835EB"/>
    <w:multiLevelType w:val="multilevel"/>
    <w:tmpl w:val="736835EB"/>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OGM4MTAwMTg3NjFkYTFmMjZhMmEwZWQwM2ZiZT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440"/>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0512"/>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B2D"/>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64F"/>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8B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38C8"/>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627"/>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571"/>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6B"/>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06EBF"/>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3BD8"/>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26D1"/>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49E"/>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64B9"/>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62A"/>
    <w:rsid w:val="00A75C0F"/>
    <w:rsid w:val="00A760F3"/>
    <w:rsid w:val="00A776C2"/>
    <w:rsid w:val="00A776D1"/>
    <w:rsid w:val="00A77E09"/>
    <w:rsid w:val="00A812E1"/>
    <w:rsid w:val="00A816AF"/>
    <w:rsid w:val="00A81720"/>
    <w:rsid w:val="00A818E4"/>
    <w:rsid w:val="00A81E5C"/>
    <w:rsid w:val="00A82B19"/>
    <w:rsid w:val="00A83ED1"/>
    <w:rsid w:val="00A84DE6"/>
    <w:rsid w:val="00A85372"/>
    <w:rsid w:val="00A853D0"/>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D9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887"/>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7B8"/>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72E"/>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82C"/>
    <w:rsid w:val="00ED7A70"/>
    <w:rsid w:val="00EE085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263"/>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D61A5"/>
    <w:rsid w:val="013F4369"/>
    <w:rsid w:val="01762077"/>
    <w:rsid w:val="01CF0FE4"/>
    <w:rsid w:val="02197498"/>
    <w:rsid w:val="022C24DE"/>
    <w:rsid w:val="02445A7A"/>
    <w:rsid w:val="02533F0F"/>
    <w:rsid w:val="029A742D"/>
    <w:rsid w:val="029B6737"/>
    <w:rsid w:val="029E16D8"/>
    <w:rsid w:val="02D3433D"/>
    <w:rsid w:val="02E7478A"/>
    <w:rsid w:val="02F46BC4"/>
    <w:rsid w:val="03000A08"/>
    <w:rsid w:val="03454DED"/>
    <w:rsid w:val="03467196"/>
    <w:rsid w:val="038A7EF2"/>
    <w:rsid w:val="03C545D6"/>
    <w:rsid w:val="03DD7F34"/>
    <w:rsid w:val="03FA6D38"/>
    <w:rsid w:val="04510922"/>
    <w:rsid w:val="046D5737"/>
    <w:rsid w:val="04717E20"/>
    <w:rsid w:val="047E7B5C"/>
    <w:rsid w:val="04965641"/>
    <w:rsid w:val="04BD04CB"/>
    <w:rsid w:val="04C41803"/>
    <w:rsid w:val="04DC7F02"/>
    <w:rsid w:val="05201FDF"/>
    <w:rsid w:val="055E32F7"/>
    <w:rsid w:val="057C6BB8"/>
    <w:rsid w:val="05993309"/>
    <w:rsid w:val="05AB059E"/>
    <w:rsid w:val="05DC71B6"/>
    <w:rsid w:val="05E7509A"/>
    <w:rsid w:val="062906E7"/>
    <w:rsid w:val="06665122"/>
    <w:rsid w:val="06893196"/>
    <w:rsid w:val="06A15EF5"/>
    <w:rsid w:val="06C13B3D"/>
    <w:rsid w:val="06C43DE0"/>
    <w:rsid w:val="06C64491"/>
    <w:rsid w:val="07006739"/>
    <w:rsid w:val="070074E8"/>
    <w:rsid w:val="072B0FB7"/>
    <w:rsid w:val="074A1FE5"/>
    <w:rsid w:val="074B2FEE"/>
    <w:rsid w:val="077305E3"/>
    <w:rsid w:val="07D72EEC"/>
    <w:rsid w:val="07E51AEE"/>
    <w:rsid w:val="07FC6546"/>
    <w:rsid w:val="080A52B6"/>
    <w:rsid w:val="081417E0"/>
    <w:rsid w:val="0874698D"/>
    <w:rsid w:val="088A1B31"/>
    <w:rsid w:val="08C05228"/>
    <w:rsid w:val="08DD2784"/>
    <w:rsid w:val="09413606"/>
    <w:rsid w:val="09612984"/>
    <w:rsid w:val="099077F7"/>
    <w:rsid w:val="099F7A3A"/>
    <w:rsid w:val="0A6071C9"/>
    <w:rsid w:val="0A93506B"/>
    <w:rsid w:val="0A9B54A0"/>
    <w:rsid w:val="0AD11E75"/>
    <w:rsid w:val="0AEC5712"/>
    <w:rsid w:val="0AFD6936"/>
    <w:rsid w:val="0B5331D2"/>
    <w:rsid w:val="0B862E5F"/>
    <w:rsid w:val="0B8C1164"/>
    <w:rsid w:val="0B9C6927"/>
    <w:rsid w:val="0B9E48FD"/>
    <w:rsid w:val="0BAB6531"/>
    <w:rsid w:val="0BB622A7"/>
    <w:rsid w:val="0BD87233"/>
    <w:rsid w:val="0BE877E8"/>
    <w:rsid w:val="0BEC77B0"/>
    <w:rsid w:val="0C1B3AFB"/>
    <w:rsid w:val="0C374994"/>
    <w:rsid w:val="0C3E42BE"/>
    <w:rsid w:val="0C4153E8"/>
    <w:rsid w:val="0C7F5E51"/>
    <w:rsid w:val="0C966FE2"/>
    <w:rsid w:val="0CA57A5D"/>
    <w:rsid w:val="0CB3217A"/>
    <w:rsid w:val="0D1559E7"/>
    <w:rsid w:val="0D312155"/>
    <w:rsid w:val="0D3B51DE"/>
    <w:rsid w:val="0D4806BF"/>
    <w:rsid w:val="0D935B07"/>
    <w:rsid w:val="0DBE0DD6"/>
    <w:rsid w:val="0E024D74"/>
    <w:rsid w:val="0E0B0A7A"/>
    <w:rsid w:val="0E285928"/>
    <w:rsid w:val="0E4312DC"/>
    <w:rsid w:val="0E484301"/>
    <w:rsid w:val="0E5F1249"/>
    <w:rsid w:val="0E6C73CA"/>
    <w:rsid w:val="0EAE0E4B"/>
    <w:rsid w:val="0ECB7EDB"/>
    <w:rsid w:val="0EDC7874"/>
    <w:rsid w:val="0F21718D"/>
    <w:rsid w:val="0F5E547E"/>
    <w:rsid w:val="0F6566EC"/>
    <w:rsid w:val="0F665DED"/>
    <w:rsid w:val="0FCB1589"/>
    <w:rsid w:val="0FD60A0D"/>
    <w:rsid w:val="0FEB39D9"/>
    <w:rsid w:val="10091983"/>
    <w:rsid w:val="100E1475"/>
    <w:rsid w:val="102B5AE8"/>
    <w:rsid w:val="102D459C"/>
    <w:rsid w:val="10563548"/>
    <w:rsid w:val="10611A0A"/>
    <w:rsid w:val="107439CE"/>
    <w:rsid w:val="10817E99"/>
    <w:rsid w:val="10AC5059"/>
    <w:rsid w:val="116D0F4A"/>
    <w:rsid w:val="12403C8F"/>
    <w:rsid w:val="124C6787"/>
    <w:rsid w:val="12631F4C"/>
    <w:rsid w:val="127A292F"/>
    <w:rsid w:val="127A7296"/>
    <w:rsid w:val="127D31E7"/>
    <w:rsid w:val="1282121E"/>
    <w:rsid w:val="129A3B77"/>
    <w:rsid w:val="13012641"/>
    <w:rsid w:val="131B45D5"/>
    <w:rsid w:val="131B7216"/>
    <w:rsid w:val="132C67E2"/>
    <w:rsid w:val="134504D8"/>
    <w:rsid w:val="135246AF"/>
    <w:rsid w:val="135624AE"/>
    <w:rsid w:val="13914765"/>
    <w:rsid w:val="13A16058"/>
    <w:rsid w:val="13A340B1"/>
    <w:rsid w:val="13FD7A4B"/>
    <w:rsid w:val="142676D5"/>
    <w:rsid w:val="14312F3B"/>
    <w:rsid w:val="143376FC"/>
    <w:rsid w:val="144813FA"/>
    <w:rsid w:val="14515DD5"/>
    <w:rsid w:val="14533375"/>
    <w:rsid w:val="146A5814"/>
    <w:rsid w:val="146E3E3D"/>
    <w:rsid w:val="14732CC4"/>
    <w:rsid w:val="147541B9"/>
    <w:rsid w:val="14817F29"/>
    <w:rsid w:val="14CC75EE"/>
    <w:rsid w:val="14DC6FEA"/>
    <w:rsid w:val="14F72E20"/>
    <w:rsid w:val="151614F8"/>
    <w:rsid w:val="15205A5A"/>
    <w:rsid w:val="15265371"/>
    <w:rsid w:val="152F2422"/>
    <w:rsid w:val="154D2A40"/>
    <w:rsid w:val="15745B33"/>
    <w:rsid w:val="158051BA"/>
    <w:rsid w:val="15883A78"/>
    <w:rsid w:val="158E6BC9"/>
    <w:rsid w:val="15931F5D"/>
    <w:rsid w:val="15D22763"/>
    <w:rsid w:val="15F22031"/>
    <w:rsid w:val="15F36B10"/>
    <w:rsid w:val="15F67B8F"/>
    <w:rsid w:val="15F87315"/>
    <w:rsid w:val="15F873A5"/>
    <w:rsid w:val="162A44F8"/>
    <w:rsid w:val="163008E4"/>
    <w:rsid w:val="16B832B1"/>
    <w:rsid w:val="16CD33F4"/>
    <w:rsid w:val="16D0271B"/>
    <w:rsid w:val="16E1457B"/>
    <w:rsid w:val="16F26FDC"/>
    <w:rsid w:val="16FA41E7"/>
    <w:rsid w:val="170B78DA"/>
    <w:rsid w:val="170F61FF"/>
    <w:rsid w:val="172A4DE7"/>
    <w:rsid w:val="17367C2F"/>
    <w:rsid w:val="17374372"/>
    <w:rsid w:val="17432CA3"/>
    <w:rsid w:val="174C6379"/>
    <w:rsid w:val="17721137"/>
    <w:rsid w:val="17B437C0"/>
    <w:rsid w:val="17D9680D"/>
    <w:rsid w:val="17E75995"/>
    <w:rsid w:val="17EF6030"/>
    <w:rsid w:val="17F81198"/>
    <w:rsid w:val="184E4CAC"/>
    <w:rsid w:val="18534811"/>
    <w:rsid w:val="18735851"/>
    <w:rsid w:val="18921FDE"/>
    <w:rsid w:val="18A11A2F"/>
    <w:rsid w:val="19450E59"/>
    <w:rsid w:val="19813FB0"/>
    <w:rsid w:val="19D674A8"/>
    <w:rsid w:val="1A3D4C07"/>
    <w:rsid w:val="1A481333"/>
    <w:rsid w:val="1AA11563"/>
    <w:rsid w:val="1AB97981"/>
    <w:rsid w:val="1AC7726A"/>
    <w:rsid w:val="1AD934C1"/>
    <w:rsid w:val="1AF01042"/>
    <w:rsid w:val="1AFF390B"/>
    <w:rsid w:val="1B027E29"/>
    <w:rsid w:val="1B2474CF"/>
    <w:rsid w:val="1B281F85"/>
    <w:rsid w:val="1B55264E"/>
    <w:rsid w:val="1B5A4D98"/>
    <w:rsid w:val="1B610368"/>
    <w:rsid w:val="1B62623E"/>
    <w:rsid w:val="1B840C15"/>
    <w:rsid w:val="1B850A80"/>
    <w:rsid w:val="1BA96B88"/>
    <w:rsid w:val="1BC05D1A"/>
    <w:rsid w:val="1BD6793F"/>
    <w:rsid w:val="1C0A1B81"/>
    <w:rsid w:val="1C417161"/>
    <w:rsid w:val="1C6A496F"/>
    <w:rsid w:val="1C995197"/>
    <w:rsid w:val="1D3663F5"/>
    <w:rsid w:val="1D4674EB"/>
    <w:rsid w:val="1D7A4260"/>
    <w:rsid w:val="1DA66985"/>
    <w:rsid w:val="1DBE44DB"/>
    <w:rsid w:val="1DC00253"/>
    <w:rsid w:val="1DD063A3"/>
    <w:rsid w:val="1DD1244F"/>
    <w:rsid w:val="1DEA5DCF"/>
    <w:rsid w:val="1E047C52"/>
    <w:rsid w:val="1E0F2F88"/>
    <w:rsid w:val="1E3C0273"/>
    <w:rsid w:val="1E42797B"/>
    <w:rsid w:val="1EB4550F"/>
    <w:rsid w:val="1EDD7E07"/>
    <w:rsid w:val="1EE2069D"/>
    <w:rsid w:val="1F125176"/>
    <w:rsid w:val="1F374DC3"/>
    <w:rsid w:val="1F464788"/>
    <w:rsid w:val="1FB33873"/>
    <w:rsid w:val="1FFE6BEE"/>
    <w:rsid w:val="20234AC9"/>
    <w:rsid w:val="2039200A"/>
    <w:rsid w:val="204131A1"/>
    <w:rsid w:val="20765541"/>
    <w:rsid w:val="20823833"/>
    <w:rsid w:val="20A025BE"/>
    <w:rsid w:val="20BA340F"/>
    <w:rsid w:val="21026DD4"/>
    <w:rsid w:val="210E1A59"/>
    <w:rsid w:val="21575EA1"/>
    <w:rsid w:val="216D6944"/>
    <w:rsid w:val="216F7993"/>
    <w:rsid w:val="21701F90"/>
    <w:rsid w:val="21825E03"/>
    <w:rsid w:val="218C4119"/>
    <w:rsid w:val="219534E9"/>
    <w:rsid w:val="21BB220E"/>
    <w:rsid w:val="21FA1ABC"/>
    <w:rsid w:val="2210107D"/>
    <w:rsid w:val="221D5633"/>
    <w:rsid w:val="223C3B60"/>
    <w:rsid w:val="227453DF"/>
    <w:rsid w:val="22B37412"/>
    <w:rsid w:val="22D96E85"/>
    <w:rsid w:val="22F90A2E"/>
    <w:rsid w:val="230E7CB2"/>
    <w:rsid w:val="232758FC"/>
    <w:rsid w:val="235C4F87"/>
    <w:rsid w:val="235D69C1"/>
    <w:rsid w:val="237B54B0"/>
    <w:rsid w:val="23864FBF"/>
    <w:rsid w:val="238D507B"/>
    <w:rsid w:val="2393729C"/>
    <w:rsid w:val="23CE0A96"/>
    <w:rsid w:val="23D31501"/>
    <w:rsid w:val="24362041"/>
    <w:rsid w:val="244558F0"/>
    <w:rsid w:val="24863878"/>
    <w:rsid w:val="24985092"/>
    <w:rsid w:val="24A10DF8"/>
    <w:rsid w:val="24C645E0"/>
    <w:rsid w:val="24CA50C6"/>
    <w:rsid w:val="24D007D1"/>
    <w:rsid w:val="24EB0995"/>
    <w:rsid w:val="25140E84"/>
    <w:rsid w:val="252523ED"/>
    <w:rsid w:val="252F613E"/>
    <w:rsid w:val="253146FA"/>
    <w:rsid w:val="253F4153"/>
    <w:rsid w:val="2540611D"/>
    <w:rsid w:val="254259F1"/>
    <w:rsid w:val="25452F2D"/>
    <w:rsid w:val="2564005E"/>
    <w:rsid w:val="2570107C"/>
    <w:rsid w:val="25D6510D"/>
    <w:rsid w:val="25DA20CE"/>
    <w:rsid w:val="26215F4F"/>
    <w:rsid w:val="265F25D3"/>
    <w:rsid w:val="267267AA"/>
    <w:rsid w:val="267825D1"/>
    <w:rsid w:val="267C332F"/>
    <w:rsid w:val="26B80661"/>
    <w:rsid w:val="26C171CB"/>
    <w:rsid w:val="26FB5948"/>
    <w:rsid w:val="27054F28"/>
    <w:rsid w:val="27AF3208"/>
    <w:rsid w:val="27E92A9C"/>
    <w:rsid w:val="27F16519"/>
    <w:rsid w:val="27FD6D84"/>
    <w:rsid w:val="2805374C"/>
    <w:rsid w:val="28054429"/>
    <w:rsid w:val="28060F58"/>
    <w:rsid w:val="28213FE4"/>
    <w:rsid w:val="285A1251"/>
    <w:rsid w:val="285B27AE"/>
    <w:rsid w:val="286E52FC"/>
    <w:rsid w:val="2893284B"/>
    <w:rsid w:val="289C74AE"/>
    <w:rsid w:val="28D769F2"/>
    <w:rsid w:val="28E53263"/>
    <w:rsid w:val="29592F94"/>
    <w:rsid w:val="295F5243"/>
    <w:rsid w:val="29E31034"/>
    <w:rsid w:val="29EE17E2"/>
    <w:rsid w:val="2A392D52"/>
    <w:rsid w:val="2A5B1F3F"/>
    <w:rsid w:val="2A5C57A7"/>
    <w:rsid w:val="2A742AF1"/>
    <w:rsid w:val="2A756869"/>
    <w:rsid w:val="2A791CF4"/>
    <w:rsid w:val="2A8E3487"/>
    <w:rsid w:val="2A9A1E2C"/>
    <w:rsid w:val="2ABB7DF2"/>
    <w:rsid w:val="2AC7306D"/>
    <w:rsid w:val="2AD924C2"/>
    <w:rsid w:val="2ADC1FC3"/>
    <w:rsid w:val="2ADE448E"/>
    <w:rsid w:val="2AF561AC"/>
    <w:rsid w:val="2B1A7FB8"/>
    <w:rsid w:val="2B3D33A5"/>
    <w:rsid w:val="2B6A7583"/>
    <w:rsid w:val="2B7B63D1"/>
    <w:rsid w:val="2B8B1489"/>
    <w:rsid w:val="2BD902EC"/>
    <w:rsid w:val="2C106B48"/>
    <w:rsid w:val="2C17411D"/>
    <w:rsid w:val="2C3D5164"/>
    <w:rsid w:val="2CF87289"/>
    <w:rsid w:val="2D2D2C93"/>
    <w:rsid w:val="2D8F7C42"/>
    <w:rsid w:val="2DAF2092"/>
    <w:rsid w:val="2DEE2BBA"/>
    <w:rsid w:val="2E135BB8"/>
    <w:rsid w:val="2E172F99"/>
    <w:rsid w:val="2E25631E"/>
    <w:rsid w:val="2E2A1A6C"/>
    <w:rsid w:val="2E386092"/>
    <w:rsid w:val="2E7755A8"/>
    <w:rsid w:val="2E7F7CB6"/>
    <w:rsid w:val="2E8D0988"/>
    <w:rsid w:val="2EA27D60"/>
    <w:rsid w:val="2EE248F4"/>
    <w:rsid w:val="2EE737A0"/>
    <w:rsid w:val="2EF21CAB"/>
    <w:rsid w:val="2F3841ED"/>
    <w:rsid w:val="2F58187C"/>
    <w:rsid w:val="2F6E5FB6"/>
    <w:rsid w:val="2F93178D"/>
    <w:rsid w:val="2F932A4E"/>
    <w:rsid w:val="2FB958F6"/>
    <w:rsid w:val="2FF16992"/>
    <w:rsid w:val="301D1535"/>
    <w:rsid w:val="301E3F07"/>
    <w:rsid w:val="3057108A"/>
    <w:rsid w:val="30825B44"/>
    <w:rsid w:val="30B1408E"/>
    <w:rsid w:val="30B87993"/>
    <w:rsid w:val="30CE71F9"/>
    <w:rsid w:val="30D75B88"/>
    <w:rsid w:val="30EF67E5"/>
    <w:rsid w:val="30F229C1"/>
    <w:rsid w:val="30FC114A"/>
    <w:rsid w:val="310311E3"/>
    <w:rsid w:val="31134E41"/>
    <w:rsid w:val="315905C8"/>
    <w:rsid w:val="316244E8"/>
    <w:rsid w:val="318850D4"/>
    <w:rsid w:val="31A26361"/>
    <w:rsid w:val="31F4722E"/>
    <w:rsid w:val="32220572"/>
    <w:rsid w:val="322E1E8E"/>
    <w:rsid w:val="323B2146"/>
    <w:rsid w:val="325D41F6"/>
    <w:rsid w:val="32794A1C"/>
    <w:rsid w:val="327B2543"/>
    <w:rsid w:val="3283371F"/>
    <w:rsid w:val="328D7DE2"/>
    <w:rsid w:val="32A85455"/>
    <w:rsid w:val="32BA571C"/>
    <w:rsid w:val="32CC0FF0"/>
    <w:rsid w:val="32EE6C13"/>
    <w:rsid w:val="32F72400"/>
    <w:rsid w:val="3332273D"/>
    <w:rsid w:val="33370B5F"/>
    <w:rsid w:val="337A6C9E"/>
    <w:rsid w:val="33D47543"/>
    <w:rsid w:val="33D7113F"/>
    <w:rsid w:val="33DD3064"/>
    <w:rsid w:val="34157E83"/>
    <w:rsid w:val="344D3544"/>
    <w:rsid w:val="3450087A"/>
    <w:rsid w:val="345453E4"/>
    <w:rsid w:val="34586FDF"/>
    <w:rsid w:val="346A286F"/>
    <w:rsid w:val="348320CD"/>
    <w:rsid w:val="349A1157"/>
    <w:rsid w:val="34D101A4"/>
    <w:rsid w:val="34D66156"/>
    <w:rsid w:val="34E8433A"/>
    <w:rsid w:val="35AD5174"/>
    <w:rsid w:val="35DB1C68"/>
    <w:rsid w:val="35EC697A"/>
    <w:rsid w:val="36214281"/>
    <w:rsid w:val="365A4BD6"/>
    <w:rsid w:val="367B012D"/>
    <w:rsid w:val="368D0EDC"/>
    <w:rsid w:val="36CD3D08"/>
    <w:rsid w:val="36E74BCF"/>
    <w:rsid w:val="36F4767F"/>
    <w:rsid w:val="371D675E"/>
    <w:rsid w:val="37453DFB"/>
    <w:rsid w:val="37575A24"/>
    <w:rsid w:val="37774E31"/>
    <w:rsid w:val="378418A7"/>
    <w:rsid w:val="379251DA"/>
    <w:rsid w:val="37AF3154"/>
    <w:rsid w:val="37C116E8"/>
    <w:rsid w:val="37D330C6"/>
    <w:rsid w:val="37D3697D"/>
    <w:rsid w:val="381D762F"/>
    <w:rsid w:val="383C102E"/>
    <w:rsid w:val="38637D01"/>
    <w:rsid w:val="386709AA"/>
    <w:rsid w:val="387D642F"/>
    <w:rsid w:val="38860B0E"/>
    <w:rsid w:val="38C6627D"/>
    <w:rsid w:val="38D86C09"/>
    <w:rsid w:val="38DE1A7D"/>
    <w:rsid w:val="39072D82"/>
    <w:rsid w:val="3919772A"/>
    <w:rsid w:val="394A2C6F"/>
    <w:rsid w:val="39564FA9"/>
    <w:rsid w:val="397718FE"/>
    <w:rsid w:val="39B90520"/>
    <w:rsid w:val="3A217E73"/>
    <w:rsid w:val="3A274209"/>
    <w:rsid w:val="3A2A0555"/>
    <w:rsid w:val="3A310809"/>
    <w:rsid w:val="3A7645E5"/>
    <w:rsid w:val="3AA01AB2"/>
    <w:rsid w:val="3AC705C2"/>
    <w:rsid w:val="3AE07D2F"/>
    <w:rsid w:val="3B07350D"/>
    <w:rsid w:val="3B133C60"/>
    <w:rsid w:val="3B182CC7"/>
    <w:rsid w:val="3B2A6D61"/>
    <w:rsid w:val="3B3339E2"/>
    <w:rsid w:val="3B4130B9"/>
    <w:rsid w:val="3B491430"/>
    <w:rsid w:val="3B9C1EA7"/>
    <w:rsid w:val="3BBF0327"/>
    <w:rsid w:val="3BDB4052"/>
    <w:rsid w:val="3BDF14CC"/>
    <w:rsid w:val="3C0838C1"/>
    <w:rsid w:val="3C177780"/>
    <w:rsid w:val="3C1E41B5"/>
    <w:rsid w:val="3C5938F5"/>
    <w:rsid w:val="3CE67D07"/>
    <w:rsid w:val="3CF1691A"/>
    <w:rsid w:val="3D090124"/>
    <w:rsid w:val="3D091CC5"/>
    <w:rsid w:val="3D1F699C"/>
    <w:rsid w:val="3D3A5CC1"/>
    <w:rsid w:val="3D4027C3"/>
    <w:rsid w:val="3D667DA6"/>
    <w:rsid w:val="3D6E1622"/>
    <w:rsid w:val="3DA02485"/>
    <w:rsid w:val="3DB46376"/>
    <w:rsid w:val="3DC92CFC"/>
    <w:rsid w:val="3DFB39FD"/>
    <w:rsid w:val="3E287CA5"/>
    <w:rsid w:val="3E497999"/>
    <w:rsid w:val="3E4E6154"/>
    <w:rsid w:val="3E6C6A4F"/>
    <w:rsid w:val="3E864749"/>
    <w:rsid w:val="3E971150"/>
    <w:rsid w:val="3ED16F9F"/>
    <w:rsid w:val="3ED95EA9"/>
    <w:rsid w:val="3EFA5B90"/>
    <w:rsid w:val="3EFE309E"/>
    <w:rsid w:val="3F372AE9"/>
    <w:rsid w:val="3F4D4FFE"/>
    <w:rsid w:val="3F512870"/>
    <w:rsid w:val="3F5600D8"/>
    <w:rsid w:val="3F582E62"/>
    <w:rsid w:val="3F607C2D"/>
    <w:rsid w:val="3F6236D0"/>
    <w:rsid w:val="3F94702A"/>
    <w:rsid w:val="3FA36C86"/>
    <w:rsid w:val="3FB37BB2"/>
    <w:rsid w:val="3FE06D3B"/>
    <w:rsid w:val="3FE2521F"/>
    <w:rsid w:val="4004626D"/>
    <w:rsid w:val="40210BCD"/>
    <w:rsid w:val="4024246B"/>
    <w:rsid w:val="402F6D46"/>
    <w:rsid w:val="40520D87"/>
    <w:rsid w:val="40B97058"/>
    <w:rsid w:val="40D309FB"/>
    <w:rsid w:val="40E579E4"/>
    <w:rsid w:val="40E85247"/>
    <w:rsid w:val="41BE41FA"/>
    <w:rsid w:val="41D71CA1"/>
    <w:rsid w:val="41E77978"/>
    <w:rsid w:val="41EA60CB"/>
    <w:rsid w:val="420724F0"/>
    <w:rsid w:val="42334364"/>
    <w:rsid w:val="4233454F"/>
    <w:rsid w:val="42334885"/>
    <w:rsid w:val="425E2B56"/>
    <w:rsid w:val="42672AE3"/>
    <w:rsid w:val="42764A3E"/>
    <w:rsid w:val="429A6A15"/>
    <w:rsid w:val="42A77BCB"/>
    <w:rsid w:val="42ED2FE9"/>
    <w:rsid w:val="43330B9C"/>
    <w:rsid w:val="43370708"/>
    <w:rsid w:val="43527DA5"/>
    <w:rsid w:val="438E4A94"/>
    <w:rsid w:val="439C240B"/>
    <w:rsid w:val="43DC6F0F"/>
    <w:rsid w:val="4404683C"/>
    <w:rsid w:val="446454B9"/>
    <w:rsid w:val="447F2366"/>
    <w:rsid w:val="44CC3808"/>
    <w:rsid w:val="44EF539B"/>
    <w:rsid w:val="45093CD4"/>
    <w:rsid w:val="45333E01"/>
    <w:rsid w:val="454D7023"/>
    <w:rsid w:val="45525374"/>
    <w:rsid w:val="455C4456"/>
    <w:rsid w:val="457160ED"/>
    <w:rsid w:val="45756A0A"/>
    <w:rsid w:val="45F85457"/>
    <w:rsid w:val="460A0A48"/>
    <w:rsid w:val="46284E65"/>
    <w:rsid w:val="4688711B"/>
    <w:rsid w:val="46923006"/>
    <w:rsid w:val="46A82CD0"/>
    <w:rsid w:val="46D536D2"/>
    <w:rsid w:val="46DA3884"/>
    <w:rsid w:val="46F07AD6"/>
    <w:rsid w:val="47572856"/>
    <w:rsid w:val="47797541"/>
    <w:rsid w:val="478163F5"/>
    <w:rsid w:val="47876C52"/>
    <w:rsid w:val="47990E08"/>
    <w:rsid w:val="479B5ECC"/>
    <w:rsid w:val="47C4153B"/>
    <w:rsid w:val="47CB7671"/>
    <w:rsid w:val="47D452D0"/>
    <w:rsid w:val="481D3EC7"/>
    <w:rsid w:val="48270292"/>
    <w:rsid w:val="487C04D9"/>
    <w:rsid w:val="48826C2D"/>
    <w:rsid w:val="48914416"/>
    <w:rsid w:val="489573EB"/>
    <w:rsid w:val="48BE3CBF"/>
    <w:rsid w:val="497955D6"/>
    <w:rsid w:val="49CF100D"/>
    <w:rsid w:val="49D13DD4"/>
    <w:rsid w:val="49DF112C"/>
    <w:rsid w:val="4A0A0924"/>
    <w:rsid w:val="4A123C3D"/>
    <w:rsid w:val="4AF83480"/>
    <w:rsid w:val="4B1411AE"/>
    <w:rsid w:val="4B2D5FDE"/>
    <w:rsid w:val="4B85051F"/>
    <w:rsid w:val="4BF105B1"/>
    <w:rsid w:val="4BF47196"/>
    <w:rsid w:val="4C3C324E"/>
    <w:rsid w:val="4C561124"/>
    <w:rsid w:val="4C765DFD"/>
    <w:rsid w:val="4C806421"/>
    <w:rsid w:val="4C872E15"/>
    <w:rsid w:val="4CA0475B"/>
    <w:rsid w:val="4CA9593B"/>
    <w:rsid w:val="4CBE5A86"/>
    <w:rsid w:val="4CDF4A30"/>
    <w:rsid w:val="4CFD207A"/>
    <w:rsid w:val="4D0E1A0D"/>
    <w:rsid w:val="4D17314A"/>
    <w:rsid w:val="4D292E6F"/>
    <w:rsid w:val="4D302450"/>
    <w:rsid w:val="4D3D2DBF"/>
    <w:rsid w:val="4D450A84"/>
    <w:rsid w:val="4D4C0AEC"/>
    <w:rsid w:val="4D533318"/>
    <w:rsid w:val="4D940915"/>
    <w:rsid w:val="4DA222A3"/>
    <w:rsid w:val="4DAB700D"/>
    <w:rsid w:val="4DB95442"/>
    <w:rsid w:val="4DD9086C"/>
    <w:rsid w:val="4DFB11F6"/>
    <w:rsid w:val="4DFF2958"/>
    <w:rsid w:val="4E774DAA"/>
    <w:rsid w:val="4E9155FD"/>
    <w:rsid w:val="4EB33338"/>
    <w:rsid w:val="4EBB21ED"/>
    <w:rsid w:val="4EE00D0F"/>
    <w:rsid w:val="4EEC23A6"/>
    <w:rsid w:val="4EF13B48"/>
    <w:rsid w:val="4F770D88"/>
    <w:rsid w:val="4F781E8C"/>
    <w:rsid w:val="4FAF682F"/>
    <w:rsid w:val="4FB76013"/>
    <w:rsid w:val="4FCA0E8E"/>
    <w:rsid w:val="500C2E3A"/>
    <w:rsid w:val="50285660"/>
    <w:rsid w:val="503B1E8C"/>
    <w:rsid w:val="503C110B"/>
    <w:rsid w:val="50664363"/>
    <w:rsid w:val="5089456A"/>
    <w:rsid w:val="50D650BC"/>
    <w:rsid w:val="50EB36A6"/>
    <w:rsid w:val="50ED0AB6"/>
    <w:rsid w:val="50F35F21"/>
    <w:rsid w:val="51846EC9"/>
    <w:rsid w:val="51C23892"/>
    <w:rsid w:val="51D6733E"/>
    <w:rsid w:val="521A3F9A"/>
    <w:rsid w:val="52655659"/>
    <w:rsid w:val="52951AB7"/>
    <w:rsid w:val="52952D55"/>
    <w:rsid w:val="52972F91"/>
    <w:rsid w:val="52D80BEE"/>
    <w:rsid w:val="52F92B19"/>
    <w:rsid w:val="52FE6614"/>
    <w:rsid w:val="53216E56"/>
    <w:rsid w:val="53285977"/>
    <w:rsid w:val="5335318C"/>
    <w:rsid w:val="534700CF"/>
    <w:rsid w:val="53513120"/>
    <w:rsid w:val="535C50C9"/>
    <w:rsid w:val="53631B2A"/>
    <w:rsid w:val="537C336B"/>
    <w:rsid w:val="538928D5"/>
    <w:rsid w:val="53990F84"/>
    <w:rsid w:val="539F21DB"/>
    <w:rsid w:val="53C91DBF"/>
    <w:rsid w:val="53D007F5"/>
    <w:rsid w:val="53F254B5"/>
    <w:rsid w:val="54124A42"/>
    <w:rsid w:val="5449726B"/>
    <w:rsid w:val="544A7F16"/>
    <w:rsid w:val="546B6E19"/>
    <w:rsid w:val="548254F0"/>
    <w:rsid w:val="548459B6"/>
    <w:rsid w:val="5485514F"/>
    <w:rsid w:val="548D558B"/>
    <w:rsid w:val="549A6C2B"/>
    <w:rsid w:val="54A8538E"/>
    <w:rsid w:val="54AC51AF"/>
    <w:rsid w:val="54C36344"/>
    <w:rsid w:val="54D67060"/>
    <w:rsid w:val="55082A65"/>
    <w:rsid w:val="55482C14"/>
    <w:rsid w:val="5587082F"/>
    <w:rsid w:val="558B7298"/>
    <w:rsid w:val="55911302"/>
    <w:rsid w:val="55B950FF"/>
    <w:rsid w:val="55C53EA6"/>
    <w:rsid w:val="55CF657E"/>
    <w:rsid w:val="55DD0C9B"/>
    <w:rsid w:val="55E4784D"/>
    <w:rsid w:val="55FD6573"/>
    <w:rsid w:val="56167B9C"/>
    <w:rsid w:val="562365CA"/>
    <w:rsid w:val="56377D24"/>
    <w:rsid w:val="565B7FD3"/>
    <w:rsid w:val="56B23ED5"/>
    <w:rsid w:val="56CC38D1"/>
    <w:rsid w:val="56F52014"/>
    <w:rsid w:val="57377952"/>
    <w:rsid w:val="574C6E0F"/>
    <w:rsid w:val="576F174B"/>
    <w:rsid w:val="57D4668D"/>
    <w:rsid w:val="58263B5F"/>
    <w:rsid w:val="582B56B9"/>
    <w:rsid w:val="584F5295"/>
    <w:rsid w:val="58515ED5"/>
    <w:rsid w:val="58574B26"/>
    <w:rsid w:val="58B97624"/>
    <w:rsid w:val="58D053E0"/>
    <w:rsid w:val="59016536"/>
    <w:rsid w:val="590C29FE"/>
    <w:rsid w:val="59237CED"/>
    <w:rsid w:val="59382F53"/>
    <w:rsid w:val="59A537CB"/>
    <w:rsid w:val="59B83EF9"/>
    <w:rsid w:val="59DD74BB"/>
    <w:rsid w:val="59E9690A"/>
    <w:rsid w:val="59F26FCA"/>
    <w:rsid w:val="5A1D3DD1"/>
    <w:rsid w:val="5A2B7E5E"/>
    <w:rsid w:val="5A4B6B1B"/>
    <w:rsid w:val="5A702DFA"/>
    <w:rsid w:val="5A8D6E0C"/>
    <w:rsid w:val="5AA07F40"/>
    <w:rsid w:val="5ABB5323"/>
    <w:rsid w:val="5AD1185B"/>
    <w:rsid w:val="5AD76600"/>
    <w:rsid w:val="5AE67E70"/>
    <w:rsid w:val="5B071AB3"/>
    <w:rsid w:val="5B31425D"/>
    <w:rsid w:val="5B41332E"/>
    <w:rsid w:val="5B650D9F"/>
    <w:rsid w:val="5B7C4A30"/>
    <w:rsid w:val="5B9608D0"/>
    <w:rsid w:val="5B9718EC"/>
    <w:rsid w:val="5B9B5880"/>
    <w:rsid w:val="5BDE0537"/>
    <w:rsid w:val="5BE72873"/>
    <w:rsid w:val="5BED4D57"/>
    <w:rsid w:val="5BF8003B"/>
    <w:rsid w:val="5C0D1BAE"/>
    <w:rsid w:val="5C2A578C"/>
    <w:rsid w:val="5C3E4FCE"/>
    <w:rsid w:val="5C817072"/>
    <w:rsid w:val="5C9304DA"/>
    <w:rsid w:val="5CBA7F88"/>
    <w:rsid w:val="5CC606DB"/>
    <w:rsid w:val="5D4C09BA"/>
    <w:rsid w:val="5D4D387D"/>
    <w:rsid w:val="5D6851F5"/>
    <w:rsid w:val="5D8D2FA6"/>
    <w:rsid w:val="5D9C768D"/>
    <w:rsid w:val="5DB4633B"/>
    <w:rsid w:val="5DD936DD"/>
    <w:rsid w:val="5DE11544"/>
    <w:rsid w:val="5E3C677A"/>
    <w:rsid w:val="5E3E24F3"/>
    <w:rsid w:val="5E531B97"/>
    <w:rsid w:val="5E6B54B1"/>
    <w:rsid w:val="5E8C001D"/>
    <w:rsid w:val="5EC85701"/>
    <w:rsid w:val="5EFA0A12"/>
    <w:rsid w:val="5F0337AE"/>
    <w:rsid w:val="5F144DEA"/>
    <w:rsid w:val="5F317957"/>
    <w:rsid w:val="5F441D8B"/>
    <w:rsid w:val="5F7206A6"/>
    <w:rsid w:val="5F7E3018"/>
    <w:rsid w:val="5F8E1258"/>
    <w:rsid w:val="600F1307"/>
    <w:rsid w:val="60554E30"/>
    <w:rsid w:val="60A461F2"/>
    <w:rsid w:val="60AE3960"/>
    <w:rsid w:val="60DD4A82"/>
    <w:rsid w:val="60EE1FAE"/>
    <w:rsid w:val="60F03F78"/>
    <w:rsid w:val="60F1388E"/>
    <w:rsid w:val="60FB7781"/>
    <w:rsid w:val="610712C2"/>
    <w:rsid w:val="611134A9"/>
    <w:rsid w:val="61214226"/>
    <w:rsid w:val="61575781"/>
    <w:rsid w:val="616B02CD"/>
    <w:rsid w:val="61A77079"/>
    <w:rsid w:val="624C4F04"/>
    <w:rsid w:val="625D388F"/>
    <w:rsid w:val="62600C89"/>
    <w:rsid w:val="626F0699"/>
    <w:rsid w:val="628F77C1"/>
    <w:rsid w:val="62A41BB4"/>
    <w:rsid w:val="62BE1E54"/>
    <w:rsid w:val="62D6732E"/>
    <w:rsid w:val="62F4609A"/>
    <w:rsid w:val="636659DA"/>
    <w:rsid w:val="638279B4"/>
    <w:rsid w:val="639473F3"/>
    <w:rsid w:val="639C64A0"/>
    <w:rsid w:val="63B05C3E"/>
    <w:rsid w:val="63C54BC1"/>
    <w:rsid w:val="63F61C71"/>
    <w:rsid w:val="64041AE8"/>
    <w:rsid w:val="640D3ADF"/>
    <w:rsid w:val="641235FA"/>
    <w:rsid w:val="641B438D"/>
    <w:rsid w:val="641F5EA8"/>
    <w:rsid w:val="642372D3"/>
    <w:rsid w:val="649E1F3D"/>
    <w:rsid w:val="64A15589"/>
    <w:rsid w:val="64BD7D3B"/>
    <w:rsid w:val="651708B8"/>
    <w:rsid w:val="651D2E62"/>
    <w:rsid w:val="65454382"/>
    <w:rsid w:val="6552265F"/>
    <w:rsid w:val="655D7FBE"/>
    <w:rsid w:val="656511A5"/>
    <w:rsid w:val="65911D40"/>
    <w:rsid w:val="65F067C8"/>
    <w:rsid w:val="65FF1E91"/>
    <w:rsid w:val="66154481"/>
    <w:rsid w:val="663F641D"/>
    <w:rsid w:val="664A6492"/>
    <w:rsid w:val="668B029F"/>
    <w:rsid w:val="669B46E7"/>
    <w:rsid w:val="66B02325"/>
    <w:rsid w:val="66D41C46"/>
    <w:rsid w:val="67065B78"/>
    <w:rsid w:val="67275ACF"/>
    <w:rsid w:val="674212A6"/>
    <w:rsid w:val="676C1E7F"/>
    <w:rsid w:val="67917B37"/>
    <w:rsid w:val="67C40077"/>
    <w:rsid w:val="67CB4420"/>
    <w:rsid w:val="67CF52F1"/>
    <w:rsid w:val="680337F7"/>
    <w:rsid w:val="682F27E3"/>
    <w:rsid w:val="68BB4E93"/>
    <w:rsid w:val="68C966C7"/>
    <w:rsid w:val="68F70246"/>
    <w:rsid w:val="69006D22"/>
    <w:rsid w:val="6959602B"/>
    <w:rsid w:val="69AD2726"/>
    <w:rsid w:val="69D72179"/>
    <w:rsid w:val="69E45686"/>
    <w:rsid w:val="69EE301F"/>
    <w:rsid w:val="6A2922A9"/>
    <w:rsid w:val="6A3D7B02"/>
    <w:rsid w:val="6A484E25"/>
    <w:rsid w:val="6A5A6906"/>
    <w:rsid w:val="6A9051B8"/>
    <w:rsid w:val="6A9F17ED"/>
    <w:rsid w:val="6AB46016"/>
    <w:rsid w:val="6ABD617F"/>
    <w:rsid w:val="6AC25622"/>
    <w:rsid w:val="6AEC3960"/>
    <w:rsid w:val="6B57195A"/>
    <w:rsid w:val="6B590BA5"/>
    <w:rsid w:val="6B8320C0"/>
    <w:rsid w:val="6BC1547B"/>
    <w:rsid w:val="6BD154CC"/>
    <w:rsid w:val="6BE10B92"/>
    <w:rsid w:val="6BEC7A32"/>
    <w:rsid w:val="6C092392"/>
    <w:rsid w:val="6C305C8F"/>
    <w:rsid w:val="6C5B0466"/>
    <w:rsid w:val="6C910B40"/>
    <w:rsid w:val="6CC92D08"/>
    <w:rsid w:val="6CFA1CDB"/>
    <w:rsid w:val="6D2D3E5E"/>
    <w:rsid w:val="6D54506F"/>
    <w:rsid w:val="6D805845"/>
    <w:rsid w:val="6D8F68C7"/>
    <w:rsid w:val="6E044771"/>
    <w:rsid w:val="6E071562"/>
    <w:rsid w:val="6E1967BA"/>
    <w:rsid w:val="6EBC7B8F"/>
    <w:rsid w:val="6EE028B7"/>
    <w:rsid w:val="6EF318C8"/>
    <w:rsid w:val="6F083740"/>
    <w:rsid w:val="6F172914"/>
    <w:rsid w:val="6FEE03BB"/>
    <w:rsid w:val="70051ADB"/>
    <w:rsid w:val="70060C1C"/>
    <w:rsid w:val="700F0193"/>
    <w:rsid w:val="70626515"/>
    <w:rsid w:val="708727AC"/>
    <w:rsid w:val="70950698"/>
    <w:rsid w:val="70955915"/>
    <w:rsid w:val="70C31D6B"/>
    <w:rsid w:val="70F74CDB"/>
    <w:rsid w:val="712D491D"/>
    <w:rsid w:val="717C53B4"/>
    <w:rsid w:val="71904B0C"/>
    <w:rsid w:val="71985681"/>
    <w:rsid w:val="71A010A2"/>
    <w:rsid w:val="71B354E5"/>
    <w:rsid w:val="71C73801"/>
    <w:rsid w:val="71E51B16"/>
    <w:rsid w:val="71E8459B"/>
    <w:rsid w:val="71F92460"/>
    <w:rsid w:val="721E268A"/>
    <w:rsid w:val="7233601F"/>
    <w:rsid w:val="72347A17"/>
    <w:rsid w:val="726F6CC7"/>
    <w:rsid w:val="728B5CD6"/>
    <w:rsid w:val="731735E6"/>
    <w:rsid w:val="73262214"/>
    <w:rsid w:val="733648CD"/>
    <w:rsid w:val="73A330CC"/>
    <w:rsid w:val="73DE78B6"/>
    <w:rsid w:val="74033665"/>
    <w:rsid w:val="740D2781"/>
    <w:rsid w:val="74143FCA"/>
    <w:rsid w:val="741B1F4D"/>
    <w:rsid w:val="744C0E93"/>
    <w:rsid w:val="74533F62"/>
    <w:rsid w:val="74891E24"/>
    <w:rsid w:val="75241F9B"/>
    <w:rsid w:val="75420A51"/>
    <w:rsid w:val="7548217D"/>
    <w:rsid w:val="75886F8B"/>
    <w:rsid w:val="75AD3D8E"/>
    <w:rsid w:val="75F153C9"/>
    <w:rsid w:val="75F6664F"/>
    <w:rsid w:val="76360227"/>
    <w:rsid w:val="76724FD8"/>
    <w:rsid w:val="76BD26F7"/>
    <w:rsid w:val="76BE5F0F"/>
    <w:rsid w:val="76C667BC"/>
    <w:rsid w:val="76CF1C1E"/>
    <w:rsid w:val="76EB0BA9"/>
    <w:rsid w:val="77043E82"/>
    <w:rsid w:val="77100E2A"/>
    <w:rsid w:val="774773D6"/>
    <w:rsid w:val="77644920"/>
    <w:rsid w:val="77646FC0"/>
    <w:rsid w:val="776F0CF3"/>
    <w:rsid w:val="77764171"/>
    <w:rsid w:val="77840F6C"/>
    <w:rsid w:val="778F5FCB"/>
    <w:rsid w:val="77A2161B"/>
    <w:rsid w:val="77A621AC"/>
    <w:rsid w:val="77FF76BB"/>
    <w:rsid w:val="78014865"/>
    <w:rsid w:val="786C7F30"/>
    <w:rsid w:val="78AC657F"/>
    <w:rsid w:val="78DB67FF"/>
    <w:rsid w:val="78E51A91"/>
    <w:rsid w:val="79B21A11"/>
    <w:rsid w:val="79CD0EA3"/>
    <w:rsid w:val="79FC478F"/>
    <w:rsid w:val="79FE79DA"/>
    <w:rsid w:val="7A291E51"/>
    <w:rsid w:val="7A2F56B9"/>
    <w:rsid w:val="7A342CD0"/>
    <w:rsid w:val="7A515AA2"/>
    <w:rsid w:val="7A735C17"/>
    <w:rsid w:val="7A887546"/>
    <w:rsid w:val="7AA71D7C"/>
    <w:rsid w:val="7AAD5FEE"/>
    <w:rsid w:val="7AB94A1D"/>
    <w:rsid w:val="7ABA3AA8"/>
    <w:rsid w:val="7BCB4AE2"/>
    <w:rsid w:val="7BEB5610"/>
    <w:rsid w:val="7BF06666"/>
    <w:rsid w:val="7BF9402F"/>
    <w:rsid w:val="7C0900EB"/>
    <w:rsid w:val="7C4D4974"/>
    <w:rsid w:val="7C5B09E8"/>
    <w:rsid w:val="7CAD66A6"/>
    <w:rsid w:val="7CB15915"/>
    <w:rsid w:val="7CE309DD"/>
    <w:rsid w:val="7CF312BE"/>
    <w:rsid w:val="7D1D3EEF"/>
    <w:rsid w:val="7D287CAD"/>
    <w:rsid w:val="7D382289"/>
    <w:rsid w:val="7D496A92"/>
    <w:rsid w:val="7D537911"/>
    <w:rsid w:val="7D9120E2"/>
    <w:rsid w:val="7E695E0F"/>
    <w:rsid w:val="7E7421DD"/>
    <w:rsid w:val="7E910D86"/>
    <w:rsid w:val="7EBD328D"/>
    <w:rsid w:val="7F1629A4"/>
    <w:rsid w:val="7FD003CD"/>
    <w:rsid w:val="7FD16703"/>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03"/>
    <w:qFormat/>
    <w:uiPriority w:val="0"/>
    <w:pPr>
      <w:keepNext/>
      <w:keepLines/>
      <w:spacing w:before="260" w:after="260" w:line="416" w:lineRule="auto"/>
      <w:outlineLvl w:val="2"/>
    </w:pPr>
    <w:rPr>
      <w:b/>
      <w:bCs/>
      <w:sz w:val="32"/>
      <w:szCs w:val="32"/>
    </w:rPr>
  </w:style>
  <w:style w:type="paragraph" w:styleId="6">
    <w:name w:val="heading 4"/>
    <w:basedOn w:val="1"/>
    <w:next w:val="1"/>
    <w:link w:val="18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30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05"/>
    <w:qFormat/>
    <w:uiPriority w:val="0"/>
    <w:pPr>
      <w:keepNext/>
      <w:keepLines/>
      <w:ind w:firstLine="200" w:firstLineChars="200"/>
      <w:outlineLvl w:val="5"/>
    </w:pPr>
    <w:rPr>
      <w:rFonts w:hAnsi="Arial"/>
    </w:rPr>
  </w:style>
  <w:style w:type="paragraph" w:styleId="10">
    <w:name w:val="heading 7"/>
    <w:basedOn w:val="1"/>
    <w:next w:val="1"/>
    <w:link w:val="28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7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0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next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214"/>
    <w:qFormat/>
    <w:uiPriority w:val="0"/>
    <w:pPr>
      <w:shd w:val="clear" w:color="auto" w:fill="000080"/>
    </w:pPr>
  </w:style>
  <w:style w:type="paragraph" w:styleId="17">
    <w:name w:val="annotation text"/>
    <w:basedOn w:val="1"/>
    <w:link w:val="299"/>
    <w:qFormat/>
    <w:uiPriority w:val="99"/>
    <w:pPr>
      <w:jc w:val="left"/>
    </w:pPr>
  </w:style>
  <w:style w:type="paragraph" w:styleId="18">
    <w:name w:val="Body Text 3"/>
    <w:basedOn w:val="1"/>
    <w:link w:val="318"/>
    <w:qFormat/>
    <w:uiPriority w:val="0"/>
    <w:pPr>
      <w:spacing w:after="120"/>
    </w:pPr>
    <w:rPr>
      <w:sz w:val="16"/>
      <w:szCs w:val="16"/>
    </w:rPr>
  </w:style>
  <w:style w:type="paragraph" w:styleId="19">
    <w:name w:val="Body Text Indent"/>
    <w:basedOn w:val="1"/>
    <w:link w:val="27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1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qFormat/>
    <w:uiPriority w:val="0"/>
    <w:pPr>
      <w:ind w:left="100" w:leftChars="2500"/>
    </w:pPr>
  </w:style>
  <w:style w:type="paragraph" w:styleId="27">
    <w:name w:val="Body Text Indent 2"/>
    <w:basedOn w:val="1"/>
    <w:link w:val="281"/>
    <w:qFormat/>
    <w:uiPriority w:val="0"/>
    <w:pPr>
      <w:widowControl/>
      <w:spacing w:line="480" w:lineRule="auto"/>
      <w:ind w:firstLine="560"/>
      <w:jc w:val="left"/>
    </w:pPr>
    <w:rPr>
      <w:kern w:val="0"/>
      <w:sz w:val="28"/>
    </w:rPr>
  </w:style>
  <w:style w:type="paragraph" w:styleId="28">
    <w:name w:val="endnote text"/>
    <w:basedOn w:val="1"/>
    <w:link w:val="191"/>
    <w:qFormat/>
    <w:uiPriority w:val="0"/>
    <w:pPr>
      <w:widowControl/>
      <w:snapToGrid w:val="0"/>
      <w:jc w:val="left"/>
    </w:pPr>
    <w:rPr>
      <w:rFonts w:ascii="Arial" w:hAnsi="Arial" w:cs="Arial"/>
      <w:kern w:val="0"/>
      <w:sz w:val="20"/>
      <w:lang w:eastAsia="en-US"/>
    </w:rPr>
  </w:style>
  <w:style w:type="paragraph" w:styleId="29">
    <w:name w:val="Balloon Text"/>
    <w:basedOn w:val="1"/>
    <w:link w:val="218"/>
    <w:qFormat/>
    <w:uiPriority w:val="0"/>
    <w:rPr>
      <w:sz w:val="18"/>
      <w:szCs w:val="18"/>
    </w:rPr>
  </w:style>
  <w:style w:type="paragraph" w:styleId="30">
    <w:name w:val="footer"/>
    <w:basedOn w:val="1"/>
    <w:link w:val="206"/>
    <w:qFormat/>
    <w:uiPriority w:val="0"/>
    <w:pPr>
      <w:tabs>
        <w:tab w:val="center" w:pos="4153"/>
        <w:tab w:val="right" w:pos="8306"/>
      </w:tabs>
      <w:snapToGrid w:val="0"/>
      <w:jc w:val="left"/>
    </w:pPr>
    <w:rPr>
      <w:sz w:val="18"/>
      <w:szCs w:val="18"/>
    </w:rPr>
  </w:style>
  <w:style w:type="paragraph" w:styleId="31">
    <w:name w:val="header"/>
    <w:basedOn w:val="1"/>
    <w:link w:val="24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11"/>
    <w:qFormat/>
    <w:uiPriority w:val="0"/>
    <w:pPr>
      <w:widowControl/>
      <w:jc w:val="center"/>
    </w:pPr>
    <w:rPr>
      <w:kern w:val="0"/>
      <w:sz w:val="20"/>
      <w:u w:val="single"/>
      <w:lang w:eastAsia="en-US"/>
    </w:rPr>
  </w:style>
  <w:style w:type="paragraph" w:styleId="35">
    <w:name w:val="footnote text"/>
    <w:basedOn w:val="1"/>
    <w:link w:val="22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78"/>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74"/>
    <w:qFormat/>
    <w:uiPriority w:val="0"/>
    <w:rPr>
      <w:i/>
      <w:iCs/>
      <w:sz w:val="26"/>
    </w:rPr>
  </w:style>
  <w:style w:type="paragraph" w:styleId="41">
    <w:name w:val="HTML Preformatted"/>
    <w:basedOn w:val="1"/>
    <w:link w:val="17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21"/>
    <w:qFormat/>
    <w:uiPriority w:val="0"/>
    <w:pPr>
      <w:widowControl/>
      <w:jc w:val="center"/>
    </w:pPr>
    <w:rPr>
      <w:kern w:val="0"/>
      <w:sz w:val="20"/>
      <w:u w:val="single"/>
      <w:lang w:eastAsia="en-US"/>
    </w:rPr>
  </w:style>
  <w:style w:type="paragraph" w:styleId="45">
    <w:name w:val="annotation subject"/>
    <w:basedOn w:val="17"/>
    <w:next w:val="17"/>
    <w:link w:val="273"/>
    <w:qFormat/>
    <w:uiPriority w:val="0"/>
    <w:rPr>
      <w:b/>
      <w:bCs/>
    </w:rPr>
  </w:style>
  <w:style w:type="paragraph" w:styleId="46">
    <w:name w:val="Body Text First Indent"/>
    <w:basedOn w:val="1"/>
    <w:next w:val="13"/>
    <w:qFormat/>
    <w:uiPriority w:val="0"/>
    <w:pPr>
      <w:spacing w:line="360" w:lineRule="auto"/>
      <w:ind w:firstLine="420"/>
    </w:pPr>
    <w:rPr>
      <w:rFonts w:ascii="宋体" w:hAnsi="宋体"/>
      <w:sz w:val="24"/>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TML Definition"/>
    <w:basedOn w:val="49"/>
    <w:qFormat/>
    <w:uiPriority w:val="0"/>
  </w:style>
  <w:style w:type="character" w:styleId="56">
    <w:name w:val="HTML Typewriter"/>
    <w:basedOn w:val="49"/>
    <w:qFormat/>
    <w:uiPriority w:val="0"/>
    <w:rPr>
      <w:rFonts w:hint="default" w:ascii="monospace" w:hAnsi="monospace" w:eastAsia="monospace" w:cs="monospace"/>
      <w:sz w:val="20"/>
    </w:rPr>
  </w:style>
  <w:style w:type="character" w:styleId="57">
    <w:name w:val="HTML Acronym"/>
    <w:basedOn w:val="49"/>
    <w:qFormat/>
    <w:uiPriority w:val="0"/>
  </w:style>
  <w:style w:type="character" w:styleId="58">
    <w:name w:val="HTML Variable"/>
    <w:basedOn w:val="49"/>
    <w:qFormat/>
    <w:uiPriority w:val="0"/>
  </w:style>
  <w:style w:type="character" w:styleId="59">
    <w:name w:val="Hyperlink"/>
    <w:qFormat/>
    <w:uiPriority w:val="99"/>
    <w:rPr>
      <w:color w:val="0000FF"/>
      <w:u w:val="single"/>
    </w:rPr>
  </w:style>
  <w:style w:type="character" w:styleId="60">
    <w:name w:val="HTML Code"/>
    <w:basedOn w:val="49"/>
    <w:qFormat/>
    <w:uiPriority w:val="0"/>
    <w:rPr>
      <w:rFonts w:ascii="monospace" w:hAnsi="monospace" w:eastAsia="monospace" w:cs="monospace"/>
      <w:sz w:val="20"/>
    </w:rPr>
  </w:style>
  <w:style w:type="character" w:styleId="61">
    <w:name w:val="annotation reference"/>
    <w:qFormat/>
    <w:uiPriority w:val="0"/>
    <w:rPr>
      <w:sz w:val="21"/>
      <w:szCs w:val="21"/>
    </w:rPr>
  </w:style>
  <w:style w:type="character" w:styleId="62">
    <w:name w:val="HTML Cite"/>
    <w:basedOn w:val="49"/>
    <w:qFormat/>
    <w:uiPriority w:val="0"/>
  </w:style>
  <w:style w:type="character" w:styleId="63">
    <w:name w:val="footnote reference"/>
    <w:qFormat/>
    <w:uiPriority w:val="0"/>
    <w:rPr>
      <w:vertAlign w:val="superscript"/>
    </w:rPr>
  </w:style>
  <w:style w:type="character" w:styleId="64">
    <w:name w:val="HTML Keyboard"/>
    <w:basedOn w:val="49"/>
    <w:qFormat/>
    <w:uiPriority w:val="0"/>
    <w:rPr>
      <w:rFonts w:hint="default" w:ascii="monospace" w:hAnsi="monospace" w:eastAsia="monospace" w:cs="monospace"/>
      <w:sz w:val="20"/>
    </w:rPr>
  </w:style>
  <w:style w:type="character" w:styleId="65">
    <w:name w:val="HTML Sample"/>
    <w:basedOn w:val="49"/>
    <w:qFormat/>
    <w:uiPriority w:val="0"/>
    <w:rPr>
      <w:rFonts w:hint="default" w:ascii="monospace" w:hAnsi="monospace" w:eastAsia="monospace" w:cs="monospace"/>
    </w:rPr>
  </w:style>
  <w:style w:type="paragraph" w:customStyle="1" w:styleId="66">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6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8">
    <w:name w:val="_Style 101"/>
    <w:basedOn w:val="1"/>
    <w:qFormat/>
    <w:uiPriority w:val="99"/>
    <w:pPr>
      <w:ind w:firstLine="420" w:firstLineChars="200"/>
    </w:pPr>
    <w:rPr>
      <w:sz w:val="28"/>
      <w:szCs w:val="28"/>
    </w:rPr>
  </w:style>
  <w:style w:type="paragraph" w:customStyle="1" w:styleId="69">
    <w:name w:val="表格标题"/>
    <w:basedOn w:val="70"/>
    <w:qFormat/>
    <w:uiPriority w:val="0"/>
  </w:style>
  <w:style w:type="paragraph" w:customStyle="1" w:styleId="70">
    <w:name w:val="表格内容"/>
    <w:basedOn w:val="1"/>
    <w:qFormat/>
    <w:uiPriority w:val="0"/>
    <w:pPr>
      <w:suppressLineNumbers/>
      <w:suppressAutoHyphens/>
    </w:pPr>
  </w:style>
  <w:style w:type="paragraph" w:customStyle="1" w:styleId="7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2">
    <w:name w:val="修订1"/>
    <w:qFormat/>
    <w:uiPriority w:val="0"/>
    <w:rPr>
      <w:rFonts w:ascii="Times New Roman" w:hAnsi="Times New Roman" w:eastAsia="宋体" w:cs="Times New Roman"/>
      <w:kern w:val="2"/>
      <w:sz w:val="21"/>
      <w:szCs w:val="24"/>
      <w:lang w:val="en-US" w:eastAsia="zh-CN" w:bidi="ar-SA"/>
    </w:rPr>
  </w:style>
  <w:style w:type="paragraph" w:customStyle="1" w:styleId="7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74">
    <w:name w:val="标准样式1"/>
    <w:basedOn w:val="1"/>
    <w:qFormat/>
    <w:uiPriority w:val="0"/>
    <w:pPr>
      <w:spacing w:line="600" w:lineRule="exact"/>
      <w:ind w:firstLine="567"/>
    </w:pPr>
    <w:rPr>
      <w:rFonts w:ascii="Calibri" w:hAnsi="Calibri"/>
      <w:sz w:val="28"/>
    </w:rPr>
  </w:style>
  <w:style w:type="paragraph" w:customStyle="1" w:styleId="75">
    <w:name w:val="列出段落11"/>
    <w:basedOn w:val="1"/>
    <w:qFormat/>
    <w:uiPriority w:val="0"/>
    <w:pPr>
      <w:ind w:firstLine="420" w:firstLineChars="200"/>
    </w:pPr>
    <w:rPr>
      <w:sz w:val="28"/>
      <w:szCs w:val="28"/>
    </w:rPr>
  </w:style>
  <w:style w:type="paragraph" w:customStyle="1" w:styleId="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77">
    <w:name w:val="WW-表格标题"/>
    <w:basedOn w:val="78"/>
    <w:qFormat/>
    <w:uiPriority w:val="0"/>
  </w:style>
  <w:style w:type="paragraph" w:customStyle="1" w:styleId="78">
    <w:name w:val="WW-表格内容"/>
    <w:basedOn w:val="1"/>
    <w:qFormat/>
    <w:uiPriority w:val="0"/>
    <w:pPr>
      <w:suppressLineNumbers/>
      <w:suppressAutoHyphens/>
    </w:pPr>
  </w:style>
  <w:style w:type="paragraph" w:customStyle="1" w:styleId="79">
    <w:name w:val="引用2"/>
    <w:basedOn w:val="1"/>
    <w:next w:val="1"/>
    <w:link w:val="310"/>
    <w:qFormat/>
    <w:uiPriority w:val="0"/>
    <w:rPr>
      <w:i/>
      <w:iCs/>
      <w:color w:val="000000"/>
    </w:rPr>
  </w:style>
  <w:style w:type="paragraph" w:customStyle="1" w:styleId="80">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Char Char Char Char"/>
    <w:basedOn w:val="16"/>
    <w:qFormat/>
    <w:uiPriority w:val="0"/>
    <w:pPr>
      <w:spacing w:line="360" w:lineRule="auto"/>
      <w:ind w:firstLine="200" w:firstLineChars="200"/>
    </w:pPr>
    <w:rPr>
      <w:rFonts w:ascii="Tahoma" w:hAnsi="Tahoma"/>
      <w:sz w:val="24"/>
    </w:rPr>
  </w:style>
  <w:style w:type="paragraph" w:customStyle="1" w:styleId="8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5">
    <w:name w:val="p16"/>
    <w:basedOn w:val="1"/>
    <w:qFormat/>
    <w:uiPriority w:val="0"/>
    <w:pPr>
      <w:widowControl/>
    </w:pPr>
    <w:rPr>
      <w:rFonts w:ascii="Calibri" w:hAnsi="Calibri" w:cs="宋体"/>
      <w:kern w:val="0"/>
      <w:szCs w:val="21"/>
    </w:rPr>
  </w:style>
  <w:style w:type="paragraph" w:customStyle="1" w:styleId="86">
    <w:name w:val="列出段落1"/>
    <w:basedOn w:val="1"/>
    <w:qFormat/>
    <w:uiPriority w:val="0"/>
    <w:pPr>
      <w:ind w:firstLine="420" w:firstLineChars="200"/>
    </w:pPr>
    <w:rPr>
      <w:sz w:val="28"/>
      <w:szCs w:val="28"/>
    </w:rPr>
  </w:style>
  <w:style w:type="paragraph" w:customStyle="1" w:styleId="87">
    <w:name w:val="样式1"/>
    <w:basedOn w:val="1"/>
    <w:next w:val="6"/>
    <w:qFormat/>
    <w:uiPriority w:val="0"/>
    <w:pPr>
      <w:spacing w:line="360" w:lineRule="auto"/>
      <w:ind w:firstLine="420" w:firstLineChars="200"/>
    </w:pPr>
    <w:rPr>
      <w:rFonts w:ascii="宋体" w:hAnsi="宋体"/>
      <w:szCs w:val="21"/>
    </w:rPr>
  </w:style>
  <w:style w:type="paragraph" w:customStyle="1" w:styleId="8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9">
    <w:name w:val="Char9 Char Char Char Char Char Char"/>
    <w:basedOn w:val="16"/>
    <w:qFormat/>
    <w:uiPriority w:val="0"/>
    <w:pPr>
      <w:spacing w:line="360" w:lineRule="auto"/>
      <w:ind w:firstLine="200" w:firstLineChars="200"/>
    </w:pPr>
    <w:rPr>
      <w:rFonts w:ascii="Tahoma" w:hAnsi="Tahoma"/>
      <w:sz w:val="24"/>
    </w:rPr>
  </w:style>
  <w:style w:type="paragraph" w:customStyle="1" w:styleId="9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1">
    <w:name w:val="引用1"/>
    <w:basedOn w:val="1"/>
    <w:next w:val="1"/>
    <w:link w:val="160"/>
    <w:qFormat/>
    <w:uiPriority w:val="29"/>
    <w:rPr>
      <w:i/>
      <w:iCs/>
      <w:color w:val="000000"/>
      <w:szCs w:val="20"/>
    </w:rPr>
  </w:style>
  <w:style w:type="paragraph" w:customStyle="1" w:styleId="92">
    <w:name w:val="表格文字"/>
    <w:basedOn w:val="1"/>
    <w:qFormat/>
    <w:uiPriority w:val="0"/>
    <w:pPr>
      <w:adjustRightInd w:val="0"/>
      <w:spacing w:line="420" w:lineRule="atLeast"/>
      <w:jc w:val="left"/>
      <w:textAlignment w:val="baseline"/>
    </w:pPr>
    <w:rPr>
      <w:kern w:val="0"/>
      <w:szCs w:val="20"/>
    </w:rPr>
  </w:style>
  <w:style w:type="paragraph" w:customStyle="1" w:styleId="93">
    <w:name w:val="_Style 96"/>
    <w:semiHidden/>
    <w:qFormat/>
    <w:uiPriority w:val="99"/>
    <w:rPr>
      <w:rFonts w:ascii="Calibri" w:hAnsi="Calibri" w:eastAsia="宋体" w:cs="Times New Roman"/>
      <w:kern w:val="2"/>
      <w:sz w:val="21"/>
      <w:szCs w:val="24"/>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6">
    <w:name w:val="正  文"/>
    <w:basedOn w:val="1"/>
    <w:qFormat/>
    <w:uiPriority w:val="0"/>
    <w:pPr>
      <w:spacing w:line="360" w:lineRule="auto"/>
      <w:ind w:firstLine="200" w:firstLineChars="200"/>
    </w:pPr>
    <w:rPr>
      <w:rFonts w:ascii="宋体" w:hAnsi="Calibri"/>
      <w:sz w:val="24"/>
    </w:rPr>
  </w:style>
  <w:style w:type="paragraph" w:customStyle="1" w:styleId="97">
    <w:name w:val="标题4"/>
    <w:basedOn w:val="4"/>
    <w:next w:val="21"/>
    <w:link w:val="253"/>
    <w:qFormat/>
    <w:uiPriority w:val="0"/>
    <w:pPr>
      <w:spacing w:line="413" w:lineRule="auto"/>
    </w:pPr>
    <w:rPr>
      <w:rFonts w:ascii="Arial" w:hAnsi="Arial"/>
      <w:kern w:val="0"/>
      <w:sz w:val="24"/>
    </w:rPr>
  </w:style>
  <w:style w:type="paragraph" w:customStyle="1" w:styleId="9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0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7">
    <w:name w:val="pa-34"/>
    <w:basedOn w:val="1"/>
    <w:qFormat/>
    <w:uiPriority w:val="0"/>
    <w:pPr>
      <w:widowControl/>
      <w:spacing w:line="360" w:lineRule="atLeast"/>
      <w:ind w:firstLine="420"/>
      <w:jc w:val="left"/>
    </w:pPr>
    <w:rPr>
      <w:rFonts w:ascii="宋体" w:hAnsi="宋体" w:cs="宋体"/>
      <w:kern w:val="0"/>
      <w:sz w:val="24"/>
    </w:rPr>
  </w:style>
  <w:style w:type="paragraph" w:customStyle="1" w:styleId="10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9">
    <w:name w:val="p15"/>
    <w:basedOn w:val="1"/>
    <w:qFormat/>
    <w:uiPriority w:val="0"/>
    <w:pPr>
      <w:widowControl/>
      <w:spacing w:after="120"/>
    </w:pPr>
    <w:rPr>
      <w:kern w:val="0"/>
      <w:szCs w:val="21"/>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12">
    <w:name w:val="_Style 124"/>
    <w:basedOn w:val="1"/>
    <w:next w:val="1"/>
    <w:link w:val="207"/>
    <w:qFormat/>
    <w:uiPriority w:val="0"/>
    <w:rPr>
      <w:i/>
      <w:iCs/>
      <w:color w:val="000000"/>
      <w:szCs w:val="22"/>
    </w:rPr>
  </w:style>
  <w:style w:type="paragraph" w:customStyle="1" w:styleId="11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1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7">
    <w:name w:val="pa-27"/>
    <w:basedOn w:val="1"/>
    <w:qFormat/>
    <w:uiPriority w:val="0"/>
    <w:pPr>
      <w:widowControl/>
      <w:spacing w:line="360" w:lineRule="atLeast"/>
      <w:ind w:firstLine="420"/>
    </w:pPr>
    <w:rPr>
      <w:rFonts w:ascii="宋体" w:hAnsi="宋体" w:cs="宋体"/>
      <w:kern w:val="0"/>
      <w:sz w:val="24"/>
    </w:rPr>
  </w:style>
  <w:style w:type="paragraph" w:customStyle="1" w:styleId="11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0">
    <w:name w:val="表格"/>
    <w:basedOn w:val="1"/>
    <w:qFormat/>
    <w:uiPriority w:val="0"/>
    <w:pPr>
      <w:jc w:val="center"/>
      <w:textAlignment w:val="center"/>
    </w:pPr>
    <w:rPr>
      <w:rFonts w:ascii="华文细黑" w:hAnsi="华文细黑"/>
      <w:kern w:val="0"/>
      <w:szCs w:val="20"/>
    </w:rPr>
  </w:style>
  <w:style w:type="paragraph" w:customStyle="1" w:styleId="121">
    <w:name w:val="明显引用1"/>
    <w:basedOn w:val="1"/>
    <w:next w:val="1"/>
    <w:link w:val="308"/>
    <w:qFormat/>
    <w:uiPriority w:val="30"/>
    <w:pPr>
      <w:pBdr>
        <w:bottom w:val="single" w:color="4F81BD" w:sz="4" w:space="4"/>
      </w:pBdr>
      <w:spacing w:before="200" w:after="280"/>
      <w:ind w:left="936" w:right="936"/>
    </w:pPr>
    <w:rPr>
      <w:b/>
      <w:bCs/>
      <w:i/>
      <w:iCs/>
      <w:color w:val="4F81BD"/>
      <w:szCs w:val="20"/>
    </w:rPr>
  </w:style>
  <w:style w:type="paragraph" w:customStyle="1" w:styleId="12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3">
    <w:name w:val="TOC 标题2"/>
    <w:basedOn w:val="3"/>
    <w:next w:val="1"/>
    <w:unhideWhenUsed/>
    <w:qFormat/>
    <w:uiPriority w:val="0"/>
    <w:pPr>
      <w:outlineLvl w:val="9"/>
    </w:pPr>
    <w:rPr>
      <w:rFonts w:ascii="Calibri" w:hAnsi="Calibri"/>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标题5"/>
    <w:basedOn w:val="5"/>
    <w:link w:val="175"/>
    <w:qFormat/>
    <w:uiPriority w:val="0"/>
    <w:pPr>
      <w:spacing w:line="413" w:lineRule="auto"/>
    </w:pPr>
    <w:rPr>
      <w:rFonts w:ascii="Arial" w:hAnsi="Arial"/>
      <w:kern w:val="0"/>
      <w:sz w:val="24"/>
    </w:rPr>
  </w:style>
  <w:style w:type="paragraph" w:customStyle="1" w:styleId="12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28">
    <w:name w:val="_Style 64"/>
    <w:basedOn w:val="1"/>
    <w:next w:val="1"/>
    <w:link w:val="307"/>
    <w:qFormat/>
    <w:uiPriority w:val="0"/>
    <w:pPr>
      <w:pBdr>
        <w:bottom w:val="single" w:color="4F81BD" w:sz="4" w:space="4"/>
      </w:pBdr>
      <w:spacing w:before="200" w:after="280"/>
      <w:ind w:left="936" w:right="936"/>
    </w:pPr>
    <w:rPr>
      <w:b/>
      <w:bCs/>
      <w:i/>
      <w:iCs/>
      <w:color w:val="4F81BD"/>
      <w:szCs w:val="22"/>
    </w:rPr>
  </w:style>
  <w:style w:type="paragraph" w:customStyle="1" w:styleId="12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0">
    <w:name w:val="Char2"/>
    <w:basedOn w:val="1"/>
    <w:qFormat/>
    <w:uiPriority w:val="0"/>
    <w:rPr>
      <w:rFonts w:ascii="Calibri" w:hAnsi="Calibri"/>
    </w:rPr>
  </w:style>
  <w:style w:type="paragraph" w:customStyle="1" w:styleId="131">
    <w:name w:val="_Style 87"/>
    <w:basedOn w:val="1"/>
    <w:qFormat/>
    <w:uiPriority w:val="99"/>
    <w:pPr>
      <w:ind w:firstLine="420" w:firstLineChars="200"/>
    </w:pPr>
    <w:rPr>
      <w:rFonts w:ascii="Calibri" w:hAnsi="Calibri"/>
      <w:sz w:val="28"/>
      <w:szCs w:val="28"/>
    </w:rPr>
  </w:style>
  <w:style w:type="paragraph" w:customStyle="1" w:styleId="132">
    <w:name w:val="自定样式1"/>
    <w:basedOn w:val="1"/>
    <w:qFormat/>
    <w:uiPriority w:val="0"/>
    <w:pPr>
      <w:suppressAutoHyphens/>
      <w:jc w:val="center"/>
    </w:pPr>
    <w:rPr>
      <w:rFonts w:ascii="宋体" w:hAnsi="宋体"/>
      <w:color w:val="000000"/>
      <w:sz w:val="18"/>
    </w:rPr>
  </w:style>
  <w:style w:type="paragraph" w:customStyle="1" w:styleId="13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Char"/>
    <w:basedOn w:val="1"/>
    <w:qFormat/>
    <w:uiPriority w:val="0"/>
  </w:style>
  <w:style w:type="paragraph" w:customStyle="1" w:styleId="13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列表段落1"/>
    <w:basedOn w:val="1"/>
    <w:qFormat/>
    <w:uiPriority w:val="34"/>
    <w:pPr>
      <w:ind w:firstLine="420" w:firstLineChars="200"/>
    </w:pPr>
    <w:rPr>
      <w:rFonts w:ascii="Calibri" w:hAnsi="Calibri"/>
    </w:rPr>
  </w:style>
  <w:style w:type="paragraph" w:customStyle="1" w:styleId="13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8">
    <w:name w:val="表体"/>
    <w:basedOn w:val="1"/>
    <w:next w:val="1"/>
    <w:qFormat/>
    <w:uiPriority w:val="0"/>
    <w:pPr>
      <w:spacing w:line="0" w:lineRule="atLeast"/>
    </w:pPr>
    <w:rPr>
      <w:rFonts w:ascii="Calibri" w:hAnsi="Calibri"/>
      <w:b/>
      <w:snapToGrid w:val="0"/>
      <w:szCs w:val="20"/>
    </w:rPr>
  </w:style>
  <w:style w:type="paragraph" w:customStyle="1" w:styleId="13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1">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2">
    <w:name w:val="Char11"/>
    <w:basedOn w:val="1"/>
    <w:qFormat/>
    <w:uiPriority w:val="0"/>
  </w:style>
  <w:style w:type="paragraph" w:customStyle="1" w:styleId="14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4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45">
    <w:name w:val="_Style 86"/>
    <w:qFormat/>
    <w:uiPriority w:val="0"/>
    <w:rPr>
      <w:rFonts w:ascii="Times New Roman" w:hAnsi="Times New Roman" w:eastAsia="宋体" w:cs="Times New Roman"/>
      <w:kern w:val="2"/>
      <w:sz w:val="21"/>
      <w:szCs w:val="24"/>
      <w:lang w:val="en-US" w:eastAsia="zh-CN" w:bidi="ar-SA"/>
    </w:rPr>
  </w:style>
  <w:style w:type="paragraph" w:customStyle="1" w:styleId="146">
    <w:name w:val="Char1"/>
    <w:basedOn w:val="1"/>
    <w:qFormat/>
    <w:uiPriority w:val="0"/>
  </w:style>
  <w:style w:type="paragraph" w:customStyle="1" w:styleId="14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正文文本 Char2"/>
    <w:qFormat/>
    <w:uiPriority w:val="99"/>
    <w:rPr>
      <w:kern w:val="2"/>
      <w:sz w:val="21"/>
      <w:szCs w:val="24"/>
    </w:rPr>
  </w:style>
  <w:style w:type="character" w:customStyle="1" w:styleId="153">
    <w:name w:val="尾注文本 Char1"/>
    <w:qFormat/>
    <w:uiPriority w:val="0"/>
    <w:rPr>
      <w:rFonts w:ascii="Arial" w:hAnsi="Arial" w:cs="Arial"/>
      <w:szCs w:val="24"/>
      <w:lang w:eastAsia="en-US"/>
    </w:rPr>
  </w:style>
  <w:style w:type="character" w:customStyle="1" w:styleId="154">
    <w:name w:val="脚注文本 Char"/>
    <w:qFormat/>
    <w:uiPriority w:val="0"/>
    <w:rPr>
      <w:rFonts w:ascii="Arial" w:hAnsi="Arial" w:eastAsia="宋体" w:cs="Arial"/>
      <w:sz w:val="18"/>
      <w:szCs w:val="18"/>
      <w:lang w:eastAsia="en-US"/>
    </w:rPr>
  </w:style>
  <w:style w:type="character" w:customStyle="1" w:styleId="155">
    <w:name w:val="Char Char17"/>
    <w:qFormat/>
    <w:uiPriority w:val="0"/>
    <w:rPr>
      <w:kern w:val="2"/>
      <w:sz w:val="26"/>
      <w:szCs w:val="24"/>
    </w:rPr>
  </w:style>
  <w:style w:type="character" w:customStyle="1" w:styleId="156">
    <w:name w:val="副标题 Char1"/>
    <w:qFormat/>
    <w:uiPriority w:val="0"/>
    <w:rPr>
      <w:szCs w:val="24"/>
      <w:u w:val="single"/>
      <w:lang w:eastAsia="en-US"/>
    </w:rPr>
  </w:style>
  <w:style w:type="character" w:customStyle="1" w:styleId="157">
    <w:name w:val="标题 Char1"/>
    <w:qFormat/>
    <w:uiPriority w:val="10"/>
    <w:rPr>
      <w:szCs w:val="24"/>
      <w:u w:val="single"/>
      <w:lang w:eastAsia="en-US"/>
    </w:rPr>
  </w:style>
  <w:style w:type="character" w:customStyle="1" w:styleId="158">
    <w:name w:val="Char Char24"/>
    <w:qFormat/>
    <w:uiPriority w:val="0"/>
    <w:rPr>
      <w:b/>
      <w:bCs/>
      <w:kern w:val="44"/>
      <w:sz w:val="44"/>
      <w:szCs w:val="44"/>
    </w:rPr>
  </w:style>
  <w:style w:type="character" w:customStyle="1" w:styleId="159">
    <w:name w:val="批注主题 Char"/>
    <w:qFormat/>
    <w:uiPriority w:val="0"/>
    <w:rPr>
      <w:rFonts w:ascii="宋体" w:hAnsi="宋体" w:eastAsia="宋体"/>
      <w:kern w:val="2"/>
      <w:sz w:val="24"/>
      <w:szCs w:val="28"/>
      <w:lang w:val="en-US" w:eastAsia="zh-CN" w:bidi="ar-SA"/>
    </w:rPr>
  </w:style>
  <w:style w:type="character" w:customStyle="1" w:styleId="160">
    <w:name w:val="引用 Char1"/>
    <w:link w:val="91"/>
    <w:qFormat/>
    <w:uiPriority w:val="29"/>
    <w:rPr>
      <w:i/>
      <w:iCs/>
      <w:color w:val="000000"/>
      <w:kern w:val="2"/>
      <w:sz w:val="21"/>
    </w:rPr>
  </w:style>
  <w:style w:type="character" w:customStyle="1" w:styleId="161">
    <w:name w:val="Char Char23"/>
    <w:qFormat/>
    <w:uiPriority w:val="0"/>
    <w:rPr>
      <w:rFonts w:ascii="Cambria" w:hAnsi="Cambria" w:eastAsia="宋体" w:cs="Times New Roman"/>
      <w:b/>
      <w:bCs/>
      <w:kern w:val="2"/>
      <w:sz w:val="32"/>
      <w:szCs w:val="32"/>
    </w:rPr>
  </w:style>
  <w:style w:type="character" w:customStyle="1" w:styleId="162">
    <w:name w:val="ITTHEADER2 Char"/>
    <w:qFormat/>
    <w:uiPriority w:val="0"/>
    <w:rPr>
      <w:rFonts w:ascii="仿宋_GB2312" w:eastAsia="仿宋_GB2312" w:cs="MingLiU"/>
      <w:b/>
      <w:spacing w:val="1"/>
      <w:w w:val="99"/>
      <w:sz w:val="28"/>
      <w:szCs w:val="32"/>
      <w:lang w:val="en-US" w:eastAsia="zh-CN" w:bidi="ar-SA"/>
    </w:rPr>
  </w:style>
  <w:style w:type="character" w:customStyle="1" w:styleId="163">
    <w:name w:val="标题 9 Char1"/>
    <w:qFormat/>
    <w:uiPriority w:val="0"/>
    <w:rPr>
      <w:rFonts w:ascii="Times New Roman" w:hAnsi="Times New Roman" w:eastAsia="仿宋_GB2312" w:cs="Times New Roman"/>
      <w:sz w:val="30"/>
      <w:szCs w:val="20"/>
    </w:rPr>
  </w:style>
  <w:style w:type="character" w:customStyle="1" w:styleId="164">
    <w:name w:val="正文文本 Char1"/>
    <w:qFormat/>
    <w:uiPriority w:val="0"/>
    <w:rPr>
      <w:kern w:val="2"/>
      <w:sz w:val="21"/>
      <w:szCs w:val="22"/>
    </w:rPr>
  </w:style>
  <w:style w:type="character" w:customStyle="1" w:styleId="165">
    <w:name w:val="引用 Char2"/>
    <w:qFormat/>
    <w:uiPriority w:val="99"/>
    <w:rPr>
      <w:i/>
      <w:iCs/>
      <w:color w:val="000000"/>
      <w:kern w:val="2"/>
      <w:sz w:val="21"/>
      <w:szCs w:val="24"/>
    </w:rPr>
  </w:style>
  <w:style w:type="character" w:customStyle="1" w:styleId="166">
    <w:name w:val="正文文本 Char3"/>
    <w:semiHidden/>
    <w:qFormat/>
    <w:uiPriority w:val="99"/>
    <w:rPr>
      <w:rFonts w:ascii="Calibri" w:hAnsi="Calibri" w:eastAsia="宋体" w:cs="Times New Roman"/>
      <w:szCs w:val="24"/>
    </w:rPr>
  </w:style>
  <w:style w:type="character" w:customStyle="1" w:styleId="167">
    <w:name w:val="日期 Char4"/>
    <w:link w:val="26"/>
    <w:qFormat/>
    <w:uiPriority w:val="0"/>
    <w:rPr>
      <w:rFonts w:eastAsia="宋体"/>
      <w:kern w:val="2"/>
      <w:sz w:val="21"/>
      <w:szCs w:val="24"/>
      <w:lang w:val="en-US" w:eastAsia="zh-CN" w:bidi="ar-SA"/>
    </w:rPr>
  </w:style>
  <w:style w:type="character" w:customStyle="1" w:styleId="168">
    <w:name w:val="标题 2 Char"/>
    <w:qFormat/>
    <w:uiPriority w:val="0"/>
    <w:rPr>
      <w:rFonts w:ascii="仿宋_GB2312" w:hAnsi="Calibri" w:eastAsia="仿宋_GB2312" w:cs="Times New Roman"/>
      <w:b/>
      <w:spacing w:val="1"/>
      <w:w w:val="99"/>
      <w:kern w:val="0"/>
      <w:sz w:val="28"/>
      <w:szCs w:val="32"/>
    </w:rPr>
  </w:style>
  <w:style w:type="character" w:customStyle="1" w:styleId="169">
    <w:name w:val="标题 7 Char"/>
    <w:qFormat/>
    <w:uiPriority w:val="0"/>
    <w:rPr>
      <w:rFonts w:ascii="Calibri" w:hAnsi="Calibri" w:eastAsia="宋体" w:cs="Times New Roman"/>
      <w:b/>
      <w:bCs/>
      <w:sz w:val="24"/>
      <w:szCs w:val="24"/>
    </w:rPr>
  </w:style>
  <w:style w:type="character" w:customStyle="1" w:styleId="170">
    <w:name w:val="批注框文本 Char1"/>
    <w:qFormat/>
    <w:uiPriority w:val="0"/>
    <w:rPr>
      <w:kern w:val="2"/>
      <w:sz w:val="18"/>
      <w:szCs w:val="18"/>
    </w:rPr>
  </w:style>
  <w:style w:type="character" w:customStyle="1" w:styleId="171">
    <w:name w:val="日期 Char1"/>
    <w:qFormat/>
    <w:uiPriority w:val="0"/>
    <w:rPr>
      <w:kern w:val="2"/>
      <w:sz w:val="21"/>
      <w:szCs w:val="22"/>
    </w:rPr>
  </w:style>
  <w:style w:type="character" w:customStyle="1" w:styleId="172">
    <w:name w:val="_Style 171"/>
    <w:qFormat/>
    <w:uiPriority w:val="0"/>
    <w:rPr>
      <w:b/>
      <w:bCs/>
      <w:i/>
      <w:iCs/>
      <w:color w:val="4F81BD"/>
    </w:rPr>
  </w:style>
  <w:style w:type="character" w:customStyle="1" w:styleId="173">
    <w:name w:val="Char Char22"/>
    <w:qFormat/>
    <w:uiPriority w:val="0"/>
    <w:rPr>
      <w:b/>
      <w:bCs/>
      <w:kern w:val="2"/>
      <w:sz w:val="32"/>
      <w:szCs w:val="32"/>
    </w:rPr>
  </w:style>
  <w:style w:type="character" w:customStyle="1" w:styleId="174">
    <w:name w:val="标题 6 Char1"/>
    <w:qFormat/>
    <w:uiPriority w:val="0"/>
    <w:rPr>
      <w:rFonts w:ascii="Times New Roman" w:hAnsi="Arial" w:eastAsia="仿宋_GB2312" w:cs="Times New Roman"/>
      <w:sz w:val="30"/>
      <w:szCs w:val="20"/>
    </w:rPr>
  </w:style>
  <w:style w:type="character" w:customStyle="1" w:styleId="175">
    <w:name w:val="标题5 Char Char"/>
    <w:link w:val="126"/>
    <w:qFormat/>
    <w:uiPriority w:val="0"/>
    <w:rPr>
      <w:rFonts w:ascii="Arial" w:hAnsi="Arial"/>
      <w:b/>
      <w:bCs/>
      <w:sz w:val="24"/>
      <w:szCs w:val="32"/>
      <w:lang w:bidi="ar-SA"/>
    </w:rPr>
  </w:style>
  <w:style w:type="character" w:customStyle="1" w:styleId="176">
    <w:name w:val="正文文本缩进 Char1"/>
    <w:qFormat/>
    <w:uiPriority w:val="0"/>
    <w:rPr>
      <w:kern w:val="2"/>
      <w:sz w:val="21"/>
      <w:szCs w:val="24"/>
    </w:rPr>
  </w:style>
  <w:style w:type="character" w:customStyle="1" w:styleId="177">
    <w:name w:val="标题 4 Char1"/>
    <w:qFormat/>
    <w:uiPriority w:val="0"/>
    <w:rPr>
      <w:rFonts w:ascii="宋体" w:hAnsi="宋体" w:eastAsia="宋体" w:cs="宋体"/>
      <w:b/>
      <w:bCs/>
      <w:sz w:val="24"/>
      <w:szCs w:val="24"/>
    </w:rPr>
  </w:style>
  <w:style w:type="character" w:customStyle="1" w:styleId="178">
    <w:name w:val="尾注文本 Char"/>
    <w:qFormat/>
    <w:uiPriority w:val="0"/>
    <w:rPr>
      <w:kern w:val="2"/>
      <w:sz w:val="21"/>
      <w:szCs w:val="24"/>
    </w:rPr>
  </w:style>
  <w:style w:type="character" w:customStyle="1" w:styleId="179">
    <w:name w:val="HTML 预设格式 Char3"/>
    <w:link w:val="41"/>
    <w:qFormat/>
    <w:uiPriority w:val="0"/>
    <w:rPr>
      <w:rFonts w:ascii="宋体" w:hAnsi="宋体" w:eastAsia="宋体" w:cs="宋体"/>
      <w:color w:val="000000"/>
      <w:sz w:val="24"/>
      <w:szCs w:val="24"/>
      <w:lang w:val="en-US" w:eastAsia="zh-CN" w:bidi="ar-SA"/>
    </w:rPr>
  </w:style>
  <w:style w:type="character" w:customStyle="1" w:styleId="180">
    <w:name w:val="尾注文本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正文文本 Char"/>
    <w:qFormat/>
    <w:uiPriority w:val="0"/>
    <w:rPr>
      <w:sz w:val="26"/>
      <w:szCs w:val="24"/>
    </w:rPr>
  </w:style>
  <w:style w:type="character" w:customStyle="1" w:styleId="183">
    <w:name w:val="脚注文本 Char2"/>
    <w:semiHidden/>
    <w:qFormat/>
    <w:uiPriority w:val="99"/>
    <w:rPr>
      <w:rFonts w:ascii="Calibri" w:hAnsi="Calibri" w:eastAsia="宋体" w:cs="Times New Roman"/>
      <w:sz w:val="18"/>
      <w:szCs w:val="18"/>
    </w:rPr>
  </w:style>
  <w:style w:type="character" w:customStyle="1" w:styleId="184">
    <w:name w:val="正文文本 2 Char1"/>
    <w:semiHidden/>
    <w:qFormat/>
    <w:uiPriority w:val="99"/>
    <w:rPr>
      <w:rFonts w:ascii="Calibri" w:hAnsi="Calibri" w:eastAsia="宋体" w:cs="Times New Roman"/>
      <w:szCs w:val="24"/>
    </w:rPr>
  </w:style>
  <w:style w:type="character" w:customStyle="1" w:styleId="185">
    <w:name w:val="_Style 248"/>
    <w:qFormat/>
    <w:uiPriority w:val="0"/>
    <w:rPr>
      <w:b/>
      <w:bCs/>
      <w:smallCaps/>
      <w:spacing w:val="5"/>
    </w:rPr>
  </w:style>
  <w:style w:type="character" w:customStyle="1" w:styleId="186">
    <w:name w:val="明显引用 Char3"/>
    <w:qFormat/>
    <w:uiPriority w:val="30"/>
    <w:rPr>
      <w:rFonts w:ascii="Calibri" w:hAnsi="Calibri" w:eastAsia="宋体" w:cs="Times New Roman"/>
      <w:b/>
      <w:bCs/>
      <w:i/>
      <w:iCs/>
      <w:color w:val="4F81BD"/>
      <w:szCs w:val="24"/>
    </w:rPr>
  </w:style>
  <w:style w:type="character" w:customStyle="1" w:styleId="187">
    <w:name w:val="_Style 254"/>
    <w:qFormat/>
    <w:uiPriority w:val="0"/>
    <w:rPr>
      <w:b/>
      <w:bCs/>
      <w:smallCaps/>
      <w:color w:val="C0504D"/>
      <w:spacing w:val="5"/>
      <w:u w:val="single"/>
    </w:rPr>
  </w:style>
  <w:style w:type="character" w:customStyle="1" w:styleId="188">
    <w:name w:val="正文文本缩进 Char2"/>
    <w:semiHidden/>
    <w:qFormat/>
    <w:uiPriority w:val="99"/>
    <w:rPr>
      <w:rFonts w:ascii="Calibri" w:hAnsi="Calibri" w:eastAsia="宋体" w:cs="Times New Roman"/>
      <w:szCs w:val="24"/>
    </w:rPr>
  </w:style>
  <w:style w:type="character" w:customStyle="1" w:styleId="189">
    <w:name w:val="标题 4 Char2"/>
    <w:link w:val="6"/>
    <w:qFormat/>
    <w:uiPriority w:val="0"/>
    <w:rPr>
      <w:rFonts w:ascii="宋体" w:hAnsi="宋体" w:eastAsia="宋体" w:cs="宋体"/>
      <w:b/>
      <w:bCs/>
      <w:sz w:val="24"/>
      <w:szCs w:val="24"/>
      <w:lang w:val="en-US" w:eastAsia="zh-CN" w:bidi="ar-SA"/>
    </w:rPr>
  </w:style>
  <w:style w:type="character" w:customStyle="1" w:styleId="190">
    <w:name w:val="正文文本缩进 3 Char"/>
    <w:qFormat/>
    <w:uiPriority w:val="0"/>
    <w:rPr>
      <w:kern w:val="2"/>
      <w:sz w:val="16"/>
      <w:szCs w:val="16"/>
    </w:rPr>
  </w:style>
  <w:style w:type="character" w:customStyle="1" w:styleId="191">
    <w:name w:val="尾注文本 Char3"/>
    <w:link w:val="28"/>
    <w:qFormat/>
    <w:uiPriority w:val="0"/>
    <w:rPr>
      <w:rFonts w:ascii="Arial" w:hAnsi="Arial" w:eastAsia="宋体" w:cs="Arial"/>
      <w:szCs w:val="24"/>
      <w:lang w:val="en-US" w:eastAsia="en-US" w:bidi="ar-SA"/>
    </w:rPr>
  </w:style>
  <w:style w:type="character" w:customStyle="1" w:styleId="192">
    <w:name w:val="引用 Char3"/>
    <w:qFormat/>
    <w:uiPriority w:val="29"/>
    <w:rPr>
      <w:rFonts w:ascii="Calibri" w:hAnsi="Calibri" w:eastAsia="宋体" w:cs="Times New Roman"/>
      <w:i/>
      <w:iCs/>
      <w:color w:val="000000"/>
      <w:szCs w:val="24"/>
    </w:rPr>
  </w:style>
  <w:style w:type="character" w:customStyle="1" w:styleId="193">
    <w:name w:val="Char Char32"/>
    <w:qFormat/>
    <w:uiPriority w:val="0"/>
    <w:rPr>
      <w:rFonts w:ascii="仿宋_GB2312" w:eastAsia="仿宋_GB2312" w:cs="MingLiU"/>
      <w:b/>
      <w:spacing w:val="1"/>
      <w:w w:val="99"/>
      <w:sz w:val="28"/>
      <w:szCs w:val="32"/>
    </w:rPr>
  </w:style>
  <w:style w:type="character" w:customStyle="1" w:styleId="194">
    <w:name w:val="日期 Char"/>
    <w:qFormat/>
    <w:uiPriority w:val="0"/>
    <w:rPr>
      <w:rFonts w:eastAsia="宋体"/>
      <w:szCs w:val="24"/>
    </w:rPr>
  </w:style>
  <w:style w:type="character" w:customStyle="1" w:styleId="195">
    <w:name w:val="页脚 Char"/>
    <w:qFormat/>
    <w:uiPriority w:val="0"/>
    <w:rPr>
      <w:sz w:val="18"/>
      <w:szCs w:val="18"/>
    </w:rPr>
  </w:style>
  <w:style w:type="character" w:customStyle="1" w:styleId="196">
    <w:name w:val="style121"/>
    <w:qFormat/>
    <w:uiPriority w:val="0"/>
    <w:rPr>
      <w:rFonts w:hint="eastAsia" w:ascii="宋体" w:hAnsi="宋体" w:eastAsia="宋体"/>
      <w:sz w:val="18"/>
      <w:szCs w:val="18"/>
    </w:rPr>
  </w:style>
  <w:style w:type="character" w:customStyle="1" w:styleId="197">
    <w:name w:val="ss16"/>
    <w:qFormat/>
    <w:uiPriority w:val="0"/>
    <w:rPr>
      <w:rFonts w:hint="eastAsia" w:ascii="宋体" w:hAnsi="宋体" w:eastAsia="宋体"/>
      <w:color w:val="000000"/>
      <w:sz w:val="9"/>
      <w:szCs w:val="9"/>
    </w:rPr>
  </w:style>
  <w:style w:type="character" w:customStyle="1" w:styleId="198">
    <w:name w:val="textcontents"/>
    <w:qFormat/>
    <w:uiPriority w:val="0"/>
    <w:rPr>
      <w:rFonts w:cs="Times New Roman"/>
    </w:rPr>
  </w:style>
  <w:style w:type="character" w:customStyle="1" w:styleId="199">
    <w:name w:val="14t1"/>
    <w:qFormat/>
    <w:uiPriority w:val="0"/>
    <w:rPr>
      <w:rFonts w:hint="eastAsia" w:ascii="宋体" w:hAnsi="宋体" w:eastAsia="宋体"/>
      <w:sz w:val="11"/>
      <w:szCs w:val="11"/>
    </w:rPr>
  </w:style>
  <w:style w:type="character" w:customStyle="1" w:styleId="200">
    <w:name w:val="不明显参考1"/>
    <w:qFormat/>
    <w:uiPriority w:val="0"/>
    <w:rPr>
      <w:smallCaps/>
      <w:color w:val="C0504D"/>
      <w:u w:val="single"/>
    </w:rPr>
  </w:style>
  <w:style w:type="character" w:customStyle="1" w:styleId="201">
    <w:name w:val="unnamed1"/>
    <w:basedOn w:val="49"/>
    <w:qFormat/>
    <w:uiPriority w:val="0"/>
  </w:style>
  <w:style w:type="character" w:customStyle="1" w:styleId="202">
    <w:name w:val="批注主题 Char3"/>
    <w:semiHidden/>
    <w:qFormat/>
    <w:uiPriority w:val="99"/>
    <w:rPr>
      <w:rFonts w:ascii="Calibri" w:hAnsi="Calibri" w:eastAsia="宋体" w:cs="Times New Roman"/>
      <w:b/>
      <w:bCs/>
      <w:szCs w:val="24"/>
    </w:rPr>
  </w:style>
  <w:style w:type="character" w:customStyle="1" w:styleId="203">
    <w:name w:val="标题 3 Char2"/>
    <w:link w:val="5"/>
    <w:qFormat/>
    <w:uiPriority w:val="0"/>
    <w:rPr>
      <w:rFonts w:eastAsia="宋体"/>
      <w:b/>
      <w:bCs/>
      <w:kern w:val="2"/>
      <w:sz w:val="32"/>
      <w:szCs w:val="32"/>
      <w:lang w:val="en-US" w:eastAsia="zh-CN" w:bidi="ar-SA"/>
    </w:rPr>
  </w:style>
  <w:style w:type="character" w:customStyle="1" w:styleId="204">
    <w:name w:val="标题 2 Char2"/>
    <w:link w:val="4"/>
    <w:qFormat/>
    <w:uiPriority w:val="0"/>
    <w:rPr>
      <w:rFonts w:ascii="Cambria" w:hAnsi="Cambria" w:eastAsia="宋体"/>
      <w:b/>
      <w:bCs/>
      <w:kern w:val="2"/>
      <w:sz w:val="32"/>
      <w:szCs w:val="32"/>
      <w:lang w:val="en-US" w:eastAsia="zh-CN" w:bidi="ar-SA"/>
    </w:rPr>
  </w:style>
  <w:style w:type="character" w:customStyle="1" w:styleId="205">
    <w:name w:val="标题 6 Char2"/>
    <w:link w:val="8"/>
    <w:qFormat/>
    <w:uiPriority w:val="0"/>
    <w:rPr>
      <w:rFonts w:hAnsi="Arial" w:eastAsia="仿宋_GB2312"/>
      <w:sz w:val="30"/>
      <w:lang w:val="en-US" w:eastAsia="zh-CN" w:bidi="ar-SA"/>
    </w:rPr>
  </w:style>
  <w:style w:type="character" w:customStyle="1" w:styleId="206">
    <w:name w:val="页脚 Char2"/>
    <w:link w:val="30"/>
    <w:qFormat/>
    <w:uiPriority w:val="0"/>
    <w:rPr>
      <w:rFonts w:eastAsia="宋体"/>
      <w:kern w:val="2"/>
      <w:sz w:val="18"/>
      <w:szCs w:val="18"/>
      <w:lang w:val="en-US" w:eastAsia="zh-CN" w:bidi="ar-SA"/>
    </w:rPr>
  </w:style>
  <w:style w:type="character" w:customStyle="1" w:styleId="207">
    <w:name w:val="引用 Char4"/>
    <w:link w:val="112"/>
    <w:qFormat/>
    <w:uiPriority w:val="0"/>
    <w:rPr>
      <w:i/>
      <w:iCs/>
      <w:color w:val="000000"/>
      <w:kern w:val="2"/>
      <w:sz w:val="21"/>
      <w:szCs w:val="22"/>
      <w:lang w:bidi="ar-SA"/>
    </w:rPr>
  </w:style>
  <w:style w:type="character" w:customStyle="1" w:styleId="208">
    <w:name w:val="标题 9 Char2"/>
    <w:link w:val="12"/>
    <w:qFormat/>
    <w:uiPriority w:val="0"/>
    <w:rPr>
      <w:rFonts w:eastAsia="仿宋_GB2312"/>
      <w:sz w:val="30"/>
      <w:lang w:val="en-US" w:eastAsia="zh-CN" w:bidi="ar-SA"/>
    </w:rPr>
  </w:style>
  <w:style w:type="character" w:customStyle="1" w:styleId="209">
    <w:name w:val="标题 3 Char"/>
    <w:qFormat/>
    <w:uiPriority w:val="0"/>
    <w:rPr>
      <w:rFonts w:ascii="仿宋_GB2312" w:hAnsi="Calibri" w:eastAsia="仿宋_GB2312" w:cs="Times New Roman"/>
      <w:b/>
      <w:kern w:val="0"/>
      <w:sz w:val="24"/>
      <w:szCs w:val="28"/>
    </w:rPr>
  </w:style>
  <w:style w:type="character" w:customStyle="1" w:styleId="210">
    <w:name w:val="批注文字 Char2"/>
    <w:qFormat/>
    <w:uiPriority w:val="0"/>
    <w:rPr>
      <w:rFonts w:ascii="Calibri" w:hAnsi="Calibri" w:eastAsia="宋体" w:cs="Times New Roman"/>
      <w:szCs w:val="24"/>
    </w:rPr>
  </w:style>
  <w:style w:type="character" w:customStyle="1" w:styleId="211">
    <w:name w:val="normaltext1"/>
    <w:qFormat/>
    <w:uiPriority w:val="0"/>
    <w:rPr>
      <w:rFonts w:hint="default" w:ascii="ˎ̥" w:hAnsi="ˎ̥"/>
      <w:sz w:val="9"/>
      <w:szCs w:val="9"/>
    </w:rPr>
  </w:style>
  <w:style w:type="character" w:customStyle="1" w:styleId="212">
    <w:name w:val="ca-141"/>
    <w:qFormat/>
    <w:uiPriority w:val="0"/>
    <w:rPr>
      <w:rFonts w:hint="eastAsia" w:ascii="仿宋_GB2312" w:eastAsia="仿宋_GB2312"/>
      <w:sz w:val="21"/>
      <w:szCs w:val="21"/>
    </w:rPr>
  </w:style>
  <w:style w:type="character" w:customStyle="1" w:styleId="213">
    <w:name w:val="main_tdbg_7601"/>
    <w:qFormat/>
    <w:uiPriority w:val="0"/>
    <w:rPr>
      <w:sz w:val="14"/>
      <w:szCs w:val="14"/>
    </w:rPr>
  </w:style>
  <w:style w:type="character" w:customStyle="1" w:styleId="214">
    <w:name w:val="文档结构图 Char4"/>
    <w:link w:val="16"/>
    <w:qFormat/>
    <w:uiPriority w:val="0"/>
    <w:rPr>
      <w:rFonts w:eastAsia="宋体"/>
      <w:kern w:val="2"/>
      <w:sz w:val="21"/>
      <w:szCs w:val="24"/>
      <w:lang w:val="en-US" w:eastAsia="zh-CN" w:bidi="ar-SA"/>
    </w:rPr>
  </w:style>
  <w:style w:type="character" w:customStyle="1" w:styleId="215">
    <w:name w:val="批注框文本 Char3"/>
    <w:semiHidden/>
    <w:qFormat/>
    <w:uiPriority w:val="99"/>
    <w:rPr>
      <w:rFonts w:ascii="Calibri" w:hAnsi="Calibri" w:eastAsia="宋体" w:cs="Times New Roman"/>
      <w:sz w:val="18"/>
      <w:szCs w:val="18"/>
    </w:rPr>
  </w:style>
  <w:style w:type="character" w:customStyle="1" w:styleId="216">
    <w:name w:val="Char Char9"/>
    <w:qFormat/>
    <w:locked/>
    <w:uiPriority w:val="0"/>
    <w:rPr>
      <w:rFonts w:ascii="仿宋_GB2312" w:eastAsia="仿宋_GB2312" w:cs="MingLiU"/>
      <w:b/>
      <w:sz w:val="24"/>
      <w:szCs w:val="28"/>
      <w:lang w:val="en-US" w:eastAsia="zh-CN" w:bidi="ar-SA"/>
    </w:rPr>
  </w:style>
  <w:style w:type="character" w:customStyle="1" w:styleId="217">
    <w:name w:val="title11"/>
    <w:qFormat/>
    <w:uiPriority w:val="0"/>
    <w:rPr>
      <w:b/>
      <w:bCs/>
      <w:color w:val="FFFFFF"/>
      <w:sz w:val="11"/>
      <w:szCs w:val="11"/>
    </w:rPr>
  </w:style>
  <w:style w:type="character" w:customStyle="1" w:styleId="218">
    <w:name w:val="批注框文本 Char4"/>
    <w:link w:val="29"/>
    <w:qFormat/>
    <w:uiPriority w:val="0"/>
    <w:rPr>
      <w:rFonts w:eastAsia="宋体"/>
      <w:kern w:val="2"/>
      <w:sz w:val="18"/>
      <w:szCs w:val="18"/>
      <w:lang w:val="en-US" w:eastAsia="zh-CN" w:bidi="ar-SA"/>
    </w:rPr>
  </w:style>
  <w:style w:type="character" w:customStyle="1" w:styleId="219">
    <w:name w:val="标题 8 Char1"/>
    <w:qFormat/>
    <w:uiPriority w:val="0"/>
    <w:rPr>
      <w:rFonts w:ascii="Times New Roman" w:hAnsi="Arial" w:eastAsia="仿宋_GB2312" w:cs="Times New Roman"/>
      <w:sz w:val="30"/>
      <w:szCs w:val="20"/>
    </w:rPr>
  </w:style>
  <w:style w:type="character" w:customStyle="1" w:styleId="220">
    <w:name w:val="标题 Char2"/>
    <w:qFormat/>
    <w:uiPriority w:val="10"/>
    <w:rPr>
      <w:rFonts w:ascii="Cambria" w:hAnsi="Cambria" w:eastAsia="宋体" w:cs="Times New Roman"/>
      <w:b/>
      <w:bCs/>
      <w:sz w:val="32"/>
      <w:szCs w:val="32"/>
    </w:rPr>
  </w:style>
  <w:style w:type="character" w:customStyle="1" w:styleId="221">
    <w:name w:val="标题 Char3"/>
    <w:link w:val="44"/>
    <w:qFormat/>
    <w:uiPriority w:val="0"/>
    <w:rPr>
      <w:rFonts w:eastAsia="宋体"/>
      <w:szCs w:val="24"/>
      <w:u w:val="single"/>
      <w:lang w:val="en-US" w:eastAsia="en-US" w:bidi="ar-SA"/>
    </w:rPr>
  </w:style>
  <w:style w:type="character" w:customStyle="1" w:styleId="222">
    <w:name w:val="批注主题 Char1"/>
    <w:qFormat/>
    <w:uiPriority w:val="0"/>
    <w:rPr>
      <w:b/>
      <w:bCs/>
      <w:kern w:val="2"/>
      <w:sz w:val="21"/>
      <w:szCs w:val="22"/>
    </w:rPr>
  </w:style>
  <w:style w:type="character" w:customStyle="1" w:styleId="223">
    <w:name w:val="副标题 Char"/>
    <w:qFormat/>
    <w:uiPriority w:val="0"/>
    <w:rPr>
      <w:rFonts w:ascii="Cambria" w:hAnsi="Cambria" w:eastAsia="宋体" w:cs="Times New Roman"/>
      <w:b/>
      <w:bCs/>
      <w:kern w:val="28"/>
      <w:sz w:val="32"/>
      <w:szCs w:val="32"/>
    </w:rPr>
  </w:style>
  <w:style w:type="character" w:customStyle="1" w:styleId="224">
    <w:name w:val="正文文本 Char4"/>
    <w:link w:val="2"/>
    <w:qFormat/>
    <w:uiPriority w:val="0"/>
    <w:rPr>
      <w:rFonts w:eastAsia="宋体"/>
      <w:kern w:val="2"/>
      <w:sz w:val="21"/>
      <w:szCs w:val="24"/>
      <w:lang w:val="en-US" w:eastAsia="zh-CN" w:bidi="ar-SA"/>
    </w:rPr>
  </w:style>
  <w:style w:type="character" w:customStyle="1" w:styleId="225">
    <w:name w:val="纯文本 Char1"/>
    <w:qFormat/>
    <w:uiPriority w:val="0"/>
    <w:rPr>
      <w:rFonts w:ascii="宋体" w:hAnsi="Courier New" w:cs="Courier New"/>
      <w:kern w:val="2"/>
      <w:sz w:val="21"/>
      <w:szCs w:val="21"/>
    </w:rPr>
  </w:style>
  <w:style w:type="character" w:customStyle="1" w:styleId="226">
    <w:name w:val="脚注文本 Char3"/>
    <w:link w:val="35"/>
    <w:qFormat/>
    <w:uiPriority w:val="0"/>
    <w:rPr>
      <w:rFonts w:ascii="Arial" w:hAnsi="Arial" w:eastAsia="宋体" w:cs="Arial"/>
      <w:sz w:val="18"/>
      <w:szCs w:val="18"/>
      <w:lang w:val="en-US" w:eastAsia="en-US" w:bidi="ar-SA"/>
    </w:rPr>
  </w:style>
  <w:style w:type="character" w:customStyle="1" w:styleId="227">
    <w:name w:val="标题 2 Char1"/>
    <w:qFormat/>
    <w:uiPriority w:val="0"/>
    <w:rPr>
      <w:rFonts w:ascii="Cambria" w:hAnsi="Cambria" w:eastAsia="宋体" w:cs="Times New Roman"/>
      <w:b/>
      <w:bCs/>
      <w:kern w:val="2"/>
      <w:sz w:val="32"/>
      <w:szCs w:val="32"/>
    </w:rPr>
  </w:style>
  <w:style w:type="character" w:customStyle="1" w:styleId="228">
    <w:name w:val="脚注文本 Char1"/>
    <w:qFormat/>
    <w:uiPriority w:val="0"/>
    <w:rPr>
      <w:rFonts w:ascii="Arial" w:hAnsi="Arial" w:cs="Arial"/>
      <w:sz w:val="18"/>
      <w:szCs w:val="18"/>
      <w:lang w:eastAsia="en-US"/>
    </w:rPr>
  </w:style>
  <w:style w:type="character" w:customStyle="1" w:styleId="229">
    <w:name w:val="HTML 预设格式 Char2"/>
    <w:semiHidden/>
    <w:qFormat/>
    <w:uiPriority w:val="99"/>
    <w:rPr>
      <w:rFonts w:ascii="Courier New" w:hAnsi="Courier New" w:eastAsia="宋体" w:cs="Courier New"/>
      <w:sz w:val="20"/>
      <w:szCs w:val="20"/>
    </w:rPr>
  </w:style>
  <w:style w:type="character" w:customStyle="1" w:styleId="230">
    <w:name w:val="标题 8 Char"/>
    <w:qFormat/>
    <w:uiPriority w:val="0"/>
    <w:rPr>
      <w:rFonts w:ascii="Arial" w:hAnsi="Arial" w:eastAsia="黑体" w:cs="Times New Roman"/>
      <w:sz w:val="24"/>
      <w:szCs w:val="24"/>
    </w:rPr>
  </w:style>
  <w:style w:type="character" w:customStyle="1" w:styleId="231">
    <w:name w:val="s3"/>
    <w:qFormat/>
    <w:uiPriority w:val="0"/>
  </w:style>
  <w:style w:type="character" w:customStyle="1" w:styleId="232">
    <w:name w:val="标题 4 Char"/>
    <w:qFormat/>
    <w:uiPriority w:val="0"/>
    <w:rPr>
      <w:rFonts w:ascii="仿宋_GB2312" w:hAnsi="Calibri" w:eastAsia="仿宋_GB2312" w:cs="Times New Roman"/>
      <w:b/>
      <w:kern w:val="0"/>
      <w:sz w:val="24"/>
      <w:szCs w:val="28"/>
    </w:rPr>
  </w:style>
  <w:style w:type="character" w:customStyle="1" w:styleId="233">
    <w:name w:val="正文文本缩进 2 Char"/>
    <w:qFormat/>
    <w:uiPriority w:val="0"/>
    <w:rPr>
      <w:kern w:val="2"/>
      <w:sz w:val="21"/>
      <w:szCs w:val="24"/>
    </w:rPr>
  </w:style>
  <w:style w:type="character" w:customStyle="1" w:styleId="234">
    <w:name w:val="style21"/>
    <w:qFormat/>
    <w:uiPriority w:val="0"/>
    <w:rPr>
      <w:b/>
      <w:bCs/>
      <w:sz w:val="28"/>
      <w:szCs w:val="28"/>
    </w:rPr>
  </w:style>
  <w:style w:type="character" w:customStyle="1" w:styleId="235">
    <w:name w:val="正文文本缩进 2 Char2"/>
    <w:semiHidden/>
    <w:qFormat/>
    <w:uiPriority w:val="99"/>
    <w:rPr>
      <w:rFonts w:ascii="Calibri" w:hAnsi="Calibri" w:eastAsia="宋体" w:cs="Times New Roman"/>
      <w:szCs w:val="24"/>
    </w:rPr>
  </w:style>
  <w:style w:type="character" w:customStyle="1" w:styleId="236">
    <w:name w:val="ht1"/>
    <w:qFormat/>
    <w:uiPriority w:val="0"/>
    <w:rPr>
      <w:rFonts w:ascii="黑体" w:eastAsia="黑体"/>
      <w:b/>
      <w:bCs/>
    </w:rPr>
  </w:style>
  <w:style w:type="character" w:customStyle="1" w:styleId="237">
    <w:name w:val="文档结构图 Char3"/>
    <w:semiHidden/>
    <w:qFormat/>
    <w:uiPriority w:val="99"/>
    <w:rPr>
      <w:rFonts w:ascii="宋体" w:hAnsi="Calibri" w:eastAsia="宋体" w:cs="Times New Roman"/>
      <w:sz w:val="18"/>
      <w:szCs w:val="18"/>
    </w:rPr>
  </w:style>
  <w:style w:type="character" w:customStyle="1" w:styleId="238">
    <w:name w:val="书籍标题1"/>
    <w:qFormat/>
    <w:uiPriority w:val="0"/>
    <w:rPr>
      <w:b/>
      <w:bCs/>
      <w:smallCaps/>
      <w:spacing w:val="5"/>
    </w:rPr>
  </w:style>
  <w:style w:type="character" w:customStyle="1" w:styleId="239">
    <w:name w:val="标题 7 Char1"/>
    <w:qFormat/>
    <w:uiPriority w:val="0"/>
    <w:rPr>
      <w:rFonts w:ascii="Times New Roman" w:hAnsi="Times New Roman" w:eastAsia="仿宋_GB2312" w:cs="Times New Roman"/>
      <w:sz w:val="30"/>
      <w:szCs w:val="20"/>
    </w:rPr>
  </w:style>
  <w:style w:type="character" w:customStyle="1" w:styleId="240">
    <w:name w:val="明显引用 Char2"/>
    <w:qFormat/>
    <w:uiPriority w:val="99"/>
    <w:rPr>
      <w:b/>
      <w:bCs/>
      <w:i/>
      <w:iCs/>
      <w:color w:val="4F81BD"/>
      <w:kern w:val="2"/>
      <w:sz w:val="21"/>
      <w:szCs w:val="24"/>
    </w:rPr>
  </w:style>
  <w:style w:type="character" w:customStyle="1" w:styleId="241">
    <w:name w:val="不明显强调1"/>
    <w:qFormat/>
    <w:uiPriority w:val="0"/>
    <w:rPr>
      <w:i/>
      <w:iCs/>
      <w:color w:val="808080"/>
    </w:rPr>
  </w:style>
  <w:style w:type="character" w:customStyle="1" w:styleId="242">
    <w:name w:val="普通文字 Char Char2"/>
    <w:qFormat/>
    <w:uiPriority w:val="0"/>
    <w:rPr>
      <w:rFonts w:ascii="宋体" w:hAnsi="Courier New"/>
      <w:kern w:val="2"/>
      <w:sz w:val="28"/>
      <w:szCs w:val="28"/>
    </w:rPr>
  </w:style>
  <w:style w:type="character" w:customStyle="1" w:styleId="243">
    <w:name w:val="标题 6 Char"/>
    <w:qFormat/>
    <w:uiPriority w:val="0"/>
    <w:rPr>
      <w:rFonts w:ascii="Arial" w:hAnsi="Arial" w:eastAsia="黑体" w:cs="Times New Roman"/>
      <w:b/>
      <w:bCs/>
      <w:sz w:val="24"/>
      <w:szCs w:val="24"/>
    </w:rPr>
  </w:style>
  <w:style w:type="character" w:customStyle="1" w:styleId="244">
    <w:name w:val="l1"/>
    <w:basedOn w:val="49"/>
    <w:qFormat/>
    <w:uiPriority w:val="0"/>
  </w:style>
  <w:style w:type="character" w:customStyle="1" w:styleId="245">
    <w:name w:val="未处理的提及1"/>
    <w:unhideWhenUsed/>
    <w:qFormat/>
    <w:uiPriority w:val="99"/>
    <w:rPr>
      <w:color w:val="808080"/>
      <w:shd w:val="clear" w:color="auto" w:fill="E6E6E6"/>
    </w:rPr>
  </w:style>
  <w:style w:type="character" w:customStyle="1" w:styleId="246">
    <w:name w:val="页眉 Char2"/>
    <w:link w:val="31"/>
    <w:qFormat/>
    <w:uiPriority w:val="0"/>
    <w:rPr>
      <w:rFonts w:eastAsia="宋体"/>
      <w:kern w:val="2"/>
      <w:sz w:val="18"/>
      <w:szCs w:val="18"/>
      <w:lang w:val="en-US" w:eastAsia="zh-CN" w:bidi="ar-SA"/>
    </w:rPr>
  </w:style>
  <w:style w:type="character" w:customStyle="1" w:styleId="247">
    <w:name w:val="Char Char35"/>
    <w:qFormat/>
    <w:uiPriority w:val="0"/>
    <w:rPr>
      <w:rFonts w:ascii="仿宋_GB2312" w:eastAsia="仿宋_GB2312" w:cs="MingLiU"/>
      <w:b/>
      <w:sz w:val="24"/>
      <w:szCs w:val="28"/>
    </w:rPr>
  </w:style>
  <w:style w:type="character" w:customStyle="1" w:styleId="248">
    <w:name w:val="Char Char11"/>
    <w:qFormat/>
    <w:locked/>
    <w:uiPriority w:val="0"/>
    <w:rPr>
      <w:rFonts w:eastAsia="黑体"/>
      <w:kern w:val="2"/>
      <w:sz w:val="44"/>
      <w:szCs w:val="44"/>
      <w:lang w:val="en-US" w:eastAsia="zh-CN" w:bidi="ar-SA"/>
    </w:rPr>
  </w:style>
  <w:style w:type="character" w:customStyle="1" w:styleId="249">
    <w:name w:val="style31"/>
    <w:qFormat/>
    <w:uiPriority w:val="0"/>
    <w:rPr>
      <w:sz w:val="10"/>
      <w:szCs w:val="10"/>
    </w:rPr>
  </w:style>
  <w:style w:type="character" w:customStyle="1" w:styleId="250">
    <w:name w:val="0d1471"/>
    <w:qFormat/>
    <w:uiPriority w:val="0"/>
    <w:rPr>
      <w:color w:val="000000"/>
      <w:sz w:val="11"/>
      <w:szCs w:val="11"/>
      <w:u w:val="none"/>
    </w:rPr>
  </w:style>
  <w:style w:type="character" w:customStyle="1" w:styleId="251">
    <w:name w:val="标题 9 Char"/>
    <w:qFormat/>
    <w:uiPriority w:val="0"/>
    <w:rPr>
      <w:rFonts w:ascii="Arial" w:hAnsi="Arial" w:eastAsia="黑体" w:cs="Times New Roman"/>
      <w:szCs w:val="21"/>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4 Char Char"/>
    <w:link w:val="97"/>
    <w:qFormat/>
    <w:uiPriority w:val="0"/>
    <w:rPr>
      <w:rFonts w:ascii="Arial" w:hAnsi="Arial"/>
      <w:b/>
      <w:bCs/>
      <w:sz w:val="24"/>
      <w:szCs w:val="32"/>
      <w:lang w:bidi="ar-SA"/>
    </w:rPr>
  </w:style>
  <w:style w:type="character" w:customStyle="1" w:styleId="254">
    <w:name w:val="标题 5 Char1"/>
    <w:qFormat/>
    <w:uiPriority w:val="0"/>
    <w:rPr>
      <w:rFonts w:ascii="宋体" w:hAnsi="宋体" w:eastAsia="宋体" w:cs="宋体"/>
      <w:b/>
      <w:bCs/>
      <w:sz w:val="20"/>
      <w:szCs w:val="20"/>
    </w:rPr>
  </w:style>
  <w:style w:type="character" w:customStyle="1" w:styleId="255">
    <w:name w:val="正文文本缩进 3 Char1"/>
    <w:qFormat/>
    <w:uiPriority w:val="0"/>
    <w:rPr>
      <w:rFonts w:ascii="宋体" w:hAnsi="宋体"/>
      <w:kern w:val="2"/>
      <w:sz w:val="28"/>
      <w:szCs w:val="28"/>
    </w:rPr>
  </w:style>
  <w:style w:type="character" w:customStyle="1" w:styleId="256">
    <w:name w:val="Char Char33"/>
    <w:qFormat/>
    <w:uiPriority w:val="0"/>
    <w:rPr>
      <w:rFonts w:ascii="仿宋_GB2312" w:eastAsia="仿宋_GB2312" w:cs="MingLiU"/>
      <w:b/>
      <w:sz w:val="24"/>
      <w:szCs w:val="28"/>
    </w:rPr>
  </w:style>
  <w:style w:type="character" w:customStyle="1" w:styleId="257">
    <w:name w:val="批注文字 Char1"/>
    <w:qFormat/>
    <w:uiPriority w:val="99"/>
    <w:rPr>
      <w:rFonts w:ascii="Times New Roman" w:hAnsi="Times New Roman" w:eastAsia="宋体" w:cs="Times New Roman"/>
      <w:szCs w:val="24"/>
    </w:rPr>
  </w:style>
  <w:style w:type="character" w:customStyle="1" w:styleId="258">
    <w:name w:val="正文文本 3 Char1"/>
    <w:qFormat/>
    <w:uiPriority w:val="0"/>
    <w:rPr>
      <w:kern w:val="2"/>
      <w:sz w:val="16"/>
      <w:szCs w:val="16"/>
    </w:rPr>
  </w:style>
  <w:style w:type="character" w:customStyle="1" w:styleId="259">
    <w:name w:val="页眉 Char"/>
    <w:qFormat/>
    <w:uiPriority w:val="0"/>
    <w:rPr>
      <w:sz w:val="18"/>
      <w:szCs w:val="18"/>
    </w:rPr>
  </w:style>
  <w:style w:type="character" w:customStyle="1" w:styleId="260">
    <w:name w:val="明显引用 Char"/>
    <w:qFormat/>
    <w:uiPriority w:val="0"/>
    <w:rPr>
      <w:rFonts w:ascii="Times New Roman" w:hAnsi="Times New Roman" w:eastAsia="宋体" w:cs="Times New Roman"/>
      <w:b/>
      <w:bCs/>
      <w:i/>
      <w:iCs/>
      <w:color w:val="4F81BD"/>
      <w:kern w:val="2"/>
      <w:sz w:val="21"/>
      <w:szCs w:val="24"/>
    </w:rPr>
  </w:style>
  <w:style w:type="character" w:customStyle="1" w:styleId="261">
    <w:name w:val="color_red1"/>
    <w:qFormat/>
    <w:uiPriority w:val="0"/>
    <w:rPr>
      <w:color w:val="FA0004"/>
    </w:rPr>
  </w:style>
  <w:style w:type="character" w:customStyle="1" w:styleId="262">
    <w:name w:val="批注主题 Char2"/>
    <w:qFormat/>
    <w:uiPriority w:val="99"/>
    <w:rPr>
      <w:b/>
      <w:bCs/>
      <w:kern w:val="2"/>
      <w:sz w:val="21"/>
      <w:szCs w:val="24"/>
    </w:rPr>
  </w:style>
  <w:style w:type="character" w:customStyle="1" w:styleId="263">
    <w:name w:val="Char Char34"/>
    <w:qFormat/>
    <w:uiPriority w:val="0"/>
    <w:rPr>
      <w:rFonts w:ascii="仿宋_GB2312" w:eastAsia="仿宋_GB2312" w:cs="MingLiU"/>
      <w:b/>
      <w:spacing w:val="1"/>
      <w:w w:val="99"/>
      <w:sz w:val="28"/>
      <w:szCs w:val="32"/>
    </w:rPr>
  </w:style>
  <w:style w:type="character" w:customStyle="1" w:styleId="264">
    <w:name w:val="标题 1 Char"/>
    <w:qFormat/>
    <w:uiPriority w:val="0"/>
    <w:rPr>
      <w:rFonts w:ascii="Times New Roman" w:hAnsi="Times New Roman" w:eastAsia="宋体" w:cs="Times New Roman"/>
      <w:b/>
      <w:bCs/>
      <w:kern w:val="44"/>
      <w:sz w:val="44"/>
      <w:szCs w:val="44"/>
    </w:rPr>
  </w:style>
  <w:style w:type="character" w:customStyle="1" w:styleId="265">
    <w:name w:val="docpro"/>
    <w:basedOn w:val="49"/>
    <w:qFormat/>
    <w:uiPriority w:val="0"/>
  </w:style>
  <w:style w:type="character" w:customStyle="1" w:styleId="266">
    <w:name w:val="正文文本 3 Char"/>
    <w:qFormat/>
    <w:uiPriority w:val="0"/>
    <w:rPr>
      <w:kern w:val="2"/>
      <w:sz w:val="16"/>
      <w:szCs w:val="16"/>
    </w:rPr>
  </w:style>
  <w:style w:type="character" w:customStyle="1" w:styleId="267">
    <w:name w:val="标题 5 Char"/>
    <w:qFormat/>
    <w:uiPriority w:val="0"/>
    <w:rPr>
      <w:rFonts w:ascii="Calibri" w:hAnsi="Calibri" w:eastAsia="宋体" w:cs="Times New Roman"/>
      <w:b/>
      <w:bCs/>
      <w:sz w:val="28"/>
      <w:szCs w:val="28"/>
    </w:rPr>
  </w:style>
  <w:style w:type="character" w:customStyle="1" w:styleId="268">
    <w:name w:val="style161"/>
    <w:qFormat/>
    <w:uiPriority w:val="0"/>
    <w:rPr>
      <w:b/>
      <w:bCs/>
      <w:color w:val="333333"/>
    </w:rPr>
  </w:style>
  <w:style w:type="character" w:customStyle="1" w:styleId="269">
    <w:name w:val="文档结构图 Char2"/>
    <w:qFormat/>
    <w:uiPriority w:val="99"/>
    <w:rPr>
      <w:kern w:val="2"/>
      <w:sz w:val="21"/>
      <w:szCs w:val="24"/>
      <w:shd w:val="clear" w:color="auto" w:fill="000080"/>
    </w:rPr>
  </w:style>
  <w:style w:type="character" w:customStyle="1" w:styleId="270">
    <w:name w:val="页脚 Char1"/>
    <w:semiHidden/>
    <w:qFormat/>
    <w:uiPriority w:val="99"/>
    <w:rPr>
      <w:kern w:val="2"/>
      <w:sz w:val="18"/>
      <w:szCs w:val="18"/>
    </w:rPr>
  </w:style>
  <w:style w:type="character" w:customStyle="1" w:styleId="271">
    <w:name w:val="日期 Char2"/>
    <w:qFormat/>
    <w:uiPriority w:val="99"/>
    <w:rPr>
      <w:kern w:val="2"/>
      <w:sz w:val="21"/>
      <w:szCs w:val="24"/>
    </w:rPr>
  </w:style>
  <w:style w:type="character" w:customStyle="1" w:styleId="272">
    <w:name w:val="HTML 预设格式 Char"/>
    <w:qFormat/>
    <w:uiPriority w:val="0"/>
    <w:rPr>
      <w:rFonts w:ascii="宋体" w:hAnsi="宋体" w:eastAsia="宋体" w:cs="宋体"/>
      <w:color w:val="000000"/>
      <w:sz w:val="24"/>
      <w:szCs w:val="24"/>
    </w:rPr>
  </w:style>
  <w:style w:type="character" w:customStyle="1" w:styleId="273">
    <w:name w:val="批注主题 Char4"/>
    <w:link w:val="45"/>
    <w:qFormat/>
    <w:uiPriority w:val="0"/>
    <w:rPr>
      <w:rFonts w:eastAsia="宋体"/>
      <w:b/>
      <w:bCs/>
      <w:kern w:val="2"/>
      <w:sz w:val="21"/>
      <w:szCs w:val="24"/>
      <w:lang w:val="en-US" w:eastAsia="zh-CN" w:bidi="ar-SA"/>
    </w:rPr>
  </w:style>
  <w:style w:type="character" w:customStyle="1" w:styleId="274">
    <w:name w:val="正文文本 2 Char"/>
    <w:link w:val="40"/>
    <w:qFormat/>
    <w:uiPriority w:val="0"/>
    <w:rPr>
      <w:i/>
      <w:iCs/>
      <w:kern w:val="2"/>
      <w:sz w:val="26"/>
      <w:szCs w:val="24"/>
    </w:rPr>
  </w:style>
  <w:style w:type="character" w:customStyle="1" w:styleId="275">
    <w:name w:val="批注框文本 Char"/>
    <w:qFormat/>
    <w:uiPriority w:val="0"/>
    <w:rPr>
      <w:sz w:val="18"/>
      <w:szCs w:val="18"/>
    </w:rPr>
  </w:style>
  <w:style w:type="character" w:customStyle="1" w:styleId="276">
    <w:name w:val="文档结构图 Char"/>
    <w:qFormat/>
    <w:uiPriority w:val="0"/>
    <w:rPr>
      <w:rFonts w:ascii="宋体"/>
      <w:kern w:val="2"/>
      <w:sz w:val="18"/>
      <w:szCs w:val="18"/>
    </w:rPr>
  </w:style>
  <w:style w:type="character" w:customStyle="1" w:styleId="277">
    <w:name w:val="标题 8 Char2"/>
    <w:link w:val="11"/>
    <w:qFormat/>
    <w:uiPriority w:val="0"/>
    <w:rPr>
      <w:rFonts w:hAnsi="Arial" w:eastAsia="仿宋_GB2312"/>
      <w:sz w:val="30"/>
      <w:lang w:val="en-US" w:eastAsia="zh-CN" w:bidi="ar-SA"/>
    </w:rPr>
  </w:style>
  <w:style w:type="character" w:customStyle="1" w:styleId="278">
    <w:name w:val="正文文本缩进 3 Char3"/>
    <w:link w:val="37"/>
    <w:qFormat/>
    <w:uiPriority w:val="0"/>
    <w:rPr>
      <w:rFonts w:ascii="宋体" w:hAnsi="宋体" w:eastAsia="宋体"/>
      <w:kern w:val="2"/>
      <w:sz w:val="28"/>
      <w:szCs w:val="28"/>
      <w:lang w:val="en-US" w:eastAsia="zh-CN" w:bidi="ar-SA"/>
    </w:rPr>
  </w:style>
  <w:style w:type="character" w:customStyle="1" w:styleId="279">
    <w:name w:val="正文文本缩进 Char3"/>
    <w:link w:val="19"/>
    <w:qFormat/>
    <w:uiPriority w:val="0"/>
    <w:rPr>
      <w:rFonts w:eastAsia="宋体"/>
      <w:kern w:val="2"/>
      <w:sz w:val="21"/>
      <w:szCs w:val="24"/>
      <w:lang w:val="en-US" w:eastAsia="zh-CN" w:bidi="ar-SA"/>
    </w:rPr>
  </w:style>
  <w:style w:type="character" w:customStyle="1" w:styleId="280">
    <w:name w:val="_Style 196"/>
    <w:qFormat/>
    <w:uiPriority w:val="0"/>
    <w:rPr>
      <w:i/>
      <w:iCs/>
      <w:color w:val="808080"/>
    </w:rPr>
  </w:style>
  <w:style w:type="character" w:customStyle="1" w:styleId="281">
    <w:name w:val="正文文本缩进 2 Char3"/>
    <w:link w:val="27"/>
    <w:qFormat/>
    <w:uiPriority w:val="0"/>
    <w:rPr>
      <w:rFonts w:eastAsia="宋体"/>
      <w:sz w:val="28"/>
      <w:szCs w:val="24"/>
      <w:lang w:val="en-US" w:eastAsia="zh-CN" w:bidi="ar-SA"/>
    </w:rPr>
  </w:style>
  <w:style w:type="character" w:customStyle="1" w:styleId="282">
    <w:name w:val="标题 7 Char2"/>
    <w:link w:val="10"/>
    <w:qFormat/>
    <w:uiPriority w:val="0"/>
    <w:rPr>
      <w:rFonts w:eastAsia="仿宋_GB2312"/>
      <w:sz w:val="30"/>
      <w:lang w:val="en-US" w:eastAsia="zh-CN" w:bidi="ar-SA"/>
    </w:rPr>
  </w:style>
  <w:style w:type="character" w:customStyle="1" w:styleId="283">
    <w:name w:val="Char Char13"/>
    <w:qFormat/>
    <w:uiPriority w:val="0"/>
    <w:rPr>
      <w:kern w:val="2"/>
      <w:sz w:val="18"/>
      <w:szCs w:val="18"/>
    </w:rPr>
  </w:style>
  <w:style w:type="character" w:customStyle="1" w:styleId="284">
    <w:name w:val="正文文本缩进 2 Char1"/>
    <w:qFormat/>
    <w:uiPriority w:val="0"/>
    <w:rPr>
      <w:sz w:val="28"/>
      <w:szCs w:val="24"/>
    </w:rPr>
  </w:style>
  <w:style w:type="character" w:customStyle="1" w:styleId="285">
    <w:name w:val="Char Char21"/>
    <w:qFormat/>
    <w:uiPriority w:val="0"/>
    <w:rPr>
      <w:rFonts w:ascii="宋体" w:hAnsi="宋体" w:cs="宋体"/>
      <w:b/>
      <w:bCs/>
      <w:sz w:val="24"/>
      <w:szCs w:val="24"/>
    </w:rPr>
  </w:style>
  <w:style w:type="character" w:customStyle="1" w:styleId="286">
    <w:name w:val="文档结构图 Char1"/>
    <w:qFormat/>
    <w:uiPriority w:val="0"/>
    <w:rPr>
      <w:rFonts w:ascii="宋体"/>
      <w:kern w:val="2"/>
      <w:sz w:val="18"/>
      <w:szCs w:val="18"/>
    </w:rPr>
  </w:style>
  <w:style w:type="character" w:customStyle="1" w:styleId="287">
    <w:name w:val="标题 Char"/>
    <w:qFormat/>
    <w:uiPriority w:val="0"/>
    <w:rPr>
      <w:rFonts w:ascii="Cambria" w:hAnsi="Cambria" w:eastAsia="宋体" w:cs="Times New Roman"/>
      <w:b/>
      <w:bCs/>
      <w:kern w:val="2"/>
      <w:sz w:val="32"/>
      <w:szCs w:val="32"/>
    </w:rPr>
  </w:style>
  <w:style w:type="character" w:customStyle="1" w:styleId="288">
    <w:name w:val="_Style 275"/>
    <w:qFormat/>
    <w:uiPriority w:val="0"/>
    <w:rPr>
      <w:smallCaps/>
      <w:color w:val="C0504D"/>
      <w:u w:val="single"/>
    </w:rPr>
  </w:style>
  <w:style w:type="character" w:customStyle="1" w:styleId="289">
    <w:name w:val="Char Char12"/>
    <w:qFormat/>
    <w:uiPriority w:val="0"/>
    <w:rPr>
      <w:rFonts w:eastAsia="黑体"/>
      <w:kern w:val="2"/>
      <w:sz w:val="44"/>
      <w:szCs w:val="44"/>
      <w:lang w:val="en-US" w:eastAsia="zh-CN" w:bidi="ar-SA"/>
    </w:rPr>
  </w:style>
  <w:style w:type="character" w:customStyle="1" w:styleId="290">
    <w:name w:val="明显参考1"/>
    <w:qFormat/>
    <w:uiPriority w:val="0"/>
    <w:rPr>
      <w:b/>
      <w:bCs/>
      <w:smallCaps/>
      <w:color w:val="C0504D"/>
      <w:spacing w:val="5"/>
      <w:u w:val="single"/>
    </w:rPr>
  </w:style>
  <w:style w:type="character" w:customStyle="1" w:styleId="291">
    <w:name w:val="Char Char36"/>
    <w:qFormat/>
    <w:uiPriority w:val="0"/>
    <w:rPr>
      <w:rFonts w:ascii="仿宋_GB2312" w:eastAsia="仿宋_GB2312" w:cs="MingLiU"/>
      <w:b/>
      <w:sz w:val="24"/>
      <w:szCs w:val="28"/>
    </w:rPr>
  </w:style>
  <w:style w:type="character" w:customStyle="1" w:styleId="292">
    <w:name w:val="批注框文本 Char2"/>
    <w:qFormat/>
    <w:uiPriority w:val="99"/>
    <w:rPr>
      <w:kern w:val="2"/>
      <w:sz w:val="18"/>
      <w:szCs w:val="18"/>
    </w:rPr>
  </w:style>
  <w:style w:type="character" w:customStyle="1" w:styleId="293">
    <w:name w:val="subhead1"/>
    <w:qFormat/>
    <w:uiPriority w:val="0"/>
    <w:rPr>
      <w:rFonts w:hint="default" w:ascii="Tahoma" w:hAnsi="Tahoma" w:cs="Tahoma"/>
      <w:color w:val="000000"/>
      <w:sz w:val="18"/>
      <w:szCs w:val="18"/>
      <w:u w:val="none"/>
      <w:shd w:val="clear" w:color="auto" w:fill="FFFFFF"/>
    </w:rPr>
  </w:style>
  <w:style w:type="character" w:customStyle="1" w:styleId="294">
    <w:name w:val="正文文本缩进 3 Char2"/>
    <w:semiHidden/>
    <w:qFormat/>
    <w:uiPriority w:val="99"/>
    <w:rPr>
      <w:rFonts w:ascii="Calibri" w:hAnsi="Calibri" w:eastAsia="宋体" w:cs="Times New Roman"/>
      <w:sz w:val="16"/>
      <w:szCs w:val="16"/>
    </w:rPr>
  </w:style>
  <w:style w:type="character" w:customStyle="1" w:styleId="295">
    <w:name w:val="纯文本 Char"/>
    <w:qFormat/>
    <w:uiPriority w:val="0"/>
    <w:rPr>
      <w:rFonts w:ascii="宋体" w:hAnsi="Courier New"/>
      <w:sz w:val="28"/>
      <w:szCs w:val="28"/>
    </w:rPr>
  </w:style>
  <w:style w:type="character" w:customStyle="1" w:styleId="296">
    <w:name w:val="纯文本 Char2"/>
    <w:semiHidden/>
    <w:qFormat/>
    <w:uiPriority w:val="99"/>
    <w:rPr>
      <w:rFonts w:ascii="宋体" w:hAnsi="Courier New" w:eastAsia="宋体" w:cs="Courier New"/>
      <w:szCs w:val="21"/>
    </w:rPr>
  </w:style>
  <w:style w:type="character" w:customStyle="1" w:styleId="297">
    <w:name w:val="页眉 Char1"/>
    <w:semiHidden/>
    <w:qFormat/>
    <w:uiPriority w:val="99"/>
    <w:rPr>
      <w:kern w:val="2"/>
      <w:sz w:val="18"/>
      <w:szCs w:val="18"/>
    </w:rPr>
  </w:style>
  <w:style w:type="character" w:customStyle="1" w:styleId="298">
    <w:name w:val="Char Char14"/>
    <w:qFormat/>
    <w:uiPriority w:val="0"/>
    <w:rPr>
      <w:kern w:val="2"/>
      <w:sz w:val="18"/>
      <w:szCs w:val="18"/>
    </w:rPr>
  </w:style>
  <w:style w:type="character" w:customStyle="1" w:styleId="299">
    <w:name w:val="批注文字 Char3"/>
    <w:link w:val="17"/>
    <w:qFormat/>
    <w:uiPriority w:val="99"/>
    <w:rPr>
      <w:rFonts w:eastAsia="宋体"/>
      <w:kern w:val="2"/>
      <w:sz w:val="21"/>
      <w:szCs w:val="24"/>
      <w:lang w:val="en-US" w:eastAsia="zh-CN" w:bidi="ar-SA"/>
    </w:rPr>
  </w:style>
  <w:style w:type="character" w:customStyle="1" w:styleId="300">
    <w:name w:val="批注文字 Char Char"/>
    <w:qFormat/>
    <w:uiPriority w:val="0"/>
    <w:rPr>
      <w:rFonts w:ascii="宋体" w:hAnsi="Times New Roman" w:eastAsia="宋体" w:cs="Times New Roman"/>
      <w:sz w:val="28"/>
      <w:szCs w:val="20"/>
    </w:rPr>
  </w:style>
  <w:style w:type="character" w:customStyle="1" w:styleId="301">
    <w:name w:val="标题 1 Char1"/>
    <w:qFormat/>
    <w:uiPriority w:val="0"/>
    <w:rPr>
      <w:rFonts w:ascii="Times New Roman" w:hAnsi="Times New Roman" w:eastAsia="宋体" w:cs="Times New Roman"/>
      <w:b/>
      <w:bCs/>
      <w:kern w:val="44"/>
      <w:sz w:val="44"/>
      <w:szCs w:val="44"/>
    </w:rPr>
  </w:style>
  <w:style w:type="character" w:customStyle="1" w:styleId="302">
    <w:name w:val="标题 5 Char2"/>
    <w:link w:val="7"/>
    <w:qFormat/>
    <w:uiPriority w:val="0"/>
    <w:rPr>
      <w:rFonts w:ascii="宋体" w:hAnsi="宋体" w:eastAsia="宋体" w:cs="宋体"/>
      <w:b/>
      <w:bCs/>
      <w:lang w:val="en-US" w:eastAsia="zh-CN" w:bidi="ar-SA"/>
    </w:rPr>
  </w:style>
  <w:style w:type="character" w:customStyle="1" w:styleId="303">
    <w:name w:val="手改 Char Char"/>
    <w:qFormat/>
    <w:uiPriority w:val="0"/>
    <w:rPr>
      <w:kern w:val="2"/>
      <w:sz w:val="21"/>
      <w:szCs w:val="24"/>
    </w:rPr>
  </w:style>
  <w:style w:type="character" w:customStyle="1" w:styleId="304">
    <w:name w:val="标题 1 Char2"/>
    <w:link w:val="3"/>
    <w:qFormat/>
    <w:uiPriority w:val="0"/>
    <w:rPr>
      <w:rFonts w:eastAsia="宋体"/>
      <w:b/>
      <w:bCs/>
      <w:kern w:val="44"/>
      <w:sz w:val="44"/>
      <w:szCs w:val="44"/>
      <w:lang w:val="en-US" w:eastAsia="zh-CN" w:bidi="ar-SA"/>
    </w:rPr>
  </w:style>
  <w:style w:type="character" w:customStyle="1" w:styleId="305">
    <w:name w:val="intel3"/>
    <w:basedOn w:val="49"/>
    <w:qFormat/>
    <w:uiPriority w:val="0"/>
  </w:style>
  <w:style w:type="character" w:customStyle="1" w:styleId="306">
    <w:name w:val="副标题 Char2"/>
    <w:qFormat/>
    <w:uiPriority w:val="11"/>
    <w:rPr>
      <w:rFonts w:ascii="Cambria" w:hAnsi="Cambria" w:eastAsia="宋体" w:cs="Times New Roman"/>
      <w:b/>
      <w:bCs/>
      <w:kern w:val="28"/>
      <w:sz w:val="32"/>
      <w:szCs w:val="32"/>
    </w:rPr>
  </w:style>
  <w:style w:type="character" w:customStyle="1" w:styleId="307">
    <w:name w:val="明显引用 Char4"/>
    <w:link w:val="128"/>
    <w:qFormat/>
    <w:uiPriority w:val="0"/>
    <w:rPr>
      <w:b/>
      <w:bCs/>
      <w:i/>
      <w:iCs/>
      <w:color w:val="4F81BD"/>
      <w:kern w:val="2"/>
      <w:sz w:val="21"/>
      <w:szCs w:val="22"/>
      <w:lang w:bidi="ar-SA"/>
    </w:rPr>
  </w:style>
  <w:style w:type="character" w:customStyle="1" w:styleId="308">
    <w:name w:val="明显引用 Char1"/>
    <w:link w:val="121"/>
    <w:qFormat/>
    <w:uiPriority w:val="30"/>
    <w:rPr>
      <w:b/>
      <w:bCs/>
      <w:i/>
      <w:iCs/>
      <w:color w:val="4F81BD"/>
      <w:kern w:val="2"/>
      <w:sz w:val="21"/>
    </w:rPr>
  </w:style>
  <w:style w:type="character" w:customStyle="1" w:styleId="309">
    <w:name w:val="HTML 预设格式 Char1"/>
    <w:qFormat/>
    <w:uiPriority w:val="0"/>
    <w:rPr>
      <w:rFonts w:ascii="宋体" w:hAnsi="宋体" w:cs="宋体"/>
      <w:color w:val="000000"/>
      <w:sz w:val="24"/>
      <w:szCs w:val="24"/>
    </w:rPr>
  </w:style>
  <w:style w:type="character" w:customStyle="1" w:styleId="310">
    <w:name w:val="引用 Char"/>
    <w:link w:val="79"/>
    <w:qFormat/>
    <w:uiPriority w:val="0"/>
    <w:rPr>
      <w:rFonts w:ascii="Times New Roman" w:hAnsi="Times New Roman" w:eastAsia="宋体" w:cs="Times New Roman"/>
      <w:i/>
      <w:iCs/>
      <w:color w:val="000000"/>
      <w:kern w:val="2"/>
      <w:sz w:val="21"/>
      <w:szCs w:val="24"/>
    </w:rPr>
  </w:style>
  <w:style w:type="character" w:customStyle="1" w:styleId="311">
    <w:name w:val="副标题 Char3"/>
    <w:link w:val="34"/>
    <w:qFormat/>
    <w:uiPriority w:val="0"/>
    <w:rPr>
      <w:rFonts w:eastAsia="宋体"/>
      <w:szCs w:val="24"/>
      <w:u w:val="single"/>
      <w:lang w:val="en-US" w:eastAsia="en-US" w:bidi="ar-SA"/>
    </w:rPr>
  </w:style>
  <w:style w:type="character" w:customStyle="1" w:styleId="312">
    <w:name w:val="ITTHEADER1 Char"/>
    <w:qFormat/>
    <w:uiPriority w:val="0"/>
    <w:rPr>
      <w:rFonts w:eastAsia="黑体"/>
      <w:kern w:val="2"/>
      <w:sz w:val="44"/>
      <w:szCs w:val="44"/>
      <w:lang w:val="en-US" w:eastAsia="zh-CN" w:bidi="ar-SA"/>
    </w:rPr>
  </w:style>
  <w:style w:type="character" w:customStyle="1" w:styleId="313">
    <w:name w:val="日期 Char3"/>
    <w:semiHidden/>
    <w:qFormat/>
    <w:uiPriority w:val="99"/>
    <w:rPr>
      <w:rFonts w:ascii="Calibri" w:hAnsi="Calibri" w:eastAsia="宋体" w:cs="Times New Roman"/>
      <w:szCs w:val="24"/>
    </w:rPr>
  </w:style>
  <w:style w:type="character" w:customStyle="1" w:styleId="314">
    <w:name w:val="纯文本 Char3"/>
    <w:link w:val="24"/>
    <w:qFormat/>
    <w:uiPriority w:val="0"/>
    <w:rPr>
      <w:rFonts w:ascii="宋体" w:hAnsi="Courier New" w:eastAsia="宋体" w:cs="Courier New"/>
      <w:kern w:val="2"/>
      <w:sz w:val="21"/>
      <w:szCs w:val="21"/>
      <w:lang w:val="en-US" w:eastAsia="zh-CN" w:bidi="ar-SA"/>
    </w:rPr>
  </w:style>
  <w:style w:type="character" w:customStyle="1" w:styleId="315">
    <w:name w:val="批注文字 Char"/>
    <w:qFormat/>
    <w:uiPriority w:val="0"/>
    <w:rPr>
      <w:rFonts w:ascii="Times New Roman" w:hAnsi="Times New Roman" w:eastAsia="宋体" w:cs="Times New Roman"/>
      <w:kern w:val="2"/>
      <w:sz w:val="21"/>
      <w:szCs w:val="24"/>
    </w:rPr>
  </w:style>
  <w:style w:type="character" w:customStyle="1" w:styleId="316">
    <w:name w:val="Section Char"/>
    <w:qFormat/>
    <w:uiPriority w:val="0"/>
    <w:rPr>
      <w:rFonts w:ascii="仿宋_GB2312" w:eastAsia="仿宋_GB2312" w:cs="MingLiU"/>
      <w:b/>
      <w:sz w:val="24"/>
      <w:szCs w:val="28"/>
      <w:lang w:val="en-US" w:eastAsia="zh-CN" w:bidi="ar-SA"/>
    </w:rPr>
  </w:style>
  <w:style w:type="character" w:customStyle="1" w:styleId="317">
    <w:name w:val="正文文本 3 Char2"/>
    <w:semiHidden/>
    <w:qFormat/>
    <w:uiPriority w:val="99"/>
    <w:rPr>
      <w:rFonts w:ascii="Calibri" w:hAnsi="Calibri" w:eastAsia="宋体" w:cs="Times New Roman"/>
      <w:sz w:val="16"/>
      <w:szCs w:val="16"/>
    </w:rPr>
  </w:style>
  <w:style w:type="character" w:customStyle="1" w:styleId="318">
    <w:name w:val="正文文本 3 Char3"/>
    <w:link w:val="18"/>
    <w:qFormat/>
    <w:uiPriority w:val="0"/>
    <w:rPr>
      <w:rFonts w:eastAsia="宋体"/>
      <w:kern w:val="2"/>
      <w:sz w:val="16"/>
      <w:szCs w:val="16"/>
      <w:lang w:val="en-US" w:eastAsia="zh-CN" w:bidi="ar-SA"/>
    </w:rPr>
  </w:style>
  <w:style w:type="character" w:customStyle="1" w:styleId="319">
    <w:name w:val="普通文字 Char Char1"/>
    <w:qFormat/>
    <w:uiPriority w:val="0"/>
    <w:rPr>
      <w:rFonts w:ascii="宋体" w:hAnsi="Courier New"/>
      <w:kern w:val="2"/>
      <w:sz w:val="28"/>
      <w:szCs w:val="28"/>
    </w:rPr>
  </w:style>
  <w:style w:type="character" w:customStyle="1" w:styleId="320">
    <w:name w:val="正文文本缩进 Char"/>
    <w:qFormat/>
    <w:uiPriority w:val="0"/>
    <w:rPr>
      <w:rFonts w:ascii="黑体" w:hAnsi="宋体" w:eastAsia="黑体"/>
      <w:color w:val="000000"/>
      <w:sz w:val="28"/>
      <w:szCs w:val="32"/>
    </w:rPr>
  </w:style>
  <w:style w:type="character" w:customStyle="1" w:styleId="321">
    <w:name w:val="font161"/>
    <w:qFormat/>
    <w:uiPriority w:val="0"/>
    <w:rPr>
      <w:b/>
      <w:bCs/>
      <w:sz w:val="32"/>
      <w:szCs w:val="32"/>
    </w:rPr>
  </w:style>
  <w:style w:type="paragraph" w:customStyle="1" w:styleId="322">
    <w:name w:val="列出段落2"/>
    <w:basedOn w:val="1"/>
    <w:qFormat/>
    <w:uiPriority w:val="99"/>
    <w:pPr>
      <w:ind w:firstLine="420" w:firstLineChars="200"/>
    </w:pPr>
    <w:rPr>
      <w:sz w:val="28"/>
      <w:szCs w:val="28"/>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正文(缩进)"/>
    <w:basedOn w:val="1"/>
    <w:qFormat/>
    <w:uiPriority w:val="0"/>
    <w:pPr>
      <w:ind w:left="57" w:firstLine="200" w:firstLineChars="200"/>
    </w:pPr>
    <w:rPr>
      <w:rFonts w:ascii="Calibri" w:hAnsi="Calibri"/>
      <w:sz w:val="24"/>
    </w:rPr>
  </w:style>
  <w:style w:type="table" w:customStyle="1" w:styleId="325">
    <w:name w:val="Table Normal"/>
    <w:semiHidden/>
    <w:unhideWhenUsed/>
    <w:qFormat/>
    <w:uiPriority w:val="0"/>
    <w:tblPr>
      <w:tblCellMar>
        <w:top w:w="0" w:type="dxa"/>
        <w:left w:w="0" w:type="dxa"/>
        <w:bottom w:w="0" w:type="dxa"/>
        <w:right w:w="0" w:type="dxa"/>
      </w:tblCellMar>
    </w:tblPr>
  </w:style>
  <w:style w:type="character" w:customStyle="1" w:styleId="32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132</Pages>
  <Words>50529</Words>
  <Characters>52573</Characters>
  <Lines>656</Lines>
  <Paragraphs>184</Paragraphs>
  <TotalTime>22</TotalTime>
  <ScaleCrop>false</ScaleCrop>
  <LinksUpToDate>false</LinksUpToDate>
  <CharactersWithSpaces>54403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L</cp:lastModifiedBy>
  <cp:lastPrinted>2023-04-26T03:35:00Z</cp:lastPrinted>
  <dcterms:modified xsi:type="dcterms:W3CDTF">2025-06-20T03:30:44Z</dcterms:modified>
  <dc:title>第一卷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6B6FCB5BDE54478C875174313B00195D_13</vt:lpwstr>
  </property>
  <property fmtid="{D5CDD505-2E9C-101B-9397-08002B2CF9AE}" pid="4" name="KSOTemplateDocerSaveRecord">
    <vt:lpwstr>eyJoZGlkIjoiNjRmYjNkZjYwZmYyMmQ4MzBlNDQ1Nzk1ZWE1ZGIzOWEiLCJ1c2VySWQiOiIxMzQ5MzM0MzgwIn0=</vt:lpwstr>
  </property>
</Properties>
</file>