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D0566">
      <w:pPr>
        <w:jc w:val="left"/>
        <w:rPr>
          <w:rFonts w:hint="eastAsia" w:ascii="宋体" w:hAnsi="宋体" w:eastAsia="宋体" w:cs="宋体"/>
          <w:color w:val="auto"/>
          <w:sz w:val="28"/>
          <w:szCs w:val="20"/>
          <w:highlight w:val="none"/>
        </w:rPr>
      </w:pPr>
    </w:p>
    <w:p w14:paraId="619A7CD2">
      <w:pPr>
        <w:jc w:val="left"/>
        <w:rPr>
          <w:rFonts w:hint="eastAsia" w:ascii="宋体" w:hAnsi="宋体" w:eastAsia="宋体" w:cs="宋体"/>
          <w:color w:val="auto"/>
          <w:sz w:val="28"/>
          <w:szCs w:val="20"/>
          <w:highlight w:val="none"/>
        </w:rPr>
      </w:pPr>
    </w:p>
    <w:p w14:paraId="062377B9">
      <w:pPr>
        <w:rPr>
          <w:rFonts w:hint="eastAsia" w:ascii="宋体" w:hAnsi="宋体" w:eastAsia="宋体" w:cs="宋体"/>
          <w:color w:val="auto"/>
          <w:sz w:val="28"/>
          <w:szCs w:val="20"/>
          <w:highlight w:val="none"/>
        </w:rPr>
      </w:pPr>
    </w:p>
    <w:p w14:paraId="2178901B">
      <w:pPr>
        <w:kinsoku/>
        <w:overflowPunct/>
        <w:topLinePunct w:val="0"/>
        <w:autoSpaceDE/>
        <w:autoSpaceDN/>
        <w:bidi w:val="0"/>
        <w:spacing w:line="360" w:lineRule="auto"/>
        <w:jc w:val="center"/>
        <w:textAlignment w:val="auto"/>
        <w:rPr>
          <w:rFonts w:hint="eastAsia" w:ascii="宋体" w:hAnsi="宋体" w:eastAsia="宋体" w:cs="宋体"/>
          <w:color w:val="auto"/>
          <w:sz w:val="130"/>
          <w:szCs w:val="130"/>
          <w:highlight w:val="none"/>
        </w:rPr>
      </w:pPr>
      <w:r>
        <w:rPr>
          <w:rFonts w:hint="eastAsia" w:ascii="宋体" w:hAnsi="宋体" w:eastAsia="宋体" w:cs="宋体"/>
          <w:color w:val="auto"/>
          <w:sz w:val="130"/>
          <w:szCs w:val="130"/>
          <w:highlight w:val="none"/>
        </w:rPr>
        <w:t>竞争性比选文件</w:t>
      </w:r>
    </w:p>
    <w:p w14:paraId="66C0C5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（综合评分法）</w:t>
      </w:r>
    </w:p>
    <w:p w14:paraId="0FBDB115">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507D412C">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5C8A9712">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25A6554B">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lang w:val="en-US" w:eastAsia="zh-CN"/>
        </w:rPr>
      </w:pPr>
    </w:p>
    <w:p w14:paraId="0DBF6E60">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比选</w:t>
      </w: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lang w:eastAsia="zh-CN"/>
        </w:rPr>
        <w:t>桢楠高效培育关键技术示范与推广项目—高新区林场桢楠多模式混交改培示范基地建设</w:t>
      </w:r>
    </w:p>
    <w:p w14:paraId="76ABBCA7">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lang w:val="en-US" w:eastAsia="zh-CN"/>
        </w:rPr>
      </w:pPr>
    </w:p>
    <w:p w14:paraId="3A0A64D0">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lang w:val="en-US" w:eastAsia="zh-CN"/>
        </w:rPr>
      </w:pPr>
    </w:p>
    <w:p w14:paraId="6DD7538C">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337DD5C7">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47BE1A51">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618966A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z w:val="32"/>
          <w:szCs w:val="32"/>
          <w:highlight w:val="none"/>
        </w:rPr>
      </w:pPr>
    </w:p>
    <w:p w14:paraId="23859D72">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2783F269">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1049F3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比</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选</w:t>
      </w:r>
      <w:r>
        <w:rPr>
          <w:rFonts w:hint="eastAsia" w:ascii="宋体" w:hAnsi="宋体" w:eastAsia="宋体" w:cs="宋体"/>
          <w:color w:val="auto"/>
          <w:sz w:val="32"/>
          <w:szCs w:val="32"/>
          <w:highlight w:val="none"/>
          <w:lang w:val="en-US" w:eastAsia="zh-CN"/>
        </w:rPr>
        <w:t xml:space="preserve">  人</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重庆市林业科学研究院</w:t>
      </w:r>
    </w:p>
    <w:p w14:paraId="500BAD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比选代理机构</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中天昊建设管理集团股份有限公司</w:t>
      </w:r>
    </w:p>
    <w:p w14:paraId="60AFA5C0">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9"/>
        <w:rPr>
          <w:rFonts w:hint="eastAsia" w:ascii="宋体" w:hAnsi="宋体" w:eastAsia="宋体" w:cs="宋体"/>
          <w:color w:val="auto"/>
          <w:sz w:val="32"/>
          <w:szCs w:val="32"/>
          <w:highlight w:val="none"/>
        </w:rPr>
      </w:pPr>
    </w:p>
    <w:p w14:paraId="066B5A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default"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六月</w:t>
      </w:r>
    </w:p>
    <w:p w14:paraId="08977F47">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outlineLvl w:val="0"/>
        <w:rPr>
          <w:rFonts w:hint="eastAsia" w:ascii="宋体" w:hAnsi="宋体" w:eastAsia="宋体" w:cs="宋体"/>
          <w:color w:val="auto"/>
          <w:sz w:val="32"/>
          <w:szCs w:val="32"/>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decimal" w:start="1"/>
          <w:cols w:space="720" w:num="1"/>
          <w:docGrid w:linePitch="381" w:charSpace="-5735"/>
        </w:sectPr>
      </w:pPr>
    </w:p>
    <w:p w14:paraId="2FB246DD">
      <w:pPr>
        <w:keepNext w:val="0"/>
        <w:keepLines w:val="0"/>
        <w:pageBreakBefore w:val="0"/>
        <w:widowControl w:val="0"/>
        <w:kinsoku/>
        <w:wordWrap/>
        <w:overflowPunct/>
        <w:topLinePunct w:val="0"/>
        <w:autoSpaceDE/>
        <w:autoSpaceDN/>
        <w:bidi w:val="0"/>
        <w:adjustRightInd/>
        <w:snapToGrid/>
        <w:spacing w:before="260" w:after="260" w:line="500" w:lineRule="exact"/>
        <w:ind w:left="0" w:leftChars="0"/>
        <w:jc w:val="center"/>
        <w:textAlignment w:val="auto"/>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76C5795F">
      <w:pPr>
        <w:pStyle w:val="15"/>
        <w:tabs>
          <w:tab w:val="right" w:leader="dot" w:pos="9412"/>
        </w:tabs>
      </w:pPr>
      <w:r>
        <w:rPr>
          <w:rFonts w:hint="eastAsia" w:ascii="宋体" w:hAnsi="宋体" w:eastAsia="宋体" w:cs="宋体"/>
          <w:color w:val="auto"/>
          <w:kern w:val="2"/>
          <w:sz w:val="36"/>
          <w:szCs w:val="36"/>
          <w:highlight w:val="none"/>
          <w:lang w:val="en-US" w:eastAsia="zh-CN" w:bidi="ar-SA"/>
        </w:rPr>
        <w:fldChar w:fldCharType="begin"/>
      </w:r>
      <w:r>
        <w:rPr>
          <w:rFonts w:hint="eastAsia" w:ascii="宋体" w:hAnsi="宋体" w:eastAsia="宋体" w:cs="宋体"/>
          <w:color w:val="auto"/>
          <w:kern w:val="2"/>
          <w:sz w:val="36"/>
          <w:szCs w:val="36"/>
          <w:highlight w:val="none"/>
          <w:lang w:val="en-US" w:eastAsia="zh-CN" w:bidi="ar-SA"/>
        </w:rPr>
        <w:instrText xml:space="preserve"> TOC \o "1-3" \h \z </w:instrText>
      </w:r>
      <w:r>
        <w:rPr>
          <w:rFonts w:hint="eastAsia" w:ascii="宋体" w:hAnsi="宋体" w:eastAsia="宋体" w:cs="宋体"/>
          <w:color w:val="auto"/>
          <w:kern w:val="2"/>
          <w:sz w:val="36"/>
          <w:szCs w:val="36"/>
          <w:highlight w:val="none"/>
          <w:lang w:val="en-US" w:eastAsia="zh-CN" w:bidi="ar-SA"/>
        </w:rPr>
        <w:fldChar w:fldCharType="separate"/>
      </w: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_Toc15373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lang w:val="en-US" w:eastAsia="zh-CN"/>
        </w:rPr>
        <w:t>第一篇  比选邀请书</w:t>
      </w:r>
      <w:r>
        <w:tab/>
      </w:r>
      <w:r>
        <w:fldChar w:fldCharType="begin"/>
      </w:r>
      <w:r>
        <w:instrText xml:space="preserve"> PAGEREF _Toc15373 \h </w:instrText>
      </w:r>
      <w:r>
        <w:fldChar w:fldCharType="separate"/>
      </w:r>
      <w:r>
        <w:t>- 3 -</w:t>
      </w:r>
      <w:r>
        <w:fldChar w:fldCharType="end"/>
      </w:r>
      <w:r>
        <w:rPr>
          <w:rFonts w:hint="eastAsia" w:ascii="宋体" w:hAnsi="宋体" w:eastAsia="宋体" w:cs="宋体"/>
          <w:color w:val="auto"/>
          <w:kern w:val="2"/>
          <w:szCs w:val="36"/>
          <w:highlight w:val="none"/>
          <w:lang w:val="en-US" w:eastAsia="zh-CN" w:bidi="ar-SA"/>
        </w:rPr>
        <w:fldChar w:fldCharType="end"/>
      </w:r>
    </w:p>
    <w:p w14:paraId="52ABEC18">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_Toc27852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一、竞争性比选内容</w:t>
      </w:r>
      <w:r>
        <w:tab/>
      </w:r>
      <w:r>
        <w:fldChar w:fldCharType="begin"/>
      </w:r>
      <w:r>
        <w:instrText xml:space="preserve"> PAGEREF _Toc27852 \h </w:instrText>
      </w:r>
      <w:r>
        <w:fldChar w:fldCharType="separate"/>
      </w:r>
      <w:r>
        <w:t>- 3 -</w:t>
      </w:r>
      <w:r>
        <w:fldChar w:fldCharType="end"/>
      </w:r>
      <w:r>
        <w:rPr>
          <w:rFonts w:hint="eastAsia" w:ascii="宋体" w:hAnsi="宋体" w:eastAsia="宋体" w:cs="宋体"/>
          <w:color w:val="auto"/>
          <w:kern w:val="2"/>
          <w:szCs w:val="36"/>
          <w:highlight w:val="none"/>
          <w:lang w:val="en-US" w:eastAsia="zh-CN" w:bidi="ar-SA"/>
        </w:rPr>
        <w:fldChar w:fldCharType="end"/>
      </w:r>
    </w:p>
    <w:p w14:paraId="7CE6B01E">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_Toc8381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二、资金来源</w:t>
      </w:r>
      <w:r>
        <w:tab/>
      </w:r>
      <w:r>
        <w:fldChar w:fldCharType="begin"/>
      </w:r>
      <w:r>
        <w:instrText xml:space="preserve"> PAGEREF _Toc8381 \h </w:instrText>
      </w:r>
      <w:r>
        <w:fldChar w:fldCharType="separate"/>
      </w:r>
      <w:r>
        <w:t>- 3 -</w:t>
      </w:r>
      <w:r>
        <w:fldChar w:fldCharType="end"/>
      </w:r>
      <w:r>
        <w:rPr>
          <w:rFonts w:hint="eastAsia" w:ascii="宋体" w:hAnsi="宋体" w:eastAsia="宋体" w:cs="宋体"/>
          <w:color w:val="auto"/>
          <w:kern w:val="2"/>
          <w:szCs w:val="36"/>
          <w:highlight w:val="none"/>
          <w:lang w:val="en-US" w:eastAsia="zh-CN" w:bidi="ar-SA"/>
        </w:rPr>
        <w:fldChar w:fldCharType="end"/>
      </w:r>
    </w:p>
    <w:p w14:paraId="31CA93EC">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_Toc12499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三、竞标人资格条件</w:t>
      </w:r>
      <w:r>
        <w:tab/>
      </w:r>
      <w:r>
        <w:fldChar w:fldCharType="begin"/>
      </w:r>
      <w:r>
        <w:instrText xml:space="preserve"> PAGEREF _Toc12499 \h </w:instrText>
      </w:r>
      <w:r>
        <w:fldChar w:fldCharType="separate"/>
      </w:r>
      <w:r>
        <w:t>- 3 -</w:t>
      </w:r>
      <w:r>
        <w:fldChar w:fldCharType="end"/>
      </w:r>
      <w:r>
        <w:rPr>
          <w:rFonts w:hint="eastAsia" w:ascii="宋体" w:hAnsi="宋体" w:eastAsia="宋体" w:cs="宋体"/>
          <w:color w:val="auto"/>
          <w:kern w:val="2"/>
          <w:szCs w:val="36"/>
          <w:highlight w:val="none"/>
          <w:lang w:val="en-US" w:eastAsia="zh-CN" w:bidi="ar-SA"/>
        </w:rPr>
        <w:fldChar w:fldCharType="end"/>
      </w:r>
    </w:p>
    <w:p w14:paraId="1FAFA9C3">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_Toc16773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四、比选有关说明</w:t>
      </w:r>
      <w:r>
        <w:tab/>
      </w:r>
      <w:r>
        <w:fldChar w:fldCharType="begin"/>
      </w:r>
      <w:r>
        <w:instrText xml:space="preserve"> PAGEREF _Toc16773 \h </w:instrText>
      </w:r>
      <w:r>
        <w:fldChar w:fldCharType="separate"/>
      </w:r>
      <w:r>
        <w:t>- 3 -</w:t>
      </w:r>
      <w:r>
        <w:fldChar w:fldCharType="end"/>
      </w:r>
      <w:r>
        <w:rPr>
          <w:rFonts w:hint="eastAsia" w:ascii="宋体" w:hAnsi="宋体" w:eastAsia="宋体" w:cs="宋体"/>
          <w:color w:val="auto"/>
          <w:kern w:val="2"/>
          <w:szCs w:val="36"/>
          <w:highlight w:val="none"/>
          <w:lang w:val="en-US" w:eastAsia="zh-CN" w:bidi="ar-SA"/>
        </w:rPr>
        <w:fldChar w:fldCharType="end"/>
      </w:r>
    </w:p>
    <w:p w14:paraId="6A9CE452">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_Toc16003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五、其它有关规定</w:t>
      </w:r>
      <w:r>
        <w:tab/>
      </w:r>
      <w:r>
        <w:fldChar w:fldCharType="begin"/>
      </w:r>
      <w:r>
        <w:instrText xml:space="preserve"> PAGEREF _Toc16003 \h </w:instrText>
      </w:r>
      <w:r>
        <w:fldChar w:fldCharType="separate"/>
      </w:r>
      <w:r>
        <w:t>- 4 -</w:t>
      </w:r>
      <w:r>
        <w:fldChar w:fldCharType="end"/>
      </w:r>
      <w:r>
        <w:rPr>
          <w:rFonts w:hint="eastAsia" w:ascii="宋体" w:hAnsi="宋体" w:eastAsia="宋体" w:cs="宋体"/>
          <w:color w:val="auto"/>
          <w:kern w:val="2"/>
          <w:szCs w:val="36"/>
          <w:highlight w:val="none"/>
          <w:lang w:val="en-US" w:eastAsia="zh-CN" w:bidi="ar-SA"/>
        </w:rPr>
        <w:fldChar w:fldCharType="end"/>
      </w:r>
    </w:p>
    <w:p w14:paraId="781D0A80">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_Toc9339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六</w:t>
      </w:r>
      <w:r>
        <w:rPr>
          <w:rFonts w:hint="eastAsia" w:ascii="宋体" w:hAnsi="宋体" w:eastAsia="宋体" w:cs="宋体"/>
          <w:highlight w:val="none"/>
        </w:rPr>
        <w:t>、联系方式</w:t>
      </w:r>
      <w:r>
        <w:tab/>
      </w:r>
      <w:r>
        <w:fldChar w:fldCharType="begin"/>
      </w:r>
      <w:r>
        <w:instrText xml:space="preserve"> PAGEREF _Toc9339 \h </w:instrText>
      </w:r>
      <w:r>
        <w:fldChar w:fldCharType="separate"/>
      </w:r>
      <w:r>
        <w:t>- 4 -</w:t>
      </w:r>
      <w:r>
        <w:fldChar w:fldCharType="end"/>
      </w:r>
      <w:r>
        <w:rPr>
          <w:rFonts w:hint="eastAsia" w:ascii="宋体" w:hAnsi="宋体" w:eastAsia="宋体" w:cs="宋体"/>
          <w:color w:val="auto"/>
          <w:kern w:val="2"/>
          <w:szCs w:val="36"/>
          <w:highlight w:val="none"/>
          <w:lang w:val="en-US" w:eastAsia="zh-CN" w:bidi="ar-SA"/>
        </w:rPr>
        <w:fldChar w:fldCharType="end"/>
      </w:r>
    </w:p>
    <w:p w14:paraId="6717EBBD">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_Toc23855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lang w:val="en-US" w:eastAsia="zh-CN"/>
        </w:rPr>
        <w:t>第二篇  项目服务需求</w:t>
      </w:r>
      <w:r>
        <w:tab/>
      </w:r>
      <w:r>
        <w:fldChar w:fldCharType="begin"/>
      </w:r>
      <w:r>
        <w:instrText xml:space="preserve"> PAGEREF _Toc23855 \h </w:instrText>
      </w:r>
      <w:r>
        <w:fldChar w:fldCharType="separate"/>
      </w:r>
      <w:r>
        <w:t>2</w:t>
      </w:r>
      <w:r>
        <w:fldChar w:fldCharType="end"/>
      </w:r>
      <w:r>
        <w:rPr>
          <w:rFonts w:hint="eastAsia" w:ascii="宋体" w:hAnsi="宋体" w:eastAsia="宋体" w:cs="宋体"/>
          <w:color w:val="auto"/>
          <w:kern w:val="2"/>
          <w:szCs w:val="36"/>
          <w:highlight w:val="none"/>
          <w:lang w:val="en-US" w:eastAsia="zh-CN" w:bidi="ar-SA"/>
        </w:rPr>
        <w:fldChar w:fldCharType="end"/>
      </w:r>
    </w:p>
    <w:p w14:paraId="546DA2BD">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_Toc12017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8"/>
          <w:highlight w:val="none"/>
          <w:lang w:val="en-US" w:eastAsia="zh-CN"/>
        </w:rPr>
        <w:t>一、项目概况</w:t>
      </w:r>
      <w:r>
        <w:tab/>
      </w:r>
      <w:r>
        <w:fldChar w:fldCharType="begin"/>
      </w:r>
      <w:r>
        <w:instrText xml:space="preserve"> PAGEREF _Toc12017 \h </w:instrText>
      </w:r>
      <w:r>
        <w:fldChar w:fldCharType="separate"/>
      </w:r>
      <w:r>
        <w:t>2</w:t>
      </w:r>
      <w:r>
        <w:fldChar w:fldCharType="end"/>
      </w:r>
      <w:r>
        <w:rPr>
          <w:rFonts w:hint="eastAsia" w:ascii="宋体" w:hAnsi="宋体" w:eastAsia="宋体" w:cs="宋体"/>
          <w:color w:val="auto"/>
          <w:kern w:val="2"/>
          <w:szCs w:val="36"/>
          <w:highlight w:val="none"/>
          <w:lang w:val="en-US" w:eastAsia="zh-CN" w:bidi="ar-SA"/>
        </w:rPr>
        <w:fldChar w:fldCharType="end"/>
      </w:r>
    </w:p>
    <w:p w14:paraId="78B0FDDB">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_Toc21246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8"/>
          <w:highlight w:val="none"/>
          <w:lang w:val="en-US" w:eastAsia="zh-CN"/>
        </w:rPr>
        <w:t>二、服务内容及要求</w:t>
      </w:r>
      <w:r>
        <w:tab/>
      </w:r>
      <w:r>
        <w:fldChar w:fldCharType="begin"/>
      </w:r>
      <w:r>
        <w:instrText xml:space="preserve"> PAGEREF _Toc21246 \h </w:instrText>
      </w:r>
      <w:r>
        <w:fldChar w:fldCharType="separate"/>
      </w:r>
      <w:r>
        <w:t>2</w:t>
      </w:r>
      <w:r>
        <w:fldChar w:fldCharType="end"/>
      </w:r>
      <w:r>
        <w:rPr>
          <w:rFonts w:hint="eastAsia" w:ascii="宋体" w:hAnsi="宋体" w:eastAsia="宋体" w:cs="宋体"/>
          <w:color w:val="auto"/>
          <w:kern w:val="2"/>
          <w:szCs w:val="36"/>
          <w:highlight w:val="none"/>
          <w:lang w:val="en-US" w:eastAsia="zh-CN" w:bidi="ar-SA"/>
        </w:rPr>
        <w:fldChar w:fldCharType="end"/>
      </w:r>
    </w:p>
    <w:p w14:paraId="32443C7D">
      <w:pPr>
        <w:pStyle w:val="9"/>
        <w:tabs>
          <w:tab w:val="right" w:leader="dot" w:pos="9412"/>
        </w:tabs>
        <w:ind w:left="0" w:leftChars="0" w:firstLine="0" w:firstLineChars="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_Toc13320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kern w:val="2"/>
          <w:szCs w:val="36"/>
          <w:highlight w:val="none"/>
          <w:lang w:val="en-US" w:eastAsia="zh-CN" w:bidi="ar-SA"/>
        </w:rPr>
        <w:t xml:space="preserve">    </w:t>
      </w:r>
      <w:r>
        <w:rPr>
          <w:rFonts w:hint="eastAsia" w:ascii="宋体" w:hAnsi="宋体" w:eastAsia="宋体" w:cs="宋体"/>
          <w:szCs w:val="24"/>
          <w:highlight w:val="none"/>
          <w:lang w:val="en-US" w:eastAsia="zh-CN"/>
        </w:rPr>
        <w:t>三、服务明细及单价限价表</w:t>
      </w:r>
      <w:r>
        <w:tab/>
      </w:r>
      <w:r>
        <w:fldChar w:fldCharType="begin"/>
      </w:r>
      <w:r>
        <w:instrText xml:space="preserve"> PAGEREF _Toc13320 \h </w:instrText>
      </w:r>
      <w:r>
        <w:fldChar w:fldCharType="separate"/>
      </w:r>
      <w:r>
        <w:t>2</w:t>
      </w:r>
      <w:r>
        <w:fldChar w:fldCharType="end"/>
      </w:r>
      <w:r>
        <w:rPr>
          <w:rFonts w:hint="eastAsia" w:ascii="宋体" w:hAnsi="宋体" w:eastAsia="宋体" w:cs="宋体"/>
          <w:color w:val="auto"/>
          <w:kern w:val="2"/>
          <w:szCs w:val="36"/>
          <w:highlight w:val="none"/>
          <w:lang w:val="en-US" w:eastAsia="zh-CN" w:bidi="ar-SA"/>
        </w:rPr>
        <w:fldChar w:fldCharType="end"/>
      </w:r>
    </w:p>
    <w:p w14:paraId="11CB061F">
      <w:pPr>
        <w:pStyle w:val="9"/>
        <w:tabs>
          <w:tab w:val="right" w:leader="dot" w:pos="9412"/>
        </w:tabs>
        <w:ind w:left="0" w:leftChars="0" w:firstLine="210" w:firstLineChars="1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_Toc7620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 xml:space="preserve">  四、安全要求</w:t>
      </w:r>
      <w:r>
        <w:tab/>
      </w:r>
      <w:r>
        <w:fldChar w:fldCharType="begin"/>
      </w:r>
      <w:r>
        <w:instrText xml:space="preserve"> PAGEREF _Toc7620 \h </w:instrText>
      </w:r>
      <w:r>
        <w:fldChar w:fldCharType="separate"/>
      </w:r>
      <w:r>
        <w:t>3</w:t>
      </w:r>
      <w:r>
        <w:fldChar w:fldCharType="end"/>
      </w:r>
      <w:r>
        <w:rPr>
          <w:rFonts w:hint="eastAsia" w:ascii="宋体" w:hAnsi="宋体" w:eastAsia="宋体" w:cs="宋体"/>
          <w:color w:val="auto"/>
          <w:kern w:val="2"/>
          <w:szCs w:val="36"/>
          <w:highlight w:val="none"/>
          <w:lang w:val="en-US" w:eastAsia="zh-CN" w:bidi="ar-SA"/>
        </w:rPr>
        <w:fldChar w:fldCharType="end"/>
      </w:r>
    </w:p>
    <w:p w14:paraId="5CAECA2F">
      <w:pPr>
        <w:pStyle w:val="14"/>
        <w:tabs>
          <w:tab w:val="right" w:leader="dot" w:pos="9412"/>
        </w:tabs>
        <w:ind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_Toc7350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bCs/>
          <w:szCs w:val="36"/>
        </w:rPr>
        <w:t>第三篇 项目商务需求</w:t>
      </w:r>
      <w:r>
        <w:tab/>
      </w:r>
      <w:r>
        <w:fldChar w:fldCharType="begin"/>
      </w:r>
      <w:r>
        <w:instrText xml:space="preserve"> PAGEREF _Toc7350 \h </w:instrText>
      </w:r>
      <w:r>
        <w:fldChar w:fldCharType="separate"/>
      </w:r>
      <w:r>
        <w:t>4</w:t>
      </w:r>
      <w:r>
        <w:fldChar w:fldCharType="end"/>
      </w:r>
      <w:r>
        <w:rPr>
          <w:rFonts w:hint="eastAsia" w:ascii="宋体" w:hAnsi="宋体" w:eastAsia="宋体" w:cs="宋体"/>
          <w:color w:val="auto"/>
          <w:kern w:val="2"/>
          <w:szCs w:val="36"/>
          <w:highlight w:val="none"/>
          <w:lang w:val="en-US" w:eastAsia="zh-CN" w:bidi="ar-SA"/>
        </w:rPr>
        <w:fldChar w:fldCharType="end"/>
      </w:r>
    </w:p>
    <w:p w14:paraId="6AA4307C">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_Toc866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一、服务时间、服务地点及验收方式</w:t>
      </w:r>
      <w:r>
        <w:tab/>
      </w:r>
      <w:r>
        <w:fldChar w:fldCharType="begin"/>
      </w:r>
      <w:r>
        <w:instrText xml:space="preserve"> PAGEREF _Toc866 \h </w:instrText>
      </w:r>
      <w:r>
        <w:fldChar w:fldCharType="separate"/>
      </w:r>
      <w:r>
        <w:t>4</w:t>
      </w:r>
      <w:r>
        <w:fldChar w:fldCharType="end"/>
      </w:r>
      <w:r>
        <w:rPr>
          <w:rFonts w:hint="eastAsia" w:ascii="宋体" w:hAnsi="宋体" w:eastAsia="宋体" w:cs="宋体"/>
          <w:color w:val="auto"/>
          <w:kern w:val="2"/>
          <w:szCs w:val="36"/>
          <w:highlight w:val="none"/>
          <w:lang w:val="en-US" w:eastAsia="zh-CN" w:bidi="ar-SA"/>
        </w:rPr>
        <w:fldChar w:fldCharType="end"/>
      </w:r>
    </w:p>
    <w:p w14:paraId="5D04C083">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_Toc7437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二、报价要求</w:t>
      </w:r>
      <w:r>
        <w:tab/>
      </w:r>
      <w:r>
        <w:fldChar w:fldCharType="begin"/>
      </w:r>
      <w:r>
        <w:instrText xml:space="preserve"> PAGEREF _Toc7437 \h </w:instrText>
      </w:r>
      <w:r>
        <w:fldChar w:fldCharType="separate"/>
      </w:r>
      <w:r>
        <w:t>4</w:t>
      </w:r>
      <w:r>
        <w:fldChar w:fldCharType="end"/>
      </w:r>
      <w:r>
        <w:rPr>
          <w:rFonts w:hint="eastAsia" w:ascii="宋体" w:hAnsi="宋体" w:eastAsia="宋体" w:cs="宋体"/>
          <w:color w:val="auto"/>
          <w:kern w:val="2"/>
          <w:szCs w:val="36"/>
          <w:highlight w:val="none"/>
          <w:lang w:val="en-US" w:eastAsia="zh-CN" w:bidi="ar-SA"/>
        </w:rPr>
        <w:fldChar w:fldCharType="end"/>
      </w:r>
    </w:p>
    <w:p w14:paraId="777ACD76">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_Toc15982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三、履约担保</w:t>
      </w:r>
      <w:r>
        <w:tab/>
      </w:r>
      <w:r>
        <w:fldChar w:fldCharType="begin"/>
      </w:r>
      <w:r>
        <w:instrText xml:space="preserve"> PAGEREF _Toc15982 \h </w:instrText>
      </w:r>
      <w:r>
        <w:fldChar w:fldCharType="separate"/>
      </w:r>
      <w:r>
        <w:t>4</w:t>
      </w:r>
      <w:r>
        <w:fldChar w:fldCharType="end"/>
      </w:r>
      <w:r>
        <w:rPr>
          <w:rFonts w:hint="eastAsia" w:ascii="宋体" w:hAnsi="宋体" w:eastAsia="宋体" w:cs="宋体"/>
          <w:color w:val="auto"/>
          <w:kern w:val="2"/>
          <w:szCs w:val="36"/>
          <w:highlight w:val="none"/>
          <w:lang w:val="en-US" w:eastAsia="zh-CN" w:bidi="ar-SA"/>
        </w:rPr>
        <w:fldChar w:fldCharType="end"/>
      </w:r>
    </w:p>
    <w:p w14:paraId="2E3DD741">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_Toc18641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四、付款方式</w:t>
      </w:r>
      <w:r>
        <w:tab/>
      </w:r>
      <w:r>
        <w:fldChar w:fldCharType="begin"/>
      </w:r>
      <w:r>
        <w:instrText xml:space="preserve"> PAGEREF _Toc18641 \h </w:instrText>
      </w:r>
      <w:r>
        <w:fldChar w:fldCharType="separate"/>
      </w:r>
      <w:r>
        <w:t>5</w:t>
      </w:r>
      <w:r>
        <w:fldChar w:fldCharType="end"/>
      </w:r>
      <w:r>
        <w:rPr>
          <w:rFonts w:hint="eastAsia" w:ascii="宋体" w:hAnsi="宋体" w:eastAsia="宋体" w:cs="宋体"/>
          <w:color w:val="auto"/>
          <w:kern w:val="2"/>
          <w:szCs w:val="36"/>
          <w:highlight w:val="none"/>
          <w:lang w:val="en-US" w:eastAsia="zh-CN" w:bidi="ar-SA"/>
        </w:rPr>
        <w:fldChar w:fldCharType="end"/>
      </w:r>
    </w:p>
    <w:p w14:paraId="28A86C59">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_Toc28928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五、转包、分包</w:t>
      </w:r>
      <w:r>
        <w:tab/>
      </w:r>
      <w:r>
        <w:fldChar w:fldCharType="begin"/>
      </w:r>
      <w:r>
        <w:instrText xml:space="preserve"> PAGEREF _Toc28928 \h </w:instrText>
      </w:r>
      <w:r>
        <w:fldChar w:fldCharType="separate"/>
      </w:r>
      <w:r>
        <w:t>5</w:t>
      </w:r>
      <w:r>
        <w:fldChar w:fldCharType="end"/>
      </w:r>
      <w:r>
        <w:rPr>
          <w:rFonts w:hint="eastAsia" w:ascii="宋体" w:hAnsi="宋体" w:eastAsia="宋体" w:cs="宋体"/>
          <w:color w:val="auto"/>
          <w:kern w:val="2"/>
          <w:szCs w:val="36"/>
          <w:highlight w:val="none"/>
          <w:lang w:val="en-US" w:eastAsia="zh-CN" w:bidi="ar-SA"/>
        </w:rPr>
        <w:fldChar w:fldCharType="end"/>
      </w:r>
    </w:p>
    <w:p w14:paraId="258BC5B6">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_Toc10651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六、其他</w:t>
      </w:r>
      <w:r>
        <w:tab/>
      </w:r>
      <w:r>
        <w:fldChar w:fldCharType="begin"/>
      </w:r>
      <w:r>
        <w:instrText xml:space="preserve"> PAGEREF _Toc10651 \h </w:instrText>
      </w:r>
      <w:r>
        <w:fldChar w:fldCharType="separate"/>
      </w:r>
      <w:r>
        <w:t>5</w:t>
      </w:r>
      <w:r>
        <w:fldChar w:fldCharType="end"/>
      </w:r>
      <w:r>
        <w:rPr>
          <w:rFonts w:hint="eastAsia" w:ascii="宋体" w:hAnsi="宋体" w:eastAsia="宋体" w:cs="宋体"/>
          <w:color w:val="auto"/>
          <w:kern w:val="2"/>
          <w:szCs w:val="36"/>
          <w:highlight w:val="none"/>
          <w:lang w:val="en-US" w:eastAsia="zh-CN" w:bidi="ar-SA"/>
        </w:rPr>
        <w:fldChar w:fldCharType="end"/>
      </w:r>
    </w:p>
    <w:p w14:paraId="1DC32A3B">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_Toc5827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highlight w:val="none"/>
          <w:lang w:val="en-US" w:eastAsia="zh-CN"/>
        </w:rPr>
        <w:t>第四篇  比选程序及方法、评审标准、无效响应和比选终止</w:t>
      </w:r>
      <w:r>
        <w:tab/>
      </w:r>
      <w:r>
        <w:fldChar w:fldCharType="begin"/>
      </w:r>
      <w:r>
        <w:instrText xml:space="preserve"> PAGEREF _Toc5827 \h </w:instrText>
      </w:r>
      <w:r>
        <w:fldChar w:fldCharType="separate"/>
      </w:r>
      <w:r>
        <w:t>6</w:t>
      </w:r>
      <w:r>
        <w:fldChar w:fldCharType="end"/>
      </w:r>
      <w:r>
        <w:rPr>
          <w:rFonts w:hint="eastAsia" w:ascii="宋体" w:hAnsi="宋体" w:eastAsia="宋体" w:cs="宋体"/>
          <w:color w:val="auto"/>
          <w:kern w:val="2"/>
          <w:szCs w:val="36"/>
          <w:highlight w:val="none"/>
          <w:lang w:val="en-US" w:eastAsia="zh-CN" w:bidi="ar-SA"/>
        </w:rPr>
        <w:fldChar w:fldCharType="end"/>
      </w:r>
    </w:p>
    <w:p w14:paraId="63D47C5B">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_Toc19217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一、比选程序及方法</w:t>
      </w:r>
      <w:r>
        <w:tab/>
      </w:r>
      <w:r>
        <w:fldChar w:fldCharType="begin"/>
      </w:r>
      <w:r>
        <w:instrText xml:space="preserve"> PAGEREF _Toc19217 \h </w:instrText>
      </w:r>
      <w:r>
        <w:fldChar w:fldCharType="separate"/>
      </w:r>
      <w:r>
        <w:t>6</w:t>
      </w:r>
      <w:r>
        <w:fldChar w:fldCharType="end"/>
      </w:r>
      <w:r>
        <w:rPr>
          <w:rFonts w:hint="eastAsia" w:ascii="宋体" w:hAnsi="宋体" w:eastAsia="宋体" w:cs="宋体"/>
          <w:color w:val="auto"/>
          <w:kern w:val="2"/>
          <w:szCs w:val="36"/>
          <w:highlight w:val="none"/>
          <w:lang w:val="en-US" w:eastAsia="zh-CN" w:bidi="ar-SA"/>
        </w:rPr>
        <w:fldChar w:fldCharType="end"/>
      </w:r>
    </w:p>
    <w:p w14:paraId="665852F0">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_Toc14532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二、评审标准</w:t>
      </w:r>
      <w:r>
        <w:tab/>
      </w:r>
      <w:r>
        <w:fldChar w:fldCharType="begin"/>
      </w:r>
      <w:r>
        <w:instrText xml:space="preserve"> PAGEREF _Toc14532 \h </w:instrText>
      </w:r>
      <w:r>
        <w:fldChar w:fldCharType="separate"/>
      </w:r>
      <w:r>
        <w:t>8</w:t>
      </w:r>
      <w:r>
        <w:fldChar w:fldCharType="end"/>
      </w:r>
      <w:r>
        <w:rPr>
          <w:rFonts w:hint="eastAsia" w:ascii="宋体" w:hAnsi="宋体" w:eastAsia="宋体" w:cs="宋体"/>
          <w:color w:val="auto"/>
          <w:kern w:val="2"/>
          <w:szCs w:val="36"/>
          <w:highlight w:val="none"/>
          <w:lang w:val="en-US" w:eastAsia="zh-CN" w:bidi="ar-SA"/>
        </w:rPr>
        <w:fldChar w:fldCharType="end"/>
      </w:r>
    </w:p>
    <w:p w14:paraId="4B8EC78C">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_Toc5639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highlight w:val="none"/>
          <w:lang w:val="en-US" w:eastAsia="zh-CN"/>
        </w:rPr>
        <w:t>三、无效响应</w:t>
      </w:r>
      <w:r>
        <w:tab/>
      </w:r>
      <w:r>
        <w:fldChar w:fldCharType="begin"/>
      </w:r>
      <w:r>
        <w:instrText xml:space="preserve"> PAGEREF _Toc5639 \h </w:instrText>
      </w:r>
      <w:r>
        <w:fldChar w:fldCharType="separate"/>
      </w:r>
      <w:r>
        <w:t>10</w:t>
      </w:r>
      <w:r>
        <w:fldChar w:fldCharType="end"/>
      </w:r>
      <w:r>
        <w:rPr>
          <w:rFonts w:hint="eastAsia" w:ascii="宋体" w:hAnsi="宋体" w:eastAsia="宋体" w:cs="宋体"/>
          <w:color w:val="auto"/>
          <w:kern w:val="2"/>
          <w:szCs w:val="36"/>
          <w:highlight w:val="none"/>
          <w:lang w:val="en-US" w:eastAsia="zh-CN" w:bidi="ar-SA"/>
        </w:rPr>
        <w:fldChar w:fldCharType="end"/>
      </w:r>
    </w:p>
    <w:p w14:paraId="65A8D022">
      <w:pPr>
        <w:pStyle w:val="9"/>
        <w:tabs>
          <w:tab w:val="right" w:leader="dot" w:pos="9412"/>
        </w:tabs>
        <w:ind w:left="0" w:leftChars="0" w:firstLine="420" w:firstLineChars="200"/>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_Toc30873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24"/>
          <w:lang w:val="en-US" w:eastAsia="zh-CN"/>
        </w:rPr>
        <w:t>四、比选终止</w:t>
      </w:r>
      <w:r>
        <w:tab/>
      </w:r>
      <w:r>
        <w:fldChar w:fldCharType="begin"/>
      </w:r>
      <w:r>
        <w:instrText xml:space="preserve"> PAGEREF _Toc30873 \h </w:instrText>
      </w:r>
      <w:r>
        <w:fldChar w:fldCharType="separate"/>
      </w:r>
      <w:r>
        <w:t>10</w:t>
      </w:r>
      <w:r>
        <w:fldChar w:fldCharType="end"/>
      </w:r>
      <w:r>
        <w:rPr>
          <w:rFonts w:hint="eastAsia" w:ascii="宋体" w:hAnsi="宋体" w:eastAsia="宋体" w:cs="宋体"/>
          <w:color w:val="auto"/>
          <w:kern w:val="2"/>
          <w:szCs w:val="36"/>
          <w:highlight w:val="none"/>
          <w:lang w:val="en-US" w:eastAsia="zh-CN" w:bidi="ar-SA"/>
        </w:rPr>
        <w:fldChar w:fldCharType="end"/>
      </w:r>
    </w:p>
    <w:p w14:paraId="72FB1432">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_Toc22915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lang w:val="en-US" w:eastAsia="zh-CN"/>
        </w:rPr>
        <w:t>第五篇  竞标人须知</w:t>
      </w:r>
      <w:r>
        <w:tab/>
      </w:r>
      <w:r>
        <w:fldChar w:fldCharType="begin"/>
      </w:r>
      <w:r>
        <w:instrText xml:space="preserve"> PAGEREF _Toc22915 \h </w:instrText>
      </w:r>
      <w:r>
        <w:fldChar w:fldCharType="separate"/>
      </w:r>
      <w:r>
        <w:t>11</w:t>
      </w:r>
      <w:r>
        <w:fldChar w:fldCharType="end"/>
      </w:r>
      <w:r>
        <w:rPr>
          <w:rFonts w:hint="eastAsia" w:ascii="宋体" w:hAnsi="宋体" w:eastAsia="宋体" w:cs="宋体"/>
          <w:color w:val="auto"/>
          <w:kern w:val="2"/>
          <w:szCs w:val="36"/>
          <w:highlight w:val="none"/>
          <w:lang w:val="en-US" w:eastAsia="zh-CN" w:bidi="ar-SA"/>
        </w:rPr>
        <w:fldChar w:fldCharType="end"/>
      </w:r>
    </w:p>
    <w:p w14:paraId="666AC145">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_Toc30160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一、竞标人</w:t>
      </w:r>
      <w:r>
        <w:tab/>
      </w:r>
      <w:r>
        <w:fldChar w:fldCharType="begin"/>
      </w:r>
      <w:r>
        <w:instrText xml:space="preserve"> PAGEREF _Toc30160 \h </w:instrText>
      </w:r>
      <w:r>
        <w:fldChar w:fldCharType="separate"/>
      </w:r>
      <w:r>
        <w:t>11</w:t>
      </w:r>
      <w:r>
        <w:fldChar w:fldCharType="end"/>
      </w:r>
      <w:r>
        <w:rPr>
          <w:rFonts w:hint="eastAsia" w:ascii="宋体" w:hAnsi="宋体" w:eastAsia="宋体" w:cs="宋体"/>
          <w:color w:val="auto"/>
          <w:kern w:val="2"/>
          <w:szCs w:val="36"/>
          <w:highlight w:val="none"/>
          <w:lang w:val="en-US" w:eastAsia="zh-CN" w:bidi="ar-SA"/>
        </w:rPr>
        <w:fldChar w:fldCharType="end"/>
      </w:r>
    </w:p>
    <w:p w14:paraId="0E27FAF8">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_Toc6392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二、竞争性比选文件</w:t>
      </w:r>
      <w:r>
        <w:tab/>
      </w:r>
      <w:r>
        <w:fldChar w:fldCharType="begin"/>
      </w:r>
      <w:r>
        <w:instrText xml:space="preserve"> PAGEREF _Toc6392 \h </w:instrText>
      </w:r>
      <w:r>
        <w:fldChar w:fldCharType="separate"/>
      </w:r>
      <w:r>
        <w:t>11</w:t>
      </w:r>
      <w:r>
        <w:fldChar w:fldCharType="end"/>
      </w:r>
      <w:r>
        <w:rPr>
          <w:rFonts w:hint="eastAsia" w:ascii="宋体" w:hAnsi="宋体" w:eastAsia="宋体" w:cs="宋体"/>
          <w:color w:val="auto"/>
          <w:kern w:val="2"/>
          <w:szCs w:val="36"/>
          <w:highlight w:val="none"/>
          <w:lang w:val="en-US" w:eastAsia="zh-CN" w:bidi="ar-SA"/>
        </w:rPr>
        <w:fldChar w:fldCharType="end"/>
      </w:r>
    </w:p>
    <w:p w14:paraId="7C6DAF34">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_Toc26569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三、竞标文件</w:t>
      </w:r>
      <w:r>
        <w:tab/>
      </w:r>
      <w:r>
        <w:fldChar w:fldCharType="begin"/>
      </w:r>
      <w:r>
        <w:instrText xml:space="preserve"> PAGEREF _Toc26569 \h </w:instrText>
      </w:r>
      <w:r>
        <w:fldChar w:fldCharType="separate"/>
      </w:r>
      <w:r>
        <w:t>11</w:t>
      </w:r>
      <w:r>
        <w:fldChar w:fldCharType="end"/>
      </w:r>
      <w:r>
        <w:rPr>
          <w:rFonts w:hint="eastAsia" w:ascii="宋体" w:hAnsi="宋体" w:eastAsia="宋体" w:cs="宋体"/>
          <w:color w:val="auto"/>
          <w:kern w:val="2"/>
          <w:szCs w:val="36"/>
          <w:highlight w:val="none"/>
          <w:lang w:val="en-US" w:eastAsia="zh-CN" w:bidi="ar-SA"/>
        </w:rPr>
        <w:fldChar w:fldCharType="end"/>
      </w:r>
    </w:p>
    <w:p w14:paraId="19184F20">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_Toc12590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四、评标</w:t>
      </w:r>
      <w:r>
        <w:tab/>
      </w:r>
      <w:r>
        <w:fldChar w:fldCharType="begin"/>
      </w:r>
      <w:r>
        <w:instrText xml:space="preserve"> PAGEREF _Toc12590 \h </w:instrText>
      </w:r>
      <w:r>
        <w:fldChar w:fldCharType="separate"/>
      </w:r>
      <w:r>
        <w:t>12</w:t>
      </w:r>
      <w:r>
        <w:fldChar w:fldCharType="end"/>
      </w:r>
      <w:r>
        <w:rPr>
          <w:rFonts w:hint="eastAsia" w:ascii="宋体" w:hAnsi="宋体" w:eastAsia="宋体" w:cs="宋体"/>
          <w:color w:val="auto"/>
          <w:kern w:val="2"/>
          <w:szCs w:val="36"/>
          <w:highlight w:val="none"/>
          <w:lang w:val="en-US" w:eastAsia="zh-CN" w:bidi="ar-SA"/>
        </w:rPr>
        <w:fldChar w:fldCharType="end"/>
      </w:r>
    </w:p>
    <w:p w14:paraId="2C47BF26">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_Toc22372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五、定标</w:t>
      </w:r>
      <w:r>
        <w:tab/>
      </w:r>
      <w:r>
        <w:fldChar w:fldCharType="begin"/>
      </w:r>
      <w:r>
        <w:instrText xml:space="preserve"> PAGEREF _Toc22372 \h </w:instrText>
      </w:r>
      <w:r>
        <w:fldChar w:fldCharType="separate"/>
      </w:r>
      <w:r>
        <w:t>13</w:t>
      </w:r>
      <w:r>
        <w:fldChar w:fldCharType="end"/>
      </w:r>
      <w:r>
        <w:rPr>
          <w:rFonts w:hint="eastAsia" w:ascii="宋体" w:hAnsi="宋体" w:eastAsia="宋体" w:cs="宋体"/>
          <w:color w:val="auto"/>
          <w:kern w:val="2"/>
          <w:szCs w:val="36"/>
          <w:highlight w:val="none"/>
          <w:lang w:val="en-US" w:eastAsia="zh-CN" w:bidi="ar-SA"/>
        </w:rPr>
        <w:fldChar w:fldCharType="end"/>
      </w:r>
    </w:p>
    <w:p w14:paraId="1A5AA647">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_Toc12734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六、中选</w:t>
      </w:r>
      <w:r>
        <w:tab/>
      </w:r>
      <w:r>
        <w:fldChar w:fldCharType="begin"/>
      </w:r>
      <w:r>
        <w:instrText xml:space="preserve"> PAGEREF _Toc12734 \h </w:instrText>
      </w:r>
      <w:r>
        <w:fldChar w:fldCharType="separate"/>
      </w:r>
      <w:r>
        <w:t>13</w:t>
      </w:r>
      <w:r>
        <w:fldChar w:fldCharType="end"/>
      </w:r>
      <w:r>
        <w:rPr>
          <w:rFonts w:hint="eastAsia" w:ascii="宋体" w:hAnsi="宋体" w:eastAsia="宋体" w:cs="宋体"/>
          <w:color w:val="auto"/>
          <w:kern w:val="2"/>
          <w:szCs w:val="36"/>
          <w:highlight w:val="none"/>
          <w:lang w:val="en-US" w:eastAsia="zh-CN" w:bidi="ar-SA"/>
        </w:rPr>
        <w:fldChar w:fldCharType="end"/>
      </w:r>
    </w:p>
    <w:p w14:paraId="191EB9B6">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_Toc32562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七、询问、质疑和投诉</w:t>
      </w:r>
      <w:r>
        <w:tab/>
      </w:r>
      <w:r>
        <w:fldChar w:fldCharType="begin"/>
      </w:r>
      <w:r>
        <w:instrText xml:space="preserve"> PAGEREF _Toc32562 \h </w:instrText>
      </w:r>
      <w:r>
        <w:fldChar w:fldCharType="separate"/>
      </w:r>
      <w:r>
        <w:t>13</w:t>
      </w:r>
      <w:r>
        <w:fldChar w:fldCharType="end"/>
      </w:r>
      <w:r>
        <w:rPr>
          <w:rFonts w:hint="eastAsia" w:ascii="宋体" w:hAnsi="宋体" w:eastAsia="宋体" w:cs="宋体"/>
          <w:color w:val="auto"/>
          <w:kern w:val="2"/>
          <w:szCs w:val="36"/>
          <w:highlight w:val="none"/>
          <w:lang w:val="en-US" w:eastAsia="zh-CN" w:bidi="ar-SA"/>
        </w:rPr>
        <w:fldChar w:fldCharType="end"/>
      </w:r>
    </w:p>
    <w:p w14:paraId="642946CC">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_Toc30465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八、采购代理服务费</w:t>
      </w:r>
      <w:r>
        <w:tab/>
      </w:r>
      <w:r>
        <w:fldChar w:fldCharType="begin"/>
      </w:r>
      <w:r>
        <w:instrText xml:space="preserve"> PAGEREF _Toc30465 \h </w:instrText>
      </w:r>
      <w:r>
        <w:fldChar w:fldCharType="separate"/>
      </w:r>
      <w:r>
        <w:t>15</w:t>
      </w:r>
      <w:r>
        <w:fldChar w:fldCharType="end"/>
      </w:r>
      <w:r>
        <w:rPr>
          <w:rFonts w:hint="eastAsia" w:ascii="宋体" w:hAnsi="宋体" w:eastAsia="宋体" w:cs="宋体"/>
          <w:color w:val="auto"/>
          <w:kern w:val="2"/>
          <w:szCs w:val="36"/>
          <w:highlight w:val="none"/>
          <w:lang w:val="en-US" w:eastAsia="zh-CN" w:bidi="ar-SA"/>
        </w:rPr>
        <w:fldChar w:fldCharType="end"/>
      </w:r>
    </w:p>
    <w:p w14:paraId="580DD3AC">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_Toc19969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九、中选通知</w:t>
      </w:r>
      <w:r>
        <w:tab/>
      </w:r>
      <w:r>
        <w:fldChar w:fldCharType="begin"/>
      </w:r>
      <w:r>
        <w:instrText xml:space="preserve"> PAGEREF _Toc19969 \h </w:instrText>
      </w:r>
      <w:r>
        <w:fldChar w:fldCharType="separate"/>
      </w:r>
      <w:r>
        <w:t>15</w:t>
      </w:r>
      <w:r>
        <w:fldChar w:fldCharType="end"/>
      </w:r>
      <w:r>
        <w:rPr>
          <w:rFonts w:hint="eastAsia" w:ascii="宋体" w:hAnsi="宋体" w:eastAsia="宋体" w:cs="宋体"/>
          <w:color w:val="auto"/>
          <w:kern w:val="2"/>
          <w:szCs w:val="36"/>
          <w:highlight w:val="none"/>
          <w:lang w:val="en-US" w:eastAsia="zh-CN" w:bidi="ar-SA"/>
        </w:rPr>
        <w:fldChar w:fldCharType="end"/>
      </w:r>
    </w:p>
    <w:p w14:paraId="0707EF50">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_Toc12517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highlight w:val="none"/>
          <w:lang w:val="en-US" w:eastAsia="zh-CN"/>
        </w:rPr>
        <w:t>十、签订合同</w:t>
      </w:r>
      <w:r>
        <w:tab/>
      </w:r>
      <w:r>
        <w:fldChar w:fldCharType="begin"/>
      </w:r>
      <w:r>
        <w:instrText xml:space="preserve"> PAGEREF _Toc12517 \h </w:instrText>
      </w:r>
      <w:r>
        <w:fldChar w:fldCharType="separate"/>
      </w:r>
      <w:r>
        <w:t>15</w:t>
      </w:r>
      <w:r>
        <w:fldChar w:fldCharType="end"/>
      </w:r>
      <w:r>
        <w:rPr>
          <w:rFonts w:hint="eastAsia" w:ascii="宋体" w:hAnsi="宋体" w:eastAsia="宋体" w:cs="宋体"/>
          <w:color w:val="auto"/>
          <w:kern w:val="2"/>
          <w:szCs w:val="36"/>
          <w:highlight w:val="none"/>
          <w:lang w:val="en-US" w:eastAsia="zh-CN" w:bidi="ar-SA"/>
        </w:rPr>
        <w:fldChar w:fldCharType="end"/>
      </w:r>
    </w:p>
    <w:p w14:paraId="4FBCB02C">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_Toc9984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lang w:val="en-US" w:eastAsia="zh-CN"/>
        </w:rPr>
        <w:t>第六篇  比选合同（样本）</w:t>
      </w:r>
      <w:r>
        <w:tab/>
      </w:r>
      <w:r>
        <w:fldChar w:fldCharType="begin"/>
      </w:r>
      <w:r>
        <w:instrText xml:space="preserve"> PAGEREF _Toc9984 \h </w:instrText>
      </w:r>
      <w:r>
        <w:fldChar w:fldCharType="separate"/>
      </w:r>
      <w:r>
        <w:t>17</w:t>
      </w:r>
      <w:r>
        <w:fldChar w:fldCharType="end"/>
      </w:r>
      <w:r>
        <w:rPr>
          <w:rFonts w:hint="eastAsia" w:ascii="宋体" w:hAnsi="宋体" w:eastAsia="宋体" w:cs="宋体"/>
          <w:color w:val="auto"/>
          <w:kern w:val="2"/>
          <w:szCs w:val="36"/>
          <w:highlight w:val="none"/>
          <w:lang w:val="en-US" w:eastAsia="zh-CN" w:bidi="ar-SA"/>
        </w:rPr>
        <w:fldChar w:fldCharType="end"/>
      </w:r>
    </w:p>
    <w:p w14:paraId="5C47A616">
      <w:pPr>
        <w:pStyle w:val="15"/>
        <w:tabs>
          <w:tab w:val="right" w:leader="dot" w:pos="9412"/>
        </w:tabs>
      </w:pPr>
      <w:r>
        <w:rPr>
          <w:rFonts w:hint="eastAsia" w:ascii="宋体" w:hAnsi="宋体" w:eastAsia="宋体" w:cs="宋体"/>
          <w:color w:val="auto"/>
          <w:kern w:val="2"/>
          <w:szCs w:val="36"/>
          <w:highlight w:val="none"/>
          <w:lang w:val="en-US" w:eastAsia="zh-CN" w:bidi="ar-SA"/>
        </w:rPr>
        <w:fldChar w:fldCharType="begin"/>
      </w:r>
      <w:r>
        <w:rPr>
          <w:rFonts w:hint="eastAsia" w:ascii="宋体" w:hAnsi="宋体" w:eastAsia="宋体" w:cs="宋体"/>
          <w:kern w:val="2"/>
          <w:szCs w:val="36"/>
          <w:highlight w:val="none"/>
          <w:lang w:val="en-US" w:eastAsia="zh-CN" w:bidi="ar-SA"/>
        </w:rPr>
        <w:instrText xml:space="preserve"> HYPERLINK \l _Toc9482 </w:instrText>
      </w:r>
      <w:r>
        <w:rPr>
          <w:rFonts w:hint="eastAsia" w:ascii="宋体" w:hAnsi="宋体" w:eastAsia="宋体" w:cs="宋体"/>
          <w:kern w:val="2"/>
          <w:szCs w:val="36"/>
          <w:highlight w:val="none"/>
          <w:lang w:val="en-US" w:eastAsia="zh-CN" w:bidi="ar-SA"/>
        </w:rPr>
        <w:fldChar w:fldCharType="separate"/>
      </w:r>
      <w:r>
        <w:rPr>
          <w:rFonts w:hint="eastAsia" w:ascii="宋体" w:hAnsi="宋体" w:eastAsia="宋体" w:cs="宋体"/>
          <w:szCs w:val="36"/>
          <w:lang w:val="en-US" w:eastAsia="zh-CN"/>
        </w:rPr>
        <w:t>第七篇  响应文件编制要求</w:t>
      </w:r>
      <w:r>
        <w:tab/>
      </w:r>
      <w:r>
        <w:fldChar w:fldCharType="begin"/>
      </w:r>
      <w:r>
        <w:instrText xml:space="preserve"> PAGEREF _Toc9482 \h </w:instrText>
      </w:r>
      <w:r>
        <w:fldChar w:fldCharType="separate"/>
      </w:r>
      <w:r>
        <w:t>19</w:t>
      </w:r>
      <w:r>
        <w:fldChar w:fldCharType="end"/>
      </w:r>
      <w:r>
        <w:rPr>
          <w:rFonts w:hint="eastAsia" w:ascii="宋体" w:hAnsi="宋体" w:eastAsia="宋体" w:cs="宋体"/>
          <w:color w:val="auto"/>
          <w:kern w:val="2"/>
          <w:szCs w:val="36"/>
          <w:highlight w:val="none"/>
          <w:lang w:val="en-US" w:eastAsia="zh-CN" w:bidi="ar-SA"/>
        </w:rPr>
        <w:fldChar w:fldCharType="end"/>
      </w:r>
    </w:p>
    <w:p w14:paraId="14AF7F82">
      <w:pPr>
        <w:keepNext w:val="0"/>
        <w:keepLines w:val="0"/>
        <w:pageBreakBefore w:val="0"/>
        <w:widowControl w:val="0"/>
        <w:tabs>
          <w:tab w:val="right" w:leader="dot" w:pos="9402"/>
        </w:tabs>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color w:val="auto"/>
          <w:sz w:val="18"/>
          <w:szCs w:val="22"/>
          <w:highlight w:val="none"/>
        </w:rPr>
        <w:sectPr>
          <w:footerReference r:id="rId7" w:type="default"/>
          <w:pgSz w:w="11907" w:h="16840"/>
          <w:pgMar w:top="1134" w:right="1191" w:bottom="1134" w:left="1304" w:header="851" w:footer="992" w:gutter="0"/>
          <w:pgNumType w:fmt="decimal"/>
          <w:cols w:space="720" w:num="1"/>
          <w:docGrid w:linePitch="381" w:charSpace="-5735"/>
        </w:sectPr>
      </w:pPr>
      <w:r>
        <w:rPr>
          <w:rFonts w:hint="eastAsia" w:ascii="宋体" w:hAnsi="宋体" w:eastAsia="宋体" w:cs="宋体"/>
          <w:color w:val="auto"/>
          <w:kern w:val="2"/>
          <w:szCs w:val="36"/>
          <w:highlight w:val="none"/>
          <w:lang w:val="en-US" w:eastAsia="zh-CN" w:bidi="ar-SA"/>
        </w:rPr>
        <w:fldChar w:fldCharType="end"/>
      </w:r>
    </w:p>
    <w:p w14:paraId="7B8DF2FE">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2"/>
          <w:szCs w:val="30"/>
          <w:highlight w:val="none"/>
          <w:lang w:val="en-US" w:eastAsia="zh-CN" w:bidi="ar-SA"/>
        </w:rPr>
      </w:pPr>
      <w:bookmarkStart w:id="0" w:name="_Toc76462316"/>
      <w:bookmarkEnd w:id="0"/>
      <w:bookmarkStart w:id="1" w:name="_Toc7314"/>
      <w:bookmarkEnd w:id="1"/>
      <w:bookmarkStart w:id="2" w:name="_Toc12789052"/>
      <w:bookmarkEnd w:id="2"/>
      <w:bookmarkStart w:id="3" w:name="_Toc11641050"/>
      <w:bookmarkEnd w:id="3"/>
      <w:bookmarkStart w:id="4" w:name="_Toc106030870"/>
      <w:bookmarkEnd w:id="4"/>
      <w:bookmarkStart w:id="5" w:name="_Toc16374"/>
      <w:bookmarkStart w:id="6" w:name="_Toc15468"/>
      <w:bookmarkStart w:id="7" w:name="_Toc15373"/>
      <w:r>
        <w:rPr>
          <w:rFonts w:hint="eastAsia" w:ascii="宋体" w:hAnsi="宋体" w:eastAsia="宋体" w:cs="宋体"/>
          <w:color w:val="auto"/>
          <w:sz w:val="36"/>
          <w:szCs w:val="36"/>
          <w:lang w:val="en-US" w:eastAsia="zh-CN"/>
        </w:rPr>
        <w:t>第一篇</w:t>
      </w:r>
      <w:r>
        <w:rPr>
          <w:rFonts w:hint="eastAsia" w:ascii="宋体" w:hAnsi="宋体" w:eastAsia="宋体" w:cs="宋体"/>
          <w:b/>
          <w:color w:val="auto"/>
          <w:sz w:val="36"/>
          <w:szCs w:val="36"/>
          <w:lang w:val="en-US" w:eastAsia="zh-CN"/>
        </w:rPr>
        <w:t xml:space="preserve">  </w:t>
      </w:r>
      <w:r>
        <w:rPr>
          <w:rFonts w:hint="eastAsia" w:ascii="宋体" w:hAnsi="宋体" w:eastAsia="宋体" w:cs="宋体"/>
          <w:color w:val="auto"/>
          <w:sz w:val="36"/>
          <w:szCs w:val="36"/>
          <w:lang w:val="en-US" w:eastAsia="zh-CN"/>
        </w:rPr>
        <w:t>比选邀请书</w:t>
      </w:r>
      <w:bookmarkEnd w:id="5"/>
      <w:bookmarkEnd w:id="6"/>
      <w:bookmarkEnd w:id="7"/>
    </w:p>
    <w:p w14:paraId="7CEB285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中天昊建设管理集团股份有限公司</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eastAsia="zh-CN"/>
        </w:rPr>
        <w:t>比选代理机构</w:t>
      </w: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u w:val="single"/>
          <w:lang w:eastAsia="zh-CN"/>
        </w:rPr>
        <w:t>重庆市林业科学研究院</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）的委托，对</w:t>
      </w:r>
      <w:r>
        <w:rPr>
          <w:rFonts w:hint="eastAsia" w:ascii="宋体" w:hAnsi="宋体" w:eastAsia="宋体" w:cs="宋体"/>
          <w:color w:val="auto"/>
          <w:sz w:val="24"/>
          <w:szCs w:val="24"/>
          <w:highlight w:val="none"/>
          <w:u w:val="single"/>
          <w:lang w:eastAsia="zh-CN"/>
        </w:rPr>
        <w:t>桢楠高效培育关键技术示范与推广项目—高新区林场桢楠多模式混交改培示范基地建设</w:t>
      </w:r>
      <w:r>
        <w:rPr>
          <w:rFonts w:hint="eastAsia" w:ascii="宋体" w:hAnsi="宋体" w:eastAsia="宋体" w:cs="宋体"/>
          <w:color w:val="auto"/>
          <w:sz w:val="24"/>
          <w:szCs w:val="24"/>
          <w:highlight w:val="none"/>
        </w:rPr>
        <w:t>进行比选。欢迎有资格的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前来参与比选。</w:t>
      </w:r>
    </w:p>
    <w:p w14:paraId="31CEDB18">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8" w:name="_Toc313893526"/>
      <w:bookmarkEnd w:id="8"/>
      <w:bookmarkStart w:id="9" w:name="_Toc76462317"/>
      <w:bookmarkEnd w:id="9"/>
      <w:bookmarkStart w:id="10" w:name="_Toc317775175"/>
      <w:bookmarkEnd w:id="10"/>
      <w:bookmarkStart w:id="11" w:name="_Toc106030871"/>
      <w:bookmarkEnd w:id="11"/>
      <w:bookmarkStart w:id="12" w:name="_Toc111"/>
      <w:bookmarkEnd w:id="12"/>
      <w:bookmarkStart w:id="13" w:name="_Toc25655"/>
      <w:bookmarkStart w:id="14" w:name="_Toc15457"/>
      <w:bookmarkStart w:id="15" w:name="_Toc27852"/>
      <w:bookmarkStart w:id="16" w:name="_Toc24110"/>
      <w:r>
        <w:rPr>
          <w:rFonts w:hint="eastAsia" w:ascii="宋体" w:hAnsi="宋体" w:eastAsia="宋体" w:cs="宋体"/>
          <w:color w:val="auto"/>
          <w:sz w:val="24"/>
          <w:highlight w:val="none"/>
          <w:lang w:val="en-US" w:eastAsia="zh-CN"/>
        </w:rPr>
        <w:t>一、竞争性比选内容</w:t>
      </w:r>
      <w:bookmarkEnd w:id="13"/>
      <w:bookmarkEnd w:id="14"/>
      <w:bookmarkEnd w:id="15"/>
      <w:bookmarkEnd w:id="16"/>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1"/>
        <w:gridCol w:w="2052"/>
        <w:gridCol w:w="2032"/>
      </w:tblGrid>
      <w:tr w14:paraId="3AB3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0" w:type="pct"/>
            <w:vAlign w:val="center"/>
          </w:tcPr>
          <w:p w14:paraId="129C0FC8">
            <w:pPr>
              <w:pageBreakBefore w:val="0"/>
              <w:widowControl w:val="0"/>
              <w:kinsoku/>
              <w:wordWrap/>
              <w:overflowPunct/>
              <w:topLinePunct w:val="0"/>
              <w:autoSpaceDE/>
              <w:autoSpaceDN/>
              <w:bidi w:val="0"/>
              <w:spacing w:line="400" w:lineRule="exact"/>
              <w:ind w:left="0"/>
              <w:jc w:val="center"/>
              <w:textAlignment w:val="auto"/>
              <w:outlineLvl w:val="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项目名称</w:t>
            </w:r>
          </w:p>
        </w:tc>
        <w:tc>
          <w:tcPr>
            <w:tcW w:w="1105" w:type="pct"/>
            <w:vAlign w:val="center"/>
          </w:tcPr>
          <w:p w14:paraId="053DAEB0">
            <w:pPr>
              <w:pageBreakBefore w:val="0"/>
              <w:widowControl w:val="0"/>
              <w:kinsoku/>
              <w:wordWrap/>
              <w:overflowPunct/>
              <w:topLinePunct w:val="0"/>
              <w:autoSpaceDE/>
              <w:autoSpaceDN/>
              <w:bidi w:val="0"/>
              <w:spacing w:line="400" w:lineRule="exact"/>
              <w:ind w:left="0"/>
              <w:jc w:val="center"/>
              <w:textAlignment w:val="auto"/>
              <w:outlineLvl w:val="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最高限价（元）</w:t>
            </w:r>
          </w:p>
        </w:tc>
        <w:tc>
          <w:tcPr>
            <w:tcW w:w="1094" w:type="pct"/>
            <w:vAlign w:val="center"/>
          </w:tcPr>
          <w:p w14:paraId="33DD8D8F">
            <w:pPr>
              <w:pageBreakBefore w:val="0"/>
              <w:widowControl w:val="0"/>
              <w:kinsoku/>
              <w:wordWrap/>
              <w:overflowPunct/>
              <w:topLinePunct w:val="0"/>
              <w:autoSpaceDE/>
              <w:autoSpaceDN/>
              <w:bidi w:val="0"/>
              <w:spacing w:line="400" w:lineRule="exact"/>
              <w:ind w:left="0" w:leftChars="0"/>
              <w:jc w:val="center"/>
              <w:textAlignment w:val="auto"/>
              <w:outlineLvl w:val="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中选人数量（名）</w:t>
            </w:r>
          </w:p>
        </w:tc>
      </w:tr>
      <w:tr w14:paraId="6759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800" w:type="pct"/>
            <w:vAlign w:val="center"/>
          </w:tcPr>
          <w:p w14:paraId="12BA1C53">
            <w:pPr>
              <w:pageBreakBefore w:val="0"/>
              <w:widowControl w:val="0"/>
              <w:kinsoku/>
              <w:wordWrap/>
              <w:overflowPunct/>
              <w:topLinePunct w:val="0"/>
              <w:autoSpaceDE/>
              <w:autoSpaceDN/>
              <w:bidi w:val="0"/>
              <w:adjustRightInd w:val="0"/>
              <w:snapToGrid w:val="0"/>
              <w:spacing w:line="400" w:lineRule="exact"/>
              <w:ind w:firstLine="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桢楠高效培育关键技术示范与推广项目—高新区林场桢楠多模式混交改培示范基地建设</w:t>
            </w:r>
          </w:p>
        </w:tc>
        <w:tc>
          <w:tcPr>
            <w:tcW w:w="1105" w:type="pct"/>
            <w:vAlign w:val="center"/>
          </w:tcPr>
          <w:p w14:paraId="7A1E95CB">
            <w:pPr>
              <w:pageBreakBefore w:val="0"/>
              <w:widowControl w:val="0"/>
              <w:kinsoku/>
              <w:wordWrap/>
              <w:overflowPunct/>
              <w:topLinePunct w:val="0"/>
              <w:autoSpaceDE/>
              <w:autoSpaceDN/>
              <w:bidi w:val="0"/>
              <w:spacing w:line="400" w:lineRule="exact"/>
              <w:ind w:left="0"/>
              <w:jc w:val="center"/>
              <w:textAlignment w:val="auto"/>
              <w:outlineLvl w:val="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450000.00</w:t>
            </w:r>
          </w:p>
        </w:tc>
        <w:tc>
          <w:tcPr>
            <w:tcW w:w="1094" w:type="pct"/>
            <w:vAlign w:val="center"/>
          </w:tcPr>
          <w:p w14:paraId="02FFDA8C">
            <w:pPr>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r>
    </w:tbl>
    <w:p w14:paraId="3639132E">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17" w:name="_Toc76462318"/>
      <w:bookmarkEnd w:id="17"/>
      <w:bookmarkStart w:id="18" w:name="_Toc21035"/>
      <w:bookmarkEnd w:id="18"/>
      <w:bookmarkStart w:id="19" w:name="_Toc106030872"/>
      <w:bookmarkEnd w:id="19"/>
      <w:bookmarkStart w:id="20" w:name="_Toc22992"/>
      <w:bookmarkStart w:id="21" w:name="_Toc15229"/>
      <w:bookmarkStart w:id="22" w:name="_Toc8381"/>
      <w:bookmarkStart w:id="23" w:name="_Toc19538"/>
      <w:bookmarkStart w:id="24" w:name="_Toc373860293"/>
      <w:bookmarkStart w:id="25" w:name="_Toc317775178"/>
      <w:r>
        <w:rPr>
          <w:rFonts w:hint="eastAsia" w:ascii="宋体" w:hAnsi="宋体" w:eastAsia="宋体" w:cs="宋体"/>
          <w:color w:val="auto"/>
          <w:sz w:val="24"/>
          <w:highlight w:val="none"/>
          <w:lang w:val="en-US" w:eastAsia="zh-CN"/>
        </w:rPr>
        <w:t>二、资金来源</w:t>
      </w:r>
      <w:bookmarkEnd w:id="20"/>
      <w:bookmarkEnd w:id="21"/>
      <w:bookmarkEnd w:id="22"/>
      <w:bookmarkEnd w:id="23"/>
    </w:p>
    <w:p w14:paraId="300C2E3E">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bookmarkStart w:id="26" w:name="_Toc106030873"/>
      <w:bookmarkEnd w:id="26"/>
      <w:bookmarkStart w:id="27" w:name="_Toc76462319"/>
      <w:bookmarkEnd w:id="27"/>
      <w:bookmarkStart w:id="28" w:name="_Toc29613"/>
      <w:bookmarkEnd w:id="28"/>
      <w:bookmarkStart w:id="29" w:name="_Toc12739"/>
      <w:bookmarkStart w:id="30" w:name="_Toc17979"/>
      <w:bookmarkStart w:id="31" w:name="_Toc25257"/>
      <w:r>
        <w:rPr>
          <w:rFonts w:hint="eastAsia" w:ascii="宋体" w:hAnsi="宋体" w:eastAsia="宋体" w:cs="宋体"/>
          <w:color w:val="auto"/>
          <w:sz w:val="24"/>
          <w:szCs w:val="24"/>
          <w:highlight w:val="none"/>
          <w:lang w:val="en-US" w:eastAsia="zh-CN"/>
        </w:rPr>
        <w:t>项目中央资金，预算金额45万元</w:t>
      </w:r>
      <w:r>
        <w:rPr>
          <w:rFonts w:hint="eastAsia" w:ascii="宋体" w:hAnsi="宋体" w:eastAsia="宋体" w:cs="宋体"/>
          <w:color w:val="auto"/>
          <w:sz w:val="24"/>
          <w:szCs w:val="24"/>
          <w:highlight w:val="none"/>
        </w:rPr>
        <w:t>。</w:t>
      </w:r>
    </w:p>
    <w:p w14:paraId="3A746CA2">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32" w:name="_Toc12499"/>
      <w:r>
        <w:rPr>
          <w:rFonts w:hint="eastAsia" w:ascii="宋体" w:hAnsi="宋体" w:eastAsia="宋体" w:cs="宋体"/>
          <w:color w:val="auto"/>
          <w:sz w:val="24"/>
          <w:highlight w:val="none"/>
          <w:lang w:val="en-US" w:eastAsia="zh-CN"/>
        </w:rPr>
        <w:t>三、竞标人资格条件</w:t>
      </w:r>
      <w:bookmarkEnd w:id="29"/>
      <w:bookmarkEnd w:id="30"/>
      <w:bookmarkEnd w:id="31"/>
      <w:bookmarkEnd w:id="32"/>
    </w:p>
    <w:bookmarkEnd w:id="24"/>
    <w:p w14:paraId="61F2645A">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bookmarkStart w:id="33" w:name="_Toc24313"/>
      <w:bookmarkEnd w:id="33"/>
      <w:bookmarkStart w:id="34" w:name="_Toc106030874"/>
      <w:bookmarkEnd w:id="34"/>
      <w:bookmarkStart w:id="35" w:name="_Toc76462320"/>
      <w:bookmarkEnd w:id="35"/>
      <w:r>
        <w:rPr>
          <w:rFonts w:hint="eastAsia" w:ascii="宋体" w:hAnsi="宋体" w:eastAsia="宋体" w:cs="宋体"/>
          <w:color w:val="auto"/>
          <w:sz w:val="24"/>
          <w:szCs w:val="24"/>
          <w:highlight w:val="none"/>
        </w:rPr>
        <w:t>（一）满足《</w:t>
      </w:r>
      <w:bookmarkStart w:id="36" w:name="OLE_LINK4"/>
      <w:bookmarkStart w:id="37" w:name="OLE_LINK3"/>
      <w:r>
        <w:rPr>
          <w:rFonts w:hint="eastAsia" w:ascii="宋体" w:hAnsi="宋体" w:eastAsia="宋体" w:cs="宋体"/>
          <w:color w:val="auto"/>
          <w:sz w:val="24"/>
          <w:szCs w:val="24"/>
          <w:highlight w:val="none"/>
        </w:rPr>
        <w:t>中华人民共和国政府采购法》第二十二条规定</w:t>
      </w:r>
      <w:bookmarkEnd w:id="36"/>
      <w:bookmarkEnd w:id="37"/>
      <w:r>
        <w:rPr>
          <w:rFonts w:hint="eastAsia" w:ascii="宋体" w:hAnsi="宋体" w:eastAsia="宋体" w:cs="宋体"/>
          <w:color w:val="auto"/>
          <w:sz w:val="24"/>
          <w:szCs w:val="24"/>
          <w:highlight w:val="none"/>
        </w:rPr>
        <w:t>；</w:t>
      </w:r>
    </w:p>
    <w:p w14:paraId="7E6FC1A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具有独立承担民事责任的能力；</w:t>
      </w:r>
    </w:p>
    <w:p w14:paraId="7EA1A7A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具有良好的商业信誉和健全的财务会计制度；</w:t>
      </w:r>
    </w:p>
    <w:p w14:paraId="6B15F0C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具有履行合同所需</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专业技术能力；</w:t>
      </w:r>
    </w:p>
    <w:p w14:paraId="28EF7F3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有依法缴纳税收和社会保障资金的良好记录；</w:t>
      </w:r>
    </w:p>
    <w:p w14:paraId="397C984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参加政府</w:t>
      </w:r>
      <w:r>
        <w:rPr>
          <w:rFonts w:hint="eastAsia" w:ascii="宋体" w:hAnsi="宋体" w:eastAsia="宋体" w:cs="宋体"/>
          <w:color w:val="auto"/>
          <w:sz w:val="24"/>
          <w:szCs w:val="24"/>
          <w:highlight w:val="none"/>
          <w:lang w:eastAsia="zh-CN"/>
        </w:rPr>
        <w:t>比选活动</w:t>
      </w:r>
      <w:r>
        <w:rPr>
          <w:rFonts w:hint="eastAsia" w:ascii="宋体" w:hAnsi="宋体" w:eastAsia="宋体" w:cs="宋体"/>
          <w:color w:val="auto"/>
          <w:sz w:val="24"/>
          <w:szCs w:val="24"/>
          <w:highlight w:val="none"/>
        </w:rPr>
        <w:t>前三年内，在经营活动中没有重大违法记录；</w:t>
      </w:r>
    </w:p>
    <w:p w14:paraId="539FC8C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法律、行政法规规定的其他条件。</w:t>
      </w:r>
    </w:p>
    <w:p w14:paraId="5D7DFB69">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（二）本项目的特定资格要求：</w:t>
      </w:r>
      <w:r>
        <w:rPr>
          <w:rFonts w:hint="eastAsia" w:ascii="宋体" w:hAnsi="宋体" w:eastAsia="宋体" w:cs="宋体"/>
          <w:color w:val="auto"/>
          <w:sz w:val="24"/>
          <w:szCs w:val="24"/>
          <w:highlight w:val="none"/>
          <w:lang w:val="en-US" w:eastAsia="zh-CN"/>
        </w:rPr>
        <w:t>无。</w:t>
      </w:r>
    </w:p>
    <w:p w14:paraId="5814CC4B">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38" w:name="_Toc16773"/>
      <w:bookmarkStart w:id="39" w:name="_Toc16913"/>
      <w:bookmarkStart w:id="40" w:name="_Toc1678"/>
      <w:bookmarkStart w:id="41" w:name="_Toc4034"/>
      <w:r>
        <w:rPr>
          <w:rFonts w:hint="eastAsia" w:ascii="宋体" w:hAnsi="宋体" w:eastAsia="宋体" w:cs="宋体"/>
          <w:color w:val="auto"/>
          <w:sz w:val="24"/>
          <w:highlight w:val="none"/>
          <w:lang w:val="en-US" w:eastAsia="zh-CN"/>
        </w:rPr>
        <w:t>四、比选有关说明</w:t>
      </w:r>
      <w:bookmarkEnd w:id="38"/>
      <w:bookmarkEnd w:id="39"/>
      <w:bookmarkEnd w:id="40"/>
      <w:bookmarkEnd w:id="41"/>
    </w:p>
    <w:p w14:paraId="2A39CD1D">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bookmarkStart w:id="42" w:name="_Toc22111"/>
      <w:bookmarkEnd w:id="42"/>
      <w:bookmarkStart w:id="43" w:name="_Toc30895"/>
      <w:bookmarkEnd w:id="43"/>
      <w:bookmarkStart w:id="44" w:name="_Toc18100"/>
      <w:bookmarkEnd w:id="44"/>
      <w:bookmarkStart w:id="45" w:name="_Toc7836"/>
      <w:bookmarkEnd w:id="45"/>
      <w:bookmarkStart w:id="46" w:name="_Toc23960"/>
      <w:bookmarkEnd w:id="46"/>
      <w:bookmarkStart w:id="47" w:name="_Toc12663"/>
      <w:bookmarkEnd w:id="47"/>
      <w:bookmarkStart w:id="48" w:name="_Toc75793500"/>
      <w:bookmarkEnd w:id="48"/>
      <w:bookmarkStart w:id="49" w:name="_Toc106030376"/>
      <w:bookmarkEnd w:id="49"/>
      <w:bookmarkStart w:id="50" w:name="_Toc11844"/>
      <w:bookmarkEnd w:id="50"/>
      <w:bookmarkStart w:id="51" w:name="_Toc3476"/>
      <w:bookmarkEnd w:id="51"/>
      <w:bookmarkStart w:id="52" w:name="_Toc15717"/>
      <w:bookmarkEnd w:id="52"/>
      <w:bookmarkStart w:id="53" w:name="_Toc9290"/>
      <w:bookmarkEnd w:id="53"/>
      <w:bookmarkStart w:id="54" w:name="_Toc25854"/>
      <w:bookmarkEnd w:id="54"/>
      <w:bookmarkStart w:id="55" w:name="_Toc524"/>
      <w:bookmarkEnd w:id="55"/>
      <w:bookmarkStart w:id="56" w:name="_Toc12090"/>
      <w:bookmarkEnd w:id="56"/>
      <w:bookmarkStart w:id="57" w:name="_Toc25502"/>
      <w:bookmarkStart w:id="58" w:name="_Toc3575"/>
      <w:bookmarkStart w:id="59" w:name="_Toc2693"/>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应通过“行采家”平台（https://www.gec123.com）进行注册，成为行采家平台</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w:t>
      </w:r>
    </w:p>
    <w:p w14:paraId="48A70726">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（二）凡有意参加竞价的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，请于公告发布之日起至响应文件上传截止时间之前，在行采家-电子竞采（www.gec123.com/xe/）下载并查看本项目比选文件以及变更公告等竞采前公布的所有项目资料，无论</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下载查看与否，均视为已知晓所有竞采实质性要求内容。</w:t>
      </w:r>
    </w:p>
    <w:p w14:paraId="009F3A23">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bCs/>
          <w:color w:val="auto"/>
          <w:sz w:val="24"/>
          <w:szCs w:val="24"/>
          <w:highlight w:val="none"/>
          <w:lang w:eastAsia="zh-CN"/>
        </w:rPr>
        <w:t>竞标人</w:t>
      </w:r>
      <w:r>
        <w:rPr>
          <w:rFonts w:hint="eastAsia" w:ascii="宋体" w:hAnsi="宋体" w:eastAsia="宋体" w:cs="宋体"/>
          <w:bCs/>
          <w:color w:val="auto"/>
          <w:sz w:val="24"/>
          <w:szCs w:val="24"/>
          <w:highlight w:val="none"/>
        </w:rPr>
        <w:t>须在</w:t>
      </w:r>
      <w:r>
        <w:rPr>
          <w:rFonts w:hint="eastAsia" w:ascii="宋体" w:hAnsi="宋体" w:eastAsia="宋体" w:cs="宋体"/>
          <w:color w:val="auto"/>
          <w:sz w:val="24"/>
          <w:szCs w:val="24"/>
          <w:highlight w:val="none"/>
        </w:rPr>
        <w:t>行采家-电子竞采（www.gec123.com/xe/）平台</w:t>
      </w:r>
      <w:r>
        <w:rPr>
          <w:rFonts w:hint="eastAsia" w:ascii="宋体" w:hAnsi="宋体" w:eastAsia="宋体" w:cs="宋体"/>
          <w:bCs/>
          <w:color w:val="auto"/>
          <w:sz w:val="24"/>
          <w:szCs w:val="24"/>
          <w:highlight w:val="none"/>
        </w:rPr>
        <w:t>上获取比选文件，并在规定的时间内按要求报价和上传响应文件，未按要求报价和上传响应文件的视为无效</w:t>
      </w:r>
      <w:r>
        <w:rPr>
          <w:rFonts w:hint="eastAsia" w:ascii="宋体" w:hAnsi="宋体" w:eastAsia="宋体" w:cs="宋体"/>
          <w:bCs/>
          <w:color w:val="auto"/>
          <w:sz w:val="24"/>
          <w:szCs w:val="24"/>
          <w:highlight w:val="none"/>
          <w:lang w:eastAsia="zh-CN"/>
        </w:rPr>
        <w:t>竞标人</w:t>
      </w:r>
      <w:r>
        <w:rPr>
          <w:rFonts w:hint="eastAsia" w:ascii="宋体" w:hAnsi="宋体" w:eastAsia="宋体" w:cs="宋体"/>
          <w:color w:val="auto"/>
          <w:sz w:val="24"/>
          <w:szCs w:val="24"/>
          <w:highlight w:val="none"/>
        </w:rPr>
        <w:t>。</w:t>
      </w:r>
    </w:p>
    <w:p w14:paraId="4F0E65D7">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40030C72">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1.竞标人</w:t>
      </w:r>
      <w:r>
        <w:rPr>
          <w:rFonts w:hint="eastAsia" w:ascii="宋体" w:hAnsi="宋体" w:eastAsia="宋体" w:cs="宋体"/>
          <w:b/>
          <w:bCs/>
          <w:color w:val="auto"/>
          <w:sz w:val="24"/>
          <w:szCs w:val="24"/>
          <w:highlight w:val="none"/>
        </w:rPr>
        <w:t>在行采家-电子竞采（www.gec123.com/xe/）平台上须上传本项目的响应文件一份。</w:t>
      </w:r>
      <w:r>
        <w:rPr>
          <w:rFonts w:hint="eastAsia" w:ascii="宋体" w:hAnsi="宋体" w:eastAsia="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在行采家-电子竞采（www.gec123.com/xe/）平台上的报价必须与上传的响应文件中的报价一致，否则，按无效标处理。</w:t>
      </w:r>
    </w:p>
    <w:p w14:paraId="42326812">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2.竞标人</w:t>
      </w:r>
      <w:r>
        <w:rPr>
          <w:rFonts w:hint="eastAsia" w:ascii="宋体" w:hAnsi="宋体" w:eastAsia="宋体" w:cs="宋体"/>
          <w:b/>
          <w:bCs/>
          <w:color w:val="auto"/>
          <w:sz w:val="24"/>
          <w:szCs w:val="24"/>
          <w:highlight w:val="none"/>
        </w:rPr>
        <w:t>的响应文件应按照比选文件要求制作，要求签字、盖章的地方必须按规定签字、盖章，并扫描成PDF格式电子文档上传至行采家-电子竞采平台，扫描件须清晰可辨，未按要求制作的文件按无效标处理</w:t>
      </w:r>
      <w:r>
        <w:rPr>
          <w:rFonts w:hint="eastAsia" w:ascii="宋体" w:hAnsi="宋体" w:eastAsia="宋体" w:cs="宋体"/>
          <w:b/>
          <w:bCs/>
          <w:color w:val="auto"/>
          <w:sz w:val="24"/>
          <w:szCs w:val="24"/>
          <w:highlight w:val="none"/>
          <w:lang w:eastAsia="zh-CN"/>
        </w:rPr>
        <w:t>，</w:t>
      </w:r>
    </w:p>
    <w:p w14:paraId="5348A892">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（四）报名方式</w:t>
      </w:r>
    </w:p>
    <w:p w14:paraId="5D21C45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1.报名时间：</w:t>
      </w:r>
      <w:r>
        <w:rPr>
          <w:rFonts w:hint="eastAsia" w:ascii="宋体" w:hAnsi="宋体" w:eastAsia="宋体" w:cs="宋体"/>
          <w:b w:val="0"/>
          <w:bCs w:val="0"/>
          <w:color w:val="auto"/>
          <w:sz w:val="24"/>
          <w:szCs w:val="24"/>
          <w:highlight w:val="none"/>
          <w:lang w:eastAsia="zh-CN"/>
        </w:rPr>
        <w:t>2026年</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eastAsia="zh-CN"/>
        </w:rPr>
        <w:t>2026年</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17:00</w:t>
      </w:r>
      <w:r>
        <w:rPr>
          <w:rFonts w:hint="eastAsia" w:ascii="宋体" w:hAnsi="宋体" w:eastAsia="宋体" w:cs="宋体"/>
          <w:b w:val="0"/>
          <w:bCs w:val="0"/>
          <w:color w:val="auto"/>
          <w:sz w:val="24"/>
          <w:szCs w:val="24"/>
          <w:highlight w:val="none"/>
        </w:rPr>
        <w:t>。</w:t>
      </w:r>
    </w:p>
    <w:p w14:paraId="3F143F8D">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2.网上报价及上传响应文件电子档时间：</w:t>
      </w:r>
      <w:r>
        <w:rPr>
          <w:rFonts w:hint="eastAsia" w:ascii="宋体" w:hAnsi="宋体" w:eastAsia="宋体" w:cs="宋体"/>
          <w:b w:val="0"/>
          <w:bCs w:val="0"/>
          <w:color w:val="auto"/>
          <w:sz w:val="24"/>
          <w:szCs w:val="24"/>
          <w:highlight w:val="none"/>
          <w:lang w:eastAsia="zh-CN"/>
        </w:rPr>
        <w:t>2026年</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rPr>
        <w:t>日9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00时-</w:t>
      </w: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rPr>
        <w:t>时。</w:t>
      </w:r>
    </w:p>
    <w:p w14:paraId="76BC492E">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bookmarkStart w:id="60" w:name="_Toc3308"/>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lang w:eastAsia="zh-CN"/>
        </w:rPr>
        <w:t>竞标人</w:t>
      </w:r>
      <w:r>
        <w:rPr>
          <w:rFonts w:hint="eastAsia" w:ascii="宋体" w:hAnsi="宋体" w:eastAsia="宋体" w:cs="宋体"/>
          <w:b w:val="0"/>
          <w:bCs w:val="0"/>
          <w:color w:val="auto"/>
          <w:sz w:val="24"/>
          <w:szCs w:val="24"/>
          <w:highlight w:val="none"/>
        </w:rPr>
        <w:t>将《报名登记表》（格式详见附件1）填写完整加盖</w:t>
      </w:r>
      <w:r>
        <w:rPr>
          <w:rFonts w:hint="eastAsia" w:ascii="宋体" w:hAnsi="宋体" w:eastAsia="宋体" w:cs="宋体"/>
          <w:b w:val="0"/>
          <w:bCs w:val="0"/>
          <w:color w:val="auto"/>
          <w:sz w:val="24"/>
          <w:szCs w:val="24"/>
          <w:highlight w:val="none"/>
          <w:lang w:eastAsia="zh-CN"/>
        </w:rPr>
        <w:t>竞标人</w:t>
      </w:r>
      <w:r>
        <w:rPr>
          <w:rFonts w:hint="eastAsia" w:ascii="宋体" w:hAnsi="宋体" w:eastAsia="宋体" w:cs="宋体"/>
          <w:b w:val="0"/>
          <w:bCs w:val="0"/>
          <w:color w:val="auto"/>
          <w:sz w:val="24"/>
          <w:szCs w:val="24"/>
          <w:highlight w:val="none"/>
        </w:rPr>
        <w:t>公章扫描后</w:t>
      </w:r>
      <w:r>
        <w:rPr>
          <w:rFonts w:hint="eastAsia" w:ascii="宋体" w:hAnsi="宋体" w:eastAsia="宋体" w:cs="宋体"/>
          <w:b w:val="0"/>
          <w:bCs w:val="0"/>
          <w:color w:val="auto"/>
          <w:sz w:val="24"/>
          <w:szCs w:val="24"/>
          <w:highlight w:val="none"/>
          <w:lang w:val="en-US" w:eastAsia="zh-CN"/>
        </w:rPr>
        <w:t>命名</w:t>
      </w:r>
      <w:r>
        <w:rPr>
          <w:rFonts w:hint="eastAsia" w:ascii="宋体" w:hAnsi="宋体" w:eastAsia="宋体" w:cs="宋体"/>
          <w:b/>
          <w:bCs/>
          <w:color w:val="auto"/>
          <w:sz w:val="24"/>
          <w:szCs w:val="24"/>
          <w:highlight w:val="none"/>
          <w:lang w:val="en-US" w:eastAsia="zh-CN"/>
        </w:rPr>
        <w:t>项目名称和公司名称</w:t>
      </w:r>
      <w:r>
        <w:rPr>
          <w:rFonts w:hint="eastAsia" w:ascii="宋体" w:hAnsi="宋体" w:eastAsia="宋体" w:cs="宋体"/>
          <w:b w:val="0"/>
          <w:bCs w:val="0"/>
          <w:color w:val="auto"/>
          <w:sz w:val="24"/>
          <w:szCs w:val="24"/>
          <w:highlight w:val="none"/>
          <w:lang w:val="en-US" w:eastAsia="zh-CN"/>
        </w:rPr>
        <w:t>并</w:t>
      </w:r>
      <w:r>
        <w:rPr>
          <w:rFonts w:hint="eastAsia" w:ascii="宋体" w:hAnsi="宋体" w:eastAsia="宋体" w:cs="宋体"/>
          <w:b w:val="0"/>
          <w:bCs w:val="0"/>
          <w:color w:val="auto"/>
          <w:sz w:val="24"/>
          <w:szCs w:val="24"/>
          <w:highlight w:val="none"/>
        </w:rPr>
        <w:t>发送至指定邮箱（</w:t>
      </w:r>
      <w:r>
        <w:rPr>
          <w:rFonts w:hint="eastAsia" w:ascii="宋体" w:hAnsi="宋体" w:eastAsia="宋体" w:cs="宋体"/>
          <w:color w:val="auto"/>
          <w:sz w:val="24"/>
          <w:highlight w:val="none"/>
        </w:rPr>
        <w:t>CIECCQZB@163.COM</w:t>
      </w:r>
      <w:r>
        <w:rPr>
          <w:rFonts w:hint="eastAsia" w:ascii="宋体" w:hAnsi="宋体" w:eastAsia="宋体" w:cs="宋体"/>
          <w:color w:val="auto"/>
          <w:kern w:val="2"/>
          <w:sz w:val="24"/>
          <w:highlight w:val="none"/>
          <w:lang w:val="en-US" w:eastAsia="zh-CN" w:bidi="ar-SA"/>
        </w:rPr>
        <w:t>@qq.com</w:t>
      </w:r>
      <w:r>
        <w:rPr>
          <w:rFonts w:hint="eastAsia" w:ascii="宋体" w:hAnsi="宋体" w:eastAsia="宋体" w:cs="宋体"/>
          <w:b w:val="0"/>
          <w:bCs w:val="0"/>
          <w:color w:val="auto"/>
          <w:sz w:val="24"/>
          <w:szCs w:val="24"/>
          <w:highlight w:val="none"/>
        </w:rPr>
        <w:t>）。</w:t>
      </w:r>
      <w:bookmarkEnd w:id="60"/>
      <w:r>
        <w:rPr>
          <w:rFonts w:hint="eastAsia" w:ascii="宋体" w:hAnsi="宋体" w:eastAsia="宋体" w:cs="宋体"/>
          <w:b w:val="0"/>
          <w:bCs w:val="0"/>
          <w:color w:val="auto"/>
          <w:sz w:val="24"/>
          <w:szCs w:val="24"/>
          <w:highlight w:val="none"/>
        </w:rPr>
        <w:fldChar w:fldCharType="end"/>
      </w:r>
    </w:p>
    <w:p w14:paraId="51578460">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4.竞标人须满足以下三种要求，其响应文件才能被接受：</w:t>
      </w:r>
    </w:p>
    <w:p w14:paraId="3649DFE1">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（1）各竞标人在报名期内按要求进行报名；</w:t>
      </w:r>
    </w:p>
    <w:p w14:paraId="37B739BE">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（2）按时递交了电子响应文件并网上报价。</w:t>
      </w:r>
    </w:p>
    <w:bookmarkEnd w:id="25"/>
    <w:bookmarkEnd w:id="57"/>
    <w:bookmarkEnd w:id="58"/>
    <w:bookmarkEnd w:id="59"/>
    <w:p w14:paraId="0F4FA50D">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61" w:name="_Toc16003"/>
      <w:r>
        <w:rPr>
          <w:rFonts w:hint="eastAsia" w:ascii="宋体" w:hAnsi="宋体" w:eastAsia="宋体" w:cs="宋体"/>
          <w:color w:val="auto"/>
          <w:sz w:val="24"/>
          <w:highlight w:val="none"/>
          <w:lang w:val="en-US" w:eastAsia="zh-CN"/>
        </w:rPr>
        <w:t>五、</w:t>
      </w:r>
      <w:bookmarkStart w:id="62" w:name="_Toc16269"/>
      <w:bookmarkStart w:id="63" w:name="_Toc521053055"/>
      <w:bookmarkStart w:id="64" w:name="_Toc106034627"/>
      <w:bookmarkStart w:id="65" w:name="_Toc6563"/>
      <w:bookmarkStart w:id="66" w:name="_Toc525047163"/>
      <w:bookmarkStart w:id="67" w:name="_Toc65660336"/>
      <w:r>
        <w:rPr>
          <w:rFonts w:hint="eastAsia" w:ascii="宋体" w:hAnsi="宋体" w:eastAsia="宋体" w:cs="宋体"/>
          <w:color w:val="auto"/>
          <w:sz w:val="24"/>
          <w:highlight w:val="none"/>
          <w:lang w:val="en-US" w:eastAsia="zh-CN"/>
        </w:rPr>
        <w:t>其它有关规定</w:t>
      </w:r>
      <w:bookmarkEnd w:id="61"/>
      <w:bookmarkEnd w:id="62"/>
      <w:bookmarkEnd w:id="63"/>
      <w:bookmarkEnd w:id="64"/>
      <w:bookmarkEnd w:id="65"/>
      <w:bookmarkEnd w:id="66"/>
      <w:bookmarkEnd w:id="67"/>
    </w:p>
    <w:p w14:paraId="4C8D20D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（一）单位负责人为同一人或者存在直接控股、管理关系的不同</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，不得参加同一合同项（包）下的采购活动，否则均为无效响应。</w:t>
      </w:r>
    </w:p>
    <w:p w14:paraId="0D065BB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（二）为采购项目提供整体设计、规范编制或者项目管理、监理、检测等服务的</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，不得再参加该采购项目的其他采购活动。</w:t>
      </w:r>
    </w:p>
    <w:p w14:paraId="0F48AC4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（三）本项目的澄清文件（如果有）一律在行采家-电子竞采（www.gec123.com/xe/）上发布，请各</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注意下载或到采购代理机构处领取；无论</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下载或领取与否，均视同</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已知晓本项目澄清文件（如果有）的内容。</w:t>
      </w:r>
    </w:p>
    <w:p w14:paraId="6328C96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（四）超过响应文件截止时间递交的响应文件，恕不接收。</w:t>
      </w:r>
    </w:p>
    <w:p w14:paraId="7CDD223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（五）比选费用：无论比选结果如何，</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参与本项目比选的所有费用均应由</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自行承担。</w:t>
      </w:r>
    </w:p>
    <w:p w14:paraId="279F1E3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（六）本项目不接受联合体，否则按无效</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处理。</w:t>
      </w:r>
    </w:p>
    <w:p w14:paraId="0D0F40F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（七）本项目不接受分包，否则按无效</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处理。</w:t>
      </w:r>
    </w:p>
    <w:p w14:paraId="62AEBFB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（八）按照《财政部关于在政府采购活动中查询及使用信用记录有关问题的通知》财库〔2016〕125号，</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不得</w:t>
      </w:r>
      <w:r>
        <w:rPr>
          <w:rFonts w:hint="eastAsia" w:ascii="宋体" w:hAnsi="宋体" w:eastAsia="宋体" w:cs="宋体"/>
          <w:color w:val="auto"/>
          <w:sz w:val="24"/>
          <w:highlight w:val="none"/>
        </w:rPr>
        <w:t>参与</w:t>
      </w:r>
      <w:r>
        <w:rPr>
          <w:rFonts w:hint="eastAsia" w:ascii="宋体" w:hAnsi="宋体" w:eastAsia="宋体" w:cs="宋体"/>
          <w:color w:val="auto"/>
          <w:sz w:val="24"/>
          <w:highlight w:val="none"/>
          <w:lang w:val="en-US" w:eastAsia="zh-CN"/>
        </w:rPr>
        <w:t>本次竞争性比选</w:t>
      </w:r>
      <w:r>
        <w:rPr>
          <w:rFonts w:hint="eastAsia" w:ascii="宋体" w:hAnsi="宋体" w:eastAsia="宋体" w:cs="宋体"/>
          <w:color w:val="auto"/>
          <w:sz w:val="24"/>
          <w:highlight w:val="none"/>
        </w:rPr>
        <w:t>采购活动。</w:t>
      </w:r>
    </w:p>
    <w:p w14:paraId="60EE2594">
      <w:pPr>
        <w:pStyle w:val="3"/>
        <w:adjustRightInd w:val="0"/>
        <w:snapToGrid w:val="0"/>
        <w:spacing w:before="0" w:after="0" w:line="400" w:lineRule="exact"/>
        <w:rPr>
          <w:rFonts w:hint="eastAsia" w:ascii="宋体" w:hAnsi="宋体" w:eastAsia="宋体" w:cs="宋体"/>
          <w:color w:val="auto"/>
          <w:sz w:val="24"/>
          <w:highlight w:val="none"/>
        </w:rPr>
      </w:pPr>
      <w:bookmarkStart w:id="68" w:name="_Toc17187"/>
      <w:bookmarkStart w:id="69" w:name="_Toc9339"/>
      <w:bookmarkStart w:id="70" w:name="_Toc76462323"/>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、联系方式</w:t>
      </w:r>
      <w:bookmarkEnd w:id="68"/>
      <w:bookmarkEnd w:id="69"/>
      <w:bookmarkEnd w:id="70"/>
    </w:p>
    <w:p w14:paraId="2EFA03E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lang w:eastAsia="zh-CN"/>
        </w:rPr>
      </w:pPr>
      <w:bookmarkStart w:id="71" w:name="_Toc100322027"/>
      <w:bookmarkStart w:id="72" w:name="_Toc6369"/>
      <w:bookmarkStart w:id="73" w:name="_Toc8491"/>
      <w:bookmarkStart w:id="74" w:name="_Toc17569"/>
      <w:bookmarkStart w:id="75" w:name="_Toc28795"/>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重庆市林业科学研究院</w:t>
      </w:r>
    </w:p>
    <w:p w14:paraId="26584D8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马老师</w:t>
      </w:r>
    </w:p>
    <w:p w14:paraId="5E9D6A6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话：18323091707</w:t>
      </w:r>
    </w:p>
    <w:p w14:paraId="5DB9EA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址：重庆市沙坪坝区歌乐山街道高店子106号</w:t>
      </w:r>
    </w:p>
    <w:p w14:paraId="752580A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中天昊建设管理集团股份有限公司</w:t>
      </w:r>
    </w:p>
    <w:p w14:paraId="76333A4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袁老师</w:t>
      </w:r>
    </w:p>
    <w:p w14:paraId="65F6551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话：18580428187</w:t>
      </w:r>
    </w:p>
    <w:p w14:paraId="4F6D98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址：重庆市两江新区天宫街道庐山大道58号三楼J09</w:t>
      </w:r>
    </w:p>
    <w:bookmarkEnd w:id="71"/>
    <w:bookmarkEnd w:id="72"/>
    <w:bookmarkEnd w:id="73"/>
    <w:bookmarkEnd w:id="74"/>
    <w:bookmarkEnd w:id="75"/>
    <w:p w14:paraId="5AB8F34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color w:val="auto"/>
          <w:sz w:val="24"/>
          <w:highlight w:val="none"/>
        </w:rPr>
        <w:sectPr>
          <w:pgSz w:w="11907" w:h="16840"/>
          <w:pgMar w:top="1134" w:right="1418" w:bottom="1134" w:left="1418" w:header="964" w:footer="992" w:gutter="0"/>
          <w:pgNumType w:fmt="numberInDash"/>
          <w:cols w:space="720" w:num="1"/>
          <w:docGrid w:linePitch="312" w:charSpace="0"/>
        </w:sectPr>
      </w:pPr>
    </w:p>
    <w:p w14:paraId="236BED92">
      <w:pPr>
        <w:keepNext w:val="0"/>
        <w:keepLines w:val="0"/>
        <w:pageBreakBefore w:val="0"/>
        <w:widowControl w:val="0"/>
        <w:kinsoku/>
        <w:wordWrap/>
        <w:overflowPunct/>
        <w:topLinePunct w:val="0"/>
        <w:autoSpaceDE/>
        <w:autoSpaceDN/>
        <w:bidi w:val="0"/>
        <w:adjustRightInd/>
        <w:snapToGrid/>
        <w:spacing w:before="460" w:after="260" w:line="500" w:lineRule="exact"/>
        <w:jc w:val="center"/>
        <w:textAlignment w:val="auto"/>
        <w:rPr>
          <w:rFonts w:hint="eastAsia" w:ascii="宋体" w:hAnsi="宋体" w:eastAsia="宋体" w:cs="宋体"/>
          <w:b/>
          <w:bCs/>
          <w:color w:val="auto"/>
          <w:sz w:val="44"/>
          <w:szCs w:val="44"/>
          <w:highlight w:val="none"/>
        </w:rPr>
      </w:pPr>
      <w:bookmarkStart w:id="76" w:name="_Toc20389"/>
      <w:bookmarkStart w:id="77" w:name="_Toc28796"/>
      <w:r>
        <w:rPr>
          <w:rFonts w:hint="eastAsia" w:ascii="宋体" w:hAnsi="宋体" w:eastAsia="宋体" w:cs="宋体"/>
          <w:b/>
          <w:bCs/>
          <w:color w:val="auto"/>
          <w:sz w:val="44"/>
          <w:szCs w:val="44"/>
          <w:highlight w:val="none"/>
          <w:lang w:val="en-US" w:eastAsia="zh-CN"/>
        </w:rPr>
        <w:t>报名登记</w:t>
      </w:r>
      <w:r>
        <w:rPr>
          <w:rFonts w:hint="eastAsia" w:ascii="宋体" w:hAnsi="宋体" w:eastAsia="宋体" w:cs="宋体"/>
          <w:b/>
          <w:bCs/>
          <w:color w:val="auto"/>
          <w:sz w:val="44"/>
          <w:szCs w:val="44"/>
          <w:highlight w:val="none"/>
        </w:rPr>
        <w:t>表</w:t>
      </w:r>
    </w:p>
    <w:tbl>
      <w:tblPr>
        <w:tblStyle w:val="17"/>
        <w:tblW w:w="499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149"/>
        <w:gridCol w:w="1124"/>
        <w:gridCol w:w="3865"/>
      </w:tblGrid>
      <w:tr w14:paraId="2187E5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289" w:type="pct"/>
            <w:noWrap w:val="0"/>
            <w:vAlign w:val="center"/>
          </w:tcPr>
          <w:p w14:paraId="12AE0EE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比选项目</w:t>
            </w:r>
            <w:r>
              <w:rPr>
                <w:rFonts w:hint="eastAsia" w:ascii="宋体" w:hAnsi="宋体" w:eastAsia="宋体" w:cs="宋体"/>
                <w:color w:val="auto"/>
                <w:sz w:val="28"/>
                <w:szCs w:val="28"/>
                <w:highlight w:val="none"/>
              </w:rPr>
              <w:t>名称</w:t>
            </w:r>
          </w:p>
        </w:tc>
        <w:tc>
          <w:tcPr>
            <w:tcW w:w="3710" w:type="pct"/>
            <w:gridSpan w:val="3"/>
            <w:noWrap w:val="0"/>
            <w:vAlign w:val="center"/>
          </w:tcPr>
          <w:p w14:paraId="286BBDBC">
            <w:pPr>
              <w:jc w:val="left"/>
              <w:rPr>
                <w:rFonts w:hint="eastAsia" w:ascii="宋体" w:hAnsi="宋体" w:eastAsia="宋体" w:cs="宋体"/>
                <w:color w:val="auto"/>
                <w:sz w:val="28"/>
                <w:szCs w:val="28"/>
                <w:highlight w:val="none"/>
              </w:rPr>
            </w:pPr>
          </w:p>
        </w:tc>
      </w:tr>
      <w:tr w14:paraId="5AA24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1289" w:type="pct"/>
            <w:noWrap w:val="0"/>
            <w:vAlign w:val="center"/>
          </w:tcPr>
          <w:p w14:paraId="38E3E95E">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竞标人名称</w:t>
            </w:r>
          </w:p>
        </w:tc>
        <w:tc>
          <w:tcPr>
            <w:tcW w:w="3710" w:type="pct"/>
            <w:gridSpan w:val="3"/>
            <w:noWrap w:val="0"/>
            <w:vAlign w:val="bottom"/>
          </w:tcPr>
          <w:p w14:paraId="6DF565DF">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竞标人</w:t>
            </w:r>
            <w:r>
              <w:rPr>
                <w:rFonts w:hint="eastAsia" w:ascii="宋体" w:hAnsi="宋体" w:eastAsia="宋体" w:cs="宋体"/>
                <w:color w:val="auto"/>
                <w:sz w:val="28"/>
                <w:szCs w:val="28"/>
                <w:highlight w:val="none"/>
              </w:rPr>
              <w:t>公章）</w:t>
            </w:r>
          </w:p>
        </w:tc>
      </w:tr>
      <w:tr w14:paraId="14591D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289" w:type="pct"/>
            <w:noWrap w:val="0"/>
            <w:vAlign w:val="center"/>
          </w:tcPr>
          <w:p w14:paraId="15B39A1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p>
        </w:tc>
        <w:tc>
          <w:tcPr>
            <w:tcW w:w="1117" w:type="pct"/>
            <w:noWrap w:val="0"/>
            <w:vAlign w:val="center"/>
          </w:tcPr>
          <w:p w14:paraId="1D92BCA6">
            <w:pPr>
              <w:jc w:val="left"/>
              <w:rPr>
                <w:rFonts w:hint="eastAsia" w:ascii="宋体" w:hAnsi="宋体" w:eastAsia="宋体" w:cs="宋体"/>
                <w:color w:val="auto"/>
                <w:sz w:val="28"/>
                <w:szCs w:val="28"/>
                <w:highlight w:val="none"/>
              </w:rPr>
            </w:pPr>
          </w:p>
        </w:tc>
        <w:tc>
          <w:tcPr>
            <w:tcW w:w="584" w:type="pct"/>
            <w:noWrap w:val="0"/>
            <w:vAlign w:val="center"/>
          </w:tcPr>
          <w:p w14:paraId="12EF081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机</w:t>
            </w:r>
          </w:p>
        </w:tc>
        <w:tc>
          <w:tcPr>
            <w:tcW w:w="2009" w:type="pct"/>
            <w:noWrap w:val="0"/>
            <w:vAlign w:val="center"/>
          </w:tcPr>
          <w:p w14:paraId="12888878">
            <w:pPr>
              <w:jc w:val="left"/>
              <w:rPr>
                <w:rFonts w:hint="eastAsia" w:ascii="宋体" w:hAnsi="宋体" w:eastAsia="宋体" w:cs="宋体"/>
                <w:color w:val="auto"/>
                <w:sz w:val="28"/>
                <w:szCs w:val="28"/>
                <w:highlight w:val="none"/>
              </w:rPr>
            </w:pPr>
          </w:p>
        </w:tc>
      </w:tr>
      <w:tr w14:paraId="289681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289" w:type="pct"/>
            <w:noWrap w:val="0"/>
            <w:vAlign w:val="center"/>
          </w:tcPr>
          <w:p w14:paraId="395D0FB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办公电话</w:t>
            </w:r>
          </w:p>
        </w:tc>
        <w:tc>
          <w:tcPr>
            <w:tcW w:w="1117" w:type="pct"/>
            <w:noWrap w:val="0"/>
            <w:vAlign w:val="center"/>
          </w:tcPr>
          <w:p w14:paraId="002BDE34">
            <w:pPr>
              <w:jc w:val="left"/>
              <w:rPr>
                <w:rFonts w:hint="eastAsia" w:ascii="宋体" w:hAnsi="宋体" w:eastAsia="宋体" w:cs="宋体"/>
                <w:color w:val="auto"/>
                <w:sz w:val="28"/>
                <w:szCs w:val="28"/>
                <w:highlight w:val="none"/>
              </w:rPr>
            </w:pPr>
          </w:p>
        </w:tc>
        <w:tc>
          <w:tcPr>
            <w:tcW w:w="584" w:type="pct"/>
            <w:noWrap w:val="0"/>
            <w:vAlign w:val="center"/>
          </w:tcPr>
          <w:p w14:paraId="4AE6015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真</w:t>
            </w:r>
          </w:p>
        </w:tc>
        <w:tc>
          <w:tcPr>
            <w:tcW w:w="2009" w:type="pct"/>
            <w:noWrap w:val="0"/>
            <w:vAlign w:val="center"/>
          </w:tcPr>
          <w:p w14:paraId="23F7B13C">
            <w:pPr>
              <w:jc w:val="left"/>
              <w:rPr>
                <w:rFonts w:hint="eastAsia" w:ascii="宋体" w:hAnsi="宋体" w:eastAsia="宋体" w:cs="宋体"/>
                <w:color w:val="auto"/>
                <w:sz w:val="28"/>
                <w:szCs w:val="28"/>
                <w:highlight w:val="none"/>
              </w:rPr>
            </w:pPr>
          </w:p>
        </w:tc>
      </w:tr>
      <w:tr w14:paraId="3E6971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289" w:type="pct"/>
            <w:noWrap w:val="0"/>
            <w:vAlign w:val="center"/>
          </w:tcPr>
          <w:p w14:paraId="14C03DB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E-mail</w:t>
            </w:r>
          </w:p>
        </w:tc>
        <w:tc>
          <w:tcPr>
            <w:tcW w:w="3710" w:type="pct"/>
            <w:gridSpan w:val="3"/>
            <w:noWrap w:val="0"/>
            <w:vAlign w:val="center"/>
          </w:tcPr>
          <w:p w14:paraId="2D610FFD">
            <w:pPr>
              <w:jc w:val="left"/>
              <w:rPr>
                <w:rFonts w:hint="eastAsia" w:ascii="宋体" w:hAnsi="宋体" w:eastAsia="宋体" w:cs="宋体"/>
                <w:color w:val="auto"/>
                <w:sz w:val="28"/>
                <w:szCs w:val="28"/>
                <w:highlight w:val="none"/>
              </w:rPr>
            </w:pPr>
          </w:p>
        </w:tc>
      </w:tr>
      <w:tr w14:paraId="2021D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289" w:type="pct"/>
            <w:noWrap w:val="0"/>
            <w:vAlign w:val="center"/>
          </w:tcPr>
          <w:p w14:paraId="5C4C43A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3710" w:type="pct"/>
            <w:gridSpan w:val="3"/>
            <w:noWrap w:val="0"/>
            <w:vAlign w:val="center"/>
          </w:tcPr>
          <w:p w14:paraId="58217003">
            <w:pPr>
              <w:jc w:val="left"/>
              <w:rPr>
                <w:rFonts w:hint="eastAsia" w:ascii="宋体" w:hAnsi="宋体" w:eastAsia="宋体" w:cs="宋体"/>
                <w:color w:val="auto"/>
                <w:sz w:val="28"/>
                <w:szCs w:val="28"/>
                <w:highlight w:val="none"/>
              </w:rPr>
            </w:pPr>
          </w:p>
        </w:tc>
      </w:tr>
      <w:tr w14:paraId="2A3E06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289" w:type="pct"/>
            <w:noWrap w:val="0"/>
            <w:vAlign w:val="center"/>
          </w:tcPr>
          <w:p w14:paraId="3C81355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3710" w:type="pct"/>
            <w:gridSpan w:val="3"/>
            <w:noWrap w:val="0"/>
            <w:vAlign w:val="center"/>
          </w:tcPr>
          <w:p w14:paraId="6E1FBC7F">
            <w:pPr>
              <w:jc w:val="center"/>
              <w:rPr>
                <w:rFonts w:hint="eastAsia" w:ascii="宋体" w:hAnsi="宋体" w:eastAsia="宋体" w:cs="宋体"/>
                <w:color w:val="auto"/>
                <w:sz w:val="28"/>
                <w:szCs w:val="28"/>
                <w:highlight w:val="none"/>
                <w:lang w:val="en-US" w:eastAsia="zh-CN"/>
              </w:rPr>
            </w:pPr>
          </w:p>
        </w:tc>
      </w:tr>
    </w:tbl>
    <w:p w14:paraId="2C4D7FA5">
      <w:pPr>
        <w:keepNext/>
        <w:keepLines/>
        <w:widowControl w:val="0"/>
        <w:kinsoku/>
        <w:wordWrap/>
        <w:overflowPunct/>
        <w:topLinePunct w:val="0"/>
        <w:bidi w:val="0"/>
        <w:spacing w:before="0" w:after="0" w:line="520" w:lineRule="exact"/>
        <w:jc w:val="center"/>
        <w:outlineLvl w:val="1"/>
        <w:rPr>
          <w:rFonts w:hint="eastAsia" w:ascii="宋体" w:hAnsi="宋体" w:eastAsia="宋体" w:cs="宋体"/>
          <w:b/>
          <w:bCs/>
          <w:color w:val="auto"/>
          <w:kern w:val="2"/>
          <w:sz w:val="36"/>
          <w:szCs w:val="30"/>
          <w:highlight w:val="none"/>
          <w:lang w:val="en-US" w:eastAsia="zh-CN" w:bidi="ar-SA"/>
        </w:rPr>
        <w:sectPr>
          <w:footerReference r:id="rId8" w:type="default"/>
          <w:pgSz w:w="11907" w:h="16840"/>
          <w:pgMar w:top="1134" w:right="1191" w:bottom="1134" w:left="1304" w:header="851" w:footer="992" w:gutter="0"/>
          <w:pgNumType w:fmt="decimal" w:start="1"/>
          <w:cols w:space="720" w:num="1"/>
          <w:docGrid w:linePitch="380" w:charSpace="-5735"/>
        </w:sectPr>
      </w:pPr>
    </w:p>
    <w:p w14:paraId="2663EB22">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lang w:val="en-US" w:eastAsia="zh-CN"/>
        </w:rPr>
      </w:pPr>
      <w:bookmarkStart w:id="78" w:name="_Toc23855"/>
      <w:r>
        <w:rPr>
          <w:rFonts w:hint="eastAsia" w:ascii="宋体" w:hAnsi="宋体" w:eastAsia="宋体" w:cs="宋体"/>
          <w:b/>
          <w:color w:val="auto"/>
          <w:sz w:val="36"/>
          <w:szCs w:val="36"/>
          <w:lang w:val="en-US" w:eastAsia="zh-CN"/>
        </w:rPr>
        <w:t>第二篇  项目服务需求</w:t>
      </w:r>
      <w:bookmarkEnd w:id="76"/>
      <w:bookmarkEnd w:id="77"/>
      <w:bookmarkEnd w:id="78"/>
    </w:p>
    <w:p w14:paraId="156DA95B">
      <w:pPr>
        <w:pStyle w:val="11"/>
        <w:spacing w:line="400" w:lineRule="exact"/>
        <w:ind w:firstLine="480" w:firstLineChars="200"/>
        <w:rPr>
          <w:rFonts w:hint="eastAsia" w:ascii="宋体" w:hAnsi="宋体" w:eastAsia="宋体" w:cs="宋体"/>
          <w:color w:val="auto"/>
          <w:sz w:val="24"/>
          <w:szCs w:val="24"/>
          <w:highlight w:val="none"/>
        </w:rPr>
      </w:pPr>
      <w:bookmarkStart w:id="79" w:name="_Toc106030879"/>
      <w:bookmarkEnd w:id="79"/>
      <w:bookmarkStart w:id="80" w:name="_Toc14460"/>
      <w:bookmarkEnd w:id="80"/>
      <w:bookmarkStart w:id="81" w:name="_Toc76462325"/>
      <w:bookmarkEnd w:id="81"/>
      <w:bookmarkStart w:id="82" w:name="_Toc32034"/>
      <w:bookmarkStart w:id="83" w:name="_Toc22755"/>
      <w:r>
        <w:rPr>
          <w:rFonts w:hint="eastAsia" w:ascii="宋体" w:hAnsi="宋体" w:eastAsia="宋体" w:cs="宋体"/>
          <w:color w:val="auto"/>
          <w:sz w:val="24"/>
          <w:szCs w:val="24"/>
          <w:highlight w:val="none"/>
        </w:rPr>
        <w:t>“※”标注的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需求为符合性审查中的实质性要求，响应文件若不满足按无效响应处理。</w:t>
      </w:r>
    </w:p>
    <w:p w14:paraId="25098A0A">
      <w:pPr>
        <w:pStyle w:val="4"/>
        <w:spacing w:before="0" w:after="0" w:line="360" w:lineRule="auto"/>
        <w:rPr>
          <w:rFonts w:hint="eastAsia" w:ascii="宋体" w:hAnsi="宋体" w:eastAsia="宋体" w:cs="宋体"/>
          <w:color w:val="auto"/>
          <w:sz w:val="28"/>
          <w:szCs w:val="28"/>
          <w:highlight w:val="none"/>
          <w:lang w:val="en-US" w:eastAsia="zh-CN"/>
        </w:rPr>
      </w:pPr>
      <w:bookmarkStart w:id="84" w:name="_Toc12017"/>
      <w:bookmarkStart w:id="85" w:name="_Toc32362"/>
      <w:r>
        <w:rPr>
          <w:rFonts w:hint="eastAsia" w:ascii="宋体" w:hAnsi="宋体" w:eastAsia="宋体" w:cs="宋体"/>
          <w:color w:val="auto"/>
          <w:sz w:val="28"/>
          <w:szCs w:val="28"/>
          <w:highlight w:val="none"/>
          <w:lang w:val="en-US" w:eastAsia="zh-CN"/>
        </w:rPr>
        <w:t>一、项目概况</w:t>
      </w:r>
      <w:bookmarkEnd w:id="84"/>
      <w:bookmarkEnd w:id="85"/>
    </w:p>
    <w:p w14:paraId="492B61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bookmarkStart w:id="86" w:name="_Toc29806"/>
      <w:bookmarkStart w:id="87" w:name="_Toc377"/>
      <w:bookmarkStart w:id="88" w:name="_Toc3182"/>
      <w:r>
        <w:rPr>
          <w:rFonts w:hint="eastAsia" w:ascii="宋体" w:hAnsi="宋体" w:eastAsia="宋体" w:cs="宋体"/>
          <w:color w:val="auto"/>
          <w:sz w:val="24"/>
          <w:szCs w:val="24"/>
          <w:highlight w:val="none"/>
          <w:lang w:val="en-US" w:eastAsia="zh-CN"/>
        </w:rPr>
        <w:t>高新区林场桢楠多模式混交高效培育示范基地建设是“桢楠高效培育关键技术示范与推广”项目的重要组成部分，基地总面积300亩（其中桢楠+大径级马尾松100亩，桢楠+大径级马尾松+老鹰茶50亩，桢楠+大径级马尾松+红果冬青50亩，桢楠+大径级马尾松+木荷100亩）。基地现有林分主要是马尾松纯林，密度80-100株/亩，平均胸径14.5cm，平均树高11m，郁闭度0.80。根据项目实施内容及目标，每亩均匀保留40~50株马尾松作为目标树，保留区域内原有的乡土阔叶乔木树种，并补植桢楠、老鹰茶、红果冬青、木荷等树种33~55株/亩。</w:t>
      </w:r>
      <w:bookmarkEnd w:id="86"/>
    </w:p>
    <w:bookmarkEnd w:id="87"/>
    <w:bookmarkEnd w:id="88"/>
    <w:p w14:paraId="0C52AD9F">
      <w:pPr>
        <w:pStyle w:val="4"/>
        <w:spacing w:before="0" w:after="0" w:line="360" w:lineRule="auto"/>
        <w:rPr>
          <w:rFonts w:hint="eastAsia" w:ascii="宋体" w:hAnsi="宋体" w:eastAsia="宋体" w:cs="宋体"/>
          <w:color w:val="auto"/>
          <w:sz w:val="28"/>
          <w:szCs w:val="28"/>
          <w:highlight w:val="none"/>
          <w:lang w:val="en-US" w:eastAsia="zh-CN"/>
        </w:rPr>
      </w:pPr>
      <w:bookmarkStart w:id="89" w:name="_Toc19109"/>
      <w:bookmarkStart w:id="90" w:name="_Toc22649"/>
      <w:bookmarkStart w:id="91" w:name="_Toc21246"/>
      <w:bookmarkStart w:id="92" w:name="_Toc15954"/>
      <w:r>
        <w:rPr>
          <w:rFonts w:hint="eastAsia" w:ascii="宋体" w:hAnsi="宋体" w:eastAsia="宋体" w:cs="宋体"/>
          <w:color w:val="auto"/>
          <w:sz w:val="24"/>
          <w:szCs w:val="24"/>
          <w:highlight w:val="none"/>
        </w:rPr>
        <w:t>※</w:t>
      </w:r>
      <w:r>
        <w:rPr>
          <w:rFonts w:hint="eastAsia" w:ascii="宋体" w:hAnsi="宋体" w:eastAsia="宋体" w:cs="宋体"/>
          <w:color w:val="auto"/>
          <w:sz w:val="28"/>
          <w:szCs w:val="28"/>
          <w:highlight w:val="none"/>
          <w:lang w:val="en-US" w:eastAsia="zh-CN"/>
        </w:rPr>
        <w:t>二、</w:t>
      </w:r>
      <w:bookmarkEnd w:id="89"/>
      <w:bookmarkEnd w:id="90"/>
      <w:r>
        <w:rPr>
          <w:rFonts w:hint="eastAsia" w:ascii="宋体" w:hAnsi="宋体" w:eastAsia="宋体" w:cs="宋体"/>
          <w:color w:val="auto"/>
          <w:sz w:val="28"/>
          <w:szCs w:val="28"/>
          <w:highlight w:val="none"/>
          <w:lang w:val="en-US" w:eastAsia="zh-CN"/>
        </w:rPr>
        <w:t>服务内容及要求</w:t>
      </w:r>
      <w:bookmarkEnd w:id="91"/>
      <w:bookmarkEnd w:id="92"/>
    </w:p>
    <w:p w14:paraId="4F435F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主要为林木采伐、林地清理、整地、苗木栽植等，其中林木采伐300亩，采伐株数强度为45%、采伐蓄积强度为35%，共采伐约12000株、蓄积量约900立方米；林地清理面积300亩，包括采伐剩余物、灌木、藤本等清理，马尾松采伐剩余物按松材线虫疫木除治要求处理；整地面积300亩，采用穴状整地，规格40cm×40cm×50cm；苗木栽植面积300亩，栽植按项目实施方案要求执行。</w:t>
      </w:r>
    </w:p>
    <w:p w14:paraId="284BEBE6">
      <w:pPr>
        <w:pStyle w:val="4"/>
        <w:spacing w:before="0" w:after="0" w:line="360" w:lineRule="auto"/>
        <w:rPr>
          <w:rFonts w:hint="eastAsia" w:ascii="宋体" w:hAnsi="宋体" w:eastAsia="宋体" w:cs="宋体"/>
          <w:color w:val="auto"/>
          <w:sz w:val="24"/>
          <w:szCs w:val="24"/>
          <w:highlight w:val="none"/>
          <w:lang w:val="en-US" w:eastAsia="zh-CN"/>
        </w:rPr>
      </w:pPr>
      <w:bookmarkStart w:id="93" w:name="_Toc25293"/>
      <w:bookmarkStart w:id="94" w:name="_Toc30910"/>
      <w:bookmarkStart w:id="95" w:name="_Toc32440"/>
      <w:bookmarkStart w:id="96" w:name="_Toc13320"/>
      <w:r>
        <w:rPr>
          <w:rFonts w:hint="eastAsia" w:ascii="宋体" w:hAnsi="宋体" w:eastAsia="宋体" w:cs="宋体"/>
          <w:color w:val="auto"/>
          <w:sz w:val="24"/>
          <w:szCs w:val="24"/>
          <w:highlight w:val="none"/>
          <w:lang w:val="en-US" w:eastAsia="zh-CN"/>
        </w:rPr>
        <w:t>※三、</w:t>
      </w:r>
      <w:bookmarkEnd w:id="93"/>
      <w:bookmarkEnd w:id="94"/>
      <w:r>
        <w:rPr>
          <w:rFonts w:hint="eastAsia" w:ascii="宋体" w:hAnsi="宋体" w:eastAsia="宋体" w:cs="宋体"/>
          <w:color w:val="auto"/>
          <w:sz w:val="24"/>
          <w:szCs w:val="24"/>
          <w:highlight w:val="none"/>
          <w:lang w:val="en-US" w:eastAsia="zh-CN"/>
        </w:rPr>
        <w:t>服务明细及单价限价表</w:t>
      </w:r>
      <w:bookmarkEnd w:id="95"/>
      <w:bookmarkEnd w:id="96"/>
    </w:p>
    <w:tbl>
      <w:tblPr>
        <w:tblStyle w:val="17"/>
        <w:tblW w:w="4993" w:type="pct"/>
        <w:tblInd w:w="0" w:type="dxa"/>
        <w:tblLayout w:type="autofit"/>
        <w:tblCellMar>
          <w:top w:w="0" w:type="dxa"/>
          <w:left w:w="108" w:type="dxa"/>
          <w:bottom w:w="0" w:type="dxa"/>
          <w:right w:w="108" w:type="dxa"/>
        </w:tblCellMar>
      </w:tblPr>
      <w:tblGrid>
        <w:gridCol w:w="871"/>
        <w:gridCol w:w="929"/>
        <w:gridCol w:w="1210"/>
        <w:gridCol w:w="1129"/>
        <w:gridCol w:w="1129"/>
        <w:gridCol w:w="1281"/>
        <w:gridCol w:w="1397"/>
        <w:gridCol w:w="1669"/>
      </w:tblGrid>
      <w:tr w14:paraId="11753626">
        <w:tblPrEx>
          <w:tblCellMar>
            <w:top w:w="0" w:type="dxa"/>
            <w:left w:w="108" w:type="dxa"/>
            <w:bottom w:w="0" w:type="dxa"/>
            <w:right w:w="108" w:type="dxa"/>
          </w:tblCellMar>
        </w:tblPrEx>
        <w:trPr>
          <w:trHeight w:val="660"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09B6C972">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序号</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A0A7345">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项目</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29EF010">
            <w:pPr>
              <w:widowControl/>
              <w:spacing w:line="440" w:lineRule="exact"/>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eastAsia="zh-CN" w:bidi="ar"/>
              </w:rPr>
              <w:t>规模</w:t>
            </w:r>
          </w:p>
          <w:p w14:paraId="6208D834">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（m</w:t>
            </w:r>
            <w:r>
              <w:rPr>
                <w:rFonts w:hint="eastAsia" w:ascii="宋体" w:hAnsi="宋体" w:eastAsia="宋体" w:cs="宋体"/>
                <w:b w:val="0"/>
                <w:bCs w:val="0"/>
                <w:color w:val="auto"/>
                <w:kern w:val="0"/>
                <w:sz w:val="24"/>
                <w:szCs w:val="24"/>
                <w:highlight w:val="none"/>
                <w:vertAlign w:val="superscript"/>
                <w:lang w:bidi="ar"/>
              </w:rPr>
              <w:t>3</w:t>
            </w:r>
            <w:r>
              <w:rPr>
                <w:rFonts w:hint="eastAsia" w:ascii="宋体" w:hAnsi="宋体" w:eastAsia="宋体" w:cs="宋体"/>
                <w:b w:val="0"/>
                <w:bCs w:val="0"/>
                <w:color w:val="auto"/>
                <w:kern w:val="0"/>
                <w:sz w:val="24"/>
                <w:szCs w:val="24"/>
                <w:highlight w:val="none"/>
                <w:lang w:eastAsia="zh-CN" w:bidi="ar"/>
              </w:rPr>
              <w:t>或</w:t>
            </w:r>
            <w:r>
              <w:rPr>
                <w:rFonts w:hint="eastAsia" w:ascii="宋体" w:hAnsi="宋体" w:eastAsia="宋体" w:cs="宋体"/>
                <w:b w:val="0"/>
                <w:bCs w:val="0"/>
                <w:color w:val="auto"/>
                <w:kern w:val="0"/>
                <w:sz w:val="24"/>
                <w:szCs w:val="24"/>
                <w:highlight w:val="none"/>
                <w:lang w:bidi="ar"/>
              </w:rPr>
              <w:t>亩）</w:t>
            </w:r>
          </w:p>
        </w:tc>
        <w:tc>
          <w:tcPr>
            <w:tcW w:w="587" w:type="pct"/>
            <w:tcBorders>
              <w:top w:val="single" w:color="000000" w:sz="4" w:space="0"/>
              <w:left w:val="nil"/>
              <w:bottom w:val="single" w:color="000000" w:sz="4" w:space="0"/>
              <w:right w:val="single" w:color="000000" w:sz="4" w:space="0"/>
            </w:tcBorders>
            <w:noWrap w:val="0"/>
            <w:vAlign w:val="center"/>
          </w:tcPr>
          <w:p w14:paraId="1F3B8EBB">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株/亩（工日/亩）</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E1B9E32">
            <w:pPr>
              <w:widowControl/>
              <w:spacing w:line="440" w:lineRule="exact"/>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数量</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工日</w:t>
            </w:r>
            <w:r>
              <w:rPr>
                <w:rFonts w:hint="eastAsia" w:ascii="宋体" w:hAnsi="宋体" w:eastAsia="宋体" w:cs="宋体"/>
                <w:b w:val="0"/>
                <w:bCs w:val="0"/>
                <w:color w:val="auto"/>
                <w:kern w:val="0"/>
                <w:sz w:val="24"/>
                <w:szCs w:val="24"/>
                <w:highlight w:val="none"/>
                <w:lang w:eastAsia="zh-CN" w:bidi="ar"/>
              </w:rPr>
              <w:t>）</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1E0E634">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单价</w:t>
            </w:r>
            <w:r>
              <w:rPr>
                <w:rFonts w:hint="eastAsia" w:ascii="宋体" w:hAnsi="宋体" w:eastAsia="宋体" w:cs="宋体"/>
                <w:b w:val="0"/>
                <w:bCs w:val="0"/>
                <w:color w:val="auto"/>
                <w:kern w:val="0"/>
                <w:sz w:val="24"/>
                <w:szCs w:val="24"/>
                <w:highlight w:val="none"/>
                <w:lang w:val="en-US" w:eastAsia="zh-CN" w:bidi="ar"/>
              </w:rPr>
              <w:t>限价</w:t>
            </w:r>
            <w:r>
              <w:rPr>
                <w:rFonts w:hint="eastAsia" w:ascii="宋体" w:hAnsi="宋体" w:eastAsia="宋体" w:cs="宋体"/>
                <w:b w:val="0"/>
                <w:bCs w:val="0"/>
                <w:color w:val="auto"/>
                <w:kern w:val="0"/>
                <w:sz w:val="24"/>
                <w:szCs w:val="24"/>
                <w:highlight w:val="none"/>
                <w:lang w:bidi="ar"/>
              </w:rPr>
              <w:t>（元</w:t>
            </w:r>
            <w:r>
              <w:rPr>
                <w:rFonts w:hint="eastAsia" w:ascii="宋体" w:hAnsi="宋体" w:eastAsia="宋体" w:cs="宋体"/>
                <w:b w:val="0"/>
                <w:bCs w:val="0"/>
                <w:color w:val="auto"/>
                <w:kern w:val="0"/>
                <w:sz w:val="24"/>
                <w:szCs w:val="24"/>
                <w:highlight w:val="none"/>
                <w:lang w:val="en-US" w:eastAsia="zh-CN" w:bidi="ar"/>
              </w:rPr>
              <w:t>/工日</w:t>
            </w:r>
            <w:r>
              <w:rPr>
                <w:rFonts w:hint="eastAsia" w:ascii="宋体" w:hAnsi="宋体" w:eastAsia="宋体" w:cs="宋体"/>
                <w:b w:val="0"/>
                <w:bCs w:val="0"/>
                <w:color w:val="auto"/>
                <w:kern w:val="0"/>
                <w:sz w:val="24"/>
                <w:szCs w:val="24"/>
                <w:highlight w:val="none"/>
                <w:lang w:bidi="ar"/>
              </w:rPr>
              <w:t>）</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6C7F6EE8">
            <w:pPr>
              <w:widowControl/>
              <w:spacing w:line="440" w:lineRule="exact"/>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合计（元）</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14:paraId="5A8A2735">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备注</w:t>
            </w:r>
          </w:p>
        </w:tc>
      </w:tr>
      <w:tr w14:paraId="602F7DA1">
        <w:tblPrEx>
          <w:tblCellMar>
            <w:top w:w="0" w:type="dxa"/>
            <w:left w:w="108" w:type="dxa"/>
            <w:bottom w:w="0" w:type="dxa"/>
            <w:right w:w="108" w:type="dxa"/>
          </w:tblCellMar>
        </w:tblPrEx>
        <w:trPr>
          <w:trHeight w:val="402"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1525163A">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4CD9E07">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采伐</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B04A500">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900</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56C7CFA">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05A61A7F">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2700</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2CE7ED2C">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120</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14E2CB21">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324000.00</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14:paraId="1DC1E306">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木材搬运到路边集中堆放</w:t>
            </w:r>
          </w:p>
        </w:tc>
      </w:tr>
      <w:tr w14:paraId="2E8CA173">
        <w:tblPrEx>
          <w:tblCellMar>
            <w:top w:w="0" w:type="dxa"/>
            <w:left w:w="108" w:type="dxa"/>
            <w:bottom w:w="0" w:type="dxa"/>
            <w:right w:w="108" w:type="dxa"/>
          </w:tblCellMar>
        </w:tblPrEx>
        <w:trPr>
          <w:trHeight w:val="402"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128D26D8">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2</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03734DD">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eastAsia="zh-CN" w:bidi="ar"/>
              </w:rPr>
              <w:t>林地清理</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53C114D">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3374D122">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1.5</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A369656">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450</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F620530">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120</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0E4C1D1F">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54000.00</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14:paraId="0BA79F75">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剩余物</w:t>
            </w:r>
            <w:r>
              <w:rPr>
                <w:rFonts w:hint="eastAsia" w:ascii="宋体" w:hAnsi="宋体" w:eastAsia="宋体" w:cs="宋体"/>
                <w:b w:val="0"/>
                <w:bCs w:val="0"/>
                <w:color w:val="auto"/>
                <w:kern w:val="0"/>
                <w:sz w:val="24"/>
                <w:szCs w:val="24"/>
                <w:highlight w:val="none"/>
                <w:lang w:eastAsia="zh-CN" w:bidi="ar"/>
              </w:rPr>
              <w:t>按照相关要求</w:t>
            </w:r>
            <w:r>
              <w:rPr>
                <w:rFonts w:hint="eastAsia" w:ascii="宋体" w:hAnsi="宋体" w:eastAsia="宋体" w:cs="宋体"/>
                <w:b w:val="0"/>
                <w:bCs w:val="0"/>
                <w:color w:val="auto"/>
                <w:kern w:val="0"/>
                <w:sz w:val="24"/>
                <w:szCs w:val="24"/>
                <w:highlight w:val="none"/>
                <w:lang w:bidi="ar"/>
              </w:rPr>
              <w:t>处理</w:t>
            </w:r>
          </w:p>
        </w:tc>
      </w:tr>
      <w:tr w14:paraId="5DC1E59F">
        <w:tblPrEx>
          <w:tblCellMar>
            <w:top w:w="0" w:type="dxa"/>
            <w:left w:w="108" w:type="dxa"/>
            <w:bottom w:w="0" w:type="dxa"/>
            <w:right w:w="108" w:type="dxa"/>
          </w:tblCellMar>
        </w:tblPrEx>
        <w:trPr>
          <w:trHeight w:val="402"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0A2D5C60">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3</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17DA21A1">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整地</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36A56CB">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79D90F21">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68547926">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A40CBAD">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120</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09232FD6">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36000.00</w:t>
            </w:r>
          </w:p>
        </w:tc>
        <w:tc>
          <w:tcPr>
            <w:tcW w:w="867" w:type="pct"/>
            <w:tcBorders>
              <w:top w:val="single" w:color="000000" w:sz="4" w:space="0"/>
              <w:left w:val="single" w:color="000000" w:sz="4" w:space="0"/>
              <w:bottom w:val="single" w:color="000000" w:sz="4" w:space="0"/>
              <w:right w:val="single" w:color="000000" w:sz="4" w:space="0"/>
            </w:tcBorders>
            <w:noWrap w:val="0"/>
            <w:vAlign w:val="center"/>
          </w:tcPr>
          <w:p w14:paraId="022D457E">
            <w:pPr>
              <w:spacing w:line="440" w:lineRule="exact"/>
              <w:jc w:val="center"/>
              <w:rPr>
                <w:rFonts w:hint="eastAsia" w:ascii="宋体" w:hAnsi="宋体" w:eastAsia="宋体" w:cs="宋体"/>
                <w:b w:val="0"/>
                <w:bCs w:val="0"/>
                <w:color w:val="auto"/>
                <w:kern w:val="2"/>
                <w:sz w:val="24"/>
                <w:szCs w:val="24"/>
                <w:highlight w:val="none"/>
                <w:lang w:val="en-US" w:eastAsia="zh-CN" w:bidi="ar-SA"/>
              </w:rPr>
            </w:pPr>
          </w:p>
        </w:tc>
      </w:tr>
      <w:tr w14:paraId="43A2BE06">
        <w:tblPrEx>
          <w:tblCellMar>
            <w:top w:w="0" w:type="dxa"/>
            <w:left w:w="108" w:type="dxa"/>
            <w:bottom w:w="0" w:type="dxa"/>
            <w:right w:w="108" w:type="dxa"/>
          </w:tblCellMar>
        </w:tblPrEx>
        <w:trPr>
          <w:trHeight w:val="402"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5CD835B2">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CFB01D6">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栽植</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56310D9">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01E10B1">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430D51E1">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2B4046F8">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120</w:t>
            </w:r>
          </w:p>
        </w:tc>
        <w:tc>
          <w:tcPr>
            <w:tcW w:w="726" w:type="pct"/>
            <w:tcBorders>
              <w:top w:val="single" w:color="000000" w:sz="4" w:space="0"/>
              <w:left w:val="single" w:color="000000" w:sz="4" w:space="0"/>
              <w:bottom w:val="single" w:color="000000" w:sz="4" w:space="0"/>
              <w:right w:val="single" w:color="auto" w:sz="4" w:space="0"/>
            </w:tcBorders>
            <w:noWrap w:val="0"/>
            <w:vAlign w:val="center"/>
          </w:tcPr>
          <w:p w14:paraId="6151CB54">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36000.00</w:t>
            </w:r>
          </w:p>
        </w:tc>
        <w:tc>
          <w:tcPr>
            <w:tcW w:w="867" w:type="pct"/>
            <w:tcBorders>
              <w:top w:val="single" w:color="000000" w:sz="4" w:space="0"/>
              <w:left w:val="single" w:color="auto" w:sz="4" w:space="0"/>
              <w:bottom w:val="single" w:color="000000" w:sz="4" w:space="0"/>
              <w:right w:val="single" w:color="000000" w:sz="4" w:space="0"/>
            </w:tcBorders>
            <w:noWrap w:val="0"/>
            <w:vAlign w:val="center"/>
          </w:tcPr>
          <w:p w14:paraId="3D612CC0">
            <w:pPr>
              <w:spacing w:line="440" w:lineRule="exact"/>
              <w:jc w:val="center"/>
              <w:rPr>
                <w:rFonts w:hint="eastAsia" w:ascii="宋体" w:hAnsi="宋体" w:eastAsia="宋体" w:cs="宋体"/>
                <w:b w:val="0"/>
                <w:bCs w:val="0"/>
                <w:color w:val="auto"/>
                <w:kern w:val="2"/>
                <w:sz w:val="24"/>
                <w:szCs w:val="24"/>
                <w:highlight w:val="none"/>
                <w:lang w:val="en-US" w:eastAsia="zh-CN" w:bidi="ar-SA"/>
              </w:rPr>
            </w:pPr>
          </w:p>
        </w:tc>
      </w:tr>
      <w:tr w14:paraId="0176074A">
        <w:tblPrEx>
          <w:tblCellMar>
            <w:top w:w="0" w:type="dxa"/>
            <w:left w:w="108" w:type="dxa"/>
            <w:bottom w:w="0" w:type="dxa"/>
            <w:right w:w="108" w:type="dxa"/>
          </w:tblCellMar>
        </w:tblPrEx>
        <w:trPr>
          <w:trHeight w:val="402" w:hRule="atLeast"/>
        </w:trPr>
        <w:tc>
          <w:tcPr>
            <w:tcW w:w="3405" w:type="pct"/>
            <w:gridSpan w:val="6"/>
            <w:tcBorders>
              <w:top w:val="single" w:color="000000" w:sz="4" w:space="0"/>
              <w:left w:val="single" w:color="000000" w:sz="4" w:space="0"/>
              <w:bottom w:val="single" w:color="000000" w:sz="4" w:space="0"/>
              <w:right w:val="single" w:color="000000" w:sz="4" w:space="0"/>
            </w:tcBorders>
            <w:noWrap w:val="0"/>
            <w:vAlign w:val="center"/>
          </w:tcPr>
          <w:p w14:paraId="4B84CF07">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总价限价（元）</w:t>
            </w:r>
          </w:p>
        </w:tc>
        <w:tc>
          <w:tcPr>
            <w:tcW w:w="726" w:type="pct"/>
            <w:tcBorders>
              <w:top w:val="single" w:color="000000" w:sz="4" w:space="0"/>
              <w:left w:val="single" w:color="000000" w:sz="4" w:space="0"/>
              <w:bottom w:val="single" w:color="000000" w:sz="4" w:space="0"/>
              <w:right w:val="single" w:color="auto" w:sz="4" w:space="0"/>
            </w:tcBorders>
            <w:noWrap w:val="0"/>
            <w:vAlign w:val="center"/>
          </w:tcPr>
          <w:p w14:paraId="663C122B">
            <w:pPr>
              <w:spacing w:line="44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450000.00</w:t>
            </w:r>
          </w:p>
        </w:tc>
        <w:tc>
          <w:tcPr>
            <w:tcW w:w="867" w:type="pct"/>
            <w:tcBorders>
              <w:top w:val="single" w:color="000000" w:sz="4" w:space="0"/>
              <w:left w:val="single" w:color="auto" w:sz="4" w:space="0"/>
              <w:bottom w:val="single" w:color="000000" w:sz="4" w:space="0"/>
              <w:right w:val="single" w:color="000000" w:sz="4" w:space="0"/>
            </w:tcBorders>
            <w:noWrap w:val="0"/>
            <w:vAlign w:val="center"/>
          </w:tcPr>
          <w:p w14:paraId="246EBC29">
            <w:pPr>
              <w:spacing w:line="440" w:lineRule="exact"/>
              <w:jc w:val="center"/>
              <w:rPr>
                <w:rFonts w:hint="eastAsia" w:ascii="宋体" w:hAnsi="宋体" w:eastAsia="宋体" w:cs="宋体"/>
                <w:b w:val="0"/>
                <w:bCs w:val="0"/>
                <w:color w:val="auto"/>
                <w:kern w:val="2"/>
                <w:sz w:val="24"/>
                <w:szCs w:val="24"/>
                <w:highlight w:val="none"/>
                <w:lang w:val="en-US" w:eastAsia="zh-CN" w:bidi="ar-SA"/>
              </w:rPr>
            </w:pPr>
          </w:p>
        </w:tc>
      </w:tr>
    </w:tbl>
    <w:p w14:paraId="7F6EF1AE">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注：1.竞标人所报的竞标总报价和单价均不能超过最高限价，任何一项超过的，均作为无效响应处理</w:t>
      </w:r>
      <w:r>
        <w:rPr>
          <w:rFonts w:hint="eastAsia" w:ascii="宋体" w:hAnsi="宋体" w:eastAsia="宋体" w:cs="宋体"/>
          <w:color w:val="auto"/>
          <w:kern w:val="0"/>
          <w:sz w:val="24"/>
          <w:szCs w:val="24"/>
          <w:highlight w:val="none"/>
          <w:lang w:val="en-US" w:eastAsia="zh-CN"/>
        </w:rPr>
        <w:t>。2.以上工日为暂定数量，结算时按实际产生的工日进行据</w:t>
      </w:r>
      <w:bookmarkStart w:id="301" w:name="_GoBack"/>
      <w:bookmarkEnd w:id="301"/>
      <w:r>
        <w:rPr>
          <w:rFonts w:hint="eastAsia" w:ascii="宋体" w:hAnsi="宋体" w:eastAsia="宋体" w:cs="宋体"/>
          <w:color w:val="auto"/>
          <w:kern w:val="0"/>
          <w:sz w:val="24"/>
          <w:szCs w:val="24"/>
          <w:highlight w:val="none"/>
          <w:lang w:val="en-US" w:eastAsia="zh-CN"/>
        </w:rPr>
        <w:t>实结算。</w:t>
      </w:r>
    </w:p>
    <w:p w14:paraId="1C36E24C">
      <w:pPr>
        <w:pStyle w:val="4"/>
        <w:spacing w:before="0" w:after="0" w:line="360" w:lineRule="auto"/>
        <w:rPr>
          <w:rFonts w:hint="eastAsia" w:ascii="宋体" w:hAnsi="宋体" w:eastAsia="宋体" w:cs="宋体"/>
          <w:color w:val="auto"/>
          <w:sz w:val="24"/>
          <w:szCs w:val="24"/>
          <w:highlight w:val="none"/>
          <w:lang w:val="en-US" w:eastAsia="zh-CN"/>
        </w:rPr>
      </w:pPr>
      <w:bookmarkStart w:id="97" w:name="_Toc7620"/>
      <w:bookmarkStart w:id="98" w:name="_Toc18970"/>
      <w:r>
        <w:rPr>
          <w:rFonts w:hint="eastAsia" w:ascii="宋体" w:hAnsi="宋体" w:eastAsia="宋体" w:cs="宋体"/>
          <w:color w:val="auto"/>
          <w:sz w:val="24"/>
          <w:szCs w:val="24"/>
          <w:highlight w:val="none"/>
          <w:lang w:val="en-US" w:eastAsia="zh-CN"/>
        </w:rPr>
        <w:t>※四、安全要求</w:t>
      </w:r>
      <w:bookmarkEnd w:id="97"/>
      <w:bookmarkEnd w:id="98"/>
    </w:p>
    <w:p w14:paraId="249443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竞标人对施工安全（包含但不仅限于施工现场及施工周边的施工人身安全、行人安全等）负责，若发生安全事故及造成的经济损失，一切责任由竞标人全部承担，比选人不承担任何责任。</w:t>
      </w:r>
    </w:p>
    <w:p w14:paraId="616734D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bookmarkEnd w:id="82"/>
    <w:bookmarkEnd w:id="83"/>
    <w:p w14:paraId="27CCA169">
      <w:pPr>
        <w:pStyle w:val="2"/>
        <w:jc w:val="center"/>
        <w:rPr>
          <w:rFonts w:hint="eastAsia" w:ascii="宋体" w:hAnsi="宋体" w:eastAsia="宋体" w:cs="宋体"/>
          <w:b/>
          <w:bCs/>
          <w:color w:val="auto"/>
          <w:sz w:val="36"/>
          <w:szCs w:val="36"/>
        </w:rPr>
      </w:pPr>
      <w:bookmarkStart w:id="99" w:name="_Toc344475120"/>
      <w:bookmarkEnd w:id="99"/>
      <w:bookmarkStart w:id="100" w:name="_Toc76462332"/>
      <w:bookmarkEnd w:id="100"/>
      <w:bookmarkStart w:id="101" w:name="_Toc106030887"/>
      <w:bookmarkEnd w:id="101"/>
      <w:bookmarkStart w:id="102" w:name="_Toc9477"/>
      <w:bookmarkEnd w:id="102"/>
      <w:bookmarkStart w:id="103" w:name="_Toc106030883"/>
      <w:bookmarkEnd w:id="103"/>
      <w:bookmarkStart w:id="104" w:name="_Toc28019"/>
      <w:bookmarkEnd w:id="104"/>
      <w:bookmarkStart w:id="105" w:name="_Toc76462328"/>
      <w:bookmarkEnd w:id="105"/>
      <w:bookmarkStart w:id="106" w:name="_Toc1474"/>
      <w:bookmarkStart w:id="107" w:name="_Toc20637"/>
      <w:bookmarkStart w:id="108" w:name="_Toc14704"/>
      <w:bookmarkStart w:id="109" w:name="_Toc28038"/>
      <w:bookmarkStart w:id="110" w:name="_Toc7350"/>
      <w:bookmarkStart w:id="111" w:name="_Toc14065"/>
      <w:bookmarkStart w:id="112" w:name="_Toc11660"/>
      <w:bookmarkStart w:id="113" w:name="_Toc12819"/>
      <w:r>
        <w:rPr>
          <w:rFonts w:hint="eastAsia" w:ascii="宋体" w:hAnsi="宋体" w:eastAsia="宋体" w:cs="宋体"/>
          <w:b/>
          <w:bCs/>
          <w:color w:val="auto"/>
          <w:sz w:val="36"/>
          <w:szCs w:val="36"/>
        </w:rPr>
        <w:t>第三篇 项目商务需求</w:t>
      </w:r>
      <w:bookmarkEnd w:id="106"/>
      <w:bookmarkEnd w:id="107"/>
      <w:bookmarkEnd w:id="108"/>
      <w:bookmarkEnd w:id="109"/>
      <w:bookmarkEnd w:id="110"/>
      <w:bookmarkEnd w:id="111"/>
    </w:p>
    <w:p w14:paraId="7326B691">
      <w:pPr>
        <w:rPr>
          <w:rFonts w:hint="eastAsia" w:ascii="宋体" w:hAnsi="宋体" w:eastAsia="宋体" w:cs="宋体"/>
          <w:color w:val="auto"/>
        </w:rPr>
      </w:pPr>
    </w:p>
    <w:p w14:paraId="72179B96">
      <w:pPr>
        <w:pStyle w:val="11"/>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“※”标注的商务需求为符合性审查中的实质性要求，</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若不满足按无效响应处理。</w:t>
      </w:r>
    </w:p>
    <w:p w14:paraId="6B640086">
      <w:pPr>
        <w:pStyle w:val="4"/>
        <w:spacing w:before="0" w:after="0" w:line="360" w:lineRule="auto"/>
        <w:rPr>
          <w:rFonts w:hint="eastAsia" w:ascii="宋体" w:hAnsi="宋体" w:eastAsia="宋体" w:cs="宋体"/>
          <w:color w:val="auto"/>
          <w:sz w:val="24"/>
          <w:szCs w:val="24"/>
          <w:highlight w:val="none"/>
          <w:lang w:val="en-US" w:eastAsia="zh-CN"/>
        </w:rPr>
      </w:pPr>
      <w:bookmarkStart w:id="114" w:name="_Toc5735"/>
      <w:bookmarkStart w:id="115" w:name="_Toc11446"/>
      <w:bookmarkStart w:id="116" w:name="_Toc7282"/>
      <w:bookmarkStart w:id="117" w:name="_Toc6954"/>
      <w:bookmarkStart w:id="118" w:name="_Toc5353"/>
      <w:bookmarkStart w:id="119" w:name="_Toc866"/>
      <w:bookmarkStart w:id="120" w:name="_Toc20312"/>
      <w:bookmarkStart w:id="121" w:name="_Toc944"/>
      <w:bookmarkStart w:id="122" w:name="_Toc20282"/>
      <w:bookmarkStart w:id="123" w:name="_Toc30350"/>
      <w:bookmarkStart w:id="124" w:name="_Toc110431600"/>
      <w:bookmarkStart w:id="125" w:name="_Toc16517"/>
      <w:bookmarkStart w:id="126" w:name="_Toc12972"/>
      <w:bookmarkStart w:id="127" w:name="_Toc18415"/>
      <w:bookmarkStart w:id="128" w:name="_Toc16795"/>
      <w:bookmarkStart w:id="129" w:name="_Toc14571"/>
      <w:bookmarkStart w:id="130" w:name="_Toc3386"/>
      <w:bookmarkStart w:id="131" w:name="_Toc14170"/>
      <w:bookmarkStart w:id="132" w:name="_Toc26077"/>
      <w:bookmarkStart w:id="133" w:name="_Toc65662732"/>
      <w:r>
        <w:rPr>
          <w:rFonts w:hint="eastAsia" w:ascii="宋体" w:hAnsi="宋体" w:eastAsia="宋体" w:cs="宋体"/>
          <w:color w:val="auto"/>
          <w:sz w:val="24"/>
          <w:szCs w:val="24"/>
          <w:highlight w:val="none"/>
          <w:lang w:val="en-US" w:eastAsia="zh-CN"/>
        </w:rPr>
        <w:t>※一、服务时间、服务地点及验收方式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2BE2893">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服务时间：</w:t>
      </w:r>
      <w:r>
        <w:rPr>
          <w:rFonts w:hint="eastAsia" w:ascii="宋体" w:hAnsi="宋体" w:cs="宋体"/>
          <w:color w:val="auto"/>
          <w:sz w:val="24"/>
          <w:szCs w:val="24"/>
          <w:highlight w:val="none"/>
          <w:lang w:val="en-US" w:eastAsia="zh-CN"/>
        </w:rPr>
        <w:t>2026年7月1日-2026年12月31日</w:t>
      </w:r>
      <w:r>
        <w:rPr>
          <w:rFonts w:hint="eastAsia" w:ascii="宋体" w:hAnsi="宋体" w:eastAsia="宋体" w:cs="宋体"/>
          <w:color w:val="auto"/>
          <w:sz w:val="24"/>
          <w:szCs w:val="24"/>
          <w:highlight w:val="none"/>
          <w:lang w:val="en-US" w:eastAsia="zh-CN"/>
        </w:rPr>
        <w:t>。</w:t>
      </w:r>
    </w:p>
    <w:p w14:paraId="141B684B">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点：重庆市高新区。</w:t>
      </w:r>
    </w:p>
    <w:p w14:paraId="58EAE5B1">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（三）验收方式：由</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按照相关规定验收，</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予以协助</w:t>
      </w:r>
      <w:r>
        <w:rPr>
          <w:rFonts w:hint="eastAsia" w:ascii="宋体" w:hAnsi="宋体" w:eastAsia="宋体" w:cs="宋体"/>
          <w:color w:val="auto"/>
          <w:sz w:val="24"/>
          <w:szCs w:val="24"/>
          <w:highlight w:val="none"/>
          <w:lang w:eastAsia="zh-CN"/>
        </w:rPr>
        <w:t>。</w:t>
      </w:r>
    </w:p>
    <w:p w14:paraId="788BA550">
      <w:pPr>
        <w:pStyle w:val="4"/>
        <w:spacing w:before="0" w:after="0" w:line="360" w:lineRule="auto"/>
        <w:rPr>
          <w:rFonts w:hint="eastAsia" w:ascii="宋体" w:hAnsi="宋体" w:eastAsia="宋体" w:cs="宋体"/>
          <w:color w:val="auto"/>
          <w:sz w:val="24"/>
          <w:szCs w:val="24"/>
          <w:highlight w:val="none"/>
          <w:lang w:val="en-US" w:eastAsia="zh-CN"/>
        </w:rPr>
      </w:pPr>
      <w:bookmarkStart w:id="134" w:name="_Toc344475121"/>
      <w:bookmarkStart w:id="135" w:name="_Toc65682905"/>
      <w:bookmarkStart w:id="136" w:name="_Toc6157"/>
      <w:bookmarkStart w:id="137" w:name="_Toc7437"/>
      <w:bookmarkStart w:id="138" w:name="_Toc31109"/>
      <w:bookmarkStart w:id="139" w:name="_Toc6735"/>
      <w:bookmarkStart w:id="140" w:name="_Toc25345"/>
      <w:bookmarkStart w:id="141" w:name="_Toc32321"/>
      <w:bookmarkStart w:id="142" w:name="_Toc3689"/>
      <w:bookmarkStart w:id="143" w:name="_Toc107221376"/>
      <w:bookmarkStart w:id="144" w:name="_Toc9057"/>
      <w:bookmarkStart w:id="145" w:name="_Toc1835"/>
      <w:bookmarkStart w:id="146" w:name="_Toc5750"/>
      <w:bookmarkStart w:id="147" w:name="_Toc21511826"/>
      <w:bookmarkStart w:id="148" w:name="_Toc25191"/>
      <w:bookmarkStart w:id="149" w:name="_Toc23332"/>
      <w:bookmarkStart w:id="150" w:name="_Toc110431601"/>
      <w:r>
        <w:rPr>
          <w:rFonts w:hint="eastAsia" w:ascii="宋体" w:hAnsi="宋体" w:eastAsia="宋体" w:cs="宋体"/>
          <w:color w:val="auto"/>
          <w:sz w:val="24"/>
          <w:szCs w:val="24"/>
          <w:highlight w:val="none"/>
          <w:lang w:val="en-US" w:eastAsia="zh-CN"/>
        </w:rPr>
        <w:t>※二、</w:t>
      </w:r>
      <w:bookmarkEnd w:id="134"/>
      <w:r>
        <w:rPr>
          <w:rFonts w:hint="eastAsia" w:ascii="宋体" w:hAnsi="宋体" w:eastAsia="宋体" w:cs="宋体"/>
          <w:color w:val="auto"/>
          <w:sz w:val="24"/>
          <w:szCs w:val="24"/>
          <w:highlight w:val="none"/>
          <w:lang w:val="en-US" w:eastAsia="zh-CN"/>
        </w:rPr>
        <w:t>报价要求</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0ED287C">
      <w:pPr>
        <w:snapToGrid w:val="0"/>
        <w:spacing w:line="360" w:lineRule="auto"/>
        <w:ind w:firstLine="540"/>
        <w:rPr>
          <w:rFonts w:hint="eastAsia" w:ascii="宋体" w:hAnsi="宋体" w:eastAsia="宋体" w:cs="宋体"/>
          <w:color w:val="auto"/>
          <w:sz w:val="24"/>
          <w:szCs w:val="24"/>
          <w:highlight w:val="none"/>
        </w:rPr>
      </w:pPr>
      <w:bookmarkStart w:id="151" w:name="_Toc107221377"/>
      <w:bookmarkStart w:id="152" w:name="_Toc11043160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本次报价须为人民币报价，</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总报价包括完成本项目所需的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服务费、</w:t>
      </w:r>
      <w:r>
        <w:rPr>
          <w:rFonts w:hint="eastAsia" w:ascii="宋体" w:hAnsi="宋体" w:eastAsia="宋体" w:cs="宋体"/>
          <w:color w:val="auto"/>
          <w:sz w:val="24"/>
          <w:szCs w:val="24"/>
          <w:highlight w:val="none"/>
          <w:lang w:val="en-US" w:eastAsia="zh-CN"/>
        </w:rPr>
        <w:t>人工费、</w:t>
      </w:r>
      <w:r>
        <w:rPr>
          <w:rFonts w:hint="eastAsia" w:ascii="宋体" w:hAnsi="宋体" w:eastAsia="宋体" w:cs="宋体"/>
          <w:color w:val="auto"/>
          <w:sz w:val="24"/>
          <w:szCs w:val="24"/>
          <w:highlight w:val="none"/>
        </w:rPr>
        <w:t>运输费、采伐费、设备费、税费等全部工作费用，因</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自身原因造成漏报、少报皆由其自行承担责任，</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不再补偿。</w:t>
      </w:r>
    </w:p>
    <w:p w14:paraId="5C2CC79A">
      <w:pPr>
        <w:snapToGrid w:val="0"/>
        <w:spacing w:line="360" w:lineRule="auto"/>
        <w:ind w:firstLine="5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2.竞标人所报的竞标总报价和单价均不能超过最高限价，任何一项超过的，均作为无效响应处理。</w:t>
      </w:r>
    </w:p>
    <w:p w14:paraId="5781DF67">
      <w:pPr>
        <w:pStyle w:val="4"/>
        <w:spacing w:before="0" w:after="0" w:line="360" w:lineRule="auto"/>
        <w:rPr>
          <w:rFonts w:hint="eastAsia" w:ascii="宋体" w:hAnsi="宋体" w:eastAsia="宋体" w:cs="宋体"/>
          <w:color w:val="auto"/>
          <w:sz w:val="24"/>
          <w:szCs w:val="24"/>
          <w:highlight w:val="none"/>
          <w:lang w:val="en-US" w:eastAsia="zh-CN"/>
        </w:rPr>
      </w:pPr>
      <w:bookmarkStart w:id="153" w:name="_Toc15982"/>
      <w:bookmarkStart w:id="154" w:name="_Toc22735"/>
      <w:r>
        <w:rPr>
          <w:rFonts w:hint="eastAsia" w:ascii="宋体" w:hAnsi="宋体" w:eastAsia="宋体" w:cs="宋体"/>
          <w:color w:val="auto"/>
          <w:sz w:val="24"/>
          <w:szCs w:val="24"/>
          <w:highlight w:val="none"/>
          <w:lang w:val="en-US" w:eastAsia="zh-CN"/>
        </w:rPr>
        <w:t>※三、</w:t>
      </w:r>
      <w:bookmarkEnd w:id="151"/>
      <w:bookmarkStart w:id="155" w:name="_Toc65682906"/>
      <w:bookmarkStart w:id="156" w:name="_Toc31975"/>
      <w:bookmarkStart w:id="157" w:name="_Toc107221378"/>
      <w:bookmarkStart w:id="158" w:name="_Toc25313"/>
      <w:bookmarkStart w:id="159" w:name="_Toc29688"/>
      <w:bookmarkStart w:id="160" w:name="_Toc17391"/>
      <w:bookmarkStart w:id="161" w:name="_Toc11498"/>
      <w:bookmarkStart w:id="162" w:name="_Toc29045"/>
      <w:bookmarkStart w:id="163" w:name="_Toc17568"/>
      <w:bookmarkStart w:id="164" w:name="_Toc14849"/>
      <w:bookmarkStart w:id="165" w:name="_Toc8225"/>
      <w:bookmarkStart w:id="166" w:name="_Toc22212"/>
      <w:r>
        <w:rPr>
          <w:rFonts w:hint="eastAsia" w:ascii="宋体" w:hAnsi="宋体" w:eastAsia="宋体" w:cs="宋体"/>
          <w:color w:val="auto"/>
          <w:sz w:val="24"/>
          <w:szCs w:val="24"/>
          <w:highlight w:val="none"/>
          <w:lang w:val="en-US" w:eastAsia="zh-CN"/>
        </w:rPr>
        <w:t>履约担保</w:t>
      </w:r>
      <w:bookmarkEnd w:id="153"/>
      <w:bookmarkEnd w:id="154"/>
    </w:p>
    <w:p w14:paraId="73A994AD">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（一）履约担保的金额：</w:t>
      </w:r>
      <w:r>
        <w:rPr>
          <w:rFonts w:hint="eastAsia" w:hAnsi="宋体" w:eastAsia="宋体" w:cs="宋体"/>
          <w:color w:val="auto"/>
          <w:sz w:val="24"/>
          <w:szCs w:val="24"/>
          <w:highlight w:val="none"/>
          <w:lang w:val="en-US" w:eastAsia="zh-CN"/>
        </w:rPr>
        <w:t>中选</w:t>
      </w:r>
      <w:r>
        <w:rPr>
          <w:rFonts w:hint="eastAsia" w:ascii="宋体" w:hAnsi="宋体" w:eastAsia="宋体" w:cs="宋体"/>
          <w:color w:val="auto"/>
          <w:sz w:val="24"/>
          <w:szCs w:val="24"/>
          <w:highlight w:val="none"/>
        </w:rPr>
        <w:t>合同金额的10%。</w:t>
      </w:r>
    </w:p>
    <w:p w14:paraId="0D45AEE6">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（二）履约担保的形式：</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只接受</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以支票、汇票、本票或者金融机构、担保机构出具的保函等非现金形式提交的履约保证金。</w:t>
      </w:r>
    </w:p>
    <w:p w14:paraId="46B94C20">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（1）具体要求：履约保函的开立人应当是具有相应资格的银行、保险机构、融资担保公司，其信用资质、履约能力、担保能力、赔付流程、安全保密等应符合履约保函业务条件。履约保函应合法合规，符合</w:t>
      </w:r>
      <w:r>
        <w:rPr>
          <w:rFonts w:hint="eastAsia" w:hAnsi="宋体" w:eastAsia="宋体" w:cs="宋体"/>
          <w:color w:val="auto"/>
          <w:sz w:val="24"/>
          <w:szCs w:val="24"/>
          <w:highlight w:val="none"/>
          <w:lang w:val="en-US" w:eastAsia="zh-CN"/>
        </w:rPr>
        <w:t>比选人</w:t>
      </w:r>
      <w:r>
        <w:rPr>
          <w:rFonts w:hint="eastAsia" w:ascii="宋体" w:hAnsi="宋体" w:eastAsia="宋体" w:cs="宋体"/>
          <w:color w:val="auto"/>
          <w:sz w:val="24"/>
          <w:szCs w:val="24"/>
          <w:highlight w:val="none"/>
        </w:rPr>
        <w:t>和金融监管部门的相关规定，满足</w:t>
      </w:r>
      <w:r>
        <w:rPr>
          <w:rFonts w:hint="eastAsia"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约定要求。</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应选择在渝依法设立总部或者设有分支机构的金融机构开具履约保函（包括纸质保函或电子保函）。履约保函为纸质保函的，</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应提供该纸质保函在重庆市辖区范围内的核验地址和核验方式，并确保该纸质保函能在开立人在渝的总部或者分支机构进行核验。</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对所提交的履约保函的真实性、合法性、有效性负责。</w:t>
      </w:r>
    </w:p>
    <w:p w14:paraId="3DD1D237">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（三）履约担保的提交时间：</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应当自</w:t>
      </w:r>
      <w:r>
        <w:rPr>
          <w:rFonts w:hint="eastAsia" w:hAnsi="宋体" w:eastAsia="宋体" w:cs="宋体"/>
          <w:color w:val="auto"/>
          <w:sz w:val="24"/>
          <w:szCs w:val="24"/>
          <w:highlight w:val="none"/>
          <w:lang w:eastAsia="zh-CN"/>
        </w:rPr>
        <w:t>中选通知书</w:t>
      </w:r>
      <w:r>
        <w:rPr>
          <w:rFonts w:hint="eastAsia" w:ascii="宋体" w:hAnsi="宋体" w:eastAsia="宋体" w:cs="宋体"/>
          <w:color w:val="auto"/>
          <w:sz w:val="24"/>
          <w:szCs w:val="24"/>
          <w:highlight w:val="none"/>
        </w:rPr>
        <w:t>（无论</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领取与否，</w:t>
      </w:r>
      <w:r>
        <w:rPr>
          <w:rFonts w:hint="eastAsia" w:hAnsi="宋体" w:eastAsia="宋体" w:cs="宋体"/>
          <w:color w:val="auto"/>
          <w:sz w:val="24"/>
          <w:szCs w:val="24"/>
          <w:highlight w:val="none"/>
          <w:lang w:eastAsia="zh-CN"/>
        </w:rPr>
        <w:t>中选通知书</w:t>
      </w:r>
      <w:r>
        <w:rPr>
          <w:rFonts w:hint="eastAsia" w:ascii="宋体" w:hAnsi="宋体" w:eastAsia="宋体" w:cs="宋体"/>
          <w:color w:val="auto"/>
          <w:sz w:val="24"/>
          <w:szCs w:val="24"/>
          <w:highlight w:val="none"/>
        </w:rPr>
        <w:t>出时间以</w:t>
      </w:r>
      <w:r>
        <w:rPr>
          <w:rFonts w:hint="eastAsia" w:hAnsi="宋体" w:eastAsia="宋体" w:cs="宋体"/>
          <w:color w:val="auto"/>
          <w:sz w:val="24"/>
          <w:szCs w:val="24"/>
          <w:highlight w:val="none"/>
          <w:lang w:eastAsia="zh-CN"/>
        </w:rPr>
        <w:t>中选通知书</w:t>
      </w:r>
      <w:r>
        <w:rPr>
          <w:rFonts w:hint="eastAsia" w:ascii="宋体" w:hAnsi="宋体" w:eastAsia="宋体" w:cs="宋体"/>
          <w:color w:val="auto"/>
          <w:sz w:val="24"/>
          <w:szCs w:val="24"/>
          <w:highlight w:val="none"/>
        </w:rPr>
        <w:t>签发的日期为准）签发后5日内，向</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提交履约担保，主动联系并与</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签订</w:t>
      </w:r>
      <w:r>
        <w:rPr>
          <w:rFonts w:hint="eastAsia"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合同。如</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未按上述要求及时办理，</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有权取消其成交资格并上报政府采购主管部门，不予退还投标保证金或履约保证金，并追究其法律责任。</w:t>
      </w:r>
    </w:p>
    <w:p w14:paraId="6A35DF66">
      <w:pPr>
        <w:pStyle w:val="10"/>
        <w:spacing w:line="360" w:lineRule="auto"/>
        <w:ind w:firstLine="480" w:firstLineChars="200"/>
        <w:rPr>
          <w:rFonts w:hint="eastAsia" w:ascii="宋体" w:hAnsi="宋体" w:eastAsia="宋体" w:cs="宋体"/>
          <w:color w:val="auto"/>
          <w:sz w:val="24"/>
          <w:szCs w:val="24"/>
          <w:highlight w:val="none"/>
        </w:rPr>
      </w:pPr>
      <w:bookmarkStart w:id="167" w:name="_Toc16641"/>
      <w:bookmarkStart w:id="168" w:name="_Toc19136"/>
      <w:bookmarkStart w:id="169" w:name="_Toc13388"/>
      <w:r>
        <w:rPr>
          <w:rFonts w:hint="eastAsia" w:ascii="宋体" w:hAnsi="宋体" w:eastAsia="宋体" w:cs="宋体"/>
          <w:color w:val="auto"/>
          <w:sz w:val="24"/>
          <w:szCs w:val="24"/>
          <w:highlight w:val="none"/>
        </w:rPr>
        <w:t>（四）履约担保的退还时间：</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个工作日内退还。</w:t>
      </w:r>
      <w:bookmarkEnd w:id="167"/>
      <w:bookmarkEnd w:id="168"/>
      <w:bookmarkEnd w:id="169"/>
    </w:p>
    <w:p w14:paraId="499E4CA0">
      <w:pPr>
        <w:pStyle w:val="4"/>
        <w:spacing w:before="0" w:after="0" w:line="360" w:lineRule="auto"/>
        <w:rPr>
          <w:rFonts w:hint="eastAsia" w:ascii="宋体" w:hAnsi="宋体" w:eastAsia="宋体" w:cs="宋体"/>
          <w:color w:val="auto"/>
          <w:sz w:val="24"/>
          <w:szCs w:val="24"/>
          <w:highlight w:val="none"/>
          <w:lang w:val="en-US" w:eastAsia="zh-CN"/>
        </w:rPr>
      </w:pPr>
      <w:bookmarkStart w:id="170" w:name="_Toc8309"/>
      <w:bookmarkStart w:id="171" w:name="_Toc18641"/>
      <w:r>
        <w:rPr>
          <w:rFonts w:hint="eastAsia" w:ascii="宋体" w:hAnsi="宋体" w:eastAsia="宋体" w:cs="宋体"/>
          <w:color w:val="auto"/>
          <w:sz w:val="24"/>
          <w:szCs w:val="24"/>
          <w:highlight w:val="none"/>
          <w:lang w:val="en-US" w:eastAsia="zh-CN"/>
        </w:rPr>
        <w:t>※四、付款方式</w:t>
      </w:r>
      <w:bookmarkEnd w:id="152"/>
      <w:bookmarkEnd w:id="155"/>
      <w:bookmarkEnd w:id="156"/>
      <w:bookmarkEnd w:id="157"/>
      <w:bookmarkEnd w:id="158"/>
      <w:bookmarkEnd w:id="159"/>
      <w:bookmarkEnd w:id="160"/>
      <w:bookmarkEnd w:id="161"/>
      <w:bookmarkEnd w:id="162"/>
      <w:bookmarkEnd w:id="163"/>
      <w:bookmarkEnd w:id="164"/>
      <w:bookmarkEnd w:id="165"/>
      <w:bookmarkEnd w:id="166"/>
      <w:bookmarkEnd w:id="170"/>
      <w:bookmarkEnd w:id="171"/>
    </w:p>
    <w:p w14:paraId="32FD2294">
      <w:pPr>
        <w:pStyle w:val="10"/>
        <w:spacing w:line="360" w:lineRule="auto"/>
        <w:ind w:firstLine="480" w:firstLineChars="200"/>
        <w:rPr>
          <w:rFonts w:hint="eastAsia" w:ascii="宋体" w:hAnsi="宋体" w:eastAsia="宋体" w:cs="宋体"/>
          <w:color w:val="auto"/>
          <w:sz w:val="24"/>
          <w:szCs w:val="24"/>
          <w:highlight w:val="none"/>
        </w:rPr>
      </w:pPr>
      <w:bookmarkStart w:id="172" w:name="_Toc344475124"/>
      <w:bookmarkStart w:id="173" w:name="_Toc110431603"/>
      <w:bookmarkStart w:id="174" w:name="_Toc76462331"/>
      <w:bookmarkStart w:id="175" w:name="_Toc106030886"/>
      <w:r>
        <w:rPr>
          <w:rFonts w:hint="eastAsia" w:ascii="宋体" w:hAnsi="宋体" w:eastAsia="宋体" w:cs="宋体"/>
          <w:color w:val="auto"/>
          <w:sz w:val="24"/>
          <w:szCs w:val="24"/>
          <w:highlight w:val="none"/>
        </w:rPr>
        <w:t>（一）合同签订且项目开工后，</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向</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提供与预付款同等额度的担保函（保函须符合《渝财采购〔2023〕7号》的规定，且保函的内容必须包括</w:t>
      </w:r>
      <w:r>
        <w:rPr>
          <w:rFonts w:hint="eastAsia"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项目名称、承保时间应明确不低于实施时间，出具保函的受益人为</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），纸质保函向</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提供保函原件（电子保函向</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提供保函复印件），</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凭</w:t>
      </w:r>
      <w:r>
        <w:rPr>
          <w:rFonts w:hint="eastAsia" w:ascii="宋体" w:hAnsi="宋体" w:eastAsia="宋体" w:cs="宋体"/>
          <w:color w:val="auto"/>
          <w:sz w:val="24"/>
          <w:szCs w:val="24"/>
          <w:highlight w:val="none"/>
          <w:lang w:eastAsia="zh-CN"/>
        </w:rPr>
        <w:t>保</w:t>
      </w:r>
      <w:r>
        <w:rPr>
          <w:rFonts w:hint="eastAsia" w:ascii="宋体" w:hAnsi="宋体" w:eastAsia="宋体" w:cs="宋体"/>
          <w:color w:val="auto"/>
          <w:sz w:val="24"/>
          <w:szCs w:val="24"/>
          <w:highlight w:val="none"/>
        </w:rPr>
        <w:t>函、发票向</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支付合同金额的</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作为预付款。如</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收到预付款后不履行相关义务，可通过担保函收回已支付的预付款，履约保证金不予退还。</w:t>
      </w:r>
    </w:p>
    <w:p w14:paraId="5D7F300D">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（二）项目完成并经验收合格，经结算审核后按审定金额一次性无息支付余款。</w:t>
      </w:r>
    </w:p>
    <w:p w14:paraId="63D329C0">
      <w:pPr>
        <w:pStyle w:val="4"/>
        <w:spacing w:before="0" w:after="0" w:line="360" w:lineRule="auto"/>
        <w:rPr>
          <w:rFonts w:hint="eastAsia" w:ascii="宋体" w:hAnsi="宋体" w:eastAsia="宋体" w:cs="宋体"/>
          <w:color w:val="auto"/>
          <w:sz w:val="24"/>
          <w:szCs w:val="24"/>
          <w:highlight w:val="none"/>
          <w:lang w:val="en-US" w:eastAsia="zh-CN"/>
        </w:rPr>
      </w:pPr>
      <w:bookmarkStart w:id="176" w:name="_Toc26917"/>
      <w:bookmarkStart w:id="177" w:name="_Toc28928"/>
      <w:r>
        <w:rPr>
          <w:rFonts w:hint="eastAsia" w:ascii="宋体" w:hAnsi="宋体" w:eastAsia="宋体" w:cs="宋体"/>
          <w:color w:val="auto"/>
          <w:sz w:val="24"/>
          <w:szCs w:val="24"/>
          <w:highlight w:val="none"/>
          <w:lang w:val="en-US" w:eastAsia="zh-CN"/>
        </w:rPr>
        <w:t>※五、转包、分包</w:t>
      </w:r>
      <w:bookmarkEnd w:id="176"/>
      <w:bookmarkEnd w:id="177"/>
    </w:p>
    <w:p w14:paraId="49C39C62">
      <w:pPr>
        <w:pStyle w:val="10"/>
        <w:spacing w:line="360" w:lineRule="auto"/>
        <w:ind w:firstLine="480" w:firstLineChars="200"/>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未经</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书面同意，不得将本项目转包、分包给第三方，如</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将本项目转包、分包给第三方的，</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有权解除合同，因此给</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造成的损失应由</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承担赔偿责任。</w:t>
      </w:r>
    </w:p>
    <w:p w14:paraId="0F1EEC3D">
      <w:pPr>
        <w:pStyle w:val="4"/>
        <w:spacing w:before="0" w:after="0" w:line="360" w:lineRule="auto"/>
        <w:rPr>
          <w:rFonts w:hint="eastAsia" w:ascii="宋体" w:hAnsi="宋体" w:eastAsia="宋体" w:cs="宋体"/>
          <w:color w:val="auto"/>
          <w:sz w:val="24"/>
          <w:szCs w:val="24"/>
          <w:highlight w:val="none"/>
          <w:lang w:val="en-US" w:eastAsia="zh-CN"/>
        </w:rPr>
      </w:pPr>
      <w:bookmarkStart w:id="178" w:name="_Toc10651"/>
      <w:bookmarkStart w:id="179" w:name="_Toc27102"/>
      <w:r>
        <w:rPr>
          <w:rFonts w:hint="eastAsia" w:ascii="宋体" w:hAnsi="宋体" w:eastAsia="宋体" w:cs="宋体"/>
          <w:color w:val="auto"/>
          <w:sz w:val="24"/>
          <w:szCs w:val="24"/>
          <w:highlight w:val="none"/>
          <w:lang w:val="en-US" w:eastAsia="zh-CN"/>
        </w:rPr>
        <w:t>※六、</w:t>
      </w:r>
      <w:bookmarkEnd w:id="172"/>
      <w:r>
        <w:rPr>
          <w:rFonts w:hint="eastAsia" w:ascii="宋体" w:hAnsi="宋体" w:eastAsia="宋体" w:cs="宋体"/>
          <w:color w:val="auto"/>
          <w:sz w:val="24"/>
          <w:szCs w:val="24"/>
          <w:highlight w:val="none"/>
          <w:lang w:val="en-US" w:eastAsia="zh-CN"/>
        </w:rPr>
        <w:t>其他</w:t>
      </w:r>
      <w:bookmarkEnd w:id="173"/>
      <w:bookmarkEnd w:id="174"/>
      <w:bookmarkEnd w:id="175"/>
      <w:bookmarkEnd w:id="178"/>
      <w:bookmarkEnd w:id="179"/>
    </w:p>
    <w:p w14:paraId="17FB903A">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有权进一步核查</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在响应文件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提供的资料，若在评标期间有</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投诉并经查实或</w:t>
      </w:r>
      <w:r>
        <w:rPr>
          <w:rFonts w:hint="eastAsia"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发现</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提供了虚假资料，</w:t>
      </w:r>
      <w:r>
        <w:rPr>
          <w:rFonts w:hint="eastAsia"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将对</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的响应文件作废标处理；若在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结果公示期间或合同谈判过程中有</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投诉或经</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核查并经查实发现作为成交候选人的</w:t>
      </w:r>
      <w:r>
        <w:rPr>
          <w:rFonts w:hint="eastAsia"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提供了虚假资料，</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将取消其</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资格；若在合同实施期间发现</w:t>
      </w:r>
      <w:r>
        <w:rPr>
          <w:rFonts w:hint="eastAsia"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提供了虚假资料，</w:t>
      </w:r>
      <w:r>
        <w:rPr>
          <w:rFonts w:hint="eastAsia"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将从</w:t>
      </w:r>
      <w:r>
        <w:rPr>
          <w:rFonts w:hint="eastAsia" w:ascii="宋体" w:hAnsi="宋体" w:eastAsia="宋体" w:cs="宋体"/>
          <w:color w:val="auto"/>
          <w:sz w:val="24"/>
          <w:szCs w:val="24"/>
          <w:highlight w:val="none"/>
          <w:lang w:val="en-US" w:eastAsia="zh-CN"/>
        </w:rPr>
        <w:t>合同价</w:t>
      </w:r>
      <w:r>
        <w:rPr>
          <w:rFonts w:hint="eastAsia" w:ascii="宋体" w:hAnsi="宋体" w:eastAsia="宋体" w:cs="宋体"/>
          <w:color w:val="auto"/>
          <w:sz w:val="24"/>
          <w:szCs w:val="24"/>
          <w:highlight w:val="none"/>
        </w:rPr>
        <w:t>款或履约保证金中扣除不超过签约合同价的10%的金额作为违约金。情节严重的将上报监管部门，按相关政策处理。</w:t>
      </w:r>
    </w:p>
    <w:p w14:paraId="2CF0E852">
      <w:pPr>
        <w:pStyle w:val="1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）其他未尽事宜由供需双方在采购合同中详细约定。</w:t>
      </w:r>
    </w:p>
    <w:p w14:paraId="5253312E">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highlight w:val="none"/>
          <w:lang w:val="en-US" w:eastAsia="zh-CN"/>
        </w:rPr>
      </w:pPr>
    </w:p>
    <w:p w14:paraId="5867852C">
      <w:pPr>
        <w:rPr>
          <w:rFonts w:hint="eastAsia"/>
          <w:lang w:val="en-US" w:eastAsia="zh-CN"/>
        </w:rPr>
      </w:pPr>
    </w:p>
    <w:p w14:paraId="628C581E">
      <w:pPr>
        <w:rPr>
          <w:rFonts w:hint="eastAsia"/>
          <w:lang w:val="en-US" w:eastAsia="zh-CN"/>
        </w:rPr>
      </w:pPr>
    </w:p>
    <w:p w14:paraId="76369777">
      <w:pPr>
        <w:rPr>
          <w:rFonts w:hint="eastAsia"/>
          <w:lang w:val="en-US" w:eastAsia="zh-CN"/>
        </w:rPr>
      </w:pPr>
    </w:p>
    <w:p w14:paraId="3EA313C5">
      <w:pPr>
        <w:rPr>
          <w:rFonts w:hint="eastAsia"/>
          <w:lang w:val="en-US" w:eastAsia="zh-CN"/>
        </w:rPr>
      </w:pPr>
    </w:p>
    <w:p w14:paraId="7C43FF26">
      <w:pPr>
        <w:rPr>
          <w:rFonts w:hint="eastAsia"/>
          <w:lang w:val="en-US" w:eastAsia="zh-CN"/>
        </w:rPr>
      </w:pPr>
    </w:p>
    <w:p w14:paraId="4586B308">
      <w:pPr>
        <w:rPr>
          <w:rFonts w:hint="eastAsia"/>
          <w:lang w:val="en-US" w:eastAsia="zh-CN"/>
        </w:rPr>
      </w:pPr>
    </w:p>
    <w:p w14:paraId="0524F83C">
      <w:pPr>
        <w:bidi w:val="0"/>
        <w:rPr>
          <w:rFonts w:hint="eastAsia"/>
          <w:lang w:val="en-US" w:eastAsia="zh-CN"/>
        </w:rPr>
      </w:pPr>
    </w:p>
    <w:p w14:paraId="4EEE952C">
      <w:pPr>
        <w:bidi w:val="0"/>
        <w:rPr>
          <w:rFonts w:hint="eastAsia"/>
          <w:lang w:val="en-US" w:eastAsia="zh-CN"/>
        </w:rPr>
      </w:pPr>
    </w:p>
    <w:p w14:paraId="71E90C19">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highlight w:val="none"/>
          <w:lang w:val="en-US" w:eastAsia="zh-CN"/>
        </w:rPr>
      </w:pPr>
      <w:bookmarkStart w:id="180" w:name="_Toc5827"/>
      <w:r>
        <w:rPr>
          <w:rFonts w:hint="eastAsia" w:ascii="宋体" w:hAnsi="宋体" w:eastAsia="宋体" w:cs="宋体"/>
          <w:b/>
          <w:color w:val="auto"/>
          <w:sz w:val="36"/>
          <w:szCs w:val="36"/>
          <w:highlight w:val="none"/>
          <w:lang w:val="en-US" w:eastAsia="zh-CN"/>
        </w:rPr>
        <w:t>第四篇  比选程序及方法、评审标准、无效响应和比选终止</w:t>
      </w:r>
      <w:bookmarkEnd w:id="112"/>
      <w:bookmarkEnd w:id="113"/>
      <w:bookmarkEnd w:id="180"/>
    </w:p>
    <w:p w14:paraId="6EC303EB">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color w:val="auto"/>
          <w:sz w:val="24"/>
          <w:szCs w:val="24"/>
          <w:highlight w:val="none"/>
          <w:lang w:val="en-US" w:eastAsia="zh-CN"/>
        </w:rPr>
      </w:pPr>
      <w:bookmarkStart w:id="181" w:name="_Toc106030888"/>
      <w:bookmarkEnd w:id="181"/>
      <w:bookmarkStart w:id="182" w:name="_Toc19981"/>
      <w:bookmarkEnd w:id="182"/>
      <w:bookmarkStart w:id="183" w:name="_Toc76462333"/>
      <w:bookmarkEnd w:id="183"/>
      <w:bookmarkStart w:id="184" w:name="_Toc19217"/>
      <w:bookmarkStart w:id="185" w:name="_Toc28291"/>
      <w:bookmarkStart w:id="186" w:name="_Toc6512"/>
      <w:bookmarkStart w:id="187" w:name="_Toc24027"/>
      <w:r>
        <w:rPr>
          <w:rFonts w:hint="eastAsia" w:ascii="宋体" w:hAnsi="宋体" w:eastAsia="宋体" w:cs="宋体"/>
          <w:b/>
          <w:color w:val="auto"/>
          <w:sz w:val="24"/>
          <w:szCs w:val="24"/>
          <w:highlight w:val="none"/>
          <w:lang w:val="en-US" w:eastAsia="zh-CN"/>
        </w:rPr>
        <w:t>一、比选程序及方法</w:t>
      </w:r>
      <w:bookmarkEnd w:id="184"/>
      <w:bookmarkEnd w:id="185"/>
      <w:bookmarkEnd w:id="186"/>
      <w:bookmarkEnd w:id="187"/>
    </w:p>
    <w:p w14:paraId="51A97B98">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（一）比选按竞争性比选文件规定的时间和地点进行，</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须有法定代表人或其授权代表参加并签到。</w:t>
      </w:r>
    </w:p>
    <w:p w14:paraId="18EA0E64">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比选小组</w:t>
      </w:r>
      <w:r>
        <w:rPr>
          <w:rFonts w:hint="eastAsia" w:ascii="宋体" w:hAnsi="宋体" w:eastAsia="宋体" w:cs="宋体"/>
          <w:color w:val="auto"/>
          <w:kern w:val="0"/>
          <w:sz w:val="24"/>
          <w:szCs w:val="24"/>
          <w:highlight w:val="none"/>
        </w:rPr>
        <w:t>对各</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的资格条件、响应文件的有效性、完整性和响应程度进行审查。各</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只有在完全符合要求的前提下，才能进行详细技术、商务、报价评审。</w:t>
      </w:r>
    </w:p>
    <w:p w14:paraId="7F4F35CA">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rPr>
        <w:t>资格性检查。依据法律法规和竞争性比选文件的规定，对响应文件中的资格证明等进行审查，以确定</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是否具备比选资格。资格性检查资料表如下：</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61"/>
        <w:gridCol w:w="3208"/>
        <w:gridCol w:w="4909"/>
      </w:tblGrid>
      <w:tr w14:paraId="54D4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tcBorders>
              <w:top w:val="single" w:color="auto" w:sz="4" w:space="0"/>
              <w:left w:val="single" w:color="auto" w:sz="4" w:space="0"/>
              <w:bottom w:val="single" w:color="auto" w:sz="4" w:space="0"/>
              <w:right w:val="single" w:color="auto" w:sz="4" w:space="0"/>
            </w:tcBorders>
            <w:vAlign w:val="center"/>
          </w:tcPr>
          <w:p w14:paraId="2A631B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2031" w:type="pct"/>
            <w:gridSpan w:val="2"/>
            <w:tcBorders>
              <w:top w:val="single" w:color="auto" w:sz="4" w:space="0"/>
              <w:left w:val="single" w:color="auto" w:sz="4" w:space="0"/>
              <w:bottom w:val="single" w:color="auto" w:sz="4" w:space="0"/>
              <w:right w:val="single" w:color="auto" w:sz="4" w:space="0"/>
            </w:tcBorders>
            <w:vAlign w:val="center"/>
          </w:tcPr>
          <w:p w14:paraId="11004B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2560" w:type="pct"/>
            <w:tcBorders>
              <w:top w:val="single" w:color="auto" w:sz="4" w:space="0"/>
              <w:left w:val="single" w:color="auto" w:sz="4" w:space="0"/>
              <w:bottom w:val="single" w:color="auto" w:sz="4" w:space="0"/>
              <w:right w:val="single" w:color="auto" w:sz="4" w:space="0"/>
            </w:tcBorders>
            <w:vAlign w:val="center"/>
          </w:tcPr>
          <w:p w14:paraId="6F0D8B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00BD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restart"/>
            <w:vAlign w:val="center"/>
          </w:tcPr>
          <w:p w14:paraId="61E0FC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354" w:type="pct"/>
            <w:vMerge w:val="restart"/>
            <w:vAlign w:val="center"/>
          </w:tcPr>
          <w:p w14:paraId="3E88D7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1677" w:type="pct"/>
            <w:vAlign w:val="center"/>
          </w:tcPr>
          <w:p w14:paraId="05C017C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2560" w:type="pct"/>
            <w:vAlign w:val="center"/>
          </w:tcPr>
          <w:p w14:paraId="7416C7A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法人营业执照（副本）或事业单位法人证书（副本）或社会团体法人登记证书（提供复印件）。</w:t>
            </w:r>
          </w:p>
          <w:p w14:paraId="7826730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法定代表人身份证明和法定代表人授权代表委托书。</w:t>
            </w:r>
          </w:p>
        </w:tc>
      </w:tr>
      <w:tr w14:paraId="37C0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vAlign w:val="center"/>
          </w:tcPr>
          <w:p w14:paraId="0C2E143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354" w:type="pct"/>
            <w:vMerge w:val="continue"/>
            <w:vAlign w:val="center"/>
          </w:tcPr>
          <w:p w14:paraId="5F7C7D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p>
        </w:tc>
        <w:tc>
          <w:tcPr>
            <w:tcW w:w="1677" w:type="pct"/>
            <w:vAlign w:val="center"/>
          </w:tcPr>
          <w:p w14:paraId="31E579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2560" w:type="pct"/>
            <w:vMerge w:val="restart"/>
            <w:vAlign w:val="center"/>
          </w:tcPr>
          <w:p w14:paraId="291C3F6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提供“基本资格条件承诺函”（格式详见第七篇）</w:t>
            </w:r>
          </w:p>
        </w:tc>
      </w:tr>
      <w:tr w14:paraId="3D0B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vAlign w:val="center"/>
          </w:tcPr>
          <w:p w14:paraId="304FF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354" w:type="pct"/>
            <w:vMerge w:val="continue"/>
            <w:vAlign w:val="center"/>
          </w:tcPr>
          <w:p w14:paraId="5E5A46E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p>
        </w:tc>
        <w:tc>
          <w:tcPr>
            <w:tcW w:w="1677" w:type="pct"/>
            <w:vAlign w:val="center"/>
          </w:tcPr>
          <w:p w14:paraId="3C1918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3.具有履行合同所需的专业技术能力</w:t>
            </w:r>
          </w:p>
        </w:tc>
        <w:tc>
          <w:tcPr>
            <w:tcW w:w="2560" w:type="pct"/>
            <w:vMerge w:val="continue"/>
            <w:vAlign w:val="center"/>
          </w:tcPr>
          <w:p w14:paraId="4983B93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r>
      <w:tr w14:paraId="6FD0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vAlign w:val="center"/>
          </w:tcPr>
          <w:p w14:paraId="11FF60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354" w:type="pct"/>
            <w:vMerge w:val="continue"/>
            <w:vAlign w:val="center"/>
          </w:tcPr>
          <w:p w14:paraId="19B89A1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p>
        </w:tc>
        <w:tc>
          <w:tcPr>
            <w:tcW w:w="1677" w:type="pct"/>
            <w:vAlign w:val="center"/>
          </w:tcPr>
          <w:p w14:paraId="58408DC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2560" w:type="pct"/>
            <w:vMerge w:val="continue"/>
            <w:vAlign w:val="center"/>
          </w:tcPr>
          <w:p w14:paraId="79345DC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r>
      <w:tr w14:paraId="62BE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vAlign w:val="center"/>
          </w:tcPr>
          <w:p w14:paraId="03AE748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354" w:type="pct"/>
            <w:vMerge w:val="continue"/>
            <w:vAlign w:val="center"/>
          </w:tcPr>
          <w:p w14:paraId="21BFD1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p>
        </w:tc>
        <w:tc>
          <w:tcPr>
            <w:tcW w:w="1677" w:type="pct"/>
            <w:vAlign w:val="center"/>
          </w:tcPr>
          <w:p w14:paraId="444E014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w:t>
            </w:r>
            <w:r>
              <w:rPr>
                <w:rFonts w:hint="eastAsia" w:ascii="宋体" w:hAnsi="宋体" w:eastAsia="宋体" w:cs="宋体"/>
                <w:color w:val="auto"/>
                <w:sz w:val="21"/>
                <w:szCs w:val="21"/>
                <w:highlight w:val="none"/>
                <w:lang w:eastAsia="zh-CN"/>
              </w:rPr>
              <w:t>比选活动</w:t>
            </w:r>
            <w:r>
              <w:rPr>
                <w:rFonts w:hint="eastAsia" w:ascii="宋体" w:hAnsi="宋体" w:eastAsia="宋体" w:cs="宋体"/>
                <w:color w:val="auto"/>
                <w:sz w:val="21"/>
                <w:szCs w:val="21"/>
                <w:highlight w:val="none"/>
              </w:rPr>
              <w:t>前三年内，在经营活动中没有重大违法记录</w:t>
            </w:r>
          </w:p>
        </w:tc>
        <w:tc>
          <w:tcPr>
            <w:tcW w:w="2560" w:type="pct"/>
            <w:vMerge w:val="continue"/>
            <w:vAlign w:val="center"/>
          </w:tcPr>
          <w:p w14:paraId="7D5EE1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p>
        </w:tc>
      </w:tr>
      <w:tr w14:paraId="1FEE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7" w:type="pct"/>
            <w:vMerge w:val="continue"/>
            <w:vAlign w:val="center"/>
          </w:tcPr>
          <w:p w14:paraId="26BC8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354" w:type="pct"/>
            <w:vMerge w:val="continue"/>
            <w:vAlign w:val="center"/>
          </w:tcPr>
          <w:p w14:paraId="58306E8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c>
          <w:tcPr>
            <w:tcW w:w="1677" w:type="pct"/>
            <w:vAlign w:val="center"/>
          </w:tcPr>
          <w:p w14:paraId="5025EA2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2560" w:type="pct"/>
            <w:vAlign w:val="center"/>
          </w:tcPr>
          <w:p w14:paraId="2B44716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14:paraId="1BD2EDD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6659BD42">
      <w:pPr>
        <w:keepNext w:val="0"/>
        <w:keepLines w:val="0"/>
        <w:pageBreakBefore w:val="0"/>
        <w:widowControl w:val="0"/>
        <w:kinsoku/>
        <w:wordWrap w:val="0"/>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w:instrText>
      </w:r>
      <w:r>
        <w:rPr>
          <w:rFonts w:hint="eastAsia" w:ascii="宋体" w:hAnsi="宋体" w:eastAsia="宋体" w:cs="宋体"/>
          <w:color w:val="auto"/>
          <w:kern w:val="0"/>
          <w:position w:val="3"/>
          <w:sz w:val="16"/>
          <w:szCs w:val="24"/>
          <w:highlight w:val="none"/>
        </w:rPr>
        <w:instrText xml:space="preserve">1</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w:t>
      </w:r>
      <w:r>
        <w:rPr>
          <w:rFonts w:hint="eastAsia" w:ascii="宋体" w:hAnsi="宋体" w:eastAsia="宋体" w:cs="宋体"/>
          <w:color w:val="auto"/>
          <w:kern w:val="0"/>
          <w:sz w:val="24"/>
          <w:szCs w:val="24"/>
          <w:highlight w:val="none"/>
          <w:lang w:eastAsia="zh-CN"/>
        </w:rPr>
        <w:t>比选活动</w:t>
      </w:r>
      <w:r>
        <w:rPr>
          <w:rFonts w:hint="eastAsia" w:ascii="宋体" w:hAnsi="宋体" w:eastAsia="宋体" w:cs="宋体"/>
          <w:color w:val="auto"/>
          <w:kern w:val="0"/>
          <w:sz w:val="24"/>
          <w:szCs w:val="24"/>
          <w:highlight w:val="none"/>
        </w:rPr>
        <w:t>前三年内，在经营活动中没有重大违法记录”中“重大违法记录”，是指</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因违法经营受到刑事处罚或者责令停产停业、吊销许可证或者执照、较大数额罚款的行政处罚。行政处罚中“较大数额”的认定标准，参照“财政部关于《中华人民共和国政府采购法实施条例》第十九条第一款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较大数额罚款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具体适用问题的意见（财库〔2022〕3号）”执行。</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kern w:val="0"/>
          <w:sz w:val="24"/>
          <w:szCs w:val="24"/>
          <w:highlight w:val="none"/>
        </w:rPr>
        <w:t>可于响应文件递交截止时间前通过 “信用中国”网站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www.creditchina.gov.cn</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中国政府采购网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www.ccgp.gov.cn</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等渠道查询信用记录。</w:t>
      </w:r>
    </w:p>
    <w:p w14:paraId="5A87F52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560"/>
        <w:gridCol w:w="1984"/>
        <w:gridCol w:w="5410"/>
      </w:tblGrid>
      <w:tr w14:paraId="553A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350" w:type="pct"/>
            <w:vAlign w:val="center"/>
          </w:tcPr>
          <w:p w14:paraId="377299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840" w:type="pct"/>
            <w:gridSpan w:val="2"/>
            <w:vAlign w:val="center"/>
          </w:tcPr>
          <w:p w14:paraId="030F8E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2808" w:type="pct"/>
            <w:vAlign w:val="center"/>
          </w:tcPr>
          <w:p w14:paraId="54EAFE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16E0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0" w:type="pct"/>
            <w:vMerge w:val="restart"/>
            <w:vAlign w:val="center"/>
          </w:tcPr>
          <w:p w14:paraId="769357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10" w:type="pct"/>
            <w:vMerge w:val="restart"/>
            <w:vAlign w:val="center"/>
          </w:tcPr>
          <w:p w14:paraId="742C71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030" w:type="pct"/>
            <w:vAlign w:val="center"/>
          </w:tcPr>
          <w:p w14:paraId="36DFD2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2808" w:type="pct"/>
            <w:vAlign w:val="center"/>
          </w:tcPr>
          <w:p w14:paraId="28196E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按竞争性比选文件“第七篇响应文件编制要求”要求签署或盖章。</w:t>
            </w:r>
          </w:p>
        </w:tc>
      </w:tr>
      <w:tr w14:paraId="6CC0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0" w:type="pct"/>
            <w:vMerge w:val="continue"/>
            <w:vAlign w:val="center"/>
          </w:tcPr>
          <w:p w14:paraId="6B6182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c>
          <w:tcPr>
            <w:tcW w:w="810" w:type="pct"/>
            <w:vMerge w:val="continue"/>
            <w:vAlign w:val="center"/>
          </w:tcPr>
          <w:p w14:paraId="327037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p>
        </w:tc>
        <w:tc>
          <w:tcPr>
            <w:tcW w:w="1030" w:type="pct"/>
            <w:vAlign w:val="center"/>
          </w:tcPr>
          <w:p w14:paraId="1F41D6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2808" w:type="pct"/>
            <w:vAlign w:val="center"/>
          </w:tcPr>
          <w:p w14:paraId="25A698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法定代表人身份证明及授权委托书有效，符合竞争性比选文件规定的格式，签署或盖章齐全。</w:t>
            </w:r>
          </w:p>
        </w:tc>
      </w:tr>
      <w:tr w14:paraId="0B3F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50" w:type="pct"/>
            <w:vMerge w:val="continue"/>
            <w:vAlign w:val="center"/>
          </w:tcPr>
          <w:p w14:paraId="5FF9D7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c>
          <w:tcPr>
            <w:tcW w:w="810" w:type="pct"/>
            <w:vMerge w:val="continue"/>
            <w:vAlign w:val="center"/>
          </w:tcPr>
          <w:p w14:paraId="12216E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p>
        </w:tc>
        <w:tc>
          <w:tcPr>
            <w:tcW w:w="1030" w:type="pct"/>
            <w:vAlign w:val="center"/>
          </w:tcPr>
          <w:p w14:paraId="6FF7EA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2808" w:type="pct"/>
            <w:vAlign w:val="center"/>
          </w:tcPr>
          <w:p w14:paraId="387DCC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25B7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50" w:type="pct"/>
            <w:vMerge w:val="continue"/>
            <w:vAlign w:val="center"/>
          </w:tcPr>
          <w:p w14:paraId="6D53B4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c>
          <w:tcPr>
            <w:tcW w:w="810" w:type="pct"/>
            <w:vMerge w:val="continue"/>
            <w:vAlign w:val="center"/>
          </w:tcPr>
          <w:p w14:paraId="6FA28D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p>
        </w:tc>
        <w:tc>
          <w:tcPr>
            <w:tcW w:w="1030" w:type="pct"/>
            <w:vAlign w:val="center"/>
          </w:tcPr>
          <w:p w14:paraId="787D62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2808" w:type="pct"/>
            <w:vAlign w:val="center"/>
          </w:tcPr>
          <w:p w14:paraId="38B58F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5C9D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50" w:type="pct"/>
            <w:vAlign w:val="center"/>
          </w:tcPr>
          <w:p w14:paraId="4EC50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10" w:type="pct"/>
            <w:vAlign w:val="center"/>
          </w:tcPr>
          <w:p w14:paraId="0EFCF0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030" w:type="pct"/>
            <w:vAlign w:val="center"/>
          </w:tcPr>
          <w:p w14:paraId="1EB701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zh-CN"/>
              </w:rPr>
              <w:t>份数</w:t>
            </w:r>
          </w:p>
        </w:tc>
        <w:tc>
          <w:tcPr>
            <w:tcW w:w="2808" w:type="pct"/>
            <w:vAlign w:val="center"/>
          </w:tcPr>
          <w:p w14:paraId="06E858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响应文件正、副本数量符合竞争性比选文件要求。</w:t>
            </w:r>
          </w:p>
        </w:tc>
      </w:tr>
      <w:tr w14:paraId="28D6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0" w:type="pct"/>
            <w:vMerge w:val="restart"/>
            <w:vAlign w:val="center"/>
          </w:tcPr>
          <w:p w14:paraId="7FCC6D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10" w:type="pct"/>
            <w:vMerge w:val="restart"/>
            <w:vAlign w:val="center"/>
          </w:tcPr>
          <w:p w14:paraId="7D9E7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030" w:type="pct"/>
            <w:vAlign w:val="center"/>
          </w:tcPr>
          <w:p w14:paraId="0247A5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2808" w:type="pct"/>
            <w:vAlign w:val="center"/>
          </w:tcPr>
          <w:p w14:paraId="4429D4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满足本比选文件第二篇和第三篇“</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”内容作出响应。</w:t>
            </w:r>
          </w:p>
        </w:tc>
      </w:tr>
      <w:tr w14:paraId="4BFA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50" w:type="pct"/>
            <w:vMerge w:val="continue"/>
            <w:vAlign w:val="center"/>
          </w:tcPr>
          <w:p w14:paraId="45878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p>
        </w:tc>
        <w:tc>
          <w:tcPr>
            <w:tcW w:w="810" w:type="pct"/>
            <w:vMerge w:val="continue"/>
            <w:vAlign w:val="center"/>
          </w:tcPr>
          <w:p w14:paraId="7A6944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zh-CN"/>
              </w:rPr>
            </w:pPr>
          </w:p>
        </w:tc>
        <w:tc>
          <w:tcPr>
            <w:tcW w:w="1030" w:type="pct"/>
            <w:vAlign w:val="center"/>
          </w:tcPr>
          <w:p w14:paraId="6CD6D3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比选有效期</w:t>
            </w:r>
          </w:p>
        </w:tc>
        <w:tc>
          <w:tcPr>
            <w:tcW w:w="2808" w:type="pct"/>
            <w:vAlign w:val="center"/>
          </w:tcPr>
          <w:p w14:paraId="39A018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387AB9B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过程中符合要求的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不足3家的，比选活动中止并重新开展</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活动。</w:t>
      </w:r>
    </w:p>
    <w:p w14:paraId="2127D1D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在对响应文件的有效性、完整性和响应程度进行审查时，可以要求</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的澄清、说明或者更正不得超出响应文件的范围或者改变响应文件的实质性内容。</w:t>
      </w:r>
    </w:p>
    <w:p w14:paraId="6A071D3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要求</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澄清、说明或者更正响应文件应当以书面形式作出。</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的澄清、说明或者更正应当由法定代表人或其授权代表签字或者加盖公章。由授权代表签字的，应当附法定代表人授权书。</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为自然人的，应当由本人签字并附身份证明。</w:t>
      </w:r>
    </w:p>
    <w:p w14:paraId="7FB2478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（五）在比选过程中比选的任何一方不得向他人透露与比选有关的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资料、价格或其他信息。</w:t>
      </w:r>
    </w:p>
    <w:p w14:paraId="2B28F67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在比选时作出的所有书面承诺须由法定代表人或其授权代表签字。</w:t>
      </w:r>
    </w:p>
    <w:p w14:paraId="7829606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采用综合评分法对合格的</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的响应文件和报价（含有效书面承诺）进行综合评分。综合评分法，是指响应文件满足竞争性比选文件全部实质性要求且按照评审因素的量化指标评审得分最高的</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为成交候选人的评审方法。</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总得分为价格、</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、商务等评定因素分别按照相应权重值计算分项得分后相加，满分为100分。</w:t>
      </w:r>
    </w:p>
    <w:p w14:paraId="11DC263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各成员独立对每个有效响应（通过资格性检查、符合性检查的</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）的响应文件进行评审、打分，然后汇总每个</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每项评分因素的得分，并根据综合评分情况按照评审得分由高到低顺序推荐3名成交候选人，并编写评审报告。若</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的评审得分相同的，按照报价由低到高的顺序排列推荐。评审得分且报价相同的，按照</w:t>
      </w:r>
      <w:r>
        <w:rPr>
          <w:rFonts w:hint="eastAsia" w:ascii="宋体" w:hAnsi="宋体" w:eastAsia="宋体" w:cs="宋体"/>
          <w:color w:val="auto"/>
          <w:sz w:val="24"/>
          <w:szCs w:val="24"/>
          <w:highlight w:val="none"/>
          <w:lang w:eastAsia="zh-CN"/>
        </w:rPr>
        <w:t>技术部分</w:t>
      </w:r>
      <w:r>
        <w:rPr>
          <w:rFonts w:hint="eastAsia" w:ascii="宋体" w:hAnsi="宋体" w:eastAsia="宋体" w:cs="宋体"/>
          <w:color w:val="auto"/>
          <w:sz w:val="24"/>
          <w:szCs w:val="24"/>
          <w:highlight w:val="none"/>
        </w:rPr>
        <w:t>得分由高到低顺序排列推荐。以上都相同的，按商务部分得分由高到低顺序排列推荐。若</w:t>
      </w:r>
      <w:r>
        <w:rPr>
          <w:rFonts w:hint="eastAsia" w:ascii="宋体" w:hAnsi="宋体" w:eastAsia="宋体" w:cs="宋体"/>
          <w:color w:val="auto"/>
          <w:kern w:val="0"/>
          <w:sz w:val="24"/>
          <w:szCs w:val="24"/>
          <w:highlight w:val="none"/>
          <w:lang w:eastAsia="zh-CN"/>
        </w:rPr>
        <w:t>竞标人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为0分，将失去成为成交候选人的资格。</w:t>
      </w:r>
    </w:p>
    <w:p w14:paraId="19A34749">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color w:val="auto"/>
          <w:sz w:val="24"/>
          <w:szCs w:val="24"/>
          <w:highlight w:val="none"/>
          <w:lang w:val="en-US" w:eastAsia="zh-CN"/>
        </w:rPr>
      </w:pPr>
      <w:bookmarkStart w:id="188" w:name="_Toc23630"/>
      <w:bookmarkStart w:id="189" w:name="_Toc28217"/>
      <w:bookmarkStart w:id="190" w:name="_Toc27370"/>
      <w:bookmarkStart w:id="191" w:name="_Toc12733"/>
      <w:bookmarkStart w:id="192" w:name="_Toc14532"/>
      <w:r>
        <w:rPr>
          <w:rFonts w:hint="eastAsia" w:ascii="宋体" w:hAnsi="宋体" w:eastAsia="宋体" w:cs="宋体"/>
          <w:b/>
          <w:color w:val="auto"/>
          <w:sz w:val="24"/>
          <w:szCs w:val="24"/>
          <w:highlight w:val="none"/>
          <w:lang w:val="en-US" w:eastAsia="zh-CN"/>
        </w:rPr>
        <w:t>二、评审标准</w:t>
      </w:r>
      <w:bookmarkEnd w:id="188"/>
      <w:bookmarkEnd w:id="189"/>
      <w:bookmarkEnd w:id="190"/>
      <w:bookmarkEnd w:id="191"/>
      <w:bookmarkEnd w:id="192"/>
    </w:p>
    <w:tbl>
      <w:tblPr>
        <w:tblStyle w:val="17"/>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35"/>
        <w:gridCol w:w="1260"/>
        <w:gridCol w:w="3990"/>
        <w:gridCol w:w="2835"/>
      </w:tblGrid>
      <w:tr w14:paraId="7B91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733F1E05">
            <w:pPr>
              <w:spacing w:line="370" w:lineRule="exact"/>
              <w:ind w:firstLine="28"/>
              <w:jc w:val="center"/>
              <w:rPr>
                <w:rFonts w:hint="eastAsia" w:ascii="宋体" w:hAnsi="宋体" w:eastAsia="宋体" w:cs="宋体"/>
                <w:b/>
                <w:color w:val="auto"/>
                <w:sz w:val="24"/>
                <w:szCs w:val="24"/>
                <w:highlight w:val="none"/>
              </w:rPr>
            </w:pPr>
            <w:bookmarkStart w:id="193" w:name="_Toc76462334"/>
            <w:bookmarkEnd w:id="193"/>
            <w:bookmarkStart w:id="194" w:name="_Toc106030889"/>
            <w:bookmarkEnd w:id="194"/>
            <w:bookmarkStart w:id="195" w:name="_Toc76462335"/>
            <w:bookmarkEnd w:id="195"/>
            <w:bookmarkStart w:id="196" w:name="_Toc106030890"/>
            <w:bookmarkEnd w:id="196"/>
            <w:bookmarkStart w:id="197" w:name="_Toc24604"/>
            <w:bookmarkEnd w:id="197"/>
            <w:bookmarkStart w:id="198" w:name="_Toc8811"/>
            <w:bookmarkEnd w:id="198"/>
            <w:bookmarkStart w:id="199" w:name="_Toc20661"/>
            <w:bookmarkStart w:id="200" w:name="_Toc12242"/>
            <w:bookmarkStart w:id="201" w:name="_Toc18288"/>
            <w:bookmarkStart w:id="202" w:name="_Toc102227320"/>
            <w:bookmarkStart w:id="203" w:name="_Toc342913394"/>
            <w:r>
              <w:rPr>
                <w:rFonts w:hint="eastAsia" w:ascii="宋体" w:hAnsi="宋体" w:eastAsia="宋体" w:cs="宋体"/>
                <w:b/>
                <w:color w:val="auto"/>
                <w:sz w:val="24"/>
                <w:szCs w:val="24"/>
                <w:highlight w:val="none"/>
              </w:rPr>
              <w:t>序号</w:t>
            </w:r>
          </w:p>
        </w:tc>
        <w:tc>
          <w:tcPr>
            <w:tcW w:w="1335" w:type="dxa"/>
            <w:tcBorders>
              <w:top w:val="single" w:color="auto" w:sz="4" w:space="0"/>
              <w:left w:val="single" w:color="auto" w:sz="4" w:space="0"/>
              <w:bottom w:val="single" w:color="auto" w:sz="4" w:space="0"/>
              <w:right w:val="single" w:color="auto" w:sz="4" w:space="0"/>
            </w:tcBorders>
            <w:noWrap/>
            <w:vAlign w:val="center"/>
          </w:tcPr>
          <w:p w14:paraId="1B3EB42E">
            <w:pPr>
              <w:spacing w:line="37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评分因素及权值</w:t>
            </w:r>
          </w:p>
        </w:tc>
        <w:tc>
          <w:tcPr>
            <w:tcW w:w="1260" w:type="dxa"/>
            <w:tcBorders>
              <w:top w:val="single" w:color="auto" w:sz="4" w:space="0"/>
              <w:left w:val="single" w:color="auto" w:sz="4" w:space="0"/>
              <w:bottom w:val="single" w:color="auto" w:sz="4" w:space="0"/>
              <w:right w:val="single" w:color="auto" w:sz="4" w:space="0"/>
            </w:tcBorders>
            <w:noWrap/>
            <w:vAlign w:val="center"/>
          </w:tcPr>
          <w:p w14:paraId="5BD43C58">
            <w:pPr>
              <w:spacing w:line="37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3990" w:type="dxa"/>
            <w:tcBorders>
              <w:top w:val="single" w:color="auto" w:sz="4" w:space="0"/>
              <w:left w:val="single" w:color="auto" w:sz="4" w:space="0"/>
              <w:bottom w:val="single" w:color="auto" w:sz="4" w:space="0"/>
              <w:right w:val="single" w:color="auto" w:sz="4" w:space="0"/>
            </w:tcBorders>
            <w:noWrap/>
            <w:vAlign w:val="center"/>
          </w:tcPr>
          <w:p w14:paraId="6F93EA66">
            <w:pPr>
              <w:spacing w:line="37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2835" w:type="dxa"/>
            <w:tcBorders>
              <w:top w:val="single" w:color="auto" w:sz="4" w:space="0"/>
              <w:left w:val="single" w:color="auto" w:sz="4" w:space="0"/>
              <w:bottom w:val="single" w:color="auto" w:sz="4" w:space="0"/>
              <w:right w:val="single" w:color="auto" w:sz="4" w:space="0"/>
            </w:tcBorders>
            <w:noWrap/>
            <w:vAlign w:val="center"/>
          </w:tcPr>
          <w:p w14:paraId="47F89899">
            <w:pPr>
              <w:pStyle w:val="22"/>
              <w:spacing w:before="0" w:after="0" w:line="37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3E6B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73036A56">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5" w:type="dxa"/>
            <w:tcBorders>
              <w:top w:val="single" w:color="auto" w:sz="4" w:space="0"/>
              <w:left w:val="single" w:color="auto" w:sz="4" w:space="0"/>
              <w:bottom w:val="single" w:color="auto" w:sz="4" w:space="0"/>
              <w:right w:val="single" w:color="auto" w:sz="4" w:space="0"/>
            </w:tcBorders>
            <w:noWrap/>
            <w:vAlign w:val="center"/>
          </w:tcPr>
          <w:p w14:paraId="004DAF64">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w:t>
            </w:r>
          </w:p>
          <w:p w14:paraId="3F93282B">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260" w:type="dxa"/>
            <w:tcBorders>
              <w:top w:val="single" w:color="auto" w:sz="4" w:space="0"/>
              <w:left w:val="single" w:color="auto" w:sz="4" w:space="0"/>
              <w:bottom w:val="single" w:color="auto" w:sz="4" w:space="0"/>
              <w:right w:val="single" w:color="auto" w:sz="4" w:space="0"/>
            </w:tcBorders>
            <w:noWrap/>
            <w:vAlign w:val="center"/>
          </w:tcPr>
          <w:p w14:paraId="2CA7FCBD">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0EC40C6E">
            <w:pPr>
              <w:spacing w:line="37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满足资格性、符合性要求且</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报价最低的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的价格为基准价，其价格分为满分。其他</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的价格分统一按照下列公式计算：</w:t>
            </w:r>
          </w:p>
          <w:p w14:paraId="233DEFF2">
            <w:pPr>
              <w:spacing w:line="37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报价得分=（基准价/</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报价）×价格权值×100</w:t>
            </w:r>
          </w:p>
        </w:tc>
        <w:tc>
          <w:tcPr>
            <w:tcW w:w="2835" w:type="dxa"/>
            <w:tcBorders>
              <w:top w:val="single" w:color="auto" w:sz="4" w:space="0"/>
              <w:left w:val="single" w:color="auto" w:sz="4" w:space="0"/>
              <w:bottom w:val="single" w:color="auto" w:sz="4" w:space="0"/>
              <w:right w:val="single" w:color="auto" w:sz="4" w:space="0"/>
            </w:tcBorders>
            <w:noWrap/>
            <w:vAlign w:val="center"/>
          </w:tcPr>
          <w:p w14:paraId="29C1D061">
            <w:pPr>
              <w:spacing w:line="370" w:lineRule="exact"/>
              <w:ind w:left="-38" w:firstLine="480" w:firstLineChars="200"/>
              <w:rPr>
                <w:rFonts w:hint="eastAsia" w:ascii="宋体" w:hAnsi="宋体" w:eastAsia="宋体" w:cs="宋体"/>
                <w:color w:val="auto"/>
                <w:sz w:val="24"/>
                <w:szCs w:val="24"/>
                <w:highlight w:val="none"/>
              </w:rPr>
            </w:pPr>
          </w:p>
        </w:tc>
      </w:tr>
      <w:tr w14:paraId="4E70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tcBorders>
              <w:top w:val="single" w:color="auto" w:sz="4" w:space="0"/>
              <w:left w:val="single" w:color="auto" w:sz="4" w:space="0"/>
              <w:right w:val="single" w:color="auto" w:sz="4" w:space="0"/>
            </w:tcBorders>
            <w:noWrap/>
            <w:vAlign w:val="center"/>
          </w:tcPr>
          <w:p w14:paraId="3C9FEA01">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5" w:type="dxa"/>
            <w:vMerge w:val="restart"/>
            <w:tcBorders>
              <w:top w:val="single" w:color="auto" w:sz="4" w:space="0"/>
              <w:left w:val="single" w:color="auto" w:sz="4" w:space="0"/>
              <w:right w:val="single" w:color="auto" w:sz="4" w:space="0"/>
            </w:tcBorders>
            <w:noWrap/>
            <w:vAlign w:val="center"/>
          </w:tcPr>
          <w:p w14:paraId="23C025BD">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w:t>
            </w:r>
          </w:p>
          <w:p w14:paraId="0438858A">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w:t>
            </w:r>
          </w:p>
        </w:tc>
        <w:tc>
          <w:tcPr>
            <w:tcW w:w="1260" w:type="dxa"/>
            <w:tcBorders>
              <w:top w:val="single" w:color="auto" w:sz="4" w:space="0"/>
              <w:left w:val="single" w:color="auto" w:sz="4" w:space="0"/>
              <w:bottom w:val="single" w:color="auto" w:sz="4" w:space="0"/>
              <w:right w:val="single" w:color="auto" w:sz="4" w:space="0"/>
            </w:tcBorders>
            <w:noWrap/>
            <w:vAlign w:val="center"/>
          </w:tcPr>
          <w:p w14:paraId="2A7A42A0">
            <w:pPr>
              <w:widowControl/>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p w14:paraId="4FE185FE">
            <w:pPr>
              <w:widowControl/>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理解</w:t>
            </w:r>
          </w:p>
          <w:p w14:paraId="1F181A60">
            <w:pPr>
              <w:widowControl/>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8DB5B72">
            <w:pPr>
              <w:widowControl/>
              <w:wordWrap w:val="0"/>
              <w:jc w:val="center"/>
              <w:rPr>
                <w:rFonts w:hint="eastAsia" w:ascii="宋体" w:hAnsi="宋体" w:eastAsia="宋体" w:cs="宋体"/>
                <w:color w:val="auto"/>
                <w:sz w:val="24"/>
                <w:szCs w:val="24"/>
                <w:highlight w:val="none"/>
              </w:rPr>
            </w:pPr>
          </w:p>
        </w:tc>
        <w:tc>
          <w:tcPr>
            <w:tcW w:w="3990" w:type="dxa"/>
            <w:tcBorders>
              <w:top w:val="single" w:color="auto" w:sz="4" w:space="0"/>
              <w:left w:val="single" w:color="auto" w:sz="4" w:space="0"/>
              <w:bottom w:val="single" w:color="auto" w:sz="4" w:space="0"/>
              <w:right w:val="single" w:color="auto" w:sz="4" w:space="0"/>
            </w:tcBorders>
            <w:noWrap/>
            <w:vAlign w:val="center"/>
          </w:tcPr>
          <w:p w14:paraId="3A9C6569">
            <w:pPr>
              <w:widowControl/>
              <w:wordWrap w:val="0"/>
              <w:spacing w:line="3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竞标人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的理解进行评分，包括但不限于项目</w:t>
            </w:r>
            <w:r>
              <w:rPr>
                <w:rFonts w:hint="eastAsia" w:ascii="宋体" w:hAnsi="宋体" w:eastAsia="宋体" w:cs="宋体"/>
                <w:color w:val="auto"/>
                <w:sz w:val="24"/>
                <w:szCs w:val="24"/>
                <w:highlight w:val="none"/>
              </w:rPr>
              <w:t>背景、</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基地</w:t>
            </w:r>
            <w:r>
              <w:rPr>
                <w:rFonts w:hint="eastAsia" w:ascii="宋体" w:hAnsi="宋体" w:eastAsia="宋体" w:cs="宋体"/>
                <w:color w:val="auto"/>
                <w:sz w:val="24"/>
                <w:szCs w:val="24"/>
                <w:highlight w:val="none"/>
              </w:rPr>
              <w:t>现状、目标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TW"/>
              </w:rPr>
              <w:t>本项目实施的目的与意义等</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w:t>
            </w:r>
          </w:p>
          <w:p w14:paraId="5221C718">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方案内容不存在瑕疵，得15分；</w:t>
            </w:r>
          </w:p>
          <w:p w14:paraId="40CABDAA">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方案内容存在1处瑕疵，得10分；</w:t>
            </w:r>
          </w:p>
          <w:p w14:paraId="1B1AED00">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方案内容存在2处瑕疵，得5分；</w:t>
            </w:r>
          </w:p>
          <w:p w14:paraId="51C1A3B6">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02EE7764">
            <w:pPr>
              <w:widowControl/>
              <w:wordWrap w:val="0"/>
              <w:spacing w:line="3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835" w:type="dxa"/>
            <w:vMerge w:val="restart"/>
            <w:tcBorders>
              <w:top w:val="single" w:color="auto" w:sz="4" w:space="0"/>
              <w:left w:val="single" w:color="auto" w:sz="4" w:space="0"/>
              <w:right w:val="single" w:color="auto" w:sz="4" w:space="0"/>
            </w:tcBorders>
            <w:noWrap/>
            <w:vAlign w:val="center"/>
          </w:tcPr>
          <w:p w14:paraId="45CDF5C8">
            <w:pPr>
              <w:numPr>
                <w:ilvl w:val="0"/>
                <w:numId w:val="1"/>
              </w:numPr>
              <w:spacing w:line="37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方案格式由</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自拟。</w:t>
            </w:r>
          </w:p>
          <w:p w14:paraId="20CAD2D6">
            <w:pPr>
              <w:spacing w:line="37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方案比较，独立评审打分。</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部分最后得分为各</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成员的平均分。（按四舍五入法保留两位小数）</w:t>
            </w:r>
          </w:p>
        </w:tc>
      </w:tr>
      <w:tr w14:paraId="1F61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4" w:space="0"/>
              <w:right w:val="single" w:color="auto" w:sz="4" w:space="0"/>
            </w:tcBorders>
            <w:noWrap/>
            <w:vAlign w:val="center"/>
          </w:tcPr>
          <w:p w14:paraId="5C5D8557">
            <w:pPr>
              <w:rPr>
                <w:rFonts w:hint="eastAsia" w:ascii="宋体" w:hAnsi="宋体" w:eastAsia="宋体" w:cs="宋体"/>
                <w:color w:val="auto"/>
                <w:sz w:val="24"/>
                <w:szCs w:val="24"/>
                <w:highlight w:val="none"/>
              </w:rPr>
            </w:pPr>
          </w:p>
        </w:tc>
        <w:tc>
          <w:tcPr>
            <w:tcW w:w="1335" w:type="dxa"/>
            <w:vMerge w:val="continue"/>
            <w:tcBorders>
              <w:left w:val="single" w:color="auto" w:sz="4" w:space="0"/>
              <w:right w:val="single" w:color="auto" w:sz="4" w:space="0"/>
            </w:tcBorders>
            <w:noWrap/>
            <w:vAlign w:val="center"/>
          </w:tcPr>
          <w:p w14:paraId="59B610AD">
            <w:pP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3731709E">
            <w:pPr>
              <w:widowControl/>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人员配置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38BBF2F3">
            <w:pPr>
              <w:widowControl/>
              <w:wordWrap w:val="0"/>
              <w:spacing w:line="3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所提供的针对本项目的</w:t>
            </w:r>
            <w:r>
              <w:rPr>
                <w:rFonts w:hint="eastAsia" w:ascii="宋体" w:hAnsi="宋体" w:eastAsia="宋体" w:cs="宋体"/>
                <w:color w:val="auto"/>
                <w:sz w:val="24"/>
                <w:szCs w:val="24"/>
                <w:highlight w:val="none"/>
                <w:lang w:val="en-US" w:eastAsia="zh-CN"/>
              </w:rPr>
              <w:t>服务人员组织及</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val="en-US" w:eastAsia="zh-CN"/>
              </w:rPr>
              <w:t>安排</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包括但不限于：人员配备情况、人员分工安排、人员管理制度等内容。</w:t>
            </w:r>
          </w:p>
          <w:p w14:paraId="08941C8D">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方案内容不存在瑕疵，得15分；</w:t>
            </w:r>
          </w:p>
          <w:p w14:paraId="11773ECD">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方案内容存在1处瑕疵，得10分；</w:t>
            </w:r>
          </w:p>
          <w:p w14:paraId="71E6F4C2">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方案内容存在2处瑕疵，得5分；</w:t>
            </w:r>
          </w:p>
          <w:p w14:paraId="4C5EFFD3">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59F53039">
            <w:pPr>
              <w:widowControl/>
              <w:wordWrap w:val="0"/>
              <w:spacing w:line="340" w:lineRule="exact"/>
              <w:ind w:firstLine="240" w:firstLineChars="1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835" w:type="dxa"/>
            <w:vMerge w:val="continue"/>
            <w:tcBorders>
              <w:left w:val="single" w:color="auto" w:sz="4" w:space="0"/>
              <w:right w:val="single" w:color="auto" w:sz="4" w:space="0"/>
            </w:tcBorders>
            <w:noWrap/>
            <w:vAlign w:val="center"/>
          </w:tcPr>
          <w:p w14:paraId="75DC1821">
            <w:pPr>
              <w:rPr>
                <w:rFonts w:hint="eastAsia" w:ascii="宋体" w:hAnsi="宋体" w:eastAsia="宋体" w:cs="宋体"/>
                <w:color w:val="auto"/>
                <w:sz w:val="24"/>
                <w:szCs w:val="24"/>
                <w:highlight w:val="none"/>
              </w:rPr>
            </w:pPr>
          </w:p>
        </w:tc>
      </w:tr>
      <w:tr w14:paraId="1A73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4" w:space="0"/>
              <w:right w:val="single" w:color="auto" w:sz="4" w:space="0"/>
            </w:tcBorders>
            <w:noWrap/>
            <w:vAlign w:val="center"/>
          </w:tcPr>
          <w:p w14:paraId="00AB2EDA">
            <w:pPr>
              <w:rPr>
                <w:rFonts w:hint="eastAsia" w:ascii="宋体" w:hAnsi="宋体" w:eastAsia="宋体" w:cs="宋体"/>
                <w:color w:val="auto"/>
                <w:sz w:val="24"/>
                <w:szCs w:val="24"/>
                <w:highlight w:val="none"/>
              </w:rPr>
            </w:pPr>
          </w:p>
        </w:tc>
        <w:tc>
          <w:tcPr>
            <w:tcW w:w="1335" w:type="dxa"/>
            <w:vMerge w:val="continue"/>
            <w:tcBorders>
              <w:left w:val="single" w:color="auto" w:sz="4" w:space="0"/>
              <w:right w:val="single" w:color="auto" w:sz="4" w:space="0"/>
            </w:tcBorders>
            <w:noWrap/>
            <w:vAlign w:val="center"/>
          </w:tcPr>
          <w:p w14:paraId="41E5A45F">
            <w:pP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0C2D8ED2">
            <w:pPr>
              <w:pStyle w:val="7"/>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项目进度计划</w:t>
            </w:r>
          </w:p>
          <w:p w14:paraId="54F2FBF3">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0F420D9B">
            <w:pPr>
              <w:widowControl/>
              <w:wordWrap w:val="0"/>
              <w:spacing w:line="34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根据竞标人提供的项目进度计划进行评分，包括但不限于：项目总体进度计划、项目关键节点安排、实现进度安排的保证措施等内容。</w:t>
            </w:r>
          </w:p>
          <w:p w14:paraId="1E407308">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方案内容不存在瑕疵，得15分；</w:t>
            </w:r>
          </w:p>
          <w:p w14:paraId="1A7AEF58">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方案内容存在1处瑕疵，得10分；</w:t>
            </w:r>
          </w:p>
          <w:p w14:paraId="40F24747">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方案内容存在2处瑕疵，得5分；</w:t>
            </w:r>
          </w:p>
          <w:p w14:paraId="02D4E7F5">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66924952">
            <w:pPr>
              <w:widowControl/>
              <w:wordWrap w:val="0"/>
              <w:spacing w:line="3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835" w:type="dxa"/>
            <w:vMerge w:val="continue"/>
            <w:tcBorders>
              <w:left w:val="single" w:color="auto" w:sz="4" w:space="0"/>
              <w:right w:val="single" w:color="auto" w:sz="4" w:space="0"/>
            </w:tcBorders>
            <w:noWrap/>
            <w:vAlign w:val="center"/>
          </w:tcPr>
          <w:p w14:paraId="7DDBCF3A">
            <w:pPr>
              <w:rPr>
                <w:rFonts w:hint="eastAsia" w:ascii="宋体" w:hAnsi="宋体" w:eastAsia="宋体" w:cs="宋体"/>
                <w:color w:val="auto"/>
                <w:sz w:val="24"/>
                <w:szCs w:val="24"/>
                <w:highlight w:val="none"/>
              </w:rPr>
            </w:pPr>
          </w:p>
        </w:tc>
      </w:tr>
      <w:tr w14:paraId="010E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4" w:space="0"/>
              <w:right w:val="single" w:color="auto" w:sz="4" w:space="0"/>
            </w:tcBorders>
            <w:noWrap/>
            <w:vAlign w:val="center"/>
          </w:tcPr>
          <w:p w14:paraId="4B116F47">
            <w:pPr>
              <w:rPr>
                <w:rFonts w:hint="eastAsia" w:ascii="宋体" w:hAnsi="宋体" w:eastAsia="宋体" w:cs="宋体"/>
                <w:color w:val="auto"/>
                <w:sz w:val="24"/>
                <w:szCs w:val="24"/>
                <w:highlight w:val="none"/>
              </w:rPr>
            </w:pPr>
          </w:p>
        </w:tc>
        <w:tc>
          <w:tcPr>
            <w:tcW w:w="1335" w:type="dxa"/>
            <w:vMerge w:val="continue"/>
            <w:tcBorders>
              <w:left w:val="single" w:color="auto" w:sz="4" w:space="0"/>
              <w:right w:val="single" w:color="auto" w:sz="4" w:space="0"/>
            </w:tcBorders>
            <w:noWrap/>
            <w:vAlign w:val="center"/>
          </w:tcPr>
          <w:p w14:paraId="458A348C">
            <w:pP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0F1BFEE0">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p w14:paraId="4A87101F">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体系与</w:t>
            </w:r>
          </w:p>
          <w:p w14:paraId="0DEF0BEE">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w:t>
            </w:r>
          </w:p>
          <w:p w14:paraId="721BE955">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3EFA2643">
            <w:pPr>
              <w:widowControl/>
              <w:wordWrap w:val="0"/>
              <w:spacing w:line="34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根据竞标人提供的安全管理体系与措施进行评分，包括但不限于：现场管理人员安全生产职责、安全教育培训、森林防火及消防安全措施、特殊天气安全文明施工等内容。</w:t>
            </w:r>
          </w:p>
          <w:p w14:paraId="1CF9DD7A">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方案内容不存在瑕疵，得15分；</w:t>
            </w:r>
          </w:p>
          <w:p w14:paraId="7069BD08">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方案内容存在1处瑕疵，得10分；</w:t>
            </w:r>
          </w:p>
          <w:p w14:paraId="0F0B194C">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方案内容存在2处瑕疵，得5分；</w:t>
            </w:r>
          </w:p>
          <w:p w14:paraId="538544FE">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1DF4207C">
            <w:pPr>
              <w:widowControl/>
              <w:wordWrap w:val="0"/>
              <w:spacing w:line="3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835" w:type="dxa"/>
            <w:vMerge w:val="continue"/>
            <w:tcBorders>
              <w:left w:val="single" w:color="auto" w:sz="4" w:space="0"/>
              <w:right w:val="single" w:color="auto" w:sz="4" w:space="0"/>
            </w:tcBorders>
            <w:noWrap/>
            <w:vAlign w:val="center"/>
          </w:tcPr>
          <w:p w14:paraId="217D6410">
            <w:pPr>
              <w:rPr>
                <w:rFonts w:hint="eastAsia" w:ascii="宋体" w:hAnsi="宋体" w:eastAsia="宋体" w:cs="宋体"/>
                <w:color w:val="auto"/>
                <w:sz w:val="24"/>
                <w:szCs w:val="24"/>
                <w:highlight w:val="none"/>
              </w:rPr>
            </w:pPr>
          </w:p>
        </w:tc>
      </w:tr>
      <w:tr w14:paraId="4321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continue"/>
            <w:tcBorders>
              <w:left w:val="single" w:color="auto" w:sz="4" w:space="0"/>
              <w:bottom w:val="single" w:color="auto" w:sz="4" w:space="0"/>
              <w:right w:val="single" w:color="auto" w:sz="4" w:space="0"/>
            </w:tcBorders>
            <w:noWrap/>
            <w:vAlign w:val="center"/>
          </w:tcPr>
          <w:p w14:paraId="754DB030">
            <w:pPr>
              <w:rPr>
                <w:rFonts w:hint="eastAsia" w:ascii="宋体" w:hAnsi="宋体" w:eastAsia="宋体" w:cs="宋体"/>
                <w:color w:val="auto"/>
                <w:sz w:val="24"/>
                <w:szCs w:val="24"/>
                <w:highlight w:val="none"/>
              </w:rPr>
            </w:pPr>
          </w:p>
        </w:tc>
        <w:tc>
          <w:tcPr>
            <w:tcW w:w="1335" w:type="dxa"/>
            <w:vMerge w:val="continue"/>
            <w:tcBorders>
              <w:left w:val="single" w:color="auto" w:sz="4" w:space="0"/>
              <w:bottom w:val="single" w:color="auto" w:sz="4" w:space="0"/>
              <w:right w:val="single" w:color="auto" w:sz="4" w:space="0"/>
            </w:tcBorders>
            <w:noWrap/>
            <w:vAlign w:val="center"/>
          </w:tcPr>
          <w:p w14:paraId="62DFD365">
            <w:pP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324B39B6">
            <w:pPr>
              <w:pStyle w:val="7"/>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应急预案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38655339">
            <w:pPr>
              <w:widowControl/>
              <w:wordWrap w:val="0"/>
              <w:spacing w:line="34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根据竞标人提供的应急预案进行评分，包括但不限于：</w:t>
            </w:r>
            <w:r>
              <w:rPr>
                <w:rFonts w:hint="eastAsia" w:ascii="宋体" w:hAnsi="宋体" w:eastAsia="宋体" w:cs="宋体"/>
                <w:color w:val="auto"/>
                <w:sz w:val="24"/>
                <w:szCs w:val="24"/>
                <w:highlight w:val="none"/>
                <w:lang w:val="zh-CN" w:eastAsia="zh-CN"/>
              </w:rPr>
              <w:t>应急管理体系、</w:t>
            </w:r>
            <w:r>
              <w:rPr>
                <w:rFonts w:hint="eastAsia" w:ascii="宋体" w:hAnsi="宋体" w:eastAsia="宋体" w:cs="宋体"/>
                <w:color w:val="auto"/>
                <w:sz w:val="24"/>
                <w:szCs w:val="24"/>
                <w:highlight w:val="none"/>
                <w:lang w:val="en-US" w:eastAsia="zh-CN"/>
              </w:rPr>
              <w:t>应急抢险处置流程等内容、应急人员及设备配置。</w:t>
            </w:r>
          </w:p>
          <w:p w14:paraId="5EAB9E9F">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04355A57">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方案内容存在1处瑕疵，得7分；</w:t>
            </w:r>
          </w:p>
          <w:p w14:paraId="669DDDA3">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方案内容存在2处瑕疵，得4分；</w:t>
            </w:r>
          </w:p>
          <w:p w14:paraId="36F1CF9D">
            <w:pPr>
              <w:keepNext w:val="0"/>
              <w:keepLines w:val="0"/>
              <w:pageBreakBefore w:val="0"/>
              <w:widowControl/>
              <w:kinsoku/>
              <w:wordWrap w:val="0"/>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74CB2B57">
            <w:pPr>
              <w:widowControl/>
              <w:wordWrap w:val="0"/>
              <w:spacing w:line="340" w:lineRule="exact"/>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835" w:type="dxa"/>
            <w:vMerge w:val="continue"/>
            <w:tcBorders>
              <w:left w:val="single" w:color="auto" w:sz="4" w:space="0"/>
              <w:bottom w:val="single" w:color="auto" w:sz="4" w:space="0"/>
              <w:right w:val="single" w:color="auto" w:sz="4" w:space="0"/>
            </w:tcBorders>
            <w:noWrap/>
            <w:vAlign w:val="center"/>
          </w:tcPr>
          <w:p w14:paraId="13AD2B2B">
            <w:pPr>
              <w:rPr>
                <w:rFonts w:hint="eastAsia" w:ascii="宋体" w:hAnsi="宋体" w:eastAsia="宋体" w:cs="宋体"/>
                <w:color w:val="auto"/>
                <w:sz w:val="24"/>
                <w:szCs w:val="24"/>
                <w:highlight w:val="none"/>
              </w:rPr>
            </w:pPr>
          </w:p>
        </w:tc>
      </w:tr>
      <w:tr w14:paraId="3261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0" w:type="dxa"/>
            <w:gridSpan w:val="5"/>
            <w:tcBorders>
              <w:left w:val="single" w:color="auto" w:sz="4" w:space="0"/>
              <w:bottom w:val="single" w:color="auto" w:sz="4" w:space="0"/>
              <w:right w:val="single" w:color="auto" w:sz="4" w:space="0"/>
            </w:tcBorders>
            <w:noWrap/>
            <w:vAlign w:val="center"/>
          </w:tcPr>
          <w:p w14:paraId="414847F5">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注：本项内容中所称的“瑕疵”</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rPr>
              <w:t>：</w:t>
            </w:r>
          </w:p>
          <w:p w14:paraId="52C2394C">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方案内容缺项、内容表述不完整或缺少关键分析点；</w:t>
            </w:r>
          </w:p>
          <w:p w14:paraId="277DE792">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方案内容表述前后矛盾、无连贯性；</w:t>
            </w:r>
          </w:p>
          <w:p w14:paraId="08F5FA21">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内容存在逻辑漏洞、常识错误；</w:t>
            </w:r>
          </w:p>
          <w:p w14:paraId="4BC6773D">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（4）方案内容不具有先进思路或时效性低下或安全性低或缺乏稳定可靠的相关保障措施、流程或进度或不合理、不具有可行性或具体措施不适用本项目特性或非专门针对本项目制定；</w:t>
            </w:r>
          </w:p>
          <w:p w14:paraId="63F37C38">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（5）方案中提出的措施举措不利于本项目目标的实现；</w:t>
            </w:r>
          </w:p>
          <w:p w14:paraId="7321BFF0">
            <w:pPr>
              <w:widowControl/>
              <w:wordWrap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（6）现有技术条件下不可能出现的情形。</w:t>
            </w:r>
          </w:p>
        </w:tc>
      </w:tr>
      <w:tr w14:paraId="543B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0A7F938C">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35" w:type="dxa"/>
            <w:tcBorders>
              <w:top w:val="single" w:color="auto" w:sz="4" w:space="0"/>
              <w:left w:val="single" w:color="auto" w:sz="4" w:space="0"/>
              <w:bottom w:val="single" w:color="auto" w:sz="4" w:space="0"/>
              <w:right w:val="single" w:color="auto" w:sz="4" w:space="0"/>
            </w:tcBorders>
            <w:noWrap/>
            <w:vAlign w:val="center"/>
          </w:tcPr>
          <w:p w14:paraId="3E23D4ED">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47EBA9B7">
            <w:pPr>
              <w:spacing w:line="37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noWrap/>
            <w:vAlign w:val="center"/>
          </w:tcPr>
          <w:p w14:paraId="06A1BD63">
            <w:pPr>
              <w:spacing w:line="370" w:lineRule="exact"/>
              <w:ind w:firstLine="28"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990" w:type="dxa"/>
            <w:tcBorders>
              <w:top w:val="single" w:color="auto" w:sz="4" w:space="0"/>
              <w:left w:val="single" w:color="auto" w:sz="4" w:space="0"/>
              <w:bottom w:val="single" w:color="auto" w:sz="4" w:space="0"/>
              <w:right w:val="single" w:color="auto" w:sz="4" w:space="0"/>
            </w:tcBorders>
            <w:noWrap/>
            <w:vAlign w:val="center"/>
          </w:tcPr>
          <w:p w14:paraId="121E6A4B">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年1月1日起至</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截止日止（以</w:t>
            </w:r>
            <w:r>
              <w:rPr>
                <w:rFonts w:hint="eastAsia" w:ascii="宋体" w:hAnsi="宋体" w:eastAsia="宋体" w:cs="宋体"/>
                <w:color w:val="auto"/>
                <w:sz w:val="24"/>
                <w:szCs w:val="24"/>
                <w:highlight w:val="none"/>
                <w:lang w:val="en-US" w:eastAsia="zh-CN"/>
              </w:rPr>
              <w:t>合同签订</w:t>
            </w:r>
            <w:r>
              <w:rPr>
                <w:rFonts w:hint="eastAsia" w:ascii="宋体" w:hAnsi="宋体" w:eastAsia="宋体" w:cs="宋体"/>
                <w:color w:val="auto"/>
                <w:sz w:val="24"/>
                <w:szCs w:val="24"/>
                <w:highlight w:val="none"/>
              </w:rPr>
              <w:t>时间为准）每完成过1个</w:t>
            </w:r>
            <w:r>
              <w:rPr>
                <w:rFonts w:hint="eastAsia" w:ascii="宋体" w:hAnsi="宋体" w:eastAsia="宋体" w:cs="宋体"/>
                <w:color w:val="auto"/>
                <w:sz w:val="24"/>
                <w:szCs w:val="24"/>
                <w:highlight w:val="none"/>
                <w:lang w:val="en-US" w:eastAsia="zh-CN"/>
              </w:rPr>
              <w:t>类似项目的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分，本项最多得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835" w:type="dxa"/>
            <w:tcBorders>
              <w:top w:val="single" w:color="auto" w:sz="4" w:space="0"/>
              <w:left w:val="single" w:color="auto" w:sz="4" w:space="0"/>
              <w:bottom w:val="single" w:color="auto" w:sz="4" w:space="0"/>
              <w:right w:val="single" w:color="auto" w:sz="4" w:space="0"/>
            </w:tcBorders>
            <w:noWrap/>
            <w:vAlign w:val="center"/>
          </w:tcPr>
          <w:p w14:paraId="6A08B64E">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须在响应文件商务部分提供业绩的合同复印件并加盖</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公章。</w:t>
            </w:r>
          </w:p>
          <w:p w14:paraId="1FF52BF7">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不满足上述业绩要求的业绩无效。</w:t>
            </w:r>
          </w:p>
        </w:tc>
      </w:tr>
    </w:tbl>
    <w:p w14:paraId="43F1F869">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color w:val="auto"/>
          <w:sz w:val="24"/>
          <w:szCs w:val="24"/>
          <w:highlight w:val="none"/>
          <w:lang w:val="en-US" w:eastAsia="zh-CN"/>
        </w:rPr>
      </w:pPr>
      <w:bookmarkStart w:id="204" w:name="_Toc5639"/>
      <w:r>
        <w:rPr>
          <w:rFonts w:hint="eastAsia" w:ascii="宋体" w:hAnsi="宋体" w:eastAsia="宋体" w:cs="宋体"/>
          <w:b/>
          <w:color w:val="auto"/>
          <w:sz w:val="24"/>
          <w:szCs w:val="24"/>
          <w:highlight w:val="none"/>
          <w:lang w:val="en-US" w:eastAsia="zh-CN"/>
        </w:rPr>
        <w:t>三、无效响应</w:t>
      </w:r>
      <w:bookmarkEnd w:id="199"/>
      <w:bookmarkEnd w:id="200"/>
      <w:bookmarkEnd w:id="201"/>
      <w:bookmarkEnd w:id="204"/>
    </w:p>
    <w:p w14:paraId="0B31A742">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发生以下条款情况之一者，视为无效响应，其响应文件将被拒绝：</w:t>
      </w:r>
    </w:p>
    <w:p w14:paraId="4C5035D1">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不符合规定的资格条件的；</w:t>
      </w:r>
    </w:p>
    <w:p w14:paraId="59977E91">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的法定代表人（或其授权代表）或自然人未到现场参加比选；</w:t>
      </w:r>
    </w:p>
    <w:p w14:paraId="597249A5">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所提交的响应文件不按“第七篇响应文件编制要求”要求签署或盖章；</w:t>
      </w:r>
    </w:p>
    <w:p w14:paraId="417A462A">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的比选报价超过</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预算或最高限价的；</w:t>
      </w:r>
    </w:p>
    <w:p w14:paraId="747862A8">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（五）法定代表人为同一个人的两个及两个以上法人，母公司及其控股公司，在本项目</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中同时参与比选；</w:t>
      </w:r>
    </w:p>
    <w:p w14:paraId="74139B71">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，独立参加同一合同项下的政府</w:t>
      </w:r>
      <w:r>
        <w:rPr>
          <w:rFonts w:hint="eastAsia" w:ascii="宋体" w:hAnsi="宋体" w:eastAsia="宋体" w:cs="宋体"/>
          <w:color w:val="auto"/>
          <w:sz w:val="24"/>
          <w:szCs w:val="24"/>
          <w:highlight w:val="none"/>
          <w:lang w:eastAsia="zh-CN"/>
        </w:rPr>
        <w:t>比选活动</w:t>
      </w:r>
      <w:r>
        <w:rPr>
          <w:rFonts w:hint="eastAsia" w:ascii="宋体" w:hAnsi="宋体" w:eastAsia="宋体" w:cs="宋体"/>
          <w:color w:val="auto"/>
          <w:sz w:val="24"/>
          <w:szCs w:val="24"/>
          <w:highlight w:val="none"/>
        </w:rPr>
        <w:t>的；</w:t>
      </w:r>
    </w:p>
    <w:p w14:paraId="4CCE8EE9">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比选有效期不满足竞争性比选文件要求的；</w:t>
      </w:r>
    </w:p>
    <w:p w14:paraId="7D488F68">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响应文件内容有与国家现行法律法规相违背的内容，或附有</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无法接受的条件；</w:t>
      </w:r>
    </w:p>
    <w:p w14:paraId="38C62A96">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8"/>
          <w:szCs w:val="20"/>
          <w:highlight w:val="none"/>
        </w:rPr>
      </w:pPr>
      <w:r>
        <w:rPr>
          <w:rFonts w:hint="eastAsia" w:ascii="宋体" w:hAnsi="宋体" w:eastAsia="宋体" w:cs="宋体"/>
          <w:color w:val="auto"/>
          <w:sz w:val="24"/>
          <w:szCs w:val="24"/>
          <w:highlight w:val="none"/>
        </w:rPr>
        <w:t>（九）未在规定时间内报名将《</w:t>
      </w: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rPr>
        <w:t>登记表》发送至</w:t>
      </w:r>
      <w:r>
        <w:rPr>
          <w:rFonts w:hint="eastAsia" w:ascii="宋体" w:hAnsi="宋体" w:eastAsia="宋体" w:cs="宋体"/>
          <w:color w:val="auto"/>
          <w:sz w:val="24"/>
          <w:szCs w:val="24"/>
          <w:highlight w:val="none"/>
          <w:lang w:eastAsia="zh-CN"/>
        </w:rPr>
        <w:t>比选代理机构</w:t>
      </w:r>
      <w:r>
        <w:rPr>
          <w:rFonts w:hint="eastAsia" w:ascii="宋体" w:hAnsi="宋体" w:eastAsia="宋体" w:cs="宋体"/>
          <w:color w:val="auto"/>
          <w:sz w:val="24"/>
          <w:szCs w:val="24"/>
          <w:highlight w:val="none"/>
        </w:rPr>
        <w:t>邮箱的；</w:t>
      </w:r>
    </w:p>
    <w:p w14:paraId="66398C7B">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（十）法律、法规和竞争性比选文件规定的其他无效情形。</w:t>
      </w:r>
    </w:p>
    <w:bookmarkEnd w:id="202"/>
    <w:bookmarkEnd w:id="203"/>
    <w:p w14:paraId="49DC669F">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color w:val="auto"/>
          <w:sz w:val="24"/>
          <w:szCs w:val="24"/>
          <w:lang w:val="en-US" w:eastAsia="zh-CN"/>
        </w:rPr>
      </w:pPr>
      <w:bookmarkStart w:id="205" w:name="_Toc76462336"/>
      <w:bookmarkEnd w:id="205"/>
      <w:bookmarkStart w:id="206" w:name="_Toc106030891"/>
      <w:bookmarkEnd w:id="206"/>
      <w:bookmarkStart w:id="207" w:name="_Toc21054"/>
      <w:bookmarkEnd w:id="207"/>
      <w:bookmarkStart w:id="208" w:name="_Toc30873"/>
      <w:bookmarkStart w:id="209" w:name="_Toc18456"/>
      <w:bookmarkStart w:id="210" w:name="_Toc270"/>
      <w:bookmarkStart w:id="211" w:name="_Toc2577"/>
      <w:r>
        <w:rPr>
          <w:rFonts w:hint="eastAsia" w:ascii="宋体" w:hAnsi="宋体" w:eastAsia="宋体" w:cs="宋体"/>
          <w:b/>
          <w:color w:val="auto"/>
          <w:sz w:val="24"/>
          <w:szCs w:val="24"/>
          <w:lang w:val="en-US" w:eastAsia="zh-CN"/>
        </w:rPr>
        <w:t>四、比选终止</w:t>
      </w:r>
      <w:bookmarkEnd w:id="208"/>
      <w:bookmarkEnd w:id="209"/>
      <w:bookmarkEnd w:id="210"/>
      <w:bookmarkEnd w:id="211"/>
    </w:p>
    <w:p w14:paraId="487E8882">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比选代理机构</w:t>
      </w:r>
      <w:r>
        <w:rPr>
          <w:rFonts w:hint="eastAsia" w:ascii="宋体" w:hAnsi="宋体" w:eastAsia="宋体" w:cs="宋体"/>
          <w:color w:val="auto"/>
          <w:sz w:val="24"/>
          <w:szCs w:val="24"/>
          <w:highlight w:val="none"/>
        </w:rPr>
        <w:t>应当终止竞争性比选活动，发布项目终止公告并说明原因，重新开展</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活动：</w:t>
      </w:r>
    </w:p>
    <w:p w14:paraId="38AC4E9B">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（一）因情况变化，不再符合规定的竞争性比选方式适用情形的；</w:t>
      </w:r>
    </w:p>
    <w:p w14:paraId="2F943022">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公正的违法、违规行为的；</w:t>
      </w:r>
    </w:p>
    <w:p w14:paraId="018CD180">
      <w:pPr>
        <w:pageBreakBefore w:val="0"/>
        <w:widowControl w:val="0"/>
        <w:kinsoku/>
        <w:wordWrap/>
        <w:overflowPunct/>
        <w:topLinePunct w:val="0"/>
        <w:autoSpaceDE/>
        <w:autoSpaceDN/>
        <w:bidi w:val="0"/>
        <w:adjustRightInd/>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（三）通过资格性及符合性审查的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6267AD42">
      <w:pPr>
        <w:rPr>
          <w:rFonts w:hint="eastAsia" w:ascii="宋体" w:hAnsi="宋体" w:eastAsia="宋体" w:cs="宋体"/>
          <w:b/>
          <w:color w:val="auto"/>
          <w:sz w:val="36"/>
          <w:szCs w:val="36"/>
          <w:lang w:val="en-US" w:eastAsia="zh-CN"/>
        </w:rPr>
      </w:pPr>
      <w:bookmarkStart w:id="212" w:name="_Toc32240"/>
      <w:bookmarkEnd w:id="212"/>
      <w:bookmarkStart w:id="213" w:name="_Toc102227313"/>
      <w:bookmarkEnd w:id="213"/>
      <w:bookmarkStart w:id="214" w:name="_Toc106030892"/>
      <w:bookmarkEnd w:id="214"/>
      <w:bookmarkStart w:id="215" w:name="_Toc76462337"/>
      <w:bookmarkEnd w:id="215"/>
      <w:bookmarkStart w:id="216" w:name="_Toc31318"/>
      <w:bookmarkStart w:id="217" w:name="_Toc16781"/>
      <w:r>
        <w:rPr>
          <w:rFonts w:hint="eastAsia" w:ascii="宋体" w:hAnsi="宋体" w:eastAsia="宋体" w:cs="宋体"/>
          <w:b/>
          <w:color w:val="auto"/>
          <w:sz w:val="36"/>
          <w:szCs w:val="36"/>
          <w:lang w:val="en-US" w:eastAsia="zh-CN"/>
        </w:rPr>
        <w:br w:type="page"/>
      </w:r>
    </w:p>
    <w:p w14:paraId="26D0C92A">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lang w:val="en-US" w:eastAsia="zh-CN"/>
        </w:rPr>
      </w:pPr>
      <w:bookmarkStart w:id="218" w:name="_Toc22915"/>
      <w:r>
        <w:rPr>
          <w:rFonts w:hint="eastAsia" w:ascii="宋体" w:hAnsi="宋体" w:eastAsia="宋体" w:cs="宋体"/>
          <w:b/>
          <w:color w:val="auto"/>
          <w:sz w:val="36"/>
          <w:szCs w:val="36"/>
          <w:lang w:val="en-US" w:eastAsia="zh-CN"/>
        </w:rPr>
        <w:t>第五篇  竞标人须知</w:t>
      </w:r>
      <w:bookmarkEnd w:id="216"/>
      <w:bookmarkEnd w:id="217"/>
      <w:bookmarkEnd w:id="218"/>
    </w:p>
    <w:p w14:paraId="10EA9C6E">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19" w:name="_Toc106030893"/>
      <w:bookmarkEnd w:id="219"/>
      <w:bookmarkStart w:id="220" w:name="_Toc342913389"/>
      <w:bookmarkEnd w:id="220"/>
      <w:bookmarkStart w:id="221" w:name="_Toc11013"/>
      <w:bookmarkEnd w:id="221"/>
      <w:bookmarkStart w:id="222" w:name="_Toc76462338"/>
      <w:bookmarkEnd w:id="222"/>
      <w:bookmarkStart w:id="223" w:name="_Toc30160"/>
      <w:bookmarkStart w:id="224" w:name="_Toc1092"/>
      <w:bookmarkStart w:id="225" w:name="_Toc29821"/>
      <w:bookmarkStart w:id="226" w:name="_Toc106034650"/>
      <w:bookmarkStart w:id="227" w:name="_Toc65660359"/>
      <w:bookmarkStart w:id="228" w:name="_Toc11641055"/>
      <w:bookmarkStart w:id="229" w:name="_Toc12789059"/>
      <w:r>
        <w:rPr>
          <w:rFonts w:hint="eastAsia" w:ascii="宋体" w:hAnsi="宋体" w:eastAsia="宋体" w:cs="宋体"/>
          <w:color w:val="auto"/>
          <w:sz w:val="24"/>
          <w:highlight w:val="none"/>
          <w:lang w:val="en-US" w:eastAsia="zh-CN"/>
        </w:rPr>
        <w:t>一、竞标人</w:t>
      </w:r>
      <w:bookmarkEnd w:id="223"/>
    </w:p>
    <w:p w14:paraId="4D2DAA8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竞标人</w:t>
      </w:r>
    </w:p>
    <w:p w14:paraId="375844F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是指响应</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、参加公开竞争的法人、其他组织或者自然人。</w:t>
      </w:r>
    </w:p>
    <w:p w14:paraId="01257B8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(二)合格</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条件</w:t>
      </w:r>
    </w:p>
    <w:p w14:paraId="5DBEC2A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应完全符合</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第一篇中规定的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资格条件，并对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作出实质性响应。</w:t>
      </w:r>
    </w:p>
    <w:p w14:paraId="31D2A41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的风险</w:t>
      </w:r>
    </w:p>
    <w:p w14:paraId="53943C0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没有按照</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要求提供全部资料，或者</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没有对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在各方面作出实质性响应，可能导致竞标被拒绝或评定为无效竞标。</w:t>
      </w:r>
    </w:p>
    <w:p w14:paraId="6F3157B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(四)法律责任</w:t>
      </w:r>
    </w:p>
    <w:p w14:paraId="59B6482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违反《中华人民共和国政府采购法》、</w:t>
      </w:r>
      <w:r>
        <w:rPr>
          <w:rFonts w:hint="eastAsia" w:ascii="宋体" w:hAnsi="宋体" w:eastAsia="宋体" w:cs="宋体"/>
          <w:color w:val="auto"/>
          <w:sz w:val="24"/>
          <w:szCs w:val="24"/>
          <w:highlight w:val="none"/>
          <w:lang w:eastAsia="zh-CN"/>
        </w:rPr>
        <w:t>《中华人民共和国政府采购法实施条例》</w:t>
      </w:r>
      <w:r>
        <w:rPr>
          <w:rFonts w:hint="eastAsia" w:ascii="宋体" w:hAnsi="宋体" w:eastAsia="宋体" w:cs="宋体"/>
          <w:color w:val="auto"/>
          <w:sz w:val="24"/>
          <w:szCs w:val="24"/>
          <w:highlight w:val="none"/>
        </w:rPr>
        <w:t>等相关规定，将按规定追究</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法律责任。</w:t>
      </w:r>
    </w:p>
    <w:p w14:paraId="672C091E">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0" w:name="_Toc6392"/>
      <w:r>
        <w:rPr>
          <w:rFonts w:hint="eastAsia" w:ascii="宋体" w:hAnsi="宋体" w:eastAsia="宋体" w:cs="宋体"/>
          <w:color w:val="auto"/>
          <w:sz w:val="24"/>
          <w:highlight w:val="none"/>
          <w:lang w:val="en-US" w:eastAsia="zh-CN"/>
        </w:rPr>
        <w:t>二、竞争性比选文件</w:t>
      </w:r>
      <w:bookmarkEnd w:id="230"/>
    </w:p>
    <w:p w14:paraId="3FEFBC3A">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编制竞标文件的依据，是</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评判的依据和标准。</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也是</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签订合同的基础。</w:t>
      </w:r>
    </w:p>
    <w:p w14:paraId="0FA2F4F3">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邀请书、项目</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val="en-US" w:eastAsia="zh-CN"/>
        </w:rPr>
        <w:t>项目商务需求、</w:t>
      </w:r>
      <w:r>
        <w:rPr>
          <w:rFonts w:hint="eastAsia" w:ascii="宋体" w:hAnsi="宋体" w:eastAsia="宋体" w:cs="宋体"/>
          <w:color w:val="auto"/>
          <w:sz w:val="24"/>
          <w:szCs w:val="24"/>
          <w:highlight w:val="none"/>
        </w:rPr>
        <w:t>资格审查及评标办法、</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lang w:val="en-US" w:eastAsia="zh-CN"/>
        </w:rPr>
        <w:t>比选合同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响应文件编制要求</w:t>
      </w:r>
      <w:r>
        <w:rPr>
          <w:rFonts w:hint="eastAsia" w:ascii="宋体" w:hAnsi="宋体" w:eastAsia="宋体" w:cs="宋体"/>
          <w:color w:val="auto"/>
          <w:sz w:val="24"/>
          <w:szCs w:val="24"/>
          <w:highlight w:val="none"/>
        </w:rPr>
        <w:t>等七部分组成。</w:t>
      </w:r>
    </w:p>
    <w:p w14:paraId="58B5621A">
      <w:pPr>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（二）比选代理机构对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所作的一切有效的书面通知、修改及补充，都是</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不可分割的部分。</w:t>
      </w:r>
    </w:p>
    <w:p w14:paraId="706C454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、澄清文件(如果有)一律在“行采家”平台（http://www.gec123.com）网上发布，请各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注意下载或到比选代理机构处领取，无论</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下载或领取与否，均视同</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已知晓本项目</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、澄清文件的内容。</w:t>
      </w:r>
    </w:p>
    <w:p w14:paraId="25D7A578">
      <w:pPr>
        <w:pageBreakBefore w:val="0"/>
        <w:wordWrap/>
        <w:topLinePunct w:val="0"/>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（四）比选代理机构对已发出的</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需要进行澄清或修改的，应以书面形式或公告形式通知所有</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收受人。该澄清或者修改的内容为</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的组成部分。</w:t>
      </w:r>
    </w:p>
    <w:p w14:paraId="0EFABB8D">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1" w:name="_Toc26569"/>
      <w:r>
        <w:rPr>
          <w:rFonts w:hint="eastAsia" w:ascii="宋体" w:hAnsi="宋体" w:eastAsia="宋体" w:cs="宋体"/>
          <w:color w:val="auto"/>
          <w:sz w:val="24"/>
          <w:highlight w:val="none"/>
          <w:lang w:val="en-US" w:eastAsia="zh-CN"/>
        </w:rPr>
        <w:t>三、竞标文件</w:t>
      </w:r>
      <w:bookmarkEnd w:id="231"/>
    </w:p>
    <w:p w14:paraId="7FB22E5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应当按照</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的要求编制竞标文件，并对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提出的要求和条件作出实质性响应，同时应编制完整的页码、目录。</w:t>
      </w:r>
    </w:p>
    <w:p w14:paraId="121C911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(一)竞标文件组成</w:t>
      </w:r>
    </w:p>
    <w:p w14:paraId="6FD0657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竞标文件由第七篇“竞标文件格式”规定的部分和</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所作的一切有效补充、修改和承诺等文件组成，</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应按照第七篇“竞标文件格式”规定的目录顺序组织编写和装订，否则有可能影响评委对竞标文件的评审。</w:t>
      </w:r>
    </w:p>
    <w:p w14:paraId="190E12C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(二)联合竞标</w:t>
      </w:r>
    </w:p>
    <w:p w14:paraId="7A9FBEB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本项目不接受联合体参与竞标。</w:t>
      </w:r>
    </w:p>
    <w:p w14:paraId="5C2D61A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(三)竞标有效期</w:t>
      </w:r>
    </w:p>
    <w:p w14:paraId="528F53C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竞标有效期为竞标截止时间起90天内。</w:t>
      </w:r>
    </w:p>
    <w:p w14:paraId="7A8940F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）竞标文件的份数和签字</w:t>
      </w:r>
    </w:p>
    <w:p w14:paraId="31EF9BC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highlight w:val="none"/>
        </w:rPr>
        <w:t>行采家-电子竞采（www.gec123.com/xe/）平台上</w:t>
      </w:r>
      <w:r>
        <w:rPr>
          <w:rFonts w:hint="eastAsia" w:ascii="宋体" w:hAnsi="宋体" w:eastAsia="宋体" w:cs="宋体"/>
          <w:b/>
          <w:bCs/>
          <w:color w:val="auto"/>
          <w:sz w:val="24"/>
          <w:szCs w:val="24"/>
          <w:highlight w:val="none"/>
        </w:rPr>
        <w:t>须上传本项目的响应文件一份。</w:t>
      </w:r>
      <w:r>
        <w:rPr>
          <w:rFonts w:hint="eastAsia" w:ascii="宋体" w:hAnsi="宋体" w:eastAsia="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highlight w:val="none"/>
        </w:rPr>
        <w:t>行采家-电子竞采（www.gec123.com/xe/）平台上的报价必须与上传的响应文件中的报价一致，否则，按无效标处理。</w:t>
      </w:r>
    </w:p>
    <w:p w14:paraId="1760892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竞标人</w:t>
      </w:r>
      <w:r>
        <w:rPr>
          <w:rFonts w:hint="eastAsia" w:ascii="宋体" w:hAnsi="宋体" w:eastAsia="宋体" w:cs="宋体"/>
          <w:b/>
          <w:bCs/>
          <w:color w:val="auto"/>
          <w:sz w:val="24"/>
          <w:szCs w:val="24"/>
          <w:highlight w:val="none"/>
        </w:rPr>
        <w:t>的响应文件应按照</w:t>
      </w:r>
      <w:r>
        <w:rPr>
          <w:rFonts w:hint="eastAsia" w:ascii="宋体" w:hAnsi="宋体" w:eastAsia="宋体" w:cs="宋体"/>
          <w:b/>
          <w:bCs/>
          <w:color w:val="auto"/>
          <w:sz w:val="24"/>
          <w:szCs w:val="24"/>
          <w:highlight w:val="none"/>
          <w:lang w:eastAsia="zh-CN"/>
        </w:rPr>
        <w:t>竞争性比选文件</w:t>
      </w:r>
      <w:r>
        <w:rPr>
          <w:rFonts w:hint="eastAsia" w:ascii="宋体" w:hAnsi="宋体" w:eastAsia="宋体" w:cs="宋体"/>
          <w:b/>
          <w:bCs/>
          <w:color w:val="auto"/>
          <w:sz w:val="24"/>
          <w:szCs w:val="24"/>
          <w:highlight w:val="none"/>
        </w:rPr>
        <w:t>要求制作，要求签字、盖章的地方必须按规定签字、盖章，并扫描成PDF格式电子文档上传至</w:t>
      </w:r>
      <w:r>
        <w:rPr>
          <w:rFonts w:hint="eastAsia" w:ascii="宋体" w:hAnsi="宋体" w:eastAsia="宋体" w:cs="宋体"/>
          <w:b/>
          <w:bCs/>
          <w:color w:val="auto"/>
          <w:sz w:val="24"/>
          <w:highlight w:val="none"/>
        </w:rPr>
        <w:t>行采家-电子竞采平台</w:t>
      </w:r>
      <w:r>
        <w:rPr>
          <w:rFonts w:hint="eastAsia" w:ascii="宋体" w:hAnsi="宋体" w:eastAsia="宋体" w:cs="宋体"/>
          <w:b/>
          <w:bCs/>
          <w:color w:val="auto"/>
          <w:sz w:val="24"/>
          <w:szCs w:val="24"/>
          <w:highlight w:val="none"/>
        </w:rPr>
        <w:t>，扫描件须清晰可辨，未按要求制作的文件按无效标处理。</w:t>
      </w:r>
    </w:p>
    <w:p w14:paraId="0045431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 竞标报价</w:t>
      </w:r>
    </w:p>
    <w:p w14:paraId="447AA68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应严格按照“竞标文件格式”中“</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”的格式填写报价；</w:t>
      </w:r>
    </w:p>
    <w:p w14:paraId="5401A3E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的报价为一次性报价，即在竞标有效期内竞标价格固定不变；</w:t>
      </w:r>
    </w:p>
    <w:p w14:paraId="0606A13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3.本项目只接受一个竞标报价，有选择的或有条件的报价将不予接受。</w:t>
      </w:r>
    </w:p>
    <w:p w14:paraId="5323AA3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)修正错误</w:t>
      </w:r>
    </w:p>
    <w:p w14:paraId="67D8262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若竞标文件出现计算或表达上的错误，修正错误的原则如下:</w:t>
      </w:r>
    </w:p>
    <w:p w14:paraId="625F6DE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1.竞标文件中</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(报价表)内容与竞标文件中相应内容不一致的，以</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(报价表)为准；</w:t>
      </w:r>
    </w:p>
    <w:p w14:paraId="0806F02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79E0ED1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的总价为准，并修改单价；</w:t>
      </w:r>
    </w:p>
    <w:p w14:paraId="64A2371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3C1326C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按上述修正错误的原则及方法调整或修正</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竞标报价，若同时出现两种以上不一致的，按照前款规定的顺序修正，</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同意并签字确认后，调整后的竞标报价对</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具有约束作用。如果</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不接受修正后的报价，则其竞标将作为无效竞标处理。</w:t>
      </w:r>
    </w:p>
    <w:p w14:paraId="6BFECC40">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2" w:name="_Toc12590"/>
      <w:r>
        <w:rPr>
          <w:rFonts w:hint="eastAsia" w:ascii="宋体" w:hAnsi="宋体" w:eastAsia="宋体" w:cs="宋体"/>
          <w:color w:val="auto"/>
          <w:sz w:val="24"/>
          <w:highlight w:val="none"/>
          <w:lang w:val="en-US" w:eastAsia="zh-CN"/>
        </w:rPr>
        <w:t>四、评标</w:t>
      </w:r>
      <w:bookmarkEnd w:id="232"/>
    </w:p>
    <w:p w14:paraId="4799BB1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（一）见第四篇“评标”内容。</w:t>
      </w:r>
    </w:p>
    <w:p w14:paraId="01E9772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的组成:将由</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依法组建。</w:t>
      </w:r>
    </w:p>
    <w:p w14:paraId="09B2551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或其授权的</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应按照评标报告中推荐的</w:t>
      </w:r>
      <w:r>
        <w:rPr>
          <w:rFonts w:hint="eastAsia" w:ascii="宋体" w:hAnsi="宋体" w:eastAsia="宋体" w:cs="宋体"/>
          <w:color w:val="auto"/>
          <w:sz w:val="24"/>
          <w:szCs w:val="24"/>
          <w:highlight w:val="none"/>
          <w:lang w:eastAsia="zh-CN"/>
        </w:rPr>
        <w:t>中选候选人</w:t>
      </w:r>
      <w:r>
        <w:rPr>
          <w:rFonts w:hint="eastAsia" w:ascii="宋体" w:hAnsi="宋体" w:eastAsia="宋体" w:cs="宋体"/>
          <w:color w:val="auto"/>
          <w:sz w:val="24"/>
          <w:szCs w:val="24"/>
          <w:highlight w:val="none"/>
        </w:rPr>
        <w:t>排名顺序确定中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w:t>
      </w:r>
    </w:p>
    <w:p w14:paraId="1F48A10A">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3" w:name="_Toc22372"/>
      <w:r>
        <w:rPr>
          <w:rFonts w:hint="eastAsia" w:ascii="宋体" w:hAnsi="宋体" w:eastAsia="宋体" w:cs="宋体"/>
          <w:color w:val="auto"/>
          <w:sz w:val="24"/>
          <w:highlight w:val="none"/>
          <w:lang w:val="en-US" w:eastAsia="zh-CN"/>
        </w:rPr>
        <w:t>五、定标</w:t>
      </w:r>
      <w:bookmarkEnd w:id="233"/>
    </w:p>
    <w:p w14:paraId="7651BDE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（一）定标程序：</w:t>
      </w:r>
      <w:r>
        <w:rPr>
          <w:rFonts w:hint="eastAsia" w:ascii="宋体" w:hAnsi="宋体" w:eastAsia="宋体" w:cs="宋体"/>
          <w:color w:val="auto"/>
          <w:sz w:val="24"/>
          <w:szCs w:val="24"/>
          <w:highlight w:val="none"/>
          <w:lang w:eastAsia="zh-CN"/>
        </w:rPr>
        <w:t>中选候选人</w:t>
      </w:r>
      <w:r>
        <w:rPr>
          <w:rFonts w:hint="eastAsia" w:ascii="宋体" w:hAnsi="宋体" w:eastAsia="宋体" w:cs="宋体"/>
          <w:color w:val="auto"/>
          <w:sz w:val="24"/>
          <w:szCs w:val="24"/>
          <w:highlight w:val="none"/>
        </w:rPr>
        <w:t>并列的，由</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highlight w:val="none"/>
          <w:lang w:eastAsia="zh-CN"/>
        </w:rPr>
        <w:t>比选小组</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的优劣顺序排列，</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优劣顺序相同的，按商务条款的优劣顺序排列确定</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w:t>
      </w:r>
    </w:p>
    <w:p w14:paraId="1618B23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（二）定标原则</w:t>
      </w:r>
    </w:p>
    <w:p w14:paraId="430E047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1.比选代理机构应当在评标结束后2个工作日内将评标报告送</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w:t>
      </w:r>
    </w:p>
    <w:p w14:paraId="526D2CC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比选人</w:t>
      </w:r>
      <w:r>
        <w:rPr>
          <w:rFonts w:hint="eastAsia" w:ascii="宋体" w:hAnsi="宋体" w:eastAsia="宋体" w:cs="宋体"/>
          <w:color w:val="auto"/>
          <w:sz w:val="24"/>
          <w:szCs w:val="24"/>
          <w:highlight w:val="none"/>
        </w:rPr>
        <w:t>应当自收到评标报告之日起5个工作日内按评标报告推荐的</w:t>
      </w:r>
      <w:r>
        <w:rPr>
          <w:rFonts w:hint="eastAsia" w:ascii="宋体" w:hAnsi="宋体" w:eastAsia="宋体" w:cs="宋体"/>
          <w:color w:val="auto"/>
          <w:sz w:val="24"/>
          <w:szCs w:val="24"/>
          <w:highlight w:val="none"/>
          <w:lang w:eastAsia="zh-CN"/>
        </w:rPr>
        <w:t>中选候选人</w:t>
      </w:r>
      <w:r>
        <w:rPr>
          <w:rFonts w:hint="eastAsia" w:ascii="宋体" w:hAnsi="宋体" w:eastAsia="宋体" w:cs="宋体"/>
          <w:color w:val="auto"/>
          <w:sz w:val="24"/>
          <w:szCs w:val="24"/>
          <w:highlight w:val="none"/>
        </w:rPr>
        <w:t>顺序确定</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w:t>
      </w:r>
    </w:p>
    <w:p w14:paraId="35C5C9C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3.比选人或者比选代理机构应当自</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确定之日起2个工作日内，在</w:t>
      </w:r>
      <w:r>
        <w:rPr>
          <w:rFonts w:hint="eastAsia" w:ascii="宋体" w:hAnsi="宋体" w:eastAsia="宋体" w:cs="宋体"/>
          <w:b/>
          <w:bCs/>
          <w:color w:val="auto"/>
          <w:sz w:val="24"/>
          <w:highlight w:val="none"/>
        </w:rPr>
        <w:t>行采家-电子竞采（www.gec123.com/xe/）</w:t>
      </w:r>
      <w:r>
        <w:rPr>
          <w:rFonts w:hint="eastAsia" w:ascii="宋体" w:hAnsi="宋体" w:eastAsia="宋体" w:cs="宋体"/>
          <w:color w:val="auto"/>
          <w:sz w:val="24"/>
          <w:szCs w:val="24"/>
          <w:highlight w:val="none"/>
        </w:rPr>
        <w:t>网上发布。</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公告期限为1个工作日；</w:t>
      </w:r>
    </w:p>
    <w:p w14:paraId="4CB1349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变更</w:t>
      </w:r>
    </w:p>
    <w:p w14:paraId="7BD8DDC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拒绝与</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签订合同的，</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可以按照评标报告推荐的</w:t>
      </w:r>
      <w:r>
        <w:rPr>
          <w:rFonts w:hint="eastAsia" w:ascii="宋体" w:hAnsi="宋体" w:eastAsia="宋体" w:cs="宋体"/>
          <w:color w:val="auto"/>
          <w:sz w:val="24"/>
          <w:szCs w:val="24"/>
          <w:highlight w:val="none"/>
          <w:lang w:eastAsia="zh-CN"/>
        </w:rPr>
        <w:t>中选候选人</w:t>
      </w:r>
      <w:r>
        <w:rPr>
          <w:rFonts w:hint="eastAsia" w:ascii="宋体" w:hAnsi="宋体" w:eastAsia="宋体" w:cs="宋体"/>
          <w:color w:val="auto"/>
          <w:sz w:val="24"/>
          <w:szCs w:val="24"/>
          <w:highlight w:val="none"/>
        </w:rPr>
        <w:t>顺序确定排名下一位的候选人为</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，也可以重新开展采购比选活动。</w:t>
      </w:r>
    </w:p>
    <w:p w14:paraId="7C749F1D">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4" w:name="_Toc12734"/>
      <w:r>
        <w:rPr>
          <w:rFonts w:hint="eastAsia" w:ascii="宋体" w:hAnsi="宋体" w:eastAsia="宋体" w:cs="宋体"/>
          <w:color w:val="auto"/>
          <w:sz w:val="24"/>
          <w:highlight w:val="none"/>
          <w:lang w:val="en-US" w:eastAsia="zh-CN"/>
        </w:rPr>
        <w:t>六、中选</w:t>
      </w:r>
      <w:bookmarkEnd w:id="234"/>
    </w:p>
    <w:p w14:paraId="1513788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依法确定</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后，比选代理机构以书面形式发出中选通知书。</w:t>
      </w:r>
    </w:p>
    <w:p w14:paraId="5A073C7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（二）中选通知书发出后，</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改变</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结果，或者</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放弃</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，应当承担相应的法律责任。</w:t>
      </w:r>
    </w:p>
    <w:p w14:paraId="09969B7D">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5" w:name="_Toc32562"/>
      <w:r>
        <w:rPr>
          <w:rFonts w:hint="eastAsia" w:ascii="宋体" w:hAnsi="宋体" w:eastAsia="宋体" w:cs="宋体"/>
          <w:color w:val="auto"/>
          <w:sz w:val="24"/>
          <w:highlight w:val="none"/>
          <w:lang w:val="en-US" w:eastAsia="zh-CN"/>
        </w:rPr>
        <w:t>七、询问、质疑和投诉</w:t>
      </w:r>
      <w:bookmarkEnd w:id="235"/>
    </w:p>
    <w:p w14:paraId="7D350D0F">
      <w:pPr>
        <w:pageBreakBefore w:val="0"/>
        <w:wordWrap/>
        <w:topLinePunct w:val="0"/>
        <w:bidi w:val="0"/>
        <w:adjustRightInd w:val="0"/>
        <w:snapToGrid w:val="0"/>
        <w:spacing w:line="360" w:lineRule="auto"/>
        <w:ind w:left="42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（一）询问</w:t>
      </w:r>
    </w:p>
    <w:p w14:paraId="665BCCA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或者比选代理机构应当在3个工作日内对</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依法提出的询问作出答复。投资询问可以是口头或书面形式。</w:t>
      </w:r>
    </w:p>
    <w:p w14:paraId="7ADE507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w:t>
      </w:r>
    </w:p>
    <w:p w14:paraId="24A12C2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、采购过程和</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结果使自己的权益受到伤害的，可向</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或比选代理机构以书面形式</w:t>
      </w:r>
      <w:r>
        <w:rPr>
          <w:rFonts w:hint="eastAsia" w:ascii="宋体" w:hAnsi="宋体" w:eastAsia="宋体" w:cs="宋体"/>
          <w:color w:val="auto"/>
          <w:sz w:val="24"/>
          <w:szCs w:val="24"/>
          <w:highlight w:val="none"/>
          <w:lang w:eastAsia="zh-CN"/>
        </w:rPr>
        <w:t>质疑</w:t>
      </w:r>
      <w:r>
        <w:rPr>
          <w:rFonts w:hint="eastAsia" w:ascii="宋体" w:hAnsi="宋体" w:eastAsia="宋体" w:cs="宋体"/>
          <w:color w:val="auto"/>
          <w:sz w:val="24"/>
          <w:szCs w:val="24"/>
          <w:highlight w:val="none"/>
        </w:rPr>
        <w:t>。</w:t>
      </w:r>
    </w:p>
    <w:p w14:paraId="2A479DD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提出质疑的应当是参与所质疑项目采购活动的</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w:t>
      </w:r>
    </w:p>
    <w:p w14:paraId="5578C277">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1F6031A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提出质疑的，应在依法获取</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之日或者</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公告期限届满之日起七个工作日内提出；</w:t>
      </w:r>
    </w:p>
    <w:p w14:paraId="3C41168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对采购过程提出质疑的，应在各采购程序环节结束之日起七个工作日内提出；</w:t>
      </w:r>
    </w:p>
    <w:p w14:paraId="454BF7B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结果提出质疑的，应当在</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结果公告期限届满之日起七个工</w:t>
      </w:r>
      <w:r>
        <w:rPr>
          <w:rFonts w:hint="eastAsia" w:ascii="宋体" w:hAnsi="宋体" w:eastAsia="宋体" w:cs="宋体"/>
          <w:color w:val="auto"/>
          <w:sz w:val="24"/>
          <w:szCs w:val="24"/>
          <w:highlight w:val="none"/>
          <w:lang w:eastAsia="zh-CN"/>
        </w:rPr>
        <w:t>作日</w:t>
      </w:r>
      <w:r>
        <w:rPr>
          <w:rFonts w:hint="eastAsia" w:ascii="宋体" w:hAnsi="宋体" w:eastAsia="宋体" w:cs="宋体"/>
          <w:color w:val="auto"/>
          <w:sz w:val="24"/>
          <w:szCs w:val="24"/>
          <w:highlight w:val="none"/>
        </w:rPr>
        <w:t>内提出；</w:t>
      </w:r>
    </w:p>
    <w:p w14:paraId="25850DA4">
      <w:pPr>
        <w:pageBreakBefore w:val="0"/>
        <w:wordWrap/>
        <w:topLinePunct w:val="0"/>
        <w:bidi w:val="0"/>
        <w:adjustRightInd w:val="0"/>
        <w:snapToGrid w:val="0"/>
        <w:spacing w:line="360" w:lineRule="auto"/>
        <w:ind w:left="357" w:leftChars="17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提出质疑应当提交质疑函和必要的证明材料，质疑函应当包括下列内容：1.4.1</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的姓名或者名称、地址、邮编、联系人及联系电话；</w:t>
      </w:r>
    </w:p>
    <w:p w14:paraId="436C71F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1.4.2质疑项目的名称、项目编号以及采购执行编号；</w:t>
      </w:r>
    </w:p>
    <w:p w14:paraId="317D13A6">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具体、明确的质疑事项和与质疑事项相关的请求；</w:t>
      </w:r>
    </w:p>
    <w:p w14:paraId="7E121831">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1.4.4事实依据；</w:t>
      </w:r>
    </w:p>
    <w:p w14:paraId="765FC5F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1.4.5必要的法律依据；</w:t>
      </w:r>
    </w:p>
    <w:p w14:paraId="768F7DBF">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1.4.6提出质疑的日期；</w:t>
      </w:r>
    </w:p>
    <w:p w14:paraId="6ECD1B7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营业执照(或事业单位法人证书，或个体工商户营业执照或有效的自然人身份证明)复印件；</w:t>
      </w:r>
    </w:p>
    <w:p w14:paraId="770F386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法定代表人授权委托书原件、法定代表人身份证复印件和其授权代表的身份证复印件(</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为自然人的提供自然人身份证复印件)；</w:t>
      </w:r>
    </w:p>
    <w:p w14:paraId="72325F5E">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为自然人的，质疑函应当由本人签字，</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为法人或者其他组织的质疑函应当由法定代表人、主要负责人，或者其授权代表签字或者盖章，并加盖公章。</w:t>
      </w:r>
    </w:p>
    <w:p w14:paraId="23607D6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2.质疑答复</w:t>
      </w:r>
    </w:p>
    <w:p w14:paraId="01E7B88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、比选代理机构应当在收到</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的书面质疑后七个工作日内作出答复，并以书面形式通知质疑</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w:t>
      </w:r>
    </w:p>
    <w:p w14:paraId="41C2420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14:paraId="3B4B3D9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应按照《政府采购质疑和投诉办法》(财政部令第 94号及相关法律法规要求，在法定质疑期内一次性提出针对同一采购程序环节的质疑；</w:t>
      </w:r>
    </w:p>
    <w:p w14:paraId="639CC60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3.2质疑函范本可在财政部门户网站和中国政府采购网下载。</w:t>
      </w:r>
    </w:p>
    <w:p w14:paraId="00766DD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4.质疑联系方式详见第一篇“联系方式”。</w:t>
      </w:r>
    </w:p>
    <w:p w14:paraId="24D77CD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 投诉</w:t>
      </w:r>
    </w:p>
    <w:p w14:paraId="470C9C4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、比选代理机构的答复不满意，或者</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、比选代理机构未在规定时间内作出答复的，可以在答复期满后15个工作日内按照相关法律法规向相关部门提起</w:t>
      </w:r>
    </w:p>
    <w:p w14:paraId="2A3D1D77">
      <w:pPr>
        <w:pageBreakBefore w:val="0"/>
        <w:wordWrap/>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p w14:paraId="5D4E204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应按照《政府采购质疑和投诉办法》(财政部令第94 号及相关法律法规要求递交投诉书和必要的证明材料。投诉书范本可在财政部门户网站和中国政府采购网下载。</w:t>
      </w:r>
    </w:p>
    <w:p w14:paraId="14207893">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应当使用中文，相关当事人提供外文书证或者外国语视听资料的，应当附有中文译本，由翻译机构盖章或者翻译人员签名；相关当事人向相关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w:t>
      </w:r>
    </w:p>
    <w:p w14:paraId="70B9752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确定受理投诉后，相关部门自受理投诉之日起30个工作日内(需要检验、检测应当履行相关的证明手续。鉴定、专家评审以及需要投诉人补正材料的，所需时间不计算在投诉处理期限内)对投诉事项作出处理决定。</w:t>
      </w:r>
    </w:p>
    <w:p w14:paraId="3D4B359F">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6" w:name="_Toc30465"/>
      <w:r>
        <w:rPr>
          <w:rFonts w:hint="eastAsia" w:ascii="宋体" w:hAnsi="宋体" w:eastAsia="宋体" w:cs="宋体"/>
          <w:color w:val="auto"/>
          <w:sz w:val="24"/>
          <w:highlight w:val="none"/>
          <w:lang w:val="en-US" w:eastAsia="zh-CN"/>
        </w:rPr>
        <w:t>八、采购代理服务费</w:t>
      </w:r>
      <w:bookmarkEnd w:id="236"/>
    </w:p>
    <w:p w14:paraId="2498001E">
      <w:pPr>
        <w:spacing w:line="440" w:lineRule="exact"/>
        <w:ind w:firstLine="480" w:firstLineChars="200"/>
        <w:rPr>
          <w:rFonts w:hint="eastAsia" w:ascii="宋体" w:hAnsi="宋体" w:eastAsia="宋体" w:cs="宋体"/>
          <w:b/>
          <w:color w:val="auto"/>
          <w:sz w:val="24"/>
          <w:highlight w:val="none"/>
        </w:rPr>
      </w:pPr>
      <w:bookmarkStart w:id="237" w:name="OLE_LINK8"/>
      <w:bookmarkStart w:id="238" w:name="OLE_LINK7"/>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成交后向采购代理机构缴纳采购代理服务费，</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代理服务费的收取标准参照以下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服务招标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执行：</w:t>
      </w:r>
    </w:p>
    <w:bookmarkEnd w:id="237"/>
    <w:bookmarkEnd w:id="238"/>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675"/>
      </w:tblGrid>
      <w:tr w14:paraId="719E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tcPr>
          <w:p w14:paraId="3FC2B561">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75g9YAAAAI&#10;AQAADwAAAAAAAAABACAAAAAiAAAAZHJzL2Rvd25yZXYueG1sUEsBAhQAFAAAAAgAh07iQGFrA8rl&#10;AQAAtgMAAA4AAAAAAAAAAQAgAAAAJQEAAGRycy9lMm9Eb2MueG1sUEsFBgAAAAAGAAYAWQEAAHwF&#10;A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招标类型</w:t>
            </w:r>
          </w:p>
          <w:p w14:paraId="4739DDB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中标金额（万元）</w:t>
            </w:r>
          </w:p>
        </w:tc>
        <w:tc>
          <w:tcPr>
            <w:tcW w:w="2273" w:type="dxa"/>
            <w:vAlign w:val="center"/>
          </w:tcPr>
          <w:p w14:paraId="1067A2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2273" w:type="dxa"/>
            <w:vAlign w:val="center"/>
          </w:tcPr>
          <w:p w14:paraId="74A4AE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2675" w:type="dxa"/>
            <w:vAlign w:val="center"/>
          </w:tcPr>
          <w:p w14:paraId="0A95D945">
            <w:pPr>
              <w:pStyle w:val="23"/>
              <w:widowControl w:val="0"/>
              <w:pBdr>
                <w:left w:val="none" w:color="auto" w:sz="0" w:space="0"/>
                <w:right w:val="none" w:color="auto" w:sz="0" w:space="0"/>
              </w:pBdr>
              <w:spacing w:before="0" w:beforeAutospacing="0" w:after="0" w:afterAutospacing="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工程招标</w:t>
            </w:r>
          </w:p>
        </w:tc>
      </w:tr>
      <w:tr w14:paraId="35FD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0E97BF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2273" w:type="dxa"/>
            <w:vAlign w:val="center"/>
          </w:tcPr>
          <w:p w14:paraId="5B8DE8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273" w:type="dxa"/>
            <w:vAlign w:val="center"/>
          </w:tcPr>
          <w:p w14:paraId="4738BB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675" w:type="dxa"/>
            <w:vAlign w:val="center"/>
          </w:tcPr>
          <w:p w14:paraId="085652E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7375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0ADAD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100-200</w:t>
            </w:r>
          </w:p>
        </w:tc>
        <w:tc>
          <w:tcPr>
            <w:tcW w:w="2273" w:type="dxa"/>
            <w:vAlign w:val="center"/>
          </w:tcPr>
          <w:p w14:paraId="30F1ED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273" w:type="dxa"/>
            <w:vAlign w:val="center"/>
          </w:tcPr>
          <w:p w14:paraId="4B3453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675" w:type="dxa"/>
            <w:vAlign w:val="center"/>
          </w:tcPr>
          <w:p w14:paraId="0422FA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3B59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5D906A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200-500</w:t>
            </w:r>
          </w:p>
        </w:tc>
        <w:tc>
          <w:tcPr>
            <w:tcW w:w="2273" w:type="dxa"/>
            <w:vAlign w:val="center"/>
          </w:tcPr>
          <w:p w14:paraId="446489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w:t>
            </w:r>
          </w:p>
        </w:tc>
        <w:tc>
          <w:tcPr>
            <w:tcW w:w="2273" w:type="dxa"/>
            <w:vAlign w:val="center"/>
          </w:tcPr>
          <w:p w14:paraId="632285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0.78%</w:t>
            </w:r>
          </w:p>
        </w:tc>
        <w:tc>
          <w:tcPr>
            <w:tcW w:w="2675" w:type="dxa"/>
            <w:vAlign w:val="center"/>
          </w:tcPr>
          <w:p w14:paraId="0EBC3F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0.69%</w:t>
            </w:r>
          </w:p>
        </w:tc>
      </w:tr>
      <w:tr w14:paraId="59AC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779F68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2273" w:type="dxa"/>
            <w:vAlign w:val="center"/>
          </w:tcPr>
          <w:p w14:paraId="2F606F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0.76%</w:t>
            </w:r>
          </w:p>
        </w:tc>
        <w:tc>
          <w:tcPr>
            <w:tcW w:w="2273" w:type="dxa"/>
            <w:vAlign w:val="center"/>
          </w:tcPr>
          <w:p w14:paraId="44D0E4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0.43%</w:t>
            </w:r>
          </w:p>
        </w:tc>
        <w:tc>
          <w:tcPr>
            <w:tcW w:w="2675" w:type="dxa"/>
            <w:vAlign w:val="center"/>
          </w:tcPr>
          <w:p w14:paraId="1B8467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0.52%</w:t>
            </w:r>
          </w:p>
        </w:tc>
      </w:tr>
      <w:tr w14:paraId="3980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66B602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2273" w:type="dxa"/>
            <w:vAlign w:val="center"/>
          </w:tcPr>
          <w:p w14:paraId="793DC1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2273" w:type="dxa"/>
            <w:vAlign w:val="center"/>
          </w:tcPr>
          <w:p w14:paraId="05BE56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2675" w:type="dxa"/>
            <w:vAlign w:val="center"/>
          </w:tcPr>
          <w:p w14:paraId="5DC2C6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0.32%</w:t>
            </w:r>
          </w:p>
        </w:tc>
      </w:tr>
      <w:tr w14:paraId="5F79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2FEE8E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2273" w:type="dxa"/>
            <w:vAlign w:val="center"/>
          </w:tcPr>
          <w:p w14:paraId="5B3B1BD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2273" w:type="dxa"/>
            <w:vAlign w:val="center"/>
          </w:tcPr>
          <w:p w14:paraId="3B463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0.09%</w:t>
            </w:r>
          </w:p>
        </w:tc>
        <w:tc>
          <w:tcPr>
            <w:tcW w:w="2675" w:type="dxa"/>
            <w:vAlign w:val="center"/>
          </w:tcPr>
          <w:p w14:paraId="5364B0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0.18%</w:t>
            </w:r>
          </w:p>
        </w:tc>
      </w:tr>
      <w:tr w14:paraId="17E0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563FC0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10000-100000</w:t>
            </w:r>
          </w:p>
        </w:tc>
        <w:tc>
          <w:tcPr>
            <w:tcW w:w="2273" w:type="dxa"/>
            <w:vAlign w:val="center"/>
          </w:tcPr>
          <w:p w14:paraId="2536321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2273" w:type="dxa"/>
            <w:vAlign w:val="center"/>
          </w:tcPr>
          <w:p w14:paraId="634FF5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c>
          <w:tcPr>
            <w:tcW w:w="2675" w:type="dxa"/>
            <w:vAlign w:val="center"/>
          </w:tcPr>
          <w:p w14:paraId="167B30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0.045%</w:t>
            </w:r>
          </w:p>
        </w:tc>
      </w:tr>
      <w:tr w14:paraId="4616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7FA1C5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1000000以上</w:t>
            </w:r>
          </w:p>
        </w:tc>
        <w:tc>
          <w:tcPr>
            <w:tcW w:w="2273" w:type="dxa"/>
            <w:vAlign w:val="center"/>
          </w:tcPr>
          <w:p w14:paraId="02D7E65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2273" w:type="dxa"/>
            <w:vAlign w:val="center"/>
          </w:tcPr>
          <w:p w14:paraId="2FF7B3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c>
          <w:tcPr>
            <w:tcW w:w="2675" w:type="dxa"/>
            <w:vAlign w:val="center"/>
          </w:tcPr>
          <w:p w14:paraId="12942A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0.009%</w:t>
            </w:r>
          </w:p>
        </w:tc>
      </w:tr>
    </w:tbl>
    <w:p w14:paraId="30E7299B">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39" w:name="_Toc19969"/>
      <w:r>
        <w:rPr>
          <w:rFonts w:hint="eastAsia" w:ascii="宋体" w:hAnsi="宋体" w:eastAsia="宋体" w:cs="宋体"/>
          <w:color w:val="auto"/>
          <w:sz w:val="24"/>
          <w:highlight w:val="none"/>
          <w:lang w:val="en-US" w:eastAsia="zh-CN"/>
        </w:rPr>
        <w:t>九、中选通知</w:t>
      </w:r>
      <w:bookmarkEnd w:id="224"/>
      <w:bookmarkEnd w:id="225"/>
      <w:bookmarkEnd w:id="226"/>
      <w:bookmarkEnd w:id="227"/>
      <w:bookmarkEnd w:id="239"/>
    </w:p>
    <w:p w14:paraId="08CE91DA">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w:t>
      </w:r>
      <w:r>
        <w:rPr>
          <w:rFonts w:hint="eastAsia" w:ascii="宋体" w:hAnsi="宋体" w:eastAsia="宋体" w:cs="宋体"/>
          <w:color w:val="auto"/>
          <w:sz w:val="24"/>
          <w:szCs w:val="24"/>
          <w:highlight w:val="none"/>
          <w:lang w:eastAsia="zh-CN"/>
        </w:rPr>
        <w:t>选人</w:t>
      </w:r>
      <w:r>
        <w:rPr>
          <w:rFonts w:hint="eastAsia" w:ascii="宋体" w:hAnsi="宋体" w:eastAsia="宋体" w:cs="宋体"/>
          <w:color w:val="auto"/>
          <w:sz w:val="24"/>
          <w:szCs w:val="24"/>
          <w:highlight w:val="none"/>
        </w:rPr>
        <w:t>确定后，比选代理机构将在</w:t>
      </w:r>
      <w:r>
        <w:rPr>
          <w:rFonts w:hint="eastAsia" w:ascii="宋体" w:hAnsi="宋体" w:eastAsia="宋体" w:cs="宋体"/>
          <w:b/>
          <w:bCs/>
          <w:color w:val="auto"/>
          <w:sz w:val="24"/>
          <w:szCs w:val="24"/>
          <w:highlight w:val="none"/>
        </w:rPr>
        <w:t>行采家-电子竞采（www.gec123.com/xe/）</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上发布</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结果公告。</w:t>
      </w:r>
    </w:p>
    <w:p w14:paraId="664AD11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（二）结果公告发出同时，比选代理机构将以书面形式发出《中选通知书》，《中选通知书》一经发出即发生法律效力。</w:t>
      </w:r>
    </w:p>
    <w:p w14:paraId="0C251A0B">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7130354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应当自</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日内，按照</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和中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人竞标文件的约定，与</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签订书面合同。所签订的合同不得对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竞</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文件作实质性修改。</w:t>
      </w:r>
    </w:p>
    <w:p w14:paraId="079872EB">
      <w:pPr>
        <w:pStyle w:val="3"/>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240" w:name="_Toc12517"/>
      <w:r>
        <w:rPr>
          <w:rFonts w:hint="eastAsia" w:ascii="宋体" w:hAnsi="宋体" w:eastAsia="宋体" w:cs="宋体"/>
          <w:color w:val="auto"/>
          <w:sz w:val="24"/>
          <w:highlight w:val="none"/>
          <w:lang w:val="en-US" w:eastAsia="zh-CN"/>
        </w:rPr>
        <w:t>十、签订合同</w:t>
      </w:r>
      <w:bookmarkEnd w:id="240"/>
    </w:p>
    <w:p w14:paraId="5268FB2D">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应当自</w:t>
      </w:r>
      <w:r>
        <w:rPr>
          <w:rFonts w:hint="eastAsia" w:ascii="宋体" w:hAnsi="宋体" w:eastAsia="宋体" w:cs="宋体"/>
          <w:color w:val="auto"/>
          <w:sz w:val="24"/>
          <w:szCs w:val="24"/>
          <w:highlight w:val="none"/>
          <w:lang w:eastAsia="zh-CN"/>
        </w:rPr>
        <w:t>中选</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lang w:val="en-US" w:eastAsia="zh-CN"/>
        </w:rPr>
        <w:t>二十</w:t>
      </w:r>
      <w:r>
        <w:rPr>
          <w:rFonts w:hint="eastAsia" w:ascii="宋体" w:hAnsi="宋体" w:eastAsia="宋体" w:cs="宋体"/>
          <w:color w:val="auto"/>
          <w:sz w:val="24"/>
          <w:szCs w:val="24"/>
          <w:highlight w:val="none"/>
        </w:rPr>
        <w:t>日内，按照</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和中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人竞标文件的约定，与</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签订书面合同。所签订的合同不得对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竞标文件作实质性修改，其他未尽事宜由</w:t>
      </w:r>
      <w:r>
        <w:rPr>
          <w:rFonts w:hint="eastAsia" w:ascii="宋体" w:hAnsi="宋体" w:eastAsia="宋体" w:cs="宋体"/>
          <w:color w:val="auto"/>
          <w:sz w:val="24"/>
          <w:szCs w:val="24"/>
          <w:highlight w:val="none"/>
          <w:lang w:eastAsia="zh-CN"/>
        </w:rPr>
        <w:t>比选人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在采购合同中详细约定。</w:t>
      </w:r>
    </w:p>
    <w:p w14:paraId="46ACA78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人的竞标文件及澄清文件等，均为签订采购合同的依据。</w:t>
      </w:r>
    </w:p>
    <w:p w14:paraId="6615360C">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57A72B3E">
      <w:pPr>
        <w:kinsoku/>
        <w:wordWrap/>
        <w:overflowPunct/>
        <w:topLinePunct w:val="0"/>
        <w:bidi w:val="0"/>
        <w:spacing w:line="520" w:lineRule="exact"/>
        <w:rPr>
          <w:rFonts w:hint="eastAsia" w:ascii="宋体" w:hAnsi="宋体" w:eastAsia="宋体" w:cs="宋体"/>
          <w:color w:val="auto"/>
          <w:sz w:val="24"/>
          <w:szCs w:val="24"/>
          <w:highlight w:val="none"/>
        </w:rPr>
      </w:pPr>
    </w:p>
    <w:p w14:paraId="26966A9C">
      <w:pP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br w:type="page"/>
      </w:r>
    </w:p>
    <w:p w14:paraId="37637180">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lang w:val="en-US" w:eastAsia="zh-CN"/>
        </w:rPr>
      </w:pPr>
      <w:bookmarkStart w:id="241" w:name="_Toc9984"/>
      <w:r>
        <w:rPr>
          <w:rFonts w:hint="eastAsia" w:ascii="宋体" w:hAnsi="宋体" w:eastAsia="宋体" w:cs="宋体"/>
          <w:b/>
          <w:color w:val="auto"/>
          <w:sz w:val="36"/>
          <w:szCs w:val="36"/>
          <w:lang w:val="en-US" w:eastAsia="zh-CN"/>
        </w:rPr>
        <w:t>第六篇</w:t>
      </w:r>
      <w:bookmarkStart w:id="242" w:name="_Toc461641182"/>
      <w:bookmarkStart w:id="243" w:name="_Toc440794668"/>
      <w:bookmarkStart w:id="244" w:name="_Toc14081"/>
      <w:bookmarkStart w:id="245" w:name="_Toc436925127"/>
      <w:r>
        <w:rPr>
          <w:rFonts w:hint="eastAsia" w:ascii="宋体" w:hAnsi="宋体" w:eastAsia="宋体" w:cs="宋体"/>
          <w:b/>
          <w:color w:val="auto"/>
          <w:sz w:val="36"/>
          <w:szCs w:val="36"/>
          <w:lang w:val="en-US" w:eastAsia="zh-CN"/>
        </w:rPr>
        <w:t xml:space="preserve">  比选合同（样本）</w:t>
      </w:r>
      <w:bookmarkEnd w:id="241"/>
    </w:p>
    <w:p w14:paraId="6273FB8F">
      <w:pPr>
        <w:kinsoku/>
        <w:wordWrap/>
        <w:overflowPunct/>
        <w:topLinePunct w:val="0"/>
        <w:bidi w:val="0"/>
        <w:adjustRightInd w:val="0"/>
        <w:spacing w:line="520" w:lineRule="exact"/>
        <w:ind w:firstLine="420" w:firstLineChars="200"/>
        <w:rPr>
          <w:rFonts w:hint="eastAsia" w:ascii="宋体" w:hAnsi="宋体" w:eastAsia="宋体" w:cs="宋体"/>
          <w:bCs/>
          <w:color w:val="auto"/>
          <w:sz w:val="21"/>
          <w:szCs w:val="21"/>
          <w:highlight w:val="none"/>
        </w:rPr>
      </w:pPr>
    </w:p>
    <w:p w14:paraId="690EE9B7">
      <w:pPr>
        <w:kinsoku/>
        <w:wordWrap/>
        <w:overflowPunct/>
        <w:topLinePunct w:val="0"/>
        <w:bidi w:val="0"/>
        <w:spacing w:line="520" w:lineRule="exact"/>
        <w:jc w:val="center"/>
        <w:rPr>
          <w:rFonts w:hint="eastAsia" w:ascii="宋体" w:hAnsi="宋体" w:eastAsia="宋体" w:cs="宋体"/>
          <w:b/>
          <w:color w:val="auto"/>
          <w:sz w:val="44"/>
          <w:szCs w:val="20"/>
          <w:highlight w:val="none"/>
          <w:lang w:eastAsia="zh-CN"/>
        </w:rPr>
      </w:pPr>
      <w:r>
        <w:rPr>
          <w:rFonts w:hint="eastAsia" w:ascii="宋体" w:hAnsi="宋体" w:eastAsia="宋体" w:cs="宋体"/>
          <w:b/>
          <w:color w:val="auto"/>
          <w:sz w:val="44"/>
          <w:szCs w:val="20"/>
          <w:highlight w:val="none"/>
          <w:lang w:eastAsia="zh-CN"/>
        </w:rPr>
        <w:t>比选合同</w:t>
      </w:r>
    </w:p>
    <w:p w14:paraId="226E7728">
      <w:pPr>
        <w:kinsoku/>
        <w:wordWrap/>
        <w:overflowPunct/>
        <w:topLinePunct w:val="0"/>
        <w:bidi w:val="0"/>
        <w:spacing w:line="52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比选人</w:t>
      </w:r>
      <w:r>
        <w:rPr>
          <w:rFonts w:hint="eastAsia" w:ascii="宋体" w:hAnsi="宋体" w:eastAsia="宋体" w:cs="宋体"/>
          <w:color w:val="auto"/>
          <w:sz w:val="24"/>
          <w:szCs w:val="20"/>
          <w:highlight w:val="none"/>
        </w:rPr>
        <w:t>（需方）：___________________________      计价单位：____________</w:t>
      </w:r>
    </w:p>
    <w:p w14:paraId="12792817">
      <w:pPr>
        <w:kinsoku/>
        <w:wordWrap/>
        <w:overflowPunct/>
        <w:topLinePunct w:val="0"/>
        <w:bidi w:val="0"/>
        <w:spacing w:line="52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中选人</w:t>
      </w:r>
      <w:r>
        <w:rPr>
          <w:rFonts w:hint="eastAsia" w:ascii="宋体" w:hAnsi="宋体" w:eastAsia="宋体" w:cs="宋体"/>
          <w:color w:val="auto"/>
          <w:sz w:val="24"/>
          <w:szCs w:val="20"/>
          <w:highlight w:val="none"/>
        </w:rPr>
        <w:t>（供方）：___________________________      计量单位：_____________</w:t>
      </w:r>
    </w:p>
    <w:p w14:paraId="67ABE4BE">
      <w:pPr>
        <w:kinsoku/>
        <w:wordWrap/>
        <w:overflowPunct/>
        <w:topLinePunct w:val="0"/>
        <w:bidi w:val="0"/>
        <w:spacing w:line="52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经双方协商一致，达成以下购销合同：</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47C7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79369000">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84" w:type="dxa"/>
            <w:vAlign w:val="center"/>
          </w:tcPr>
          <w:p w14:paraId="31BD846A">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79C2A353">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vAlign w:val="center"/>
          </w:tcPr>
          <w:p w14:paraId="2BDCBE1A">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vAlign w:val="center"/>
          </w:tcPr>
          <w:p w14:paraId="43BFD0B0">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时间</w:t>
            </w:r>
          </w:p>
        </w:tc>
        <w:tc>
          <w:tcPr>
            <w:tcW w:w="1582" w:type="dxa"/>
            <w:vAlign w:val="center"/>
          </w:tcPr>
          <w:p w14:paraId="001F2FC9">
            <w:pPr>
              <w:kinsoku/>
              <w:wordWrap/>
              <w:overflowPunct/>
              <w:topLinePunct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r>
      <w:tr w14:paraId="758D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43D57B46">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984" w:type="dxa"/>
            <w:vAlign w:val="center"/>
          </w:tcPr>
          <w:p w14:paraId="73361EA2">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298" w:type="dxa"/>
            <w:gridSpan w:val="2"/>
            <w:vAlign w:val="center"/>
          </w:tcPr>
          <w:p w14:paraId="196C7659">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134" w:type="dxa"/>
            <w:vAlign w:val="center"/>
          </w:tcPr>
          <w:p w14:paraId="617E4514">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559" w:type="dxa"/>
            <w:vAlign w:val="center"/>
          </w:tcPr>
          <w:p w14:paraId="4581A07A">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582" w:type="dxa"/>
            <w:vAlign w:val="center"/>
          </w:tcPr>
          <w:p w14:paraId="265733C1">
            <w:pPr>
              <w:kinsoku/>
              <w:wordWrap/>
              <w:overflowPunct/>
              <w:topLinePunct w:val="0"/>
              <w:bidi w:val="0"/>
              <w:spacing w:line="520" w:lineRule="exact"/>
              <w:jc w:val="center"/>
              <w:rPr>
                <w:rFonts w:hint="eastAsia" w:ascii="宋体" w:hAnsi="宋体" w:eastAsia="宋体" w:cs="宋体"/>
                <w:color w:val="auto"/>
                <w:sz w:val="21"/>
                <w:szCs w:val="21"/>
                <w:highlight w:val="none"/>
              </w:rPr>
            </w:pPr>
          </w:p>
        </w:tc>
      </w:tr>
      <w:tr w14:paraId="5AEF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17A04182">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984" w:type="dxa"/>
            <w:vAlign w:val="center"/>
          </w:tcPr>
          <w:p w14:paraId="44DBDD1C">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298" w:type="dxa"/>
            <w:gridSpan w:val="2"/>
            <w:vAlign w:val="center"/>
          </w:tcPr>
          <w:p w14:paraId="7E133FD7">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134" w:type="dxa"/>
            <w:vAlign w:val="center"/>
          </w:tcPr>
          <w:p w14:paraId="47F4E706">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559" w:type="dxa"/>
            <w:vAlign w:val="center"/>
          </w:tcPr>
          <w:p w14:paraId="10E0C4ED">
            <w:pPr>
              <w:kinsoku/>
              <w:wordWrap/>
              <w:overflowPunct/>
              <w:topLinePunct w:val="0"/>
              <w:bidi w:val="0"/>
              <w:spacing w:line="520" w:lineRule="exact"/>
              <w:jc w:val="center"/>
              <w:rPr>
                <w:rFonts w:hint="eastAsia" w:ascii="宋体" w:hAnsi="宋体" w:eastAsia="宋体" w:cs="宋体"/>
                <w:color w:val="auto"/>
                <w:sz w:val="21"/>
                <w:szCs w:val="21"/>
                <w:highlight w:val="none"/>
              </w:rPr>
            </w:pPr>
          </w:p>
        </w:tc>
        <w:tc>
          <w:tcPr>
            <w:tcW w:w="1582" w:type="dxa"/>
            <w:vAlign w:val="center"/>
          </w:tcPr>
          <w:p w14:paraId="44675F49">
            <w:pPr>
              <w:kinsoku/>
              <w:wordWrap/>
              <w:overflowPunct/>
              <w:topLinePunct w:val="0"/>
              <w:bidi w:val="0"/>
              <w:spacing w:line="520" w:lineRule="exact"/>
              <w:jc w:val="center"/>
              <w:rPr>
                <w:rFonts w:hint="eastAsia" w:ascii="宋体" w:hAnsi="宋体" w:eastAsia="宋体" w:cs="宋体"/>
                <w:color w:val="auto"/>
                <w:sz w:val="21"/>
                <w:szCs w:val="21"/>
                <w:highlight w:val="none"/>
              </w:rPr>
            </w:pPr>
          </w:p>
        </w:tc>
      </w:tr>
      <w:tr w14:paraId="06D3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28" w:type="dxa"/>
            <w:gridSpan w:val="7"/>
            <w:vAlign w:val="center"/>
          </w:tcPr>
          <w:p w14:paraId="273AA69A">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5E4C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628" w:type="dxa"/>
            <w:gridSpan w:val="7"/>
            <w:vAlign w:val="center"/>
          </w:tcPr>
          <w:p w14:paraId="18916BA9">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11DE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628" w:type="dxa"/>
            <w:gridSpan w:val="7"/>
          </w:tcPr>
          <w:p w14:paraId="7C97BE0C">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w:t>
            </w:r>
          </w:p>
        </w:tc>
      </w:tr>
      <w:tr w14:paraId="6A82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628" w:type="dxa"/>
            <w:gridSpan w:val="7"/>
          </w:tcPr>
          <w:p w14:paraId="2DFA1056">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5EFD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628" w:type="dxa"/>
            <w:gridSpan w:val="7"/>
          </w:tcPr>
          <w:p w14:paraId="0135269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28CF91DE">
            <w:pPr>
              <w:widowControl w:val="0"/>
              <w:kinsoku/>
              <w:wordWrap/>
              <w:overflowPunct/>
              <w:topLinePunct w:val="0"/>
              <w:bidi w:val="0"/>
              <w:spacing w:line="520" w:lineRule="exact"/>
              <w:jc w:val="both"/>
              <w:rPr>
                <w:rFonts w:hint="eastAsia" w:ascii="宋体" w:hAnsi="宋体" w:eastAsia="宋体" w:cs="宋体"/>
                <w:color w:val="auto"/>
                <w:kern w:val="2"/>
                <w:sz w:val="21"/>
                <w:szCs w:val="21"/>
                <w:highlight w:val="none"/>
                <w:lang w:val="en-US" w:eastAsia="zh-CN" w:bidi="ar-SA"/>
              </w:rPr>
            </w:pPr>
          </w:p>
        </w:tc>
      </w:tr>
      <w:tr w14:paraId="520D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7"/>
          </w:tcPr>
          <w:p w14:paraId="54F67FAF">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7B76BD04">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》执行，或按双方约定。</w:t>
            </w:r>
          </w:p>
        </w:tc>
      </w:tr>
      <w:tr w14:paraId="2FA9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1F8E8C2D">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03C7AC8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及其补遗文件、响应文件和承诺是本合同不可分割的部分。</w:t>
            </w:r>
          </w:p>
          <w:p w14:paraId="365FA2F3">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w:t>
            </w:r>
            <w:r>
              <w:rPr>
                <w:rFonts w:hint="eastAsia" w:ascii="宋体" w:hAnsi="宋体" w:eastAsia="宋体" w:cs="宋体"/>
                <w:color w:val="auto"/>
                <w:sz w:val="21"/>
                <w:szCs w:val="21"/>
                <w:highlight w:val="none"/>
                <w:lang w:eastAsia="zh-CN"/>
              </w:rPr>
              <w:t>提起</w:t>
            </w:r>
            <w:r>
              <w:rPr>
                <w:rFonts w:hint="eastAsia" w:ascii="宋体" w:hAnsi="宋体" w:eastAsia="宋体" w:cs="宋体"/>
                <w:color w:val="auto"/>
                <w:sz w:val="21"/>
                <w:szCs w:val="21"/>
                <w:highlight w:val="none"/>
              </w:rPr>
              <w:t>诉讼。</w:t>
            </w:r>
          </w:p>
          <w:p w14:paraId="6FDAA94D">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同等法律效力。</w:t>
            </w:r>
          </w:p>
          <w:p w14:paraId="274D946A">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7851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929A81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4B2005BB">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59DFA0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21DAFEA">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4"/>
          </w:tcPr>
          <w:p w14:paraId="2F223151">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4742A469">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C038D24">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3B7802A5">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1A700825">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67CCD52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6A304DF9">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52AFDDDE">
            <w:pPr>
              <w:widowControl/>
              <w:kinsoku/>
              <w:wordWrap/>
              <w:overflowPunct/>
              <w:topLinePunct w:val="0"/>
              <w:bidi w:val="0"/>
              <w:spacing w:line="5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62B1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628" w:type="dxa"/>
            <w:gridSpan w:val="7"/>
          </w:tcPr>
          <w:p w14:paraId="62A36882">
            <w:pPr>
              <w:kinsoku/>
              <w:wordWrap/>
              <w:overflowPunct/>
              <w:topLinePunct w:val="0"/>
              <w:bidi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8624B0A">
            <w:pPr>
              <w:kinsoku/>
              <w:wordWrap/>
              <w:overflowPunct/>
              <w:topLinePunct w:val="0"/>
              <w:bidi w:val="0"/>
              <w:spacing w:line="520" w:lineRule="exact"/>
              <w:rPr>
                <w:rFonts w:hint="eastAsia" w:ascii="宋体" w:hAnsi="宋体" w:eastAsia="宋体" w:cs="宋体"/>
                <w:color w:val="auto"/>
                <w:sz w:val="21"/>
                <w:szCs w:val="21"/>
                <w:highlight w:val="none"/>
              </w:rPr>
            </w:pPr>
          </w:p>
          <w:p w14:paraId="64C441B9">
            <w:pPr>
              <w:kinsoku/>
              <w:wordWrap/>
              <w:overflowPunct/>
              <w:topLinePunct w:val="0"/>
              <w:bidi w:val="0"/>
              <w:spacing w:line="520" w:lineRule="exact"/>
              <w:rPr>
                <w:rFonts w:hint="eastAsia" w:ascii="宋体" w:hAnsi="宋体" w:eastAsia="宋体" w:cs="宋体"/>
                <w:color w:val="auto"/>
                <w:sz w:val="21"/>
                <w:szCs w:val="21"/>
                <w:highlight w:val="none"/>
              </w:rPr>
            </w:pPr>
          </w:p>
        </w:tc>
      </w:tr>
    </w:tbl>
    <w:p w14:paraId="0BAF3D1D">
      <w:pPr>
        <w:kinsoku/>
        <w:wordWrap/>
        <w:overflowPunct/>
        <w:topLinePunct w:val="0"/>
        <w:bidi w:val="0"/>
        <w:spacing w:line="520" w:lineRule="exact"/>
        <w:rPr>
          <w:rFonts w:hint="eastAsia" w:ascii="宋体" w:hAnsi="宋体" w:eastAsia="宋体" w:cs="宋体"/>
          <w:bCs/>
          <w:color w:val="auto"/>
          <w:sz w:val="21"/>
          <w:szCs w:val="21"/>
          <w:highlight w:val="none"/>
        </w:rPr>
      </w:pPr>
      <w:r>
        <w:rPr>
          <w:rFonts w:hint="eastAsia" w:ascii="宋体" w:hAnsi="宋体" w:eastAsia="宋体" w:cs="宋体"/>
          <w:color w:val="auto"/>
          <w:sz w:val="24"/>
          <w:szCs w:val="20"/>
          <w:highlight w:val="none"/>
        </w:rPr>
        <w:t>签约时间：           年   月   日      签</w:t>
      </w:r>
      <w:r>
        <w:rPr>
          <w:rFonts w:hint="eastAsia" w:ascii="宋体" w:hAnsi="宋体" w:eastAsia="宋体" w:cs="宋体"/>
          <w:bCs/>
          <w:color w:val="auto"/>
          <w:sz w:val="21"/>
          <w:szCs w:val="21"/>
          <w:highlight w:val="none"/>
        </w:rPr>
        <w:t xml:space="preserve">                    </w:t>
      </w:r>
    </w:p>
    <w:p w14:paraId="4BA0EED6">
      <w:pPr>
        <w:kinsoku/>
        <w:wordWrap/>
        <w:overflowPunct/>
        <w:topLinePunct w:val="0"/>
        <w:bidi w:val="0"/>
        <w:adjustRightInd w:val="0"/>
        <w:spacing w:line="52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注：具体合同内容以</w:t>
      </w:r>
      <w:r>
        <w:rPr>
          <w:rFonts w:hint="eastAsia" w:ascii="宋体" w:hAnsi="宋体" w:eastAsia="宋体" w:cs="宋体"/>
          <w:b/>
          <w:bCs/>
          <w:color w:val="auto"/>
          <w:sz w:val="22"/>
          <w:szCs w:val="22"/>
          <w:highlight w:val="none"/>
          <w:lang w:val="en-US" w:eastAsia="zh-CN"/>
        </w:rPr>
        <w:t>比选人与中选人</w:t>
      </w:r>
      <w:r>
        <w:rPr>
          <w:rFonts w:hint="eastAsia" w:ascii="宋体" w:hAnsi="宋体" w:eastAsia="宋体" w:cs="宋体"/>
          <w:b/>
          <w:bCs/>
          <w:color w:val="auto"/>
          <w:sz w:val="22"/>
          <w:szCs w:val="22"/>
          <w:highlight w:val="none"/>
        </w:rPr>
        <w:t>双方实际签订为准。</w:t>
      </w:r>
    </w:p>
    <w:p w14:paraId="0744B787">
      <w:pPr>
        <w:kinsoku/>
        <w:wordWrap/>
        <w:overflowPunct/>
        <w:topLinePunct w:val="0"/>
        <w:bidi w:val="0"/>
        <w:spacing w:line="520" w:lineRule="exact"/>
        <w:rPr>
          <w:rFonts w:hint="eastAsia" w:ascii="宋体" w:hAnsi="宋体" w:eastAsia="宋体" w:cs="宋体"/>
          <w:color w:val="auto"/>
          <w:highlight w:val="none"/>
        </w:rPr>
        <w:sectPr>
          <w:pgSz w:w="11907" w:h="16840"/>
          <w:pgMar w:top="1134" w:right="1191" w:bottom="1134" w:left="1304" w:header="851" w:footer="992" w:gutter="0"/>
          <w:pgNumType w:fmt="decimal"/>
          <w:cols w:space="720" w:num="1"/>
          <w:docGrid w:linePitch="380" w:charSpace="-5735"/>
        </w:sectPr>
      </w:pPr>
    </w:p>
    <w:bookmarkEnd w:id="242"/>
    <w:bookmarkEnd w:id="243"/>
    <w:bookmarkEnd w:id="244"/>
    <w:bookmarkEnd w:id="245"/>
    <w:p w14:paraId="22B3CB31">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6"/>
          <w:szCs w:val="36"/>
          <w:lang w:val="en-US" w:eastAsia="zh-CN"/>
        </w:rPr>
      </w:pPr>
      <w:bookmarkStart w:id="246" w:name="_Toc11026"/>
      <w:bookmarkStart w:id="247" w:name="_Toc9482"/>
      <w:bookmarkStart w:id="248" w:name="_Toc14944"/>
      <w:r>
        <w:rPr>
          <w:rFonts w:hint="eastAsia" w:ascii="宋体" w:hAnsi="宋体" w:eastAsia="宋体" w:cs="宋体"/>
          <w:b/>
          <w:color w:val="auto"/>
          <w:sz w:val="36"/>
          <w:szCs w:val="36"/>
          <w:lang w:val="en-US" w:eastAsia="zh-CN"/>
        </w:rPr>
        <w:t>第七篇</w:t>
      </w:r>
      <w:bookmarkEnd w:id="228"/>
      <w:bookmarkEnd w:id="229"/>
      <w:bookmarkEnd w:id="246"/>
      <w:bookmarkStart w:id="249" w:name="_Toc26889"/>
      <w:r>
        <w:rPr>
          <w:rFonts w:hint="eastAsia" w:ascii="宋体" w:hAnsi="宋体" w:eastAsia="宋体" w:cs="宋体"/>
          <w:b/>
          <w:color w:val="auto"/>
          <w:sz w:val="36"/>
          <w:szCs w:val="36"/>
          <w:lang w:val="en-US" w:eastAsia="zh-CN"/>
        </w:rPr>
        <w:t xml:space="preserve">  响应文件编制要求</w:t>
      </w:r>
      <w:bookmarkEnd w:id="247"/>
      <w:bookmarkEnd w:id="248"/>
      <w:bookmarkEnd w:id="249"/>
    </w:p>
    <w:p w14:paraId="2BA921C0">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1491535D">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（一）竞争性比选报价函（格式）</w:t>
      </w:r>
    </w:p>
    <w:p w14:paraId="222188DA">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3649B50C">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部分</w:t>
      </w:r>
    </w:p>
    <w:p w14:paraId="14FAE6CD">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方案自行编制</w:t>
      </w:r>
    </w:p>
    <w:p w14:paraId="09182ACE">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服务响应偏差表</w:t>
      </w:r>
    </w:p>
    <w:p w14:paraId="676EC951">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rPr>
        <w:t>（格式自拟）</w:t>
      </w:r>
    </w:p>
    <w:p w14:paraId="61AB1ECA">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5EEB8FAA">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w:t>
      </w:r>
      <w:r>
        <w:rPr>
          <w:rFonts w:hint="eastAsia" w:ascii="宋体" w:hAnsi="宋体" w:eastAsia="宋体" w:cs="宋体"/>
          <w:color w:val="auto"/>
          <w:sz w:val="24"/>
          <w:szCs w:val="24"/>
          <w:highlight w:val="none"/>
          <w:lang w:val="en-US" w:eastAsia="zh-CN"/>
        </w:rPr>
        <w:t>响应偏差表</w:t>
      </w:r>
    </w:p>
    <w:p w14:paraId="0056A27D">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（二）其它商务评审资料或承诺（自附）</w:t>
      </w:r>
    </w:p>
    <w:p w14:paraId="681CEB79">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w:t>
      </w:r>
    </w:p>
    <w:p w14:paraId="3881C7FF">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（一）法人营业执照（副本）或事业单位法人证书（副本）或个体工商户营业执照或社会团体法人登记证书复印件</w:t>
      </w:r>
    </w:p>
    <w:p w14:paraId="23A8AB1B">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5AB3AA3E">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1F540674">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2E4E8DF6">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45C68EB2">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1EC7D1B8">
      <w:pPr>
        <w:widowControl w:val="0"/>
        <w:kinsoku/>
        <w:wordWrap/>
        <w:overflowPunct/>
        <w:topLinePunct w:val="0"/>
        <w:bidi w:val="0"/>
        <w:spacing w:line="520" w:lineRule="exact"/>
        <w:jc w:val="both"/>
        <w:rPr>
          <w:rFonts w:hint="eastAsia" w:ascii="宋体" w:hAnsi="宋体" w:eastAsia="宋体" w:cs="宋体"/>
          <w:color w:val="auto"/>
          <w:kern w:val="2"/>
          <w:sz w:val="24"/>
          <w:szCs w:val="24"/>
          <w:highlight w:val="none"/>
          <w:lang w:val="en-US" w:eastAsia="zh-CN" w:bidi="ar-SA"/>
        </w:rPr>
      </w:pPr>
    </w:p>
    <w:p w14:paraId="0090F348">
      <w:pPr>
        <w:kinsoku/>
        <w:wordWrap/>
        <w:overflowPunct/>
        <w:topLinePunct w:val="0"/>
        <w:bidi w:val="0"/>
        <w:spacing w:line="520" w:lineRule="exact"/>
        <w:rPr>
          <w:rFonts w:hint="eastAsia" w:ascii="宋体" w:hAnsi="宋体" w:eastAsia="宋体" w:cs="宋体"/>
          <w:color w:val="auto"/>
          <w:sz w:val="24"/>
          <w:szCs w:val="24"/>
          <w:highlight w:val="none"/>
        </w:rPr>
      </w:pPr>
    </w:p>
    <w:p w14:paraId="42FCDBF3">
      <w:pPr>
        <w:widowControl w:val="0"/>
        <w:kinsoku/>
        <w:wordWrap/>
        <w:overflowPunct/>
        <w:topLinePunct w:val="0"/>
        <w:bidi w:val="0"/>
        <w:spacing w:line="520" w:lineRule="exact"/>
        <w:jc w:val="both"/>
        <w:rPr>
          <w:rFonts w:hint="eastAsia" w:ascii="宋体" w:hAnsi="宋体" w:eastAsia="宋体" w:cs="宋体"/>
          <w:color w:val="auto"/>
          <w:kern w:val="2"/>
          <w:sz w:val="24"/>
          <w:szCs w:val="24"/>
          <w:highlight w:val="none"/>
          <w:lang w:val="en-US" w:eastAsia="zh-CN" w:bidi="ar-SA"/>
        </w:rPr>
      </w:pPr>
    </w:p>
    <w:p w14:paraId="3B129A18">
      <w:pPr>
        <w:kinsoku/>
        <w:wordWrap/>
        <w:overflowPunct/>
        <w:topLinePunct w:val="0"/>
        <w:bidi w:val="0"/>
        <w:spacing w:line="520" w:lineRule="exact"/>
        <w:rPr>
          <w:rFonts w:hint="eastAsia" w:ascii="宋体" w:hAnsi="宋体" w:eastAsia="宋体" w:cs="宋体"/>
          <w:color w:val="auto"/>
          <w:sz w:val="24"/>
          <w:szCs w:val="24"/>
          <w:highlight w:val="none"/>
        </w:rPr>
      </w:pPr>
    </w:p>
    <w:p w14:paraId="494C027E">
      <w:pPr>
        <w:kinsoku/>
        <w:wordWrap/>
        <w:overflowPunct/>
        <w:topLinePunct w:val="0"/>
        <w:bidi w:val="0"/>
        <w:spacing w:line="520" w:lineRule="exact"/>
        <w:rPr>
          <w:rFonts w:hint="eastAsia" w:ascii="宋体" w:hAnsi="宋体" w:eastAsia="宋体" w:cs="宋体"/>
          <w:color w:val="auto"/>
          <w:sz w:val="24"/>
          <w:szCs w:val="20"/>
          <w:highlight w:val="none"/>
        </w:rPr>
      </w:pPr>
      <w:bookmarkStart w:id="250" w:name="_Toc342913419"/>
      <w:bookmarkEnd w:id="250"/>
      <w:bookmarkStart w:id="251" w:name="_Toc313008356"/>
      <w:bookmarkEnd w:id="251"/>
      <w:bookmarkStart w:id="252" w:name="_Toc11543"/>
      <w:bookmarkEnd w:id="252"/>
      <w:bookmarkStart w:id="253" w:name="_Toc76462350"/>
      <w:bookmarkEnd w:id="253"/>
      <w:bookmarkStart w:id="254" w:name="_Toc313888360"/>
      <w:bookmarkEnd w:id="254"/>
      <w:bookmarkStart w:id="255" w:name="_Toc106030906"/>
      <w:bookmarkEnd w:id="255"/>
      <w:bookmarkStart w:id="256" w:name="_Toc15372"/>
      <w:bookmarkStart w:id="257" w:name="_Toc22083"/>
      <w:r>
        <w:rPr>
          <w:rFonts w:hint="eastAsia" w:ascii="宋体" w:hAnsi="宋体" w:eastAsia="宋体" w:cs="宋体"/>
          <w:color w:val="auto"/>
          <w:sz w:val="24"/>
          <w:szCs w:val="20"/>
          <w:highlight w:val="none"/>
        </w:rPr>
        <w:br w:type="page"/>
      </w:r>
    </w:p>
    <w:p w14:paraId="74C82E23">
      <w:pPr>
        <w:keepNext/>
        <w:keepLines/>
        <w:widowControl w:val="0"/>
        <w:kinsoku/>
        <w:wordWrap/>
        <w:overflowPunct/>
        <w:topLinePunct w:val="0"/>
        <w:bidi w:val="0"/>
        <w:adjustRightInd w:val="0"/>
        <w:snapToGrid w:val="0"/>
        <w:spacing w:before="0" w:after="0" w:line="520" w:lineRule="exact"/>
        <w:ind w:firstLine="482" w:firstLineChars="200"/>
        <w:jc w:val="both"/>
        <w:outlineLvl w:val="1"/>
        <w:rPr>
          <w:rFonts w:hint="eastAsia" w:ascii="宋体" w:hAnsi="宋体" w:eastAsia="宋体" w:cs="宋体"/>
          <w:b/>
          <w:color w:val="auto"/>
          <w:kern w:val="2"/>
          <w:sz w:val="24"/>
          <w:highlight w:val="none"/>
          <w:lang w:val="en-US" w:eastAsia="zh-CN" w:bidi="ar-SA"/>
        </w:rPr>
      </w:pPr>
      <w:bookmarkStart w:id="258" w:name="_Toc29568"/>
      <w:r>
        <w:rPr>
          <w:rFonts w:hint="eastAsia" w:ascii="宋体" w:hAnsi="宋体" w:eastAsia="宋体" w:cs="宋体"/>
          <w:b/>
          <w:color w:val="auto"/>
          <w:kern w:val="2"/>
          <w:sz w:val="24"/>
          <w:highlight w:val="none"/>
          <w:lang w:val="en-US" w:eastAsia="zh-CN" w:bidi="ar-SA"/>
        </w:rPr>
        <w:t>一、经济部分</w:t>
      </w:r>
      <w:bookmarkEnd w:id="256"/>
      <w:bookmarkEnd w:id="257"/>
      <w:bookmarkEnd w:id="258"/>
    </w:p>
    <w:p w14:paraId="4D1DBEF8">
      <w:pPr>
        <w:kinsoku/>
        <w:wordWrap/>
        <w:overflowPunct/>
        <w:topLinePunct w:val="0"/>
        <w:bidi w:val="0"/>
        <w:spacing w:line="520" w:lineRule="exact"/>
        <w:jc w:val="center"/>
        <w:rPr>
          <w:rFonts w:hint="eastAsia" w:ascii="宋体" w:hAnsi="宋体" w:eastAsia="宋体" w:cs="宋体"/>
          <w:b/>
          <w:color w:val="auto"/>
          <w:sz w:val="28"/>
          <w:szCs w:val="28"/>
          <w:highlight w:val="none"/>
        </w:rPr>
      </w:pPr>
    </w:p>
    <w:p w14:paraId="728B2DB4">
      <w:pPr>
        <w:kinsoku/>
        <w:wordWrap/>
        <w:overflowPunct/>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（一）竞争性比选报价函（格式）</w:t>
      </w:r>
    </w:p>
    <w:p w14:paraId="1745104D">
      <w:pPr>
        <w:tabs>
          <w:tab w:val="left" w:pos="6300"/>
        </w:tabs>
        <w:kinsoku/>
        <w:wordWrap/>
        <w:overflowPunct/>
        <w:topLinePunct w:val="0"/>
        <w:bidi w:val="0"/>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比选代理机构</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14:paraId="0A0FD8C5">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我方收到____________________________（项目名称）的竞争性比选文件，经详细研究，决定参加该项目的比选。</w:t>
      </w:r>
    </w:p>
    <w:p w14:paraId="5314FEF0">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愿意按照竞争性比选文件中的一切要求，提供本项目所要求的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竞标总</w:t>
      </w:r>
      <w:r>
        <w:rPr>
          <w:rFonts w:hint="eastAsia" w:ascii="宋体" w:hAnsi="宋体" w:eastAsia="宋体" w:cs="宋体"/>
          <w:color w:val="auto"/>
          <w:sz w:val="24"/>
          <w:szCs w:val="24"/>
          <w:highlight w:val="none"/>
        </w:rPr>
        <w:t>报价为人民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27F73D">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我方现提交的响应文件为：</w:t>
      </w:r>
      <w:r>
        <w:rPr>
          <w:rFonts w:hint="eastAsia" w:ascii="宋体" w:hAnsi="宋体" w:eastAsia="宋体" w:cs="宋体"/>
          <w:color w:val="auto"/>
          <w:sz w:val="24"/>
          <w:szCs w:val="24"/>
          <w:highlight w:val="none"/>
          <w:lang w:val="en-US" w:eastAsia="zh-CN"/>
        </w:rPr>
        <w:t>网上上传</w:t>
      </w:r>
      <w:r>
        <w:rPr>
          <w:rFonts w:hint="eastAsia" w:ascii="宋体" w:hAnsi="宋体" w:eastAsia="宋体" w:cs="宋体"/>
          <w:color w:val="auto"/>
          <w:sz w:val="24"/>
          <w:szCs w:val="24"/>
          <w:highlight w:val="none"/>
        </w:rPr>
        <w:t>响应文件电子文档</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w:t>
      </w:r>
    </w:p>
    <w:p w14:paraId="756C2E71">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我方承诺：本次比选的有效期为提交响应文件截止时间起90天。</w:t>
      </w:r>
    </w:p>
    <w:p w14:paraId="142AB53B">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我方完全理解和接受贵方竞争性比选文件的一切规定和要求及评审办法。</w:t>
      </w:r>
    </w:p>
    <w:p w14:paraId="6B60D108">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在整个竞争性比选过程中，我方若有违规行为，接受按照《中华人民共和国政府采购法》和本项目《竞争性比选文件》之规定给予惩罚。</w:t>
      </w:r>
    </w:p>
    <w:p w14:paraId="22E38808">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我方若成为</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，将按照</w:t>
      </w:r>
      <w:r>
        <w:rPr>
          <w:rFonts w:hint="eastAsia" w:ascii="宋体" w:hAnsi="宋体" w:eastAsia="宋体" w:cs="宋体"/>
          <w:color w:val="auto"/>
          <w:sz w:val="24"/>
          <w:szCs w:val="24"/>
          <w:highlight w:val="none"/>
          <w:lang w:eastAsia="zh-CN"/>
        </w:rPr>
        <w:t>中选结果</w:t>
      </w:r>
      <w:r>
        <w:rPr>
          <w:rFonts w:hint="eastAsia" w:ascii="宋体" w:hAnsi="宋体" w:eastAsia="宋体" w:cs="宋体"/>
          <w:color w:val="auto"/>
          <w:sz w:val="24"/>
          <w:szCs w:val="24"/>
          <w:highlight w:val="none"/>
        </w:rPr>
        <w:t>签订合同，</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严格履行合同义务。本承诺函将成为合同不可分割的一部分，与合同具有同等的法律效力。</w:t>
      </w:r>
    </w:p>
    <w:p w14:paraId="4A30A609">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如果我方成为</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，保证在接到</w:t>
      </w:r>
      <w:r>
        <w:rPr>
          <w:rFonts w:hint="eastAsia" w:ascii="宋体" w:hAnsi="宋体" w:eastAsia="宋体" w:cs="宋体"/>
          <w:color w:val="auto"/>
          <w:sz w:val="24"/>
          <w:szCs w:val="24"/>
          <w:highlight w:val="none"/>
          <w:lang w:eastAsia="zh-CN"/>
        </w:rPr>
        <w:t>中选通知书</w:t>
      </w:r>
      <w:r>
        <w:rPr>
          <w:rFonts w:hint="eastAsia" w:ascii="宋体" w:hAnsi="宋体" w:eastAsia="宋体" w:cs="宋体"/>
          <w:color w:val="auto"/>
          <w:sz w:val="24"/>
          <w:szCs w:val="24"/>
          <w:highlight w:val="none"/>
        </w:rPr>
        <w:t>后，向</w:t>
      </w:r>
      <w:r>
        <w:rPr>
          <w:rFonts w:hint="eastAsia" w:ascii="宋体" w:hAnsi="宋体" w:eastAsia="宋体" w:cs="宋体"/>
          <w:color w:val="auto"/>
          <w:sz w:val="24"/>
          <w:szCs w:val="24"/>
          <w:highlight w:val="none"/>
          <w:lang w:eastAsia="zh-CN"/>
        </w:rPr>
        <w:t>比选代理机构</w:t>
      </w:r>
      <w:r>
        <w:rPr>
          <w:rFonts w:hint="eastAsia" w:ascii="宋体" w:hAnsi="宋体" w:eastAsia="宋体" w:cs="宋体"/>
          <w:color w:val="auto"/>
          <w:sz w:val="24"/>
          <w:szCs w:val="20"/>
          <w:highlight w:val="none"/>
        </w:rPr>
        <w:t>缴纳</w:t>
      </w:r>
      <w:r>
        <w:rPr>
          <w:rFonts w:hint="eastAsia" w:ascii="宋体" w:hAnsi="宋体" w:eastAsia="宋体" w:cs="宋体"/>
          <w:color w:val="auto"/>
          <w:sz w:val="24"/>
          <w:szCs w:val="24"/>
          <w:highlight w:val="none"/>
        </w:rPr>
        <w:t>竞争性比选文件规定的</w:t>
      </w:r>
      <w:r>
        <w:rPr>
          <w:rFonts w:hint="eastAsia" w:ascii="宋体" w:hAnsi="宋体" w:eastAsia="宋体" w:cs="宋体"/>
          <w:color w:val="auto"/>
          <w:sz w:val="24"/>
          <w:szCs w:val="24"/>
          <w:highlight w:val="none"/>
          <w:lang w:eastAsia="zh-CN"/>
        </w:rPr>
        <w:t>比选代理服务费</w:t>
      </w:r>
      <w:r>
        <w:rPr>
          <w:rFonts w:hint="eastAsia" w:ascii="宋体" w:hAnsi="宋体" w:eastAsia="宋体" w:cs="宋体"/>
          <w:color w:val="auto"/>
          <w:sz w:val="24"/>
          <w:szCs w:val="24"/>
          <w:highlight w:val="none"/>
        </w:rPr>
        <w:t>。</w:t>
      </w:r>
    </w:p>
    <w:p w14:paraId="48277C5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竞标人</w:t>
      </w:r>
      <w:r>
        <w:rPr>
          <w:rFonts w:hint="eastAsia" w:ascii="宋体" w:hAnsi="宋体" w:eastAsia="宋体" w:cs="宋体"/>
          <w:color w:val="auto"/>
          <w:sz w:val="24"/>
          <w:szCs w:val="24"/>
          <w:highlight w:val="none"/>
        </w:rPr>
        <w:t>（公章）或自然人签署：</w:t>
      </w:r>
    </w:p>
    <w:p w14:paraId="70EFB0FD">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358AD21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01CC9A6B">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4BA9CCE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6F909B72">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054EDEC">
      <w:pPr>
        <w:widowControl w:val="0"/>
        <w:kinsoku/>
        <w:wordWrap/>
        <w:overflowPunct/>
        <w:topLinePunct w:val="0"/>
        <w:bidi w:val="0"/>
        <w:spacing w:line="520" w:lineRule="exact"/>
        <w:jc w:val="both"/>
        <w:rPr>
          <w:rFonts w:hint="eastAsia" w:ascii="宋体" w:hAnsi="宋体" w:eastAsia="宋体" w:cs="宋体"/>
          <w:color w:val="auto"/>
          <w:kern w:val="2"/>
          <w:sz w:val="24"/>
          <w:szCs w:val="24"/>
          <w:highlight w:val="none"/>
          <w:lang w:val="en-US" w:eastAsia="zh-CN" w:bidi="ar-SA"/>
        </w:rPr>
      </w:pPr>
    </w:p>
    <w:p w14:paraId="0BF49AB6">
      <w:pPr>
        <w:widowControl w:val="0"/>
        <w:kinsoku/>
        <w:wordWrap/>
        <w:overflowPunct/>
        <w:topLinePunct w:val="0"/>
        <w:autoSpaceDE w:val="0"/>
        <w:autoSpaceDN w:val="0"/>
        <w:bidi w:val="0"/>
        <w:adjustRightInd w:val="0"/>
        <w:spacing w:line="520" w:lineRule="exact"/>
        <w:rPr>
          <w:rFonts w:hint="eastAsia" w:ascii="宋体" w:hAnsi="宋体" w:eastAsia="宋体" w:cs="宋体"/>
          <w:color w:val="auto"/>
          <w:sz w:val="24"/>
          <w:szCs w:val="24"/>
          <w:highlight w:val="none"/>
          <w:lang w:val="en-US" w:eastAsia="zh-CN" w:bidi="ar-SA"/>
        </w:rPr>
      </w:pPr>
    </w:p>
    <w:p w14:paraId="675152B9">
      <w:pPr>
        <w:kinsoku/>
        <w:wordWrap/>
        <w:overflowPunct/>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7CE3B02">
      <w:pPr>
        <w:widowControl w:val="0"/>
        <w:kinsoku/>
        <w:wordWrap/>
        <w:overflowPunct/>
        <w:topLinePunct w:val="0"/>
        <w:autoSpaceDE w:val="0"/>
        <w:autoSpaceDN w:val="0"/>
        <w:bidi w:val="0"/>
        <w:adjustRightIn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（二）明细报价表</w:t>
      </w:r>
    </w:p>
    <w:p w14:paraId="683E52EF">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lang w:eastAsia="zh-CN"/>
        </w:rPr>
      </w:pPr>
    </w:p>
    <w:p w14:paraId="48246ED8">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5EF7F9E">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项目名称：</w:t>
      </w:r>
    </w:p>
    <w:tbl>
      <w:tblPr>
        <w:tblStyle w:val="17"/>
        <w:tblW w:w="4997" w:type="pct"/>
        <w:tblInd w:w="0" w:type="dxa"/>
        <w:tblLayout w:type="autofit"/>
        <w:tblCellMar>
          <w:top w:w="0" w:type="dxa"/>
          <w:left w:w="108" w:type="dxa"/>
          <w:bottom w:w="0" w:type="dxa"/>
          <w:right w:w="108" w:type="dxa"/>
        </w:tblCellMar>
      </w:tblPr>
      <w:tblGrid>
        <w:gridCol w:w="1052"/>
        <w:gridCol w:w="1120"/>
        <w:gridCol w:w="1465"/>
        <w:gridCol w:w="1365"/>
        <w:gridCol w:w="1365"/>
        <w:gridCol w:w="1563"/>
        <w:gridCol w:w="1692"/>
      </w:tblGrid>
      <w:tr w14:paraId="13A36D2F">
        <w:tblPrEx>
          <w:tblCellMar>
            <w:top w:w="0" w:type="dxa"/>
            <w:left w:w="108" w:type="dxa"/>
            <w:bottom w:w="0" w:type="dxa"/>
            <w:right w:w="108" w:type="dxa"/>
          </w:tblCellMar>
        </w:tblPrEx>
        <w:trPr>
          <w:trHeight w:val="660"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507A1323">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序号</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8F7016E">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项目</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577ED77C">
            <w:pPr>
              <w:widowControl/>
              <w:spacing w:line="440" w:lineRule="exact"/>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eastAsia="zh-CN" w:bidi="ar"/>
              </w:rPr>
              <w:t>规模</w:t>
            </w:r>
          </w:p>
          <w:p w14:paraId="56219671">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（m</w:t>
            </w:r>
            <w:r>
              <w:rPr>
                <w:rFonts w:hint="eastAsia" w:ascii="宋体" w:hAnsi="宋体" w:eastAsia="宋体" w:cs="宋体"/>
                <w:b w:val="0"/>
                <w:bCs w:val="0"/>
                <w:color w:val="auto"/>
                <w:kern w:val="0"/>
                <w:sz w:val="24"/>
                <w:szCs w:val="24"/>
                <w:highlight w:val="none"/>
                <w:vertAlign w:val="superscript"/>
                <w:lang w:bidi="ar"/>
              </w:rPr>
              <w:t>3</w:t>
            </w:r>
            <w:r>
              <w:rPr>
                <w:rFonts w:hint="eastAsia" w:ascii="宋体" w:hAnsi="宋体" w:eastAsia="宋体" w:cs="宋体"/>
                <w:b w:val="0"/>
                <w:bCs w:val="0"/>
                <w:color w:val="auto"/>
                <w:kern w:val="0"/>
                <w:sz w:val="24"/>
                <w:szCs w:val="24"/>
                <w:highlight w:val="none"/>
                <w:lang w:eastAsia="zh-CN" w:bidi="ar"/>
              </w:rPr>
              <w:t>或</w:t>
            </w:r>
            <w:r>
              <w:rPr>
                <w:rFonts w:hint="eastAsia" w:ascii="宋体" w:hAnsi="宋体" w:eastAsia="宋体" w:cs="宋体"/>
                <w:b w:val="0"/>
                <w:bCs w:val="0"/>
                <w:color w:val="auto"/>
                <w:kern w:val="0"/>
                <w:sz w:val="24"/>
                <w:szCs w:val="24"/>
                <w:highlight w:val="none"/>
                <w:lang w:bidi="ar"/>
              </w:rPr>
              <w:t>亩）</w:t>
            </w:r>
          </w:p>
        </w:tc>
        <w:tc>
          <w:tcPr>
            <w:tcW w:w="709" w:type="pct"/>
            <w:tcBorders>
              <w:top w:val="single" w:color="000000" w:sz="4" w:space="0"/>
              <w:left w:val="nil"/>
              <w:bottom w:val="single" w:color="000000" w:sz="4" w:space="0"/>
              <w:right w:val="single" w:color="000000" w:sz="4" w:space="0"/>
            </w:tcBorders>
            <w:noWrap w:val="0"/>
            <w:vAlign w:val="center"/>
          </w:tcPr>
          <w:p w14:paraId="30BB6528">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株/亩（工日/亩）</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F2A2931">
            <w:pPr>
              <w:widowControl/>
              <w:spacing w:line="440" w:lineRule="exact"/>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数量</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工日</w:t>
            </w:r>
            <w:r>
              <w:rPr>
                <w:rFonts w:hint="eastAsia" w:ascii="宋体" w:hAnsi="宋体" w:eastAsia="宋体" w:cs="宋体"/>
                <w:b w:val="0"/>
                <w:bCs w:val="0"/>
                <w:color w:val="auto"/>
                <w:kern w:val="0"/>
                <w:sz w:val="24"/>
                <w:szCs w:val="24"/>
                <w:highlight w:val="none"/>
                <w:lang w:eastAsia="zh-CN" w:bidi="ar"/>
              </w:rPr>
              <w:t>）</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C845FA5">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单价</w:t>
            </w:r>
            <w:r>
              <w:rPr>
                <w:rFonts w:hint="eastAsia" w:ascii="宋体" w:hAnsi="宋体" w:eastAsia="宋体" w:cs="宋体"/>
                <w:b w:val="0"/>
                <w:bCs w:val="0"/>
                <w:color w:val="auto"/>
                <w:kern w:val="0"/>
                <w:sz w:val="24"/>
                <w:szCs w:val="24"/>
                <w:highlight w:val="none"/>
                <w:lang w:val="en-US" w:eastAsia="zh-CN" w:bidi="ar"/>
              </w:rPr>
              <w:t>报价</w:t>
            </w:r>
            <w:r>
              <w:rPr>
                <w:rFonts w:hint="eastAsia" w:ascii="宋体" w:hAnsi="宋体" w:eastAsia="宋体" w:cs="宋体"/>
                <w:b w:val="0"/>
                <w:bCs w:val="0"/>
                <w:color w:val="auto"/>
                <w:kern w:val="0"/>
                <w:sz w:val="24"/>
                <w:szCs w:val="24"/>
                <w:highlight w:val="none"/>
                <w:lang w:bidi="ar"/>
              </w:rPr>
              <w:t>（元</w:t>
            </w:r>
            <w:r>
              <w:rPr>
                <w:rFonts w:hint="eastAsia" w:ascii="宋体" w:hAnsi="宋体" w:eastAsia="宋体" w:cs="宋体"/>
                <w:b w:val="0"/>
                <w:bCs w:val="0"/>
                <w:color w:val="auto"/>
                <w:kern w:val="0"/>
                <w:sz w:val="24"/>
                <w:szCs w:val="24"/>
                <w:highlight w:val="none"/>
                <w:lang w:val="en-US" w:eastAsia="zh-CN" w:bidi="ar"/>
              </w:rPr>
              <w:t>/工日</w:t>
            </w:r>
            <w:r>
              <w:rPr>
                <w:rFonts w:hint="eastAsia" w:ascii="宋体" w:hAnsi="宋体" w:eastAsia="宋体" w:cs="宋体"/>
                <w:b w:val="0"/>
                <w:bCs w:val="0"/>
                <w:color w:val="auto"/>
                <w:kern w:val="0"/>
                <w:sz w:val="24"/>
                <w:szCs w:val="24"/>
                <w:highlight w:val="none"/>
                <w:lang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366046F3">
            <w:pPr>
              <w:widowControl/>
              <w:spacing w:line="440" w:lineRule="exact"/>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合计（元）</w:t>
            </w:r>
          </w:p>
        </w:tc>
      </w:tr>
      <w:tr w14:paraId="691456FB">
        <w:tblPrEx>
          <w:tblCellMar>
            <w:top w:w="0" w:type="dxa"/>
            <w:left w:w="108" w:type="dxa"/>
            <w:bottom w:w="0" w:type="dxa"/>
            <w:right w:w="108" w:type="dxa"/>
          </w:tblCellMar>
        </w:tblPrEx>
        <w:trPr>
          <w:trHeight w:val="402"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7A1CB2AA">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A6ADE16">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采伐</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71F483B0">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900</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608B7CF">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10A7392">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2700</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45F86AA3">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44DAC305">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52B57DA9">
        <w:tblPrEx>
          <w:tblCellMar>
            <w:top w:w="0" w:type="dxa"/>
            <w:left w:w="108" w:type="dxa"/>
            <w:bottom w:w="0" w:type="dxa"/>
            <w:right w:w="108" w:type="dxa"/>
          </w:tblCellMar>
        </w:tblPrEx>
        <w:trPr>
          <w:trHeight w:val="402"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6CCF1C16">
            <w:pPr>
              <w:widowControl/>
              <w:spacing w:line="44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71760C4">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eastAsia="zh-CN" w:bidi="ar"/>
              </w:rPr>
              <w:t>林地清理</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65FD94CC">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25A3AA2">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1.5</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72708B7">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450</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7BDC13D2">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23E5A6A8">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1A625523">
        <w:tblPrEx>
          <w:tblCellMar>
            <w:top w:w="0" w:type="dxa"/>
            <w:left w:w="108" w:type="dxa"/>
            <w:bottom w:w="0" w:type="dxa"/>
            <w:right w:w="108" w:type="dxa"/>
          </w:tblCellMar>
        </w:tblPrEx>
        <w:trPr>
          <w:trHeight w:val="402"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650EE03B">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A98AC24">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整地</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5B2B818B">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7D4D76B">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99980E3">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732DBBE7">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04172A96">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51EBFD8E">
        <w:tblPrEx>
          <w:tblCellMar>
            <w:top w:w="0" w:type="dxa"/>
            <w:left w:w="108" w:type="dxa"/>
            <w:bottom w:w="0" w:type="dxa"/>
            <w:right w:w="108" w:type="dxa"/>
          </w:tblCellMar>
        </w:tblPrEx>
        <w:trPr>
          <w:trHeight w:val="402" w:hRule="atLeast"/>
        </w:trPr>
        <w:tc>
          <w:tcPr>
            <w:tcW w:w="547" w:type="pct"/>
            <w:tcBorders>
              <w:top w:val="single" w:color="000000" w:sz="4" w:space="0"/>
              <w:left w:val="single" w:color="000000" w:sz="4" w:space="0"/>
              <w:bottom w:val="single" w:color="000000" w:sz="4" w:space="0"/>
              <w:right w:val="single" w:color="000000" w:sz="4" w:space="0"/>
            </w:tcBorders>
            <w:noWrap w:val="0"/>
            <w:vAlign w:val="center"/>
          </w:tcPr>
          <w:p w14:paraId="4D8CAF7A">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5A9F24A">
            <w:pPr>
              <w:widowControl/>
              <w:spacing w:line="440" w:lineRule="exact"/>
              <w:jc w:val="center"/>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栽植</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1419C092">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C8CEA8A">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F5330F0">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300</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2E9FE3C3">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c>
          <w:tcPr>
            <w:tcW w:w="879" w:type="pct"/>
            <w:tcBorders>
              <w:top w:val="single" w:color="000000" w:sz="4" w:space="0"/>
              <w:left w:val="single" w:color="000000" w:sz="4" w:space="0"/>
              <w:bottom w:val="single" w:color="000000" w:sz="4" w:space="0"/>
              <w:right w:val="single" w:color="auto" w:sz="4" w:space="0"/>
            </w:tcBorders>
            <w:noWrap w:val="0"/>
            <w:vAlign w:val="center"/>
          </w:tcPr>
          <w:p w14:paraId="3681E94E">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p>
        </w:tc>
      </w:tr>
      <w:tr w14:paraId="03EA50AF">
        <w:tblPrEx>
          <w:tblCellMar>
            <w:top w:w="0" w:type="dxa"/>
            <w:left w:w="108" w:type="dxa"/>
            <w:bottom w:w="0" w:type="dxa"/>
            <w:right w:w="108" w:type="dxa"/>
          </w:tblCellMar>
        </w:tblPrEx>
        <w:trPr>
          <w:trHeight w:val="402" w:hRule="atLeast"/>
        </w:trPr>
        <w:tc>
          <w:tcPr>
            <w:tcW w:w="4120" w:type="pct"/>
            <w:gridSpan w:val="6"/>
            <w:tcBorders>
              <w:top w:val="single" w:color="000000" w:sz="4" w:space="0"/>
              <w:left w:val="single" w:color="000000" w:sz="4" w:space="0"/>
              <w:bottom w:val="single" w:color="000000" w:sz="4" w:space="0"/>
              <w:right w:val="single" w:color="000000" w:sz="4" w:space="0"/>
            </w:tcBorders>
            <w:noWrap w:val="0"/>
            <w:vAlign w:val="center"/>
          </w:tcPr>
          <w:p w14:paraId="5FAE2069">
            <w:pPr>
              <w:widowControl/>
              <w:spacing w:line="44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总计（元）</w:t>
            </w:r>
          </w:p>
        </w:tc>
        <w:tc>
          <w:tcPr>
            <w:tcW w:w="879" w:type="pct"/>
            <w:tcBorders>
              <w:top w:val="single" w:color="000000" w:sz="4" w:space="0"/>
              <w:left w:val="single" w:color="000000" w:sz="4" w:space="0"/>
              <w:bottom w:val="single" w:color="000000" w:sz="4" w:space="0"/>
              <w:right w:val="single" w:color="auto" w:sz="4" w:space="0"/>
            </w:tcBorders>
            <w:noWrap w:val="0"/>
            <w:vAlign w:val="center"/>
          </w:tcPr>
          <w:p w14:paraId="046C0BC4">
            <w:pPr>
              <w:spacing w:line="440" w:lineRule="exact"/>
              <w:jc w:val="center"/>
              <w:rPr>
                <w:rFonts w:hint="eastAsia" w:ascii="宋体" w:hAnsi="宋体" w:eastAsia="宋体" w:cs="宋体"/>
                <w:b w:val="0"/>
                <w:bCs w:val="0"/>
                <w:color w:val="auto"/>
                <w:kern w:val="2"/>
                <w:sz w:val="24"/>
                <w:szCs w:val="24"/>
                <w:highlight w:val="none"/>
                <w:lang w:val="en-US" w:eastAsia="zh-CN" w:bidi="ar-SA"/>
              </w:rPr>
            </w:pPr>
          </w:p>
        </w:tc>
      </w:tr>
    </w:tbl>
    <w:p w14:paraId="74319FF4">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注：1.</w:t>
      </w:r>
      <w:r>
        <w:rPr>
          <w:rFonts w:hint="eastAsia" w:ascii="宋体" w:hAnsi="宋体" w:eastAsia="宋体" w:cs="宋体"/>
          <w:color w:val="auto"/>
          <w:sz w:val="24"/>
          <w:szCs w:val="28"/>
          <w:highlight w:val="none"/>
          <w:lang w:eastAsia="zh-CN"/>
        </w:rPr>
        <w:t>竞标人</w:t>
      </w:r>
      <w:r>
        <w:rPr>
          <w:rFonts w:hint="eastAsia" w:ascii="宋体" w:hAnsi="宋体" w:eastAsia="宋体" w:cs="宋体"/>
          <w:color w:val="auto"/>
          <w:sz w:val="24"/>
          <w:szCs w:val="28"/>
          <w:highlight w:val="none"/>
        </w:rPr>
        <w:t>应完整填写本表。</w:t>
      </w:r>
    </w:p>
    <w:p w14:paraId="065A20FA">
      <w:pPr>
        <w:numPr>
          <w:ilvl w:val="0"/>
          <w:numId w:val="2"/>
        </w:numPr>
        <w:snapToGrid w:val="0"/>
        <w:spacing w:line="500" w:lineRule="exact"/>
        <w:ind w:left="960" w:leftChars="0"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以上工日为暂定数量，结算时按实际产生的工日进行据实结算。</w:t>
      </w:r>
    </w:p>
    <w:p w14:paraId="544E7161">
      <w:pPr>
        <w:numPr>
          <w:ilvl w:val="0"/>
          <w:numId w:val="2"/>
        </w:numPr>
        <w:snapToGrid w:val="0"/>
        <w:spacing w:line="500" w:lineRule="exact"/>
        <w:ind w:left="960" w:leftChars="0" w:firstLine="0" w:firstLineChars="0"/>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不得修改表中现有的信息，否则按无效响应处理。</w:t>
      </w:r>
    </w:p>
    <w:p w14:paraId="52C05CBF">
      <w:pPr>
        <w:snapToGrid w:val="0"/>
        <w:spacing w:line="500" w:lineRule="exact"/>
        <w:ind w:firstLine="960" w:firstLineChars="4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rPr>
        <w:t>.该表可扩展</w:t>
      </w:r>
      <w:r>
        <w:rPr>
          <w:rFonts w:hint="eastAsia" w:ascii="宋体" w:hAnsi="宋体" w:eastAsia="宋体" w:cs="宋体"/>
          <w:color w:val="auto"/>
          <w:sz w:val="24"/>
          <w:szCs w:val="28"/>
          <w:highlight w:val="none"/>
          <w:lang w:eastAsia="zh-CN"/>
        </w:rPr>
        <w:t>。</w:t>
      </w:r>
    </w:p>
    <w:p w14:paraId="72F3AAC1">
      <w:pPr>
        <w:kinsoku/>
        <w:wordWrap/>
        <w:overflowPunct/>
        <w:topLinePunct w:val="0"/>
        <w:bidi w:val="0"/>
        <w:snapToGrid w:val="0"/>
        <w:spacing w:line="520" w:lineRule="exact"/>
        <w:rPr>
          <w:rFonts w:hint="eastAsia" w:ascii="宋体" w:hAnsi="宋体" w:eastAsia="宋体" w:cs="宋体"/>
          <w:color w:val="auto"/>
          <w:sz w:val="24"/>
          <w:szCs w:val="24"/>
          <w:highlight w:val="none"/>
        </w:rPr>
      </w:pPr>
    </w:p>
    <w:p w14:paraId="151485F3">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bdr w:val="single" w:color="auto" w:sz="4" w:space="0"/>
        </w:rPr>
      </w:pPr>
    </w:p>
    <w:p w14:paraId="7EFDA65B">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bdr w:val="single" w:color="auto" w:sz="4" w:space="0"/>
        </w:rPr>
      </w:pPr>
    </w:p>
    <w:p w14:paraId="43BE12AB">
      <w:pPr>
        <w:kinsoku/>
        <w:wordWrap/>
        <w:overflowPunct/>
        <w:topLinePunct w:val="0"/>
        <w:bidi w:val="0"/>
        <w:spacing w:line="520" w:lineRule="exac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竞标人名称</w:t>
      </w:r>
      <w:r>
        <w:rPr>
          <w:rFonts w:hint="eastAsia" w:ascii="宋体" w:hAnsi="宋体" w:eastAsia="宋体" w:cs="宋体"/>
          <w:color w:val="auto"/>
          <w:sz w:val="24"/>
          <w:szCs w:val="24"/>
          <w:highlight w:val="none"/>
        </w:rPr>
        <w:t>（公章）：</w:t>
      </w:r>
    </w:p>
    <w:p w14:paraId="6582B08B">
      <w:pPr>
        <w:kinsoku/>
        <w:wordWrap/>
        <w:overflowPunct/>
        <w:topLinePunct w:val="0"/>
        <w:bidi w:val="0"/>
        <w:spacing w:line="520" w:lineRule="exact"/>
        <w:jc w:val="right"/>
        <w:rPr>
          <w:rFonts w:hint="eastAsia" w:ascii="宋体" w:hAnsi="宋体" w:eastAsia="宋体" w:cs="宋体"/>
          <w:color w:val="auto"/>
          <w:highlight w:val="none"/>
        </w:rPr>
        <w:sectPr>
          <w:footerReference r:id="rId9"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highlight w:val="none"/>
        </w:rPr>
        <w:t>年     月    日</w:t>
      </w:r>
    </w:p>
    <w:p w14:paraId="22A21EBA">
      <w:pPr>
        <w:keepNext/>
        <w:keepLines/>
        <w:widowControl w:val="0"/>
        <w:kinsoku/>
        <w:wordWrap/>
        <w:overflowPunct/>
        <w:topLinePunct w:val="0"/>
        <w:bidi w:val="0"/>
        <w:adjustRightInd w:val="0"/>
        <w:snapToGrid w:val="0"/>
        <w:spacing w:before="0" w:after="0" w:line="520" w:lineRule="exact"/>
        <w:ind w:firstLine="482" w:firstLineChars="200"/>
        <w:jc w:val="both"/>
        <w:outlineLvl w:val="1"/>
        <w:rPr>
          <w:rFonts w:hint="eastAsia" w:ascii="宋体" w:hAnsi="宋体" w:eastAsia="宋体" w:cs="宋体"/>
          <w:b/>
          <w:color w:val="auto"/>
          <w:kern w:val="2"/>
          <w:sz w:val="24"/>
          <w:highlight w:val="none"/>
          <w:lang w:val="en-US" w:eastAsia="zh-CN" w:bidi="ar-SA"/>
        </w:rPr>
      </w:pPr>
      <w:bookmarkStart w:id="259" w:name="_Toc313008357"/>
      <w:bookmarkEnd w:id="259"/>
      <w:bookmarkStart w:id="260" w:name="_Toc76462351"/>
      <w:bookmarkEnd w:id="260"/>
      <w:bookmarkStart w:id="261" w:name="_Toc342913420"/>
      <w:bookmarkEnd w:id="261"/>
      <w:bookmarkStart w:id="262" w:name="_Toc106030907"/>
      <w:bookmarkEnd w:id="262"/>
      <w:bookmarkStart w:id="263" w:name="_Toc29766"/>
      <w:bookmarkEnd w:id="263"/>
      <w:bookmarkStart w:id="264" w:name="_Toc313888361"/>
      <w:bookmarkEnd w:id="264"/>
      <w:bookmarkStart w:id="265" w:name="_Toc32546"/>
      <w:bookmarkStart w:id="266" w:name="_Toc12737"/>
      <w:bookmarkStart w:id="267" w:name="_Toc3212"/>
      <w:r>
        <w:rPr>
          <w:rFonts w:hint="eastAsia" w:ascii="宋体" w:hAnsi="宋体" w:eastAsia="宋体" w:cs="宋体"/>
          <w:b/>
          <w:color w:val="auto"/>
          <w:kern w:val="2"/>
          <w:sz w:val="24"/>
          <w:highlight w:val="none"/>
          <w:lang w:val="en-US" w:eastAsia="zh-CN" w:bidi="ar-SA"/>
        </w:rPr>
        <w:t>二、服务部分</w:t>
      </w:r>
      <w:bookmarkEnd w:id="265"/>
      <w:bookmarkEnd w:id="266"/>
      <w:bookmarkEnd w:id="267"/>
    </w:p>
    <w:p w14:paraId="231BE897">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方案自行编制</w:t>
      </w:r>
      <w:bookmarkStart w:id="268" w:name="_Toc342913421"/>
      <w:bookmarkEnd w:id="268"/>
      <w:bookmarkStart w:id="269" w:name="_Toc106030908"/>
      <w:bookmarkEnd w:id="269"/>
      <w:bookmarkStart w:id="270" w:name="_Toc76462352"/>
      <w:bookmarkEnd w:id="270"/>
      <w:bookmarkStart w:id="271" w:name="_Toc30533"/>
      <w:bookmarkEnd w:id="271"/>
      <w:bookmarkStart w:id="272" w:name="_Toc313008358"/>
      <w:bookmarkEnd w:id="272"/>
      <w:bookmarkStart w:id="273" w:name="_Toc313888362"/>
      <w:bookmarkEnd w:id="273"/>
    </w:p>
    <w:p w14:paraId="47B48DB6">
      <w:pPr>
        <w:kinsoku/>
        <w:wordWrap/>
        <w:overflowPunct/>
        <w:topLinePunct w:val="0"/>
        <w:bidi w:val="0"/>
        <w:adjustRightInd w:val="0"/>
        <w:snapToGrid w:val="0"/>
        <w:spacing w:line="520" w:lineRule="exact"/>
        <w:ind w:firstLine="560" w:firstLineChars="200"/>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br w:type="page"/>
      </w:r>
    </w:p>
    <w:p w14:paraId="3A362343">
      <w:pPr>
        <w:kinsoku/>
        <w:wordWrap/>
        <w:overflowPunct/>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响应偏离表</w:t>
      </w:r>
    </w:p>
    <w:p w14:paraId="2A2D4EF4">
      <w:pPr>
        <w:tabs>
          <w:tab w:val="left" w:pos="6300"/>
        </w:tabs>
        <w:kinsoku/>
        <w:wordWrap/>
        <w:overflowPunct/>
        <w:topLinePunct w:val="0"/>
        <w:bidi w:val="0"/>
        <w:adjustRightInd w:val="0"/>
        <w:snapToGrid w:val="0"/>
        <w:spacing w:line="520" w:lineRule="exact"/>
        <w:ind w:firstLine="480" w:firstLineChars="200"/>
        <w:rPr>
          <w:rFonts w:hint="eastAsia" w:ascii="宋体" w:hAnsi="宋体" w:eastAsia="宋体" w:cs="宋体"/>
          <w:color w:val="auto"/>
          <w:sz w:val="24"/>
          <w:szCs w:val="24"/>
          <w:highlight w:val="none"/>
        </w:rPr>
      </w:pPr>
    </w:p>
    <w:p w14:paraId="0FD07FC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BE6981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rPr>
        <w:t>项目名称：</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166C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4EAB95AF">
            <w:pPr>
              <w:tabs>
                <w:tab w:val="left" w:pos="6300"/>
              </w:tabs>
              <w:snapToGrid w:val="0"/>
              <w:spacing w:line="500" w:lineRule="exact"/>
              <w:jc w:val="center"/>
              <w:outlineLvl w:val="0"/>
              <w:rPr>
                <w:rFonts w:hint="eastAsia" w:ascii="宋体" w:hAnsi="宋体" w:eastAsia="宋体" w:cs="宋体"/>
                <w:color w:val="auto"/>
                <w:sz w:val="24"/>
                <w:szCs w:val="24"/>
              </w:rPr>
            </w:pPr>
            <w:bookmarkStart w:id="274" w:name="_Toc18309"/>
            <w:r>
              <w:rPr>
                <w:rFonts w:hint="eastAsia" w:ascii="宋体" w:hAnsi="宋体" w:eastAsia="宋体" w:cs="宋体"/>
                <w:color w:val="auto"/>
                <w:sz w:val="24"/>
                <w:szCs w:val="24"/>
              </w:rPr>
              <w:t>序号</w:t>
            </w:r>
            <w:bookmarkEnd w:id="274"/>
          </w:p>
        </w:tc>
        <w:tc>
          <w:tcPr>
            <w:tcW w:w="2967" w:type="dxa"/>
            <w:vAlign w:val="center"/>
          </w:tcPr>
          <w:p w14:paraId="1147AF18">
            <w:pPr>
              <w:tabs>
                <w:tab w:val="left" w:pos="6300"/>
              </w:tabs>
              <w:snapToGrid w:val="0"/>
              <w:spacing w:line="500" w:lineRule="exact"/>
              <w:jc w:val="center"/>
              <w:outlineLvl w:val="0"/>
              <w:rPr>
                <w:rFonts w:hint="eastAsia" w:ascii="宋体" w:hAnsi="宋体" w:eastAsia="宋体" w:cs="宋体"/>
                <w:color w:val="auto"/>
                <w:sz w:val="24"/>
                <w:szCs w:val="24"/>
              </w:rPr>
            </w:pPr>
            <w:bookmarkStart w:id="275" w:name="_Toc7159"/>
            <w:r>
              <w:rPr>
                <w:rFonts w:hint="eastAsia" w:ascii="宋体" w:hAnsi="宋体" w:eastAsia="宋体" w:cs="宋体"/>
                <w:color w:val="auto"/>
                <w:sz w:val="24"/>
                <w:szCs w:val="24"/>
              </w:rPr>
              <w:t>采购需求</w:t>
            </w:r>
            <w:bookmarkEnd w:id="275"/>
          </w:p>
        </w:tc>
        <w:tc>
          <w:tcPr>
            <w:tcW w:w="3081" w:type="dxa"/>
            <w:vAlign w:val="center"/>
          </w:tcPr>
          <w:p w14:paraId="0F9918CF">
            <w:pPr>
              <w:tabs>
                <w:tab w:val="left" w:pos="6300"/>
              </w:tabs>
              <w:snapToGrid w:val="0"/>
              <w:spacing w:line="500" w:lineRule="exact"/>
              <w:jc w:val="center"/>
              <w:outlineLvl w:val="0"/>
              <w:rPr>
                <w:rFonts w:hint="eastAsia" w:ascii="宋体" w:hAnsi="宋体" w:eastAsia="宋体" w:cs="宋体"/>
                <w:color w:val="auto"/>
                <w:sz w:val="24"/>
                <w:szCs w:val="24"/>
              </w:rPr>
            </w:pPr>
            <w:bookmarkStart w:id="276" w:name="_Toc8879"/>
            <w:r>
              <w:rPr>
                <w:rFonts w:hint="eastAsia" w:ascii="宋体" w:hAnsi="宋体" w:eastAsia="宋体" w:cs="宋体"/>
                <w:color w:val="auto"/>
                <w:sz w:val="24"/>
                <w:szCs w:val="24"/>
              </w:rPr>
              <w:t>响应情况</w:t>
            </w:r>
            <w:bookmarkEnd w:id="276"/>
          </w:p>
        </w:tc>
        <w:tc>
          <w:tcPr>
            <w:tcW w:w="2309" w:type="dxa"/>
            <w:vAlign w:val="center"/>
          </w:tcPr>
          <w:p w14:paraId="78870E01">
            <w:pPr>
              <w:tabs>
                <w:tab w:val="left" w:pos="6300"/>
              </w:tabs>
              <w:snapToGrid w:val="0"/>
              <w:spacing w:line="500" w:lineRule="exact"/>
              <w:jc w:val="center"/>
              <w:outlineLvl w:val="0"/>
              <w:rPr>
                <w:rFonts w:hint="eastAsia" w:ascii="宋体" w:hAnsi="宋体" w:eastAsia="宋体" w:cs="宋体"/>
                <w:color w:val="auto"/>
                <w:sz w:val="24"/>
                <w:szCs w:val="24"/>
              </w:rPr>
            </w:pPr>
            <w:bookmarkStart w:id="277" w:name="_Toc12296"/>
            <w:r>
              <w:rPr>
                <w:rFonts w:hint="eastAsia" w:ascii="宋体" w:hAnsi="宋体" w:eastAsia="宋体" w:cs="宋体"/>
                <w:color w:val="auto"/>
                <w:sz w:val="24"/>
                <w:szCs w:val="24"/>
              </w:rPr>
              <w:t>差异说明</w:t>
            </w:r>
            <w:bookmarkEnd w:id="277"/>
          </w:p>
        </w:tc>
      </w:tr>
      <w:tr w14:paraId="099E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28BDEBA">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168A094F">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0941C5E2">
            <w:pPr>
              <w:tabs>
                <w:tab w:val="left" w:pos="6300"/>
              </w:tabs>
              <w:snapToGrid w:val="0"/>
              <w:spacing w:line="500" w:lineRule="exact"/>
              <w:outlineLvl w:val="0"/>
              <w:rPr>
                <w:rFonts w:hint="eastAsia" w:ascii="宋体" w:hAnsi="宋体" w:eastAsia="宋体" w:cs="宋体"/>
                <w:color w:val="auto"/>
                <w:sz w:val="21"/>
                <w:szCs w:val="21"/>
              </w:rPr>
            </w:pPr>
          </w:p>
        </w:tc>
        <w:tc>
          <w:tcPr>
            <w:tcW w:w="2309" w:type="dxa"/>
            <w:vAlign w:val="center"/>
          </w:tcPr>
          <w:p w14:paraId="5FE0EBBE">
            <w:pPr>
              <w:tabs>
                <w:tab w:val="left" w:pos="6300"/>
              </w:tabs>
              <w:snapToGrid w:val="0"/>
              <w:spacing w:line="500" w:lineRule="exact"/>
              <w:jc w:val="center"/>
              <w:outlineLvl w:val="0"/>
              <w:rPr>
                <w:rFonts w:hint="eastAsia" w:ascii="宋体" w:hAnsi="宋体" w:eastAsia="宋体" w:cs="宋体"/>
                <w:color w:val="auto"/>
                <w:sz w:val="21"/>
                <w:szCs w:val="21"/>
              </w:rPr>
            </w:pPr>
          </w:p>
        </w:tc>
      </w:tr>
      <w:tr w14:paraId="4B6D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8AA8D2A">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5F5ADC54">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78C26235">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16CD202C">
            <w:pPr>
              <w:tabs>
                <w:tab w:val="left" w:pos="6300"/>
              </w:tabs>
              <w:snapToGrid w:val="0"/>
              <w:spacing w:line="500" w:lineRule="exact"/>
              <w:jc w:val="center"/>
              <w:outlineLvl w:val="0"/>
              <w:rPr>
                <w:rFonts w:hint="eastAsia" w:ascii="宋体" w:hAnsi="宋体" w:eastAsia="宋体" w:cs="宋体"/>
                <w:color w:val="auto"/>
                <w:sz w:val="21"/>
                <w:szCs w:val="21"/>
              </w:rPr>
            </w:pPr>
          </w:p>
        </w:tc>
      </w:tr>
      <w:tr w14:paraId="4026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44A21CD">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07E47D32">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65571F93">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7A76833D">
            <w:pPr>
              <w:tabs>
                <w:tab w:val="left" w:pos="6300"/>
              </w:tabs>
              <w:snapToGrid w:val="0"/>
              <w:spacing w:line="500" w:lineRule="exact"/>
              <w:jc w:val="center"/>
              <w:outlineLvl w:val="0"/>
              <w:rPr>
                <w:rFonts w:hint="eastAsia" w:ascii="宋体" w:hAnsi="宋体" w:eastAsia="宋体" w:cs="宋体"/>
                <w:color w:val="auto"/>
                <w:sz w:val="21"/>
                <w:szCs w:val="21"/>
              </w:rPr>
            </w:pPr>
          </w:p>
        </w:tc>
      </w:tr>
      <w:tr w14:paraId="0CE9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CEDE77F">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4F4C5029">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5761D6B0">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32F0A34A">
            <w:pPr>
              <w:tabs>
                <w:tab w:val="left" w:pos="6300"/>
              </w:tabs>
              <w:snapToGrid w:val="0"/>
              <w:spacing w:line="500" w:lineRule="exact"/>
              <w:jc w:val="center"/>
              <w:outlineLvl w:val="0"/>
              <w:rPr>
                <w:rFonts w:hint="eastAsia" w:ascii="宋体" w:hAnsi="宋体" w:eastAsia="宋体" w:cs="宋体"/>
                <w:color w:val="auto"/>
                <w:sz w:val="21"/>
                <w:szCs w:val="21"/>
              </w:rPr>
            </w:pPr>
          </w:p>
        </w:tc>
      </w:tr>
      <w:tr w14:paraId="5F1E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94C4BC8">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10CBA8E8">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7F3EAACC">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4E3E36A9">
            <w:pPr>
              <w:tabs>
                <w:tab w:val="left" w:pos="6300"/>
              </w:tabs>
              <w:snapToGrid w:val="0"/>
              <w:spacing w:line="500" w:lineRule="exact"/>
              <w:jc w:val="center"/>
              <w:outlineLvl w:val="0"/>
              <w:rPr>
                <w:rFonts w:hint="eastAsia" w:ascii="宋体" w:hAnsi="宋体" w:eastAsia="宋体" w:cs="宋体"/>
                <w:color w:val="auto"/>
                <w:sz w:val="21"/>
                <w:szCs w:val="21"/>
              </w:rPr>
            </w:pPr>
          </w:p>
        </w:tc>
      </w:tr>
      <w:tr w14:paraId="65FF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6321570">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3B4F90E0">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79321848">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2103603A">
            <w:pPr>
              <w:tabs>
                <w:tab w:val="left" w:pos="6300"/>
              </w:tabs>
              <w:snapToGrid w:val="0"/>
              <w:spacing w:line="500" w:lineRule="exact"/>
              <w:jc w:val="center"/>
              <w:outlineLvl w:val="0"/>
              <w:rPr>
                <w:rFonts w:hint="eastAsia" w:ascii="宋体" w:hAnsi="宋体" w:eastAsia="宋体" w:cs="宋体"/>
                <w:color w:val="auto"/>
                <w:sz w:val="21"/>
                <w:szCs w:val="21"/>
              </w:rPr>
            </w:pPr>
          </w:p>
        </w:tc>
      </w:tr>
      <w:tr w14:paraId="7689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A56DF2F">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2F40740A">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34C5C221">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1AD6939E">
            <w:pPr>
              <w:tabs>
                <w:tab w:val="left" w:pos="6300"/>
              </w:tabs>
              <w:snapToGrid w:val="0"/>
              <w:spacing w:line="500" w:lineRule="exact"/>
              <w:jc w:val="center"/>
              <w:outlineLvl w:val="0"/>
              <w:rPr>
                <w:rFonts w:hint="eastAsia" w:ascii="宋体" w:hAnsi="宋体" w:eastAsia="宋体" w:cs="宋体"/>
                <w:color w:val="auto"/>
                <w:sz w:val="21"/>
                <w:szCs w:val="21"/>
              </w:rPr>
            </w:pPr>
          </w:p>
        </w:tc>
      </w:tr>
      <w:tr w14:paraId="4A30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777DB7E">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2C54918F">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67343944">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4B6A67BA">
            <w:pPr>
              <w:tabs>
                <w:tab w:val="left" w:pos="6300"/>
              </w:tabs>
              <w:snapToGrid w:val="0"/>
              <w:spacing w:line="500" w:lineRule="exact"/>
              <w:jc w:val="center"/>
              <w:outlineLvl w:val="0"/>
              <w:rPr>
                <w:rFonts w:hint="eastAsia" w:ascii="宋体" w:hAnsi="宋体" w:eastAsia="宋体" w:cs="宋体"/>
                <w:color w:val="auto"/>
                <w:sz w:val="21"/>
                <w:szCs w:val="21"/>
              </w:rPr>
            </w:pPr>
          </w:p>
        </w:tc>
      </w:tr>
      <w:tr w14:paraId="1EEA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BADEBF0">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40C351F1">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2D76F1CF">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4FA70E9F">
            <w:pPr>
              <w:tabs>
                <w:tab w:val="left" w:pos="6300"/>
              </w:tabs>
              <w:snapToGrid w:val="0"/>
              <w:spacing w:line="500" w:lineRule="exact"/>
              <w:jc w:val="center"/>
              <w:outlineLvl w:val="0"/>
              <w:rPr>
                <w:rFonts w:hint="eastAsia" w:ascii="宋体" w:hAnsi="宋体" w:eastAsia="宋体" w:cs="宋体"/>
                <w:color w:val="auto"/>
                <w:sz w:val="21"/>
                <w:szCs w:val="21"/>
              </w:rPr>
            </w:pPr>
          </w:p>
        </w:tc>
      </w:tr>
      <w:tr w14:paraId="5B7B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C820435">
            <w:pPr>
              <w:tabs>
                <w:tab w:val="left" w:pos="6300"/>
              </w:tabs>
              <w:snapToGrid w:val="0"/>
              <w:spacing w:line="500" w:lineRule="exact"/>
              <w:jc w:val="center"/>
              <w:outlineLvl w:val="0"/>
              <w:rPr>
                <w:rFonts w:hint="eastAsia" w:ascii="宋体" w:hAnsi="宋体" w:eastAsia="宋体" w:cs="宋体"/>
                <w:color w:val="auto"/>
                <w:sz w:val="21"/>
                <w:szCs w:val="21"/>
              </w:rPr>
            </w:pPr>
          </w:p>
        </w:tc>
        <w:tc>
          <w:tcPr>
            <w:tcW w:w="2967" w:type="dxa"/>
            <w:vAlign w:val="center"/>
          </w:tcPr>
          <w:p w14:paraId="2DCF1B2C">
            <w:pPr>
              <w:tabs>
                <w:tab w:val="left" w:pos="6300"/>
              </w:tabs>
              <w:snapToGrid w:val="0"/>
              <w:spacing w:line="500" w:lineRule="exact"/>
              <w:jc w:val="center"/>
              <w:outlineLvl w:val="0"/>
              <w:rPr>
                <w:rFonts w:hint="eastAsia" w:ascii="宋体" w:hAnsi="宋体" w:eastAsia="宋体" w:cs="宋体"/>
                <w:color w:val="auto"/>
                <w:sz w:val="21"/>
                <w:szCs w:val="21"/>
              </w:rPr>
            </w:pPr>
          </w:p>
        </w:tc>
        <w:tc>
          <w:tcPr>
            <w:tcW w:w="3081" w:type="dxa"/>
            <w:vAlign w:val="center"/>
          </w:tcPr>
          <w:p w14:paraId="4C1135A0">
            <w:pPr>
              <w:tabs>
                <w:tab w:val="left" w:pos="6300"/>
              </w:tabs>
              <w:snapToGrid w:val="0"/>
              <w:spacing w:line="500" w:lineRule="exact"/>
              <w:jc w:val="center"/>
              <w:outlineLvl w:val="0"/>
              <w:rPr>
                <w:rFonts w:hint="eastAsia" w:ascii="宋体" w:hAnsi="宋体" w:eastAsia="宋体" w:cs="宋体"/>
                <w:color w:val="auto"/>
                <w:sz w:val="21"/>
                <w:szCs w:val="21"/>
              </w:rPr>
            </w:pPr>
          </w:p>
        </w:tc>
        <w:tc>
          <w:tcPr>
            <w:tcW w:w="2309" w:type="dxa"/>
            <w:vAlign w:val="center"/>
          </w:tcPr>
          <w:p w14:paraId="14AF2CA3">
            <w:pPr>
              <w:tabs>
                <w:tab w:val="left" w:pos="6300"/>
              </w:tabs>
              <w:snapToGrid w:val="0"/>
              <w:spacing w:line="500" w:lineRule="exact"/>
              <w:jc w:val="center"/>
              <w:outlineLvl w:val="0"/>
              <w:rPr>
                <w:rFonts w:hint="eastAsia" w:ascii="宋体" w:hAnsi="宋体" w:eastAsia="宋体" w:cs="宋体"/>
                <w:color w:val="auto"/>
                <w:sz w:val="21"/>
                <w:szCs w:val="21"/>
              </w:rPr>
            </w:pPr>
          </w:p>
        </w:tc>
      </w:tr>
    </w:tbl>
    <w:p w14:paraId="26479AA6">
      <w:pPr>
        <w:spacing w:line="500" w:lineRule="exact"/>
        <w:ind w:firstLine="600" w:firstLineChars="25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竞标人</w:t>
      </w:r>
      <w:r>
        <w:rPr>
          <w:rFonts w:hint="eastAsia" w:ascii="宋体" w:hAnsi="宋体" w:eastAsia="宋体" w:cs="宋体"/>
          <w:color w:val="auto"/>
          <w:sz w:val="24"/>
          <w:szCs w:val="28"/>
        </w:rPr>
        <w:t xml:space="preserve">：                            </w:t>
      </w:r>
      <w:r>
        <w:rPr>
          <w:rFonts w:hint="eastAsia" w:ascii="宋体" w:hAnsi="宋体" w:eastAsia="宋体" w:cs="宋体"/>
          <w:color w:val="auto"/>
          <w:sz w:val="24"/>
          <w:szCs w:val="24"/>
        </w:rPr>
        <w:t>法定代表人（或其授权代表）或自然人：</w:t>
      </w:r>
    </w:p>
    <w:p w14:paraId="32AE2D2C">
      <w:pPr>
        <w:spacing w:line="500" w:lineRule="exact"/>
        <w:rPr>
          <w:rFonts w:hint="eastAsia" w:ascii="宋体" w:hAnsi="宋体" w:eastAsia="宋体" w:cs="宋体"/>
          <w:color w:val="auto"/>
          <w:sz w:val="24"/>
          <w:szCs w:val="28"/>
        </w:rPr>
      </w:pPr>
    </w:p>
    <w:p w14:paraId="40C1EAE0">
      <w:pPr>
        <w:spacing w:line="500" w:lineRule="exact"/>
        <w:ind w:firstLine="720" w:firstLineChars="300"/>
        <w:rPr>
          <w:rFonts w:hint="eastAsia" w:ascii="宋体" w:hAnsi="宋体" w:eastAsia="宋体" w:cs="宋体"/>
          <w:color w:val="auto"/>
          <w:sz w:val="24"/>
          <w:szCs w:val="28"/>
        </w:rPr>
      </w:pPr>
      <w:r>
        <w:rPr>
          <w:rFonts w:hint="eastAsia" w:ascii="宋体" w:hAnsi="宋体" w:eastAsia="宋体" w:cs="宋体"/>
          <w:color w:val="auto"/>
          <w:sz w:val="24"/>
          <w:szCs w:val="28"/>
        </w:rPr>
        <w:t>（</w:t>
      </w:r>
      <w:r>
        <w:rPr>
          <w:rFonts w:hint="eastAsia" w:ascii="宋体" w:hAnsi="宋体" w:eastAsia="宋体" w:cs="宋体"/>
          <w:color w:val="auto"/>
          <w:sz w:val="24"/>
          <w:szCs w:val="28"/>
          <w:lang w:eastAsia="zh-CN"/>
        </w:rPr>
        <w:t>竞标人</w:t>
      </w:r>
      <w:r>
        <w:rPr>
          <w:rFonts w:hint="eastAsia" w:ascii="宋体" w:hAnsi="宋体" w:eastAsia="宋体" w:cs="宋体"/>
          <w:color w:val="auto"/>
          <w:sz w:val="24"/>
          <w:szCs w:val="28"/>
        </w:rPr>
        <w:t>公章）                               （签署或盖章）</w:t>
      </w:r>
    </w:p>
    <w:p w14:paraId="645D17C3">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szCs w:val="28"/>
        </w:rPr>
        <w:t xml:space="preserve">                                              年     月     日</w:t>
      </w:r>
    </w:p>
    <w:p w14:paraId="4D9F199F">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注：</w:t>
      </w:r>
    </w:p>
    <w:p w14:paraId="566FDD6C">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1</w:t>
      </w:r>
      <w:r>
        <w:rPr>
          <w:rFonts w:hint="eastAsia" w:ascii="宋体" w:hAnsi="宋体" w:eastAsia="宋体" w:cs="宋体"/>
          <w:color w:val="auto"/>
          <w:sz w:val="24"/>
        </w:rPr>
        <w:t>.</w:t>
      </w:r>
      <w:r>
        <w:rPr>
          <w:rFonts w:hint="eastAsia" w:ascii="宋体" w:hAnsi="宋体" w:eastAsia="宋体" w:cs="宋体"/>
          <w:color w:val="auto"/>
          <w:sz w:val="24"/>
          <w:szCs w:val="24"/>
        </w:rPr>
        <w:t>本表即为对本项目“第二篇  项目</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需求”中所列条款进行比较和响应；</w:t>
      </w:r>
    </w:p>
    <w:p w14:paraId="063C583B">
      <w:pPr>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2.本表可扩展。</w:t>
      </w:r>
    </w:p>
    <w:p w14:paraId="16EFDFDC">
      <w:pPr>
        <w:tabs>
          <w:tab w:val="left" w:pos="6300"/>
        </w:tabs>
        <w:snapToGrid w:val="0"/>
        <w:spacing w:line="400" w:lineRule="exact"/>
        <w:ind w:firstLine="480" w:firstLineChars="200"/>
        <w:rPr>
          <w:rFonts w:hint="eastAsia" w:ascii="宋体" w:hAnsi="宋体" w:eastAsia="宋体" w:cs="宋体"/>
          <w:color w:val="auto"/>
          <w:sz w:val="24"/>
          <w:szCs w:val="24"/>
        </w:rPr>
      </w:pPr>
    </w:p>
    <w:p w14:paraId="11738C33">
      <w:pPr>
        <w:tabs>
          <w:tab w:val="left" w:pos="6300"/>
        </w:tabs>
        <w:kinsoku/>
        <w:wordWrap/>
        <w:overflowPunct/>
        <w:topLinePunct w:val="0"/>
        <w:bidi w:val="0"/>
        <w:adjustRightInd w:val="0"/>
        <w:snapToGrid w:val="0"/>
        <w:spacing w:line="520" w:lineRule="exact"/>
        <w:ind w:firstLine="480" w:firstLineChars="200"/>
        <w:rPr>
          <w:rFonts w:hint="eastAsia" w:ascii="宋体" w:hAnsi="宋体" w:eastAsia="宋体" w:cs="宋体"/>
          <w:color w:val="auto"/>
          <w:sz w:val="24"/>
          <w:szCs w:val="24"/>
          <w:highlight w:val="none"/>
        </w:rPr>
      </w:pPr>
    </w:p>
    <w:p w14:paraId="6A9EBC79">
      <w:pPr>
        <w:widowControl w:val="0"/>
        <w:kinsoku/>
        <w:wordWrap/>
        <w:overflowPunct/>
        <w:topLinePunct w:val="0"/>
        <w:bidi w:val="0"/>
        <w:spacing w:line="520" w:lineRule="exact"/>
        <w:jc w:val="both"/>
        <w:rPr>
          <w:rFonts w:hint="eastAsia" w:ascii="宋体" w:hAnsi="宋体" w:eastAsia="宋体" w:cs="宋体"/>
          <w:color w:val="auto"/>
          <w:kern w:val="2"/>
          <w:sz w:val="24"/>
          <w:szCs w:val="24"/>
          <w:highlight w:val="none"/>
          <w:lang w:val="en-US" w:eastAsia="zh-CN" w:bidi="ar-SA"/>
        </w:rPr>
      </w:pPr>
    </w:p>
    <w:p w14:paraId="64CB95E7">
      <w:pPr>
        <w:kinsoku/>
        <w:wordWrap/>
        <w:overflowPunct/>
        <w:topLinePunct w:val="0"/>
        <w:bidi w:val="0"/>
        <w:spacing w:line="520" w:lineRule="exact"/>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br w:type="page"/>
      </w:r>
    </w:p>
    <w:p w14:paraId="5D84E49F">
      <w:pPr>
        <w:kinsoku/>
        <w:wordWrap/>
        <w:overflowPunct/>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rPr>
        <w:t>（格式自拟）</w:t>
      </w:r>
    </w:p>
    <w:p w14:paraId="6CF7403A">
      <w:pPr>
        <w:rPr>
          <w:rFonts w:hint="eastAsia" w:ascii="宋体" w:hAnsi="宋体" w:eastAsia="宋体" w:cs="宋体"/>
          <w:b/>
          <w:color w:val="auto"/>
          <w:kern w:val="2"/>
          <w:sz w:val="24"/>
          <w:highlight w:val="none"/>
          <w:lang w:val="en-US" w:eastAsia="zh-CN" w:bidi="ar-SA"/>
        </w:rPr>
      </w:pPr>
      <w:bookmarkStart w:id="278" w:name="_Toc253"/>
      <w:bookmarkStart w:id="279" w:name="_Toc16652"/>
      <w:bookmarkStart w:id="280" w:name="_Toc10532"/>
      <w:r>
        <w:rPr>
          <w:rFonts w:hint="eastAsia" w:ascii="宋体" w:hAnsi="宋体" w:eastAsia="宋体" w:cs="宋体"/>
          <w:b/>
          <w:color w:val="auto"/>
          <w:kern w:val="2"/>
          <w:sz w:val="24"/>
          <w:highlight w:val="none"/>
          <w:lang w:val="en-US" w:eastAsia="zh-CN" w:bidi="ar-SA"/>
        </w:rPr>
        <w:br w:type="page"/>
      </w:r>
    </w:p>
    <w:p w14:paraId="3D8F51D5">
      <w:pPr>
        <w:keepNext/>
        <w:keepLines/>
        <w:widowControl w:val="0"/>
        <w:numPr>
          <w:ilvl w:val="255"/>
          <w:numId w:val="0"/>
        </w:numPr>
        <w:kinsoku/>
        <w:wordWrap/>
        <w:overflowPunct/>
        <w:topLinePunct w:val="0"/>
        <w:bidi w:val="0"/>
        <w:adjustRightInd w:val="0"/>
        <w:snapToGrid w:val="0"/>
        <w:spacing w:before="0" w:after="0" w:line="520" w:lineRule="exact"/>
        <w:jc w:val="both"/>
        <w:outlineLvl w:val="1"/>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三、商务部分</w:t>
      </w:r>
      <w:bookmarkEnd w:id="278"/>
      <w:bookmarkEnd w:id="279"/>
      <w:bookmarkEnd w:id="280"/>
    </w:p>
    <w:p w14:paraId="54C265B7">
      <w:pPr>
        <w:snapToGrid w:val="0"/>
        <w:spacing w:line="400" w:lineRule="exact"/>
        <w:ind w:firstLine="480" w:firstLineChars="200"/>
        <w:rPr>
          <w:rFonts w:hint="eastAsia" w:ascii="宋体" w:hAnsi="宋体" w:eastAsia="宋体" w:cs="宋体"/>
          <w:color w:val="auto"/>
          <w:sz w:val="24"/>
          <w:szCs w:val="24"/>
        </w:rPr>
      </w:pPr>
      <w:bookmarkStart w:id="281" w:name="_Toc283382459"/>
      <w:r>
        <w:rPr>
          <w:rFonts w:hint="eastAsia" w:ascii="宋体" w:hAnsi="宋体" w:eastAsia="宋体" w:cs="宋体"/>
          <w:color w:val="auto"/>
          <w:sz w:val="24"/>
          <w:szCs w:val="24"/>
        </w:rPr>
        <w:t>（一）商务响应偏离表</w:t>
      </w:r>
    </w:p>
    <w:p w14:paraId="44EB8A5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1D12C07">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rPr>
        <w:t xml:space="preserve">项目名称： </w:t>
      </w:r>
    </w:p>
    <w:tbl>
      <w:tblPr>
        <w:tblStyle w:val="1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475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F409CBF">
            <w:pPr>
              <w:snapToGrid w:val="0"/>
              <w:spacing w:line="360" w:lineRule="auto"/>
              <w:ind w:firstLine="465"/>
              <w:jc w:val="both"/>
              <w:rPr>
                <w:rFonts w:hint="eastAsia" w:ascii="宋体" w:hAnsi="宋体" w:eastAsia="宋体" w:cs="宋体"/>
                <w:color w:val="auto"/>
                <w:sz w:val="22"/>
                <w:szCs w:val="28"/>
              </w:rPr>
            </w:pPr>
            <w:r>
              <w:rPr>
                <w:rFonts w:hint="eastAsia" w:ascii="宋体" w:hAnsi="宋体" w:eastAsia="宋体" w:cs="宋体"/>
                <w:color w:val="auto"/>
                <w:sz w:val="22"/>
                <w:szCs w:val="28"/>
              </w:rPr>
              <w:t>序号</w:t>
            </w:r>
          </w:p>
        </w:tc>
        <w:tc>
          <w:tcPr>
            <w:tcW w:w="3179" w:type="dxa"/>
            <w:vAlign w:val="center"/>
          </w:tcPr>
          <w:p w14:paraId="45AEFDC3">
            <w:pPr>
              <w:tabs>
                <w:tab w:val="left" w:pos="6300"/>
              </w:tabs>
              <w:snapToGrid w:val="0"/>
              <w:spacing w:line="360" w:lineRule="auto"/>
              <w:jc w:val="center"/>
              <w:outlineLvl w:val="0"/>
              <w:rPr>
                <w:rFonts w:hint="eastAsia" w:ascii="宋体" w:hAnsi="宋体" w:eastAsia="宋体" w:cs="宋体"/>
                <w:color w:val="auto"/>
                <w:sz w:val="22"/>
                <w:szCs w:val="28"/>
              </w:rPr>
            </w:pPr>
            <w:bookmarkStart w:id="282" w:name="_Toc5023"/>
            <w:r>
              <w:rPr>
                <w:rFonts w:hint="eastAsia" w:ascii="宋体" w:hAnsi="宋体" w:eastAsia="宋体" w:cs="宋体"/>
                <w:color w:val="auto"/>
                <w:sz w:val="22"/>
                <w:szCs w:val="28"/>
              </w:rPr>
              <w:t>项目商务需求</w:t>
            </w:r>
            <w:bookmarkEnd w:id="282"/>
          </w:p>
        </w:tc>
        <w:tc>
          <w:tcPr>
            <w:tcW w:w="2434" w:type="dxa"/>
            <w:vAlign w:val="center"/>
          </w:tcPr>
          <w:p w14:paraId="55812A8C">
            <w:pPr>
              <w:tabs>
                <w:tab w:val="left" w:pos="6300"/>
              </w:tabs>
              <w:snapToGrid w:val="0"/>
              <w:spacing w:line="360" w:lineRule="auto"/>
              <w:jc w:val="center"/>
              <w:outlineLvl w:val="0"/>
              <w:rPr>
                <w:rFonts w:hint="eastAsia" w:ascii="宋体" w:hAnsi="宋体" w:eastAsia="宋体" w:cs="宋体"/>
                <w:color w:val="auto"/>
                <w:sz w:val="22"/>
                <w:szCs w:val="28"/>
              </w:rPr>
            </w:pPr>
            <w:bookmarkStart w:id="283" w:name="_Toc17107"/>
            <w:r>
              <w:rPr>
                <w:rFonts w:hint="eastAsia" w:ascii="宋体" w:hAnsi="宋体" w:eastAsia="宋体" w:cs="宋体"/>
                <w:color w:val="auto"/>
                <w:sz w:val="22"/>
                <w:szCs w:val="28"/>
              </w:rPr>
              <w:t>响应情况</w:t>
            </w:r>
            <w:bookmarkEnd w:id="283"/>
          </w:p>
        </w:tc>
        <w:tc>
          <w:tcPr>
            <w:tcW w:w="2355" w:type="dxa"/>
            <w:vAlign w:val="center"/>
          </w:tcPr>
          <w:p w14:paraId="402624DE">
            <w:pPr>
              <w:tabs>
                <w:tab w:val="left" w:pos="6300"/>
              </w:tabs>
              <w:snapToGrid w:val="0"/>
              <w:spacing w:line="360" w:lineRule="auto"/>
              <w:jc w:val="center"/>
              <w:outlineLvl w:val="0"/>
              <w:rPr>
                <w:rFonts w:hint="eastAsia" w:ascii="宋体" w:hAnsi="宋体" w:eastAsia="宋体" w:cs="宋体"/>
                <w:color w:val="auto"/>
                <w:sz w:val="22"/>
                <w:szCs w:val="28"/>
              </w:rPr>
            </w:pPr>
            <w:bookmarkStart w:id="284" w:name="_Toc20857"/>
            <w:r>
              <w:rPr>
                <w:rFonts w:hint="eastAsia" w:ascii="宋体" w:hAnsi="宋体" w:eastAsia="宋体" w:cs="宋体"/>
                <w:color w:val="auto"/>
                <w:sz w:val="22"/>
                <w:szCs w:val="28"/>
                <w:lang w:eastAsia="zh-CN"/>
              </w:rPr>
              <w:t>差异</w:t>
            </w:r>
            <w:r>
              <w:rPr>
                <w:rFonts w:hint="eastAsia" w:ascii="宋体" w:hAnsi="宋体" w:eastAsia="宋体" w:cs="宋体"/>
                <w:color w:val="auto"/>
                <w:sz w:val="22"/>
                <w:szCs w:val="28"/>
              </w:rPr>
              <w:t>说明</w:t>
            </w:r>
            <w:bookmarkEnd w:id="284"/>
          </w:p>
        </w:tc>
      </w:tr>
      <w:tr w14:paraId="6EFC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F32E91">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548106E2">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706602B2">
            <w:pPr>
              <w:tabs>
                <w:tab w:val="left" w:pos="6300"/>
              </w:tabs>
              <w:snapToGrid w:val="0"/>
              <w:outlineLvl w:val="0"/>
              <w:rPr>
                <w:rFonts w:hint="eastAsia" w:ascii="宋体" w:hAnsi="宋体" w:eastAsia="宋体" w:cs="宋体"/>
                <w:color w:val="auto"/>
                <w:sz w:val="22"/>
                <w:szCs w:val="28"/>
              </w:rPr>
            </w:pPr>
          </w:p>
        </w:tc>
        <w:tc>
          <w:tcPr>
            <w:tcW w:w="2355" w:type="dxa"/>
            <w:vAlign w:val="center"/>
          </w:tcPr>
          <w:p w14:paraId="00B7F4CB">
            <w:pPr>
              <w:tabs>
                <w:tab w:val="left" w:pos="6300"/>
              </w:tabs>
              <w:snapToGrid w:val="0"/>
              <w:spacing w:line="360" w:lineRule="auto"/>
              <w:jc w:val="center"/>
              <w:outlineLvl w:val="0"/>
              <w:rPr>
                <w:rFonts w:hint="eastAsia" w:ascii="宋体" w:hAnsi="宋体" w:eastAsia="宋体" w:cs="宋体"/>
                <w:color w:val="auto"/>
                <w:sz w:val="22"/>
                <w:szCs w:val="28"/>
              </w:rPr>
            </w:pPr>
          </w:p>
        </w:tc>
      </w:tr>
      <w:tr w14:paraId="3E9F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28707D7">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75A883CB">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63E2DCF6">
            <w:pPr>
              <w:tabs>
                <w:tab w:val="left" w:pos="6300"/>
              </w:tabs>
              <w:snapToGrid w:val="0"/>
              <w:spacing w:line="360" w:lineRule="auto"/>
              <w:jc w:val="center"/>
              <w:outlineLvl w:val="0"/>
              <w:rPr>
                <w:rFonts w:hint="eastAsia" w:ascii="宋体" w:hAnsi="宋体" w:eastAsia="宋体" w:cs="宋体"/>
                <w:color w:val="auto"/>
                <w:sz w:val="22"/>
                <w:szCs w:val="28"/>
              </w:rPr>
            </w:pPr>
          </w:p>
        </w:tc>
        <w:tc>
          <w:tcPr>
            <w:tcW w:w="2355" w:type="dxa"/>
            <w:vAlign w:val="center"/>
          </w:tcPr>
          <w:p w14:paraId="30A9A903">
            <w:pPr>
              <w:tabs>
                <w:tab w:val="left" w:pos="6300"/>
              </w:tabs>
              <w:snapToGrid w:val="0"/>
              <w:spacing w:line="360" w:lineRule="auto"/>
              <w:jc w:val="center"/>
              <w:outlineLvl w:val="0"/>
              <w:rPr>
                <w:rFonts w:hint="eastAsia" w:ascii="宋体" w:hAnsi="宋体" w:eastAsia="宋体" w:cs="宋体"/>
                <w:color w:val="auto"/>
                <w:sz w:val="22"/>
                <w:szCs w:val="28"/>
              </w:rPr>
            </w:pPr>
          </w:p>
        </w:tc>
      </w:tr>
      <w:tr w14:paraId="39C5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C8794C">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3515A81A">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5A37AE21">
            <w:pPr>
              <w:tabs>
                <w:tab w:val="left" w:pos="6300"/>
              </w:tabs>
              <w:snapToGrid w:val="0"/>
              <w:spacing w:line="360" w:lineRule="auto"/>
              <w:jc w:val="center"/>
              <w:outlineLvl w:val="0"/>
              <w:rPr>
                <w:rFonts w:hint="eastAsia" w:ascii="宋体" w:hAnsi="宋体" w:eastAsia="宋体" w:cs="宋体"/>
                <w:color w:val="auto"/>
                <w:sz w:val="22"/>
                <w:szCs w:val="28"/>
              </w:rPr>
            </w:pPr>
          </w:p>
        </w:tc>
        <w:tc>
          <w:tcPr>
            <w:tcW w:w="2355" w:type="dxa"/>
            <w:vAlign w:val="center"/>
          </w:tcPr>
          <w:p w14:paraId="7A1AC78E">
            <w:pPr>
              <w:tabs>
                <w:tab w:val="left" w:pos="6300"/>
              </w:tabs>
              <w:snapToGrid w:val="0"/>
              <w:spacing w:line="360" w:lineRule="auto"/>
              <w:jc w:val="center"/>
              <w:outlineLvl w:val="0"/>
              <w:rPr>
                <w:rFonts w:hint="eastAsia" w:ascii="宋体" w:hAnsi="宋体" w:eastAsia="宋体" w:cs="宋体"/>
                <w:color w:val="auto"/>
                <w:sz w:val="22"/>
                <w:szCs w:val="28"/>
              </w:rPr>
            </w:pPr>
          </w:p>
        </w:tc>
      </w:tr>
      <w:tr w14:paraId="4303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B3B4A11">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7A428FA7">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3D014341">
            <w:pPr>
              <w:tabs>
                <w:tab w:val="left" w:pos="6300"/>
              </w:tabs>
              <w:snapToGrid w:val="0"/>
              <w:spacing w:line="360" w:lineRule="auto"/>
              <w:jc w:val="center"/>
              <w:outlineLvl w:val="0"/>
              <w:rPr>
                <w:rFonts w:hint="eastAsia" w:ascii="宋体" w:hAnsi="宋体" w:eastAsia="宋体" w:cs="宋体"/>
                <w:color w:val="auto"/>
                <w:sz w:val="22"/>
                <w:szCs w:val="28"/>
              </w:rPr>
            </w:pPr>
          </w:p>
        </w:tc>
        <w:tc>
          <w:tcPr>
            <w:tcW w:w="2355" w:type="dxa"/>
            <w:vAlign w:val="center"/>
          </w:tcPr>
          <w:p w14:paraId="1579A23F">
            <w:pPr>
              <w:tabs>
                <w:tab w:val="left" w:pos="6300"/>
              </w:tabs>
              <w:snapToGrid w:val="0"/>
              <w:spacing w:line="360" w:lineRule="auto"/>
              <w:jc w:val="center"/>
              <w:outlineLvl w:val="0"/>
              <w:rPr>
                <w:rFonts w:hint="eastAsia" w:ascii="宋体" w:hAnsi="宋体" w:eastAsia="宋体" w:cs="宋体"/>
                <w:color w:val="auto"/>
                <w:sz w:val="22"/>
                <w:szCs w:val="28"/>
              </w:rPr>
            </w:pPr>
          </w:p>
        </w:tc>
      </w:tr>
      <w:tr w14:paraId="2C83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B2DF66">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6157D268">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7A5A3A58">
            <w:pPr>
              <w:tabs>
                <w:tab w:val="left" w:pos="6300"/>
              </w:tabs>
              <w:snapToGrid w:val="0"/>
              <w:spacing w:line="360" w:lineRule="auto"/>
              <w:jc w:val="center"/>
              <w:outlineLvl w:val="0"/>
              <w:rPr>
                <w:rFonts w:hint="eastAsia" w:ascii="宋体" w:hAnsi="宋体" w:eastAsia="宋体" w:cs="宋体"/>
                <w:color w:val="auto"/>
                <w:sz w:val="22"/>
                <w:szCs w:val="28"/>
              </w:rPr>
            </w:pPr>
          </w:p>
        </w:tc>
        <w:tc>
          <w:tcPr>
            <w:tcW w:w="2355" w:type="dxa"/>
            <w:vAlign w:val="center"/>
          </w:tcPr>
          <w:p w14:paraId="542252D6">
            <w:pPr>
              <w:tabs>
                <w:tab w:val="left" w:pos="6300"/>
              </w:tabs>
              <w:snapToGrid w:val="0"/>
              <w:spacing w:line="360" w:lineRule="auto"/>
              <w:jc w:val="center"/>
              <w:outlineLvl w:val="0"/>
              <w:rPr>
                <w:rFonts w:hint="eastAsia" w:ascii="宋体" w:hAnsi="宋体" w:eastAsia="宋体" w:cs="宋体"/>
                <w:color w:val="auto"/>
                <w:sz w:val="22"/>
                <w:szCs w:val="28"/>
              </w:rPr>
            </w:pPr>
          </w:p>
        </w:tc>
      </w:tr>
      <w:tr w14:paraId="1E33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0541EAA">
            <w:pPr>
              <w:tabs>
                <w:tab w:val="left" w:pos="6300"/>
              </w:tabs>
              <w:snapToGrid w:val="0"/>
              <w:spacing w:line="360" w:lineRule="auto"/>
              <w:jc w:val="center"/>
              <w:outlineLvl w:val="0"/>
              <w:rPr>
                <w:rFonts w:hint="eastAsia" w:ascii="宋体" w:hAnsi="宋体" w:eastAsia="宋体" w:cs="宋体"/>
                <w:color w:val="auto"/>
                <w:sz w:val="22"/>
                <w:szCs w:val="28"/>
              </w:rPr>
            </w:pPr>
          </w:p>
        </w:tc>
        <w:tc>
          <w:tcPr>
            <w:tcW w:w="3179" w:type="dxa"/>
            <w:vAlign w:val="center"/>
          </w:tcPr>
          <w:p w14:paraId="3DA68E7D">
            <w:pPr>
              <w:tabs>
                <w:tab w:val="left" w:pos="6300"/>
              </w:tabs>
              <w:snapToGrid w:val="0"/>
              <w:spacing w:line="360" w:lineRule="auto"/>
              <w:jc w:val="center"/>
              <w:outlineLvl w:val="0"/>
              <w:rPr>
                <w:rFonts w:hint="eastAsia" w:ascii="宋体" w:hAnsi="宋体" w:eastAsia="宋体" w:cs="宋体"/>
                <w:color w:val="auto"/>
                <w:sz w:val="22"/>
                <w:szCs w:val="28"/>
              </w:rPr>
            </w:pPr>
          </w:p>
        </w:tc>
        <w:tc>
          <w:tcPr>
            <w:tcW w:w="2434" w:type="dxa"/>
            <w:vAlign w:val="center"/>
          </w:tcPr>
          <w:p w14:paraId="686D1389">
            <w:pPr>
              <w:tabs>
                <w:tab w:val="left" w:pos="6300"/>
              </w:tabs>
              <w:snapToGrid w:val="0"/>
              <w:spacing w:line="360" w:lineRule="auto"/>
              <w:jc w:val="center"/>
              <w:outlineLvl w:val="0"/>
              <w:rPr>
                <w:rFonts w:hint="eastAsia" w:ascii="宋体" w:hAnsi="宋体" w:eastAsia="宋体" w:cs="宋体"/>
                <w:color w:val="auto"/>
                <w:sz w:val="22"/>
                <w:szCs w:val="28"/>
              </w:rPr>
            </w:pPr>
          </w:p>
        </w:tc>
        <w:tc>
          <w:tcPr>
            <w:tcW w:w="2355" w:type="dxa"/>
            <w:vAlign w:val="center"/>
          </w:tcPr>
          <w:p w14:paraId="0D4E11E6">
            <w:pPr>
              <w:tabs>
                <w:tab w:val="left" w:pos="6300"/>
              </w:tabs>
              <w:snapToGrid w:val="0"/>
              <w:spacing w:line="360" w:lineRule="auto"/>
              <w:jc w:val="center"/>
              <w:outlineLvl w:val="0"/>
              <w:rPr>
                <w:rFonts w:hint="eastAsia" w:ascii="宋体" w:hAnsi="宋体" w:eastAsia="宋体" w:cs="宋体"/>
                <w:color w:val="auto"/>
                <w:sz w:val="22"/>
                <w:szCs w:val="28"/>
              </w:rPr>
            </w:pPr>
          </w:p>
        </w:tc>
      </w:tr>
    </w:tbl>
    <w:p w14:paraId="67393005">
      <w:pPr>
        <w:snapToGrid w:val="0"/>
        <w:spacing w:line="360" w:lineRule="auto"/>
        <w:ind w:firstLine="465"/>
        <w:rPr>
          <w:rFonts w:hint="eastAsia" w:ascii="宋体" w:hAnsi="宋体" w:eastAsia="宋体" w:cs="宋体"/>
          <w:color w:val="auto"/>
          <w:sz w:val="24"/>
          <w:szCs w:val="24"/>
        </w:rPr>
      </w:pPr>
    </w:p>
    <w:p w14:paraId="06A1FFAF">
      <w:pPr>
        <w:spacing w:line="500" w:lineRule="exact"/>
        <w:ind w:firstLine="600" w:firstLineChars="25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竞标人</w:t>
      </w:r>
      <w:r>
        <w:rPr>
          <w:rFonts w:hint="eastAsia" w:ascii="宋体" w:hAnsi="宋体" w:eastAsia="宋体" w:cs="宋体"/>
          <w:color w:val="auto"/>
          <w:sz w:val="24"/>
          <w:szCs w:val="28"/>
        </w:rPr>
        <w:t xml:space="preserve">：                          </w:t>
      </w:r>
      <w:r>
        <w:rPr>
          <w:rFonts w:hint="eastAsia" w:ascii="宋体" w:hAnsi="宋体" w:eastAsia="宋体" w:cs="宋体"/>
          <w:color w:val="auto"/>
          <w:sz w:val="24"/>
          <w:szCs w:val="24"/>
        </w:rPr>
        <w:t>法定代表人（或其授权代表）或自然人：</w:t>
      </w:r>
    </w:p>
    <w:p w14:paraId="17ADDB9D">
      <w:pPr>
        <w:spacing w:line="500" w:lineRule="exact"/>
        <w:rPr>
          <w:rFonts w:hint="eastAsia" w:ascii="宋体" w:hAnsi="宋体" w:eastAsia="宋体" w:cs="宋体"/>
          <w:color w:val="auto"/>
          <w:sz w:val="24"/>
          <w:szCs w:val="28"/>
        </w:rPr>
      </w:pPr>
    </w:p>
    <w:p w14:paraId="745B8A2F">
      <w:pPr>
        <w:spacing w:line="500" w:lineRule="exact"/>
        <w:ind w:firstLine="360" w:firstLineChars="150"/>
        <w:rPr>
          <w:rFonts w:hint="eastAsia" w:ascii="宋体" w:hAnsi="宋体" w:eastAsia="宋体" w:cs="宋体"/>
          <w:color w:val="auto"/>
          <w:sz w:val="24"/>
          <w:szCs w:val="28"/>
        </w:rPr>
      </w:pPr>
      <w:r>
        <w:rPr>
          <w:rFonts w:hint="eastAsia" w:ascii="宋体" w:hAnsi="宋体" w:eastAsia="宋体" w:cs="宋体"/>
          <w:color w:val="auto"/>
          <w:sz w:val="24"/>
          <w:szCs w:val="28"/>
        </w:rPr>
        <w:t>（</w:t>
      </w:r>
      <w:r>
        <w:rPr>
          <w:rFonts w:hint="eastAsia" w:ascii="宋体" w:hAnsi="宋体" w:eastAsia="宋体" w:cs="宋体"/>
          <w:color w:val="auto"/>
          <w:sz w:val="24"/>
          <w:szCs w:val="28"/>
          <w:lang w:eastAsia="zh-CN"/>
        </w:rPr>
        <w:t>竞标人</w:t>
      </w:r>
      <w:r>
        <w:rPr>
          <w:rFonts w:hint="eastAsia" w:ascii="宋体" w:hAnsi="宋体" w:eastAsia="宋体" w:cs="宋体"/>
          <w:color w:val="auto"/>
          <w:sz w:val="24"/>
          <w:szCs w:val="28"/>
        </w:rPr>
        <w:t>公章）                                 （签署或盖章）</w:t>
      </w:r>
    </w:p>
    <w:p w14:paraId="6B82E2A3">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szCs w:val="28"/>
        </w:rPr>
        <w:t xml:space="preserve">                                            年     月     日</w:t>
      </w:r>
    </w:p>
    <w:p w14:paraId="175568BE">
      <w:pPr>
        <w:tabs>
          <w:tab w:val="left" w:pos="6300"/>
        </w:tabs>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注：</w:t>
      </w:r>
    </w:p>
    <w:p w14:paraId="5C516AEE">
      <w:pPr>
        <w:tabs>
          <w:tab w:val="left" w:pos="6300"/>
        </w:tabs>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1</w:t>
      </w:r>
      <w:r>
        <w:rPr>
          <w:rFonts w:hint="eastAsia" w:ascii="宋体" w:hAnsi="宋体" w:eastAsia="宋体" w:cs="宋体"/>
          <w:color w:val="auto"/>
          <w:sz w:val="24"/>
        </w:rPr>
        <w:t>.</w:t>
      </w:r>
      <w:r>
        <w:rPr>
          <w:rFonts w:hint="eastAsia" w:ascii="宋体" w:hAnsi="宋体" w:eastAsia="宋体" w:cs="宋体"/>
          <w:color w:val="auto"/>
          <w:sz w:val="24"/>
          <w:szCs w:val="24"/>
        </w:rPr>
        <w:t>本表即为对本项目“第三篇  项目商务需求”中所列条款进行比较和响应；</w:t>
      </w:r>
    </w:p>
    <w:p w14:paraId="0852A76D">
      <w:pPr>
        <w:kinsoku/>
        <w:wordWrap/>
        <w:overflowPunct/>
        <w:topLinePunct w:val="0"/>
        <w:bidi w:val="0"/>
        <w:snapToGrid w:val="0"/>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2.本表可扩展。</w:t>
      </w:r>
    </w:p>
    <w:p w14:paraId="02E64109">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53909690">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35ECD682">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047310D6">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4D1A3798">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0B3051E7">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615F5E54">
      <w:pPr>
        <w:kinsoku/>
        <w:wordWrap/>
        <w:overflowPunct/>
        <w:topLinePunct w:val="0"/>
        <w:bidi w:val="0"/>
        <w:snapToGrid w:val="0"/>
        <w:spacing w:line="520" w:lineRule="exact"/>
        <w:ind w:firstLine="480" w:firstLineChars="200"/>
        <w:rPr>
          <w:rFonts w:hint="eastAsia" w:ascii="宋体" w:hAnsi="宋体" w:eastAsia="宋体" w:cs="宋体"/>
          <w:color w:val="auto"/>
          <w:sz w:val="24"/>
        </w:rPr>
      </w:pPr>
    </w:p>
    <w:p w14:paraId="68A55E99">
      <w:pPr>
        <w:kinsoku/>
        <w:wordWrap/>
        <w:overflowPunct/>
        <w:topLinePunct w:val="0"/>
        <w:bidi w:val="0"/>
        <w:snapToGrid w:val="0"/>
        <w:spacing w:line="5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（二）其它商务评审资料或承诺（自附）</w:t>
      </w:r>
    </w:p>
    <w:p w14:paraId="2A63BFD3">
      <w:pPr>
        <w:kinsoku/>
        <w:wordWrap/>
        <w:overflowPunct/>
        <w:topLinePunct w:val="0"/>
        <w:bidi w:val="0"/>
        <w:snapToGrid w:val="0"/>
        <w:spacing w:line="520" w:lineRule="exact"/>
        <w:ind w:firstLine="480" w:firstLineChars="200"/>
        <w:rPr>
          <w:rFonts w:hint="eastAsia" w:ascii="宋体" w:hAnsi="宋体" w:eastAsia="宋体" w:cs="宋体"/>
          <w:color w:val="auto"/>
          <w:sz w:val="24"/>
          <w:szCs w:val="24"/>
          <w:highlight w:val="none"/>
        </w:rPr>
      </w:pPr>
    </w:p>
    <w:bookmarkEnd w:id="281"/>
    <w:p w14:paraId="3268E382">
      <w:pPr>
        <w:keepNext/>
        <w:keepLines/>
        <w:widowControl w:val="0"/>
        <w:kinsoku/>
        <w:wordWrap/>
        <w:overflowPunct/>
        <w:topLinePunct w:val="0"/>
        <w:bidi w:val="0"/>
        <w:adjustRightInd w:val="0"/>
        <w:snapToGrid w:val="0"/>
        <w:spacing w:before="0" w:after="0" w:line="520" w:lineRule="exact"/>
        <w:ind w:firstLine="482" w:firstLineChars="200"/>
        <w:jc w:val="both"/>
        <w:outlineLvl w:val="1"/>
        <w:rPr>
          <w:rFonts w:hint="eastAsia" w:ascii="宋体" w:hAnsi="宋体" w:eastAsia="宋体" w:cs="宋体"/>
          <w:b/>
          <w:color w:val="auto"/>
          <w:kern w:val="2"/>
          <w:sz w:val="24"/>
          <w:highlight w:val="none"/>
          <w:lang w:val="en-US" w:eastAsia="zh-CN" w:bidi="ar-SA"/>
        </w:rPr>
      </w:pPr>
      <w:bookmarkStart w:id="285" w:name="_Toc313888363"/>
      <w:bookmarkEnd w:id="285"/>
      <w:bookmarkStart w:id="286" w:name="_Toc313008359"/>
      <w:bookmarkEnd w:id="286"/>
      <w:bookmarkStart w:id="287" w:name="_Toc76462353"/>
      <w:bookmarkEnd w:id="287"/>
      <w:bookmarkStart w:id="288" w:name="_Toc342913422"/>
      <w:bookmarkEnd w:id="288"/>
      <w:bookmarkStart w:id="289" w:name="_Toc106030909"/>
      <w:bookmarkEnd w:id="289"/>
      <w:bookmarkStart w:id="290" w:name="_Toc28692"/>
      <w:bookmarkEnd w:id="290"/>
      <w:r>
        <w:rPr>
          <w:rFonts w:hint="eastAsia" w:ascii="宋体" w:hAnsi="宋体" w:eastAsia="宋体" w:cs="宋体"/>
          <w:b/>
          <w:color w:val="auto"/>
          <w:kern w:val="2"/>
          <w:sz w:val="24"/>
          <w:szCs w:val="24"/>
          <w:highlight w:val="none"/>
          <w:lang w:val="en-US" w:eastAsia="zh-CN" w:bidi="ar-SA"/>
        </w:rPr>
        <w:br w:type="page"/>
      </w:r>
      <w:bookmarkStart w:id="291" w:name="_Toc8039"/>
      <w:bookmarkStart w:id="292" w:name="_Toc23583"/>
      <w:bookmarkStart w:id="293" w:name="_Toc23338"/>
      <w:r>
        <w:rPr>
          <w:rFonts w:hint="eastAsia" w:ascii="宋体" w:hAnsi="宋体" w:eastAsia="宋体" w:cs="宋体"/>
          <w:b/>
          <w:color w:val="auto"/>
          <w:kern w:val="2"/>
          <w:sz w:val="24"/>
          <w:highlight w:val="none"/>
          <w:lang w:val="en-US" w:eastAsia="zh-CN" w:bidi="ar-SA"/>
        </w:rPr>
        <w:t>四、资格条件</w:t>
      </w:r>
      <w:bookmarkEnd w:id="291"/>
      <w:bookmarkEnd w:id="292"/>
      <w:bookmarkEnd w:id="293"/>
    </w:p>
    <w:p w14:paraId="794624CA">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（一）法人营业执照（副本）或事业单位法人证书（副本）或个体工商户营业执照或社会团体法人登记证书复印件</w:t>
      </w:r>
    </w:p>
    <w:p w14:paraId="5E0F0E32">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8"/>
          <w:szCs w:val="20"/>
          <w:highlight w:val="none"/>
        </w:rPr>
      </w:pPr>
    </w:p>
    <w:p w14:paraId="1B544F35">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8"/>
          <w:szCs w:val="20"/>
          <w:highlight w:val="none"/>
        </w:rPr>
      </w:pPr>
    </w:p>
    <w:p w14:paraId="6C181D68">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8"/>
          <w:szCs w:val="20"/>
          <w:highlight w:val="none"/>
        </w:rPr>
      </w:pPr>
    </w:p>
    <w:p w14:paraId="40687CD9">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8"/>
          <w:szCs w:val="20"/>
          <w:highlight w:val="none"/>
        </w:rPr>
      </w:pPr>
    </w:p>
    <w:p w14:paraId="7463BB83">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8"/>
          <w:szCs w:val="20"/>
          <w:highlight w:val="none"/>
        </w:rPr>
      </w:pPr>
    </w:p>
    <w:p w14:paraId="4C130E41">
      <w:pPr>
        <w:kinsoku/>
        <w:wordWrap/>
        <w:overflowPunct/>
        <w:topLinePunct w:val="0"/>
        <w:bidi w:val="0"/>
        <w:snapToGrid w:val="0"/>
        <w:spacing w:line="52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z w:val="28"/>
          <w:szCs w:val="20"/>
          <w:highlight w:val="none"/>
        </w:rPr>
        <w:br w:type="page"/>
      </w:r>
      <w:r>
        <w:rPr>
          <w:rFonts w:hint="eastAsia" w:ascii="宋体" w:hAnsi="宋体" w:eastAsia="宋体" w:cs="宋体"/>
          <w:color w:val="auto"/>
          <w:sz w:val="24"/>
          <w:szCs w:val="24"/>
          <w:highlight w:val="none"/>
        </w:rPr>
        <w:t>（二）法定代表人身份证明书（格式）</w:t>
      </w:r>
    </w:p>
    <w:p w14:paraId="4F14CEC7">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04C7F3A5">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u w:val="single"/>
        </w:rPr>
        <w:t xml:space="preserve">                                                </w:t>
      </w:r>
    </w:p>
    <w:p w14:paraId="5A7C251B">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63F5D401">
      <w:pPr>
        <w:tabs>
          <w:tab w:val="left" w:pos="6300"/>
        </w:tabs>
        <w:kinsoku/>
        <w:wordWrap/>
        <w:overflowPunct/>
        <w:topLinePunct w:val="0"/>
        <w:bidi w:val="0"/>
        <w:snapToGrid w:val="0"/>
        <w:spacing w:line="52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比选代理机构</w:t>
      </w:r>
      <w:r>
        <w:rPr>
          <w:rFonts w:hint="eastAsia" w:ascii="宋体" w:hAnsi="宋体" w:eastAsia="宋体" w:cs="宋体"/>
          <w:color w:val="auto"/>
          <w:sz w:val="24"/>
          <w:szCs w:val="20"/>
          <w:highlight w:val="none"/>
        </w:rPr>
        <w:t>名称）：</w:t>
      </w:r>
    </w:p>
    <w:p w14:paraId="6A89FD81">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（法定代表人姓名）在</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竞标人名称</w:t>
      </w:r>
      <w:r>
        <w:rPr>
          <w:rFonts w:hint="eastAsia" w:ascii="宋体" w:hAnsi="宋体" w:eastAsia="宋体" w:cs="宋体"/>
          <w:color w:val="auto"/>
          <w:sz w:val="24"/>
          <w:szCs w:val="20"/>
          <w:highlight w:val="none"/>
        </w:rPr>
        <w:t>）任</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（职务名称）职务，是（</w:t>
      </w:r>
      <w:r>
        <w:rPr>
          <w:rFonts w:hint="eastAsia" w:ascii="宋体" w:hAnsi="宋体" w:eastAsia="宋体" w:cs="宋体"/>
          <w:color w:val="auto"/>
          <w:sz w:val="24"/>
          <w:szCs w:val="20"/>
          <w:highlight w:val="none"/>
          <w:lang w:eastAsia="zh-CN"/>
        </w:rPr>
        <w:t>竞标人名称</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的法定代表人。</w:t>
      </w:r>
    </w:p>
    <w:p w14:paraId="5101608F">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4FDECD14">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特此证明。</w:t>
      </w:r>
    </w:p>
    <w:p w14:paraId="53C8DE51">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6530135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55704E47">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公章）</w:t>
      </w:r>
    </w:p>
    <w:p w14:paraId="0A28E0E6">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年   月   日</w:t>
      </w:r>
    </w:p>
    <w:p w14:paraId="25E2EE2F">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法定代表人电话：XXXXXXX      电子邮箱：XXXXXX@XXXXX（若授权他人办理并签署响应文件的可不填写）</w:t>
      </w:r>
    </w:p>
    <w:p w14:paraId="2F922F70">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（附：法定代表人身份证正反面复印件）</w:t>
      </w:r>
    </w:p>
    <w:p w14:paraId="6B23B3D3">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4FA0B014">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11F7A6F5">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1265EC99">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0F080A22">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50B3E4DA">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00F6C742">
      <w:pPr>
        <w:kinsoku/>
        <w:wordWrap/>
        <w:overflowPunct/>
        <w:topLinePunct w:val="0"/>
        <w:bidi w:val="0"/>
        <w:snapToGrid w:val="0"/>
        <w:spacing w:line="52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z w:val="28"/>
          <w:szCs w:val="20"/>
          <w:highlight w:val="none"/>
        </w:rPr>
        <w:br w:type="column"/>
      </w:r>
      <w:r>
        <w:rPr>
          <w:rFonts w:hint="eastAsia" w:ascii="宋体" w:hAnsi="宋体" w:eastAsia="宋体" w:cs="宋体"/>
          <w:color w:val="auto"/>
          <w:sz w:val="24"/>
          <w:szCs w:val="24"/>
          <w:highlight w:val="none"/>
        </w:rPr>
        <w:t>（三）法定代表人授权委托书（格式）</w:t>
      </w:r>
    </w:p>
    <w:p w14:paraId="1F0D46E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6AE844EB">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u w:val="single"/>
        </w:rPr>
        <w:t xml:space="preserve">                                                </w:t>
      </w:r>
    </w:p>
    <w:p w14:paraId="15772E6D">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65746433">
      <w:pPr>
        <w:tabs>
          <w:tab w:val="left" w:pos="6300"/>
        </w:tabs>
        <w:kinsoku/>
        <w:wordWrap/>
        <w:overflowPunct/>
        <w:topLinePunct w:val="0"/>
        <w:bidi w:val="0"/>
        <w:snapToGrid w:val="0"/>
        <w:spacing w:line="52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比选代理机构</w:t>
      </w:r>
      <w:r>
        <w:rPr>
          <w:rFonts w:hint="eastAsia" w:ascii="宋体" w:hAnsi="宋体" w:eastAsia="宋体" w:cs="宋体"/>
          <w:color w:val="auto"/>
          <w:sz w:val="24"/>
          <w:szCs w:val="20"/>
          <w:highlight w:val="none"/>
        </w:rPr>
        <w:t>名称）：</w:t>
      </w:r>
    </w:p>
    <w:p w14:paraId="4E7F749A">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法定代表人名称）是</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竞标人名称</w:t>
      </w:r>
      <w:r>
        <w:rPr>
          <w:rFonts w:hint="eastAsia" w:ascii="宋体" w:hAnsi="宋体" w:eastAsia="宋体" w:cs="宋体"/>
          <w:color w:val="auto"/>
          <w:sz w:val="24"/>
          <w:szCs w:val="20"/>
          <w:highlight w:val="none"/>
        </w:rPr>
        <w:t>）的法定代表人，特授权</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（被授权人姓名及身份证代码）代表我单位全权办理上述项目的</w:t>
      </w:r>
      <w:r>
        <w:rPr>
          <w:rFonts w:hint="eastAsia" w:ascii="宋体" w:hAnsi="宋体" w:eastAsia="宋体" w:cs="宋体"/>
          <w:color w:val="auto"/>
          <w:sz w:val="24"/>
          <w:szCs w:val="20"/>
          <w:highlight w:val="none"/>
          <w:lang w:eastAsia="zh-CN"/>
        </w:rPr>
        <w:t>比选</w:t>
      </w:r>
      <w:r>
        <w:rPr>
          <w:rFonts w:hint="eastAsia" w:ascii="宋体" w:hAnsi="宋体" w:eastAsia="宋体" w:cs="宋体"/>
          <w:color w:val="auto"/>
          <w:sz w:val="24"/>
          <w:szCs w:val="20"/>
          <w:highlight w:val="none"/>
        </w:rPr>
        <w:t>、签约等具体工作，并签署全部有关文件、协议及合同。</w:t>
      </w:r>
    </w:p>
    <w:p w14:paraId="255C5DBA">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szCs w:val="20"/>
          <w:highlight w:val="none"/>
        </w:rPr>
        <w:t>负全部责任。</w:t>
      </w:r>
    </w:p>
    <w:p w14:paraId="73F64D9D">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在撤销授权的书面通知以前，本授权书一直有效。被授权人在授权书有效期内签署的所有文件不因授权的撤销而失效。</w:t>
      </w:r>
    </w:p>
    <w:p w14:paraId="4CAC43A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723CD627">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5721C5F8">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被授权人：                                 </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法定代表人：</w:t>
      </w:r>
    </w:p>
    <w:p w14:paraId="7115A3DC">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3B5AF683">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8"/>
          <w:highlight w:val="none"/>
        </w:rPr>
      </w:pPr>
    </w:p>
    <w:p w14:paraId="312E0D70">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26EB64DA">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（附：被授权人身份证正反面复印件）</w:t>
      </w:r>
    </w:p>
    <w:p w14:paraId="5828031E">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131B607A">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09C41D4A">
      <w:pPr>
        <w:tabs>
          <w:tab w:val="left" w:pos="6300"/>
        </w:tabs>
        <w:kinsoku/>
        <w:wordWrap/>
        <w:overflowPunct/>
        <w:topLinePunct w:val="0"/>
        <w:bidi w:val="0"/>
        <w:snapToGrid w:val="0"/>
        <w:spacing w:line="520" w:lineRule="exact"/>
        <w:ind w:right="480" w:firstLine="57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公章）</w:t>
      </w:r>
    </w:p>
    <w:p w14:paraId="019B2451">
      <w:pPr>
        <w:tabs>
          <w:tab w:val="left" w:pos="6300"/>
        </w:tabs>
        <w:kinsoku/>
        <w:wordWrap/>
        <w:overflowPunct/>
        <w:topLinePunct w:val="0"/>
        <w:bidi w:val="0"/>
        <w:snapToGrid w:val="0"/>
        <w:spacing w:line="520" w:lineRule="exact"/>
        <w:ind w:right="480" w:firstLine="57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年   月   日</w:t>
      </w:r>
    </w:p>
    <w:p w14:paraId="2E61406B">
      <w:pPr>
        <w:tabs>
          <w:tab w:val="left" w:pos="6300"/>
        </w:tabs>
        <w:kinsoku/>
        <w:wordWrap/>
        <w:overflowPunct/>
        <w:topLinePunct w:val="0"/>
        <w:bidi w:val="0"/>
        <w:snapToGrid w:val="0"/>
        <w:spacing w:line="520" w:lineRule="exact"/>
        <w:ind w:right="480" w:firstLine="57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被授权人电话：XXXXXXX     电子邮箱：XXXXXX@XXXXX（若法定代表人办理并签署响应文件的可不填写）</w:t>
      </w:r>
    </w:p>
    <w:p w14:paraId="53089693">
      <w:pPr>
        <w:tabs>
          <w:tab w:val="left" w:pos="6300"/>
        </w:tabs>
        <w:kinsoku/>
        <w:wordWrap/>
        <w:overflowPunct/>
        <w:topLinePunct w:val="0"/>
        <w:bidi w:val="0"/>
        <w:snapToGrid w:val="0"/>
        <w:spacing w:line="520" w:lineRule="exact"/>
        <w:ind w:right="480" w:firstLine="57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w:t>
      </w:r>
    </w:p>
    <w:p w14:paraId="20C1450B">
      <w:pPr>
        <w:tabs>
          <w:tab w:val="left" w:pos="6300"/>
        </w:tabs>
        <w:kinsoku/>
        <w:wordWrap/>
        <w:overflowPunct/>
        <w:topLinePunct w:val="0"/>
        <w:bidi w:val="0"/>
        <w:snapToGrid w:val="0"/>
        <w:spacing w:line="520" w:lineRule="exact"/>
        <w:ind w:right="480" w:firstLine="57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1.若为法定代表人办理并签署响应文件的，不提供此文件。</w:t>
      </w:r>
    </w:p>
    <w:p w14:paraId="2129DE99">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0"/>
          <w:highlight w:val="none"/>
        </w:rPr>
      </w:pPr>
    </w:p>
    <w:p w14:paraId="4A059758">
      <w:pPr>
        <w:tabs>
          <w:tab w:val="left" w:pos="6300"/>
        </w:tabs>
        <w:kinsoku/>
        <w:wordWrap/>
        <w:overflowPunct/>
        <w:topLinePunct w:val="0"/>
        <w:bidi w:val="0"/>
        <w:snapToGrid w:val="0"/>
        <w:spacing w:line="52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8"/>
          <w:szCs w:val="20"/>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8"/>
          <w:highlight w:val="none"/>
        </w:rPr>
        <w:t>基本资格条件承诺函</w:t>
      </w:r>
    </w:p>
    <w:p w14:paraId="58BEE73B">
      <w:pPr>
        <w:tabs>
          <w:tab w:val="left" w:pos="6300"/>
        </w:tabs>
        <w:kinsoku/>
        <w:wordWrap/>
        <w:overflowPunct/>
        <w:topLinePunct w:val="0"/>
        <w:bidi w:val="0"/>
        <w:snapToGrid w:val="0"/>
        <w:spacing w:line="52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4473BE68">
      <w:pPr>
        <w:tabs>
          <w:tab w:val="left" w:pos="6300"/>
        </w:tabs>
        <w:kinsoku/>
        <w:wordWrap/>
        <w:overflowPunct/>
        <w:topLinePunct w:val="0"/>
        <w:bidi w:val="0"/>
        <w:snapToGrid w:val="0"/>
        <w:spacing w:line="520" w:lineRule="exact"/>
        <w:rPr>
          <w:rFonts w:hint="eastAsia" w:ascii="宋体" w:hAnsi="宋体" w:eastAsia="宋体" w:cs="宋体"/>
          <w:color w:val="auto"/>
          <w:sz w:val="24"/>
          <w:szCs w:val="20"/>
          <w:highlight w:val="none"/>
        </w:rPr>
      </w:pPr>
    </w:p>
    <w:p w14:paraId="7909EF7F">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比选代理机构</w:t>
      </w:r>
      <w:r>
        <w:rPr>
          <w:rFonts w:hint="eastAsia" w:ascii="宋体" w:hAnsi="宋体" w:eastAsia="宋体" w:cs="宋体"/>
          <w:color w:val="auto"/>
          <w:sz w:val="24"/>
          <w:szCs w:val="20"/>
          <w:highlight w:val="none"/>
        </w:rPr>
        <w:t>名称）：</w:t>
      </w:r>
    </w:p>
    <w:p w14:paraId="2F5C601C">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竞标人名称</w:t>
      </w:r>
      <w:r>
        <w:rPr>
          <w:rFonts w:hint="eastAsia" w:ascii="宋体" w:hAnsi="宋体" w:eastAsia="宋体" w:cs="宋体"/>
          <w:color w:val="auto"/>
          <w:sz w:val="24"/>
          <w:szCs w:val="20"/>
          <w:highlight w:val="none"/>
        </w:rPr>
        <w:t>）郑重承诺：</w:t>
      </w:r>
    </w:p>
    <w:p w14:paraId="6DF57618">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1.</w:t>
      </w:r>
      <w:r>
        <w:rPr>
          <w:rFonts w:hint="eastAsia" w:ascii="宋体" w:hAnsi="宋体" w:eastAsia="宋体" w:cs="宋体"/>
          <w:color w:val="auto"/>
          <w:sz w:val="24"/>
          <w:szCs w:val="20"/>
          <w:highlight w:val="none"/>
        </w:rPr>
        <w:t>我方具有良好的商业信誉和健全的财务会计制度，具有履行合同所必需的设备和专业技术能力，具</w:t>
      </w:r>
      <w:r>
        <w:rPr>
          <w:rFonts w:hint="eastAsia" w:ascii="宋体" w:hAnsi="宋体" w:eastAsia="宋体" w:cs="宋体"/>
          <w:color w:val="auto"/>
          <w:sz w:val="24"/>
          <w:szCs w:val="20"/>
          <w:highlight w:val="none"/>
          <w:lang w:val="zh-CN"/>
        </w:rPr>
        <w:t>有依法缴纳税收和社会保障金的良好记录</w:t>
      </w:r>
      <w:r>
        <w:rPr>
          <w:rFonts w:hint="eastAsia" w:ascii="宋体" w:hAnsi="宋体" w:eastAsia="宋体" w:cs="宋体"/>
          <w:color w:val="auto"/>
          <w:sz w:val="24"/>
          <w:szCs w:val="20"/>
          <w:highlight w:val="none"/>
        </w:rPr>
        <w:t>，参加本项目</w:t>
      </w:r>
      <w:r>
        <w:rPr>
          <w:rFonts w:hint="eastAsia" w:ascii="宋体" w:hAnsi="宋体" w:eastAsia="宋体" w:cs="宋体"/>
          <w:color w:val="auto"/>
          <w:sz w:val="24"/>
          <w:szCs w:val="20"/>
          <w:highlight w:val="none"/>
          <w:lang w:eastAsia="zh-CN"/>
        </w:rPr>
        <w:t>比选活动</w:t>
      </w:r>
      <w:r>
        <w:rPr>
          <w:rFonts w:hint="eastAsia" w:ascii="宋体" w:hAnsi="宋体" w:eastAsia="宋体" w:cs="宋体"/>
          <w:color w:val="auto"/>
          <w:sz w:val="24"/>
          <w:szCs w:val="20"/>
          <w:highlight w:val="none"/>
        </w:rPr>
        <w:t>前三年内无重大违法活动记录。</w:t>
      </w:r>
    </w:p>
    <w:p w14:paraId="0CCBA247">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2.</w:t>
      </w:r>
      <w:r>
        <w:rPr>
          <w:rFonts w:hint="eastAsia" w:ascii="宋体" w:hAnsi="宋体" w:eastAsia="宋体" w:cs="宋体"/>
          <w:color w:val="auto"/>
          <w:sz w:val="24"/>
          <w:szCs w:val="20"/>
          <w:highlight w:val="none"/>
        </w:rPr>
        <w:t>我方未列入在信用中国网站（www.creditchina.gov.cn）“失信被执行人”、“重大税收违法案件当事人名单”中，也未列入中国政府采购网（www.ccgp.gov.cn）“政府采购严重违法失信行为记录名单”中。</w:t>
      </w:r>
    </w:p>
    <w:p w14:paraId="60E81373">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3.</w:t>
      </w:r>
      <w:r>
        <w:rPr>
          <w:rFonts w:hint="eastAsia" w:ascii="宋体" w:hAnsi="宋体" w:eastAsia="宋体" w:cs="宋体"/>
          <w:color w:val="auto"/>
          <w:sz w:val="24"/>
          <w:szCs w:val="20"/>
          <w:highlight w:val="none"/>
        </w:rPr>
        <w:t>我方在</w:t>
      </w:r>
      <w:r>
        <w:rPr>
          <w:rFonts w:hint="eastAsia" w:ascii="宋体" w:hAnsi="宋体" w:eastAsia="宋体" w:cs="宋体"/>
          <w:color w:val="auto"/>
          <w:sz w:val="24"/>
          <w:szCs w:val="20"/>
          <w:highlight w:val="none"/>
          <w:lang w:eastAsia="zh-CN"/>
        </w:rPr>
        <w:t>比选项目</w:t>
      </w:r>
      <w:r>
        <w:rPr>
          <w:rFonts w:hint="eastAsia" w:ascii="宋体" w:hAnsi="宋体" w:eastAsia="宋体" w:cs="宋体"/>
          <w:color w:val="auto"/>
          <w:sz w:val="24"/>
          <w:szCs w:val="20"/>
          <w:highlight w:val="none"/>
        </w:rPr>
        <w:t>评审（评标）环节结束后，随时接受</w:t>
      </w:r>
      <w:r>
        <w:rPr>
          <w:rFonts w:hint="eastAsia" w:ascii="宋体" w:hAnsi="宋体" w:eastAsia="宋体" w:cs="宋体"/>
          <w:color w:val="auto"/>
          <w:sz w:val="24"/>
          <w:szCs w:val="20"/>
          <w:highlight w:val="none"/>
          <w:lang w:eastAsia="zh-CN"/>
        </w:rPr>
        <w:t>比选人</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比选代理机构</w:t>
      </w:r>
      <w:r>
        <w:rPr>
          <w:rFonts w:hint="eastAsia" w:ascii="宋体" w:hAnsi="宋体" w:eastAsia="宋体" w:cs="宋体"/>
          <w:color w:val="auto"/>
          <w:sz w:val="24"/>
          <w:szCs w:val="20"/>
          <w:highlight w:val="none"/>
        </w:rPr>
        <w:t>的检查验证，配合提供相关证明材料，证明符合《中华人民共和国政府采购法》规定的</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基本资格条件。</w:t>
      </w:r>
    </w:p>
    <w:p w14:paraId="22547CF9">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我方对以上承诺负全部法律责任。</w:t>
      </w:r>
    </w:p>
    <w:p w14:paraId="5E87B8DE">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特此承诺。</w:t>
      </w:r>
    </w:p>
    <w:p w14:paraId="253EE588">
      <w:pPr>
        <w:tabs>
          <w:tab w:val="left" w:pos="6300"/>
        </w:tabs>
        <w:kinsoku/>
        <w:wordWrap/>
        <w:overflowPunct/>
        <w:topLinePunct w:val="0"/>
        <w:bidi w:val="0"/>
        <w:snapToGrid w:val="0"/>
        <w:spacing w:line="520" w:lineRule="exact"/>
        <w:ind w:firstLine="480" w:firstLineChars="200"/>
        <w:rPr>
          <w:rFonts w:hint="eastAsia" w:ascii="宋体" w:hAnsi="宋体" w:eastAsia="宋体" w:cs="宋体"/>
          <w:color w:val="auto"/>
          <w:sz w:val="24"/>
          <w:szCs w:val="20"/>
          <w:highlight w:val="none"/>
        </w:rPr>
      </w:pPr>
    </w:p>
    <w:p w14:paraId="26C77EF1">
      <w:pPr>
        <w:tabs>
          <w:tab w:val="left" w:pos="6300"/>
        </w:tabs>
        <w:kinsoku/>
        <w:wordWrap/>
        <w:overflowPunct/>
        <w:topLinePunct w:val="0"/>
        <w:bidi w:val="0"/>
        <w:snapToGrid w:val="0"/>
        <w:spacing w:line="520" w:lineRule="exact"/>
        <w:ind w:firstLine="480" w:firstLineChars="20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eastAsia="zh-CN"/>
        </w:rPr>
        <w:t>竞标人</w:t>
      </w:r>
      <w:r>
        <w:rPr>
          <w:rFonts w:hint="eastAsia" w:ascii="宋体" w:hAnsi="宋体" w:eastAsia="宋体" w:cs="宋体"/>
          <w:color w:val="auto"/>
          <w:sz w:val="24"/>
          <w:szCs w:val="20"/>
          <w:highlight w:val="none"/>
        </w:rPr>
        <w:t>公章）</w:t>
      </w:r>
    </w:p>
    <w:p w14:paraId="449CAFDF">
      <w:pPr>
        <w:tabs>
          <w:tab w:val="left" w:pos="6300"/>
        </w:tabs>
        <w:kinsoku/>
        <w:wordWrap/>
        <w:overflowPunct/>
        <w:topLinePunct w:val="0"/>
        <w:bidi w:val="0"/>
        <w:snapToGrid w:val="0"/>
        <w:spacing w:line="52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rPr>
        <w:t>年   月   日</w:t>
      </w:r>
    </w:p>
    <w:p w14:paraId="21ED7A49">
      <w:pPr>
        <w:kinsoku/>
        <w:wordWrap/>
        <w:overflowPunct/>
        <w:topLinePunct w:val="0"/>
        <w:bidi w:val="0"/>
        <w:snapToGrid w:val="0"/>
        <w:spacing w:line="52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z w:val="28"/>
          <w:szCs w:val="20"/>
          <w:highlight w:val="none"/>
        </w:rPr>
        <w:br w:type="page"/>
      </w:r>
    </w:p>
    <w:p w14:paraId="2A50DC0B">
      <w:pPr>
        <w:keepNext/>
        <w:keepLines/>
        <w:widowControl w:val="0"/>
        <w:kinsoku/>
        <w:wordWrap/>
        <w:overflowPunct/>
        <w:topLinePunct w:val="0"/>
        <w:bidi w:val="0"/>
        <w:adjustRightInd w:val="0"/>
        <w:snapToGrid w:val="0"/>
        <w:spacing w:before="0" w:after="0" w:line="520" w:lineRule="exact"/>
        <w:ind w:firstLine="482" w:firstLineChars="200"/>
        <w:jc w:val="both"/>
        <w:outlineLvl w:val="1"/>
        <w:rPr>
          <w:rFonts w:hint="eastAsia" w:ascii="宋体" w:hAnsi="宋体" w:eastAsia="宋体" w:cs="宋体"/>
          <w:b/>
          <w:color w:val="auto"/>
          <w:kern w:val="2"/>
          <w:sz w:val="24"/>
          <w:highlight w:val="none"/>
          <w:lang w:val="en-US" w:eastAsia="zh-CN" w:bidi="ar-SA"/>
        </w:rPr>
      </w:pPr>
      <w:bookmarkStart w:id="294" w:name="_Toc76462354"/>
      <w:bookmarkEnd w:id="294"/>
      <w:bookmarkStart w:id="295" w:name="_Toc106030910"/>
      <w:bookmarkEnd w:id="295"/>
      <w:bookmarkStart w:id="296" w:name="_Toc7667"/>
      <w:bookmarkEnd w:id="296"/>
      <w:bookmarkStart w:id="297" w:name="_Toc14422"/>
      <w:bookmarkEnd w:id="297"/>
      <w:bookmarkStart w:id="298" w:name="_Toc31692"/>
      <w:bookmarkStart w:id="299" w:name="_Toc27884"/>
      <w:bookmarkStart w:id="300" w:name="_Toc13702"/>
      <w:r>
        <w:rPr>
          <w:rFonts w:hint="eastAsia" w:ascii="宋体" w:hAnsi="宋体" w:eastAsia="宋体" w:cs="宋体"/>
          <w:b/>
          <w:color w:val="auto"/>
          <w:kern w:val="2"/>
          <w:sz w:val="24"/>
          <w:highlight w:val="none"/>
          <w:lang w:val="en-US" w:eastAsia="zh-CN" w:bidi="ar-SA"/>
        </w:rPr>
        <w:t>五、其他资料</w:t>
      </w:r>
      <w:bookmarkEnd w:id="298"/>
      <w:bookmarkEnd w:id="299"/>
      <w:bookmarkEnd w:id="300"/>
    </w:p>
    <w:p w14:paraId="28439AED">
      <w:pPr>
        <w:kinsoku/>
        <w:wordWrap/>
        <w:overflowPunct/>
        <w:topLinePunct w:val="0"/>
        <w:bidi w:val="0"/>
        <w:spacing w:line="520" w:lineRule="exact"/>
        <w:rPr>
          <w:rFonts w:hint="eastAsia" w:ascii="宋体" w:hAnsi="宋体" w:eastAsia="宋体" w:cs="宋体"/>
          <w:color w:val="auto"/>
          <w:sz w:val="24"/>
          <w:szCs w:val="24"/>
          <w:highlight w:val="none"/>
        </w:rPr>
      </w:pPr>
    </w:p>
    <w:p w14:paraId="666DB1BF">
      <w:pPr>
        <w:kinsoku/>
        <w:wordWrap/>
        <w:overflowPunct/>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1997E074">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680B9FBB">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2E48BED3">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48AEC5AB">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76B5D35A">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6C7C3394">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20F67FD4">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286FCE86">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30D1E414">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210D59D4">
      <w:pPr>
        <w:kinsoku/>
        <w:wordWrap/>
        <w:overflowPunct/>
        <w:topLinePunct w:val="0"/>
        <w:bidi w:val="0"/>
        <w:spacing w:line="520" w:lineRule="exact"/>
        <w:ind w:firstLine="480" w:firstLineChars="200"/>
        <w:jc w:val="center"/>
        <w:rPr>
          <w:rFonts w:hint="eastAsia" w:ascii="宋体" w:hAnsi="宋体" w:eastAsia="宋体" w:cs="宋体"/>
          <w:color w:val="auto"/>
          <w:sz w:val="24"/>
          <w:szCs w:val="24"/>
          <w:highlight w:val="none"/>
        </w:rPr>
      </w:pPr>
    </w:p>
    <w:p w14:paraId="4796AAFE">
      <w:pPr>
        <w:widowControl w:val="0"/>
        <w:kinsoku/>
        <w:wordWrap/>
        <w:overflowPunct/>
        <w:topLinePunct w:val="0"/>
        <w:bidi w:val="0"/>
        <w:spacing w:line="520" w:lineRule="exact"/>
        <w:jc w:val="both"/>
        <w:rPr>
          <w:rFonts w:hint="eastAsia" w:ascii="宋体" w:hAnsi="宋体" w:eastAsia="宋体" w:cs="宋体"/>
          <w:color w:val="auto"/>
          <w:kern w:val="2"/>
          <w:sz w:val="24"/>
          <w:szCs w:val="24"/>
          <w:highlight w:val="none"/>
          <w:lang w:val="en-US" w:eastAsia="zh-CN" w:bidi="ar-SA"/>
        </w:rPr>
      </w:pPr>
    </w:p>
    <w:p w14:paraId="26DA65D9">
      <w:pPr>
        <w:kinsoku/>
        <w:wordWrap/>
        <w:overflowPunct/>
        <w:topLinePunct w:val="0"/>
        <w:bidi w:val="0"/>
        <w:spacing w:line="520" w:lineRule="exact"/>
        <w:rPr>
          <w:rFonts w:hint="eastAsia" w:ascii="宋体" w:hAnsi="宋体" w:eastAsia="宋体" w:cs="宋体"/>
          <w:color w:val="auto"/>
          <w:sz w:val="24"/>
          <w:szCs w:val="24"/>
          <w:highlight w:val="none"/>
        </w:rPr>
      </w:pPr>
    </w:p>
    <w:p w14:paraId="54AF3B71">
      <w:pPr>
        <w:widowControl w:val="0"/>
        <w:kinsoku/>
        <w:wordWrap/>
        <w:overflowPunct/>
        <w:topLinePunct w:val="0"/>
        <w:bidi w:val="0"/>
        <w:spacing w:line="520" w:lineRule="exact"/>
        <w:jc w:val="both"/>
        <w:rPr>
          <w:rFonts w:hint="eastAsia" w:ascii="宋体" w:hAnsi="宋体" w:eastAsia="宋体" w:cs="宋体"/>
          <w:color w:val="auto"/>
          <w:kern w:val="2"/>
          <w:sz w:val="32"/>
          <w:highlight w:val="none"/>
          <w:lang w:val="en-US" w:eastAsia="zh-CN" w:bidi="ar-SA"/>
        </w:rPr>
      </w:pPr>
    </w:p>
    <w:p w14:paraId="0F67EC82">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7ABE098C">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2F4041C1">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4AB89EAC">
      <w:pPr>
        <w:kinsoku/>
        <w:wordWrap/>
        <w:overflowPunct/>
        <w:topLinePunct w:val="0"/>
        <w:bidi w:val="0"/>
        <w:spacing w:line="520" w:lineRule="exact"/>
        <w:jc w:val="both"/>
        <w:outlineLvl w:val="0"/>
        <w:rPr>
          <w:rFonts w:hint="eastAsia" w:ascii="宋体" w:hAnsi="宋体" w:eastAsia="宋体" w:cs="宋体"/>
          <w:color w:val="auto"/>
          <w:sz w:val="24"/>
          <w:szCs w:val="24"/>
          <w:highlight w:val="none"/>
        </w:rPr>
      </w:pPr>
    </w:p>
    <w:p w14:paraId="1D690848">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18C3FF40">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64F95804">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1CBCB252">
      <w:pPr>
        <w:kinsoku/>
        <w:wordWrap/>
        <w:overflowPunct/>
        <w:topLinePunct w:val="0"/>
        <w:bidi w:val="0"/>
        <w:spacing w:line="520" w:lineRule="exact"/>
        <w:ind w:firstLine="480" w:firstLineChars="200"/>
        <w:jc w:val="center"/>
        <w:outlineLvl w:val="0"/>
        <w:rPr>
          <w:rFonts w:hint="eastAsia" w:ascii="宋体" w:hAnsi="宋体" w:eastAsia="宋体" w:cs="宋体"/>
          <w:color w:val="auto"/>
          <w:sz w:val="24"/>
          <w:szCs w:val="24"/>
          <w:highlight w:val="none"/>
        </w:rPr>
      </w:pPr>
    </w:p>
    <w:p w14:paraId="2076F50E">
      <w:pPr>
        <w:kinsoku/>
        <w:wordWrap/>
        <w:overflowPunct/>
        <w:topLinePunct w:val="0"/>
        <w:bidi w:val="0"/>
        <w:spacing w:line="520" w:lineRule="exact"/>
        <w:jc w:val="center"/>
        <w:outlineLvl w:val="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（结</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束）</w:t>
      </w:r>
    </w:p>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59D6D01-2232-4870-AA8A-D7E6B5F53A7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EF85">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28"/>
        <w:lang w:val="en-US" w:eastAsia="zh-CN" w:bidi="ar-SA"/>
      </w:rPr>
      <w:instrText xml:space="preserve">PAGE  </w:instrText>
    </w:r>
    <w:r>
      <w:rPr>
        <w:rFonts w:ascii="Times New Roman" w:hAnsi="Times New Roman" w:eastAsia="宋体" w:cs="Times New Roman"/>
        <w:kern w:val="2"/>
        <w:sz w:val="18"/>
        <w:lang w:val="en-US" w:eastAsia="zh-CN" w:bidi="ar-SA"/>
      </w:rPr>
      <w:fldChar w:fldCharType="end"/>
    </w:r>
  </w:p>
  <w:p w14:paraId="74E67073">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01983">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lang w:val="en-US" w:eastAsia="zh-CN" w:bidi="ar-SA"/>
      </w:rPr>
    </w:pPr>
  </w:p>
  <w:p w14:paraId="70544EB8">
    <w:pPr>
      <w:widowControl w:val="0"/>
      <w:tabs>
        <w:tab w:val="center" w:pos="4153"/>
        <w:tab w:val="right" w:pos="8306"/>
      </w:tabs>
      <w:snapToGrid w:val="0"/>
      <w:jc w:val="center"/>
      <w:rPr>
        <w:rFonts w:ascii="宋体" w:hAnsi="宋体" w:eastAsia="宋体" w:cs="Times New Roman"/>
        <w:kern w:val="2"/>
        <w:sz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22FF3">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6F796">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A1750">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5A1750">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B7A54">
    <w:pPr>
      <w:widowControl w:val="0"/>
      <w:tabs>
        <w:tab w:val="center" w:pos="4153"/>
        <w:tab w:val="right" w:pos="8306"/>
      </w:tabs>
      <w:snapToGrid w:val="0"/>
      <w:jc w:val="left"/>
      <w:rPr>
        <w:rFonts w:ascii="宋体" w:hAnsi="宋体" w:eastAsia="宋体" w:cs="Times New Roman"/>
        <w:kern w:val="2"/>
        <w:sz w:val="21"/>
        <w:szCs w:val="21"/>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D2189">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4D2189">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2547">
    <w:pPr>
      <w:widowControl w:val="0"/>
      <w:tabs>
        <w:tab w:val="center" w:pos="4153"/>
        <w:tab w:val="right" w:pos="8306"/>
      </w:tabs>
      <w:snapToGrid w:val="0"/>
      <w:jc w:val="left"/>
      <w:rPr>
        <w:rFonts w:ascii="宋体" w:hAnsi="宋体" w:eastAsia="宋体" w:cs="Times New Roman"/>
        <w:kern w:val="2"/>
        <w:sz w:val="21"/>
        <w:szCs w:val="21"/>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B3D24">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9B3D24">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C9BD">
    <w:pPr>
      <w:pBdr>
        <w:bottom w:val="single" w:color="auto" w:sz="4" w:space="0"/>
      </w:pBdr>
      <w:snapToGrid w:val="0"/>
      <w:spacing w:line="400" w:lineRule="exact"/>
    </w:pPr>
    <w:r>
      <w:rPr>
        <w:rFonts w:hint="eastAsia" w:ascii="宋体" w:hAnsi="宋体" w:cs="宋体"/>
        <w:sz w:val="24"/>
        <w:szCs w:val="24"/>
        <w:lang w:eastAsia="zh-CN"/>
      </w:rPr>
      <w:t>中天昊建设管理集团股份有限公司</w:t>
    </w:r>
    <w:r>
      <w:rPr>
        <w:rFonts w:hint="eastAsia" w:ascii="宋体" w:hAnsi="宋体" w:cs="Arial"/>
        <w:color w:val="auto"/>
        <w:kern w:val="0"/>
        <w:sz w:val="24"/>
        <w:szCs w:val="24"/>
        <w:highlight w:val="none"/>
      </w:rPr>
      <w:t xml:space="preserve">          </w:t>
    </w:r>
    <w:r>
      <w:rPr>
        <w:rFonts w:hint="eastAsia" w:ascii="宋体" w:hAnsi="宋体" w:cs="Arial"/>
        <w:color w:val="auto"/>
        <w:kern w:val="0"/>
        <w:sz w:val="24"/>
        <w:szCs w:val="24"/>
        <w:highlight w:val="none"/>
        <w:lang w:val="en-US" w:eastAsia="zh-CN"/>
      </w:rPr>
      <w:t xml:space="preserve">    </w:t>
    </w:r>
    <w:r>
      <w:rPr>
        <w:rFonts w:hint="eastAsia" w:ascii="宋体" w:hAnsi="宋体" w:cs="Arial"/>
        <w:color w:val="auto"/>
        <w:kern w:val="0"/>
        <w:sz w:val="24"/>
        <w:szCs w:val="24"/>
        <w:highlight w:val="none"/>
      </w:rPr>
      <w:t xml:space="preserve"> </w:t>
    </w:r>
    <w:r>
      <w:rPr>
        <w:rFonts w:hint="eastAsia" w:ascii="宋体" w:hAnsi="宋体" w:cs="Arial"/>
        <w:color w:val="auto"/>
        <w:kern w:val="0"/>
        <w:sz w:val="24"/>
        <w:szCs w:val="24"/>
        <w:highlight w:val="none"/>
        <w:lang w:val="en-US" w:eastAsia="zh-CN"/>
      </w:rPr>
      <w:t xml:space="preserve"> </w:t>
    </w:r>
    <w:r>
      <w:rPr>
        <w:rFonts w:hint="eastAsia" w:ascii="宋体" w:hAnsi="宋体" w:cs="Arial"/>
        <w:color w:val="auto"/>
        <w:kern w:val="0"/>
        <w:sz w:val="24"/>
        <w:szCs w:val="24"/>
        <w:highlight w:val="none"/>
      </w:rPr>
      <w:t xml:space="preserve">               </w:t>
    </w:r>
    <w:r>
      <w:rPr>
        <w:rFonts w:hint="eastAsia" w:ascii="宋体" w:hAnsi="宋体" w:cs="Arial"/>
        <w:color w:val="auto"/>
        <w:kern w:val="0"/>
        <w:sz w:val="24"/>
        <w:szCs w:val="24"/>
        <w:highlight w:val="none"/>
        <w:lang w:val="en-US" w:eastAsia="zh-CN"/>
      </w:rPr>
      <w:t>竞争性比选</w:t>
    </w:r>
    <w:r>
      <w:rPr>
        <w:rFonts w:hint="eastAsia" w:ascii="宋体" w:hAnsi="宋体" w:eastAsia="宋体" w:cs="宋体"/>
        <w:sz w:val="24"/>
        <w:szCs w:val="24"/>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E4D4">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C726">
    <w:pPr>
      <w:pBdr>
        <w:bottom w:val="single" w:color="auto" w:sz="4" w:space="0"/>
      </w:pBdr>
      <w:snapToGrid w:val="0"/>
      <w:spacing w:line="400" w:lineRule="exact"/>
      <w:rPr>
        <w:rFonts w:ascii="Times New Roman" w:hAnsi="Times New Roman" w:eastAsia="宋体" w:cs="Times New Roman"/>
        <w:kern w:val="2"/>
        <w:sz w:val="18"/>
        <w:lang w:val="en-US" w:eastAsia="zh-CN" w:bidi="ar-SA"/>
      </w:rPr>
    </w:pPr>
    <w:r>
      <w:rPr>
        <w:rFonts w:hint="eastAsia" w:ascii="宋体" w:hAnsi="宋体" w:cs="宋体"/>
        <w:sz w:val="24"/>
        <w:szCs w:val="24"/>
        <w:lang w:eastAsia="zh-CN"/>
      </w:rPr>
      <w:t>中天昊建设管理集团股份有限公司</w:t>
    </w:r>
    <w:r>
      <w:rPr>
        <w:rFonts w:hint="eastAsia" w:ascii="宋体" w:hAnsi="宋体" w:cs="Arial"/>
        <w:color w:val="auto"/>
        <w:kern w:val="0"/>
        <w:sz w:val="24"/>
        <w:szCs w:val="24"/>
        <w:highlight w:val="none"/>
      </w:rPr>
      <w:t xml:space="preserve">          </w:t>
    </w:r>
    <w:r>
      <w:rPr>
        <w:rFonts w:hint="eastAsia" w:ascii="宋体" w:hAnsi="宋体" w:cs="Arial"/>
        <w:color w:val="auto"/>
        <w:kern w:val="0"/>
        <w:sz w:val="24"/>
        <w:szCs w:val="24"/>
        <w:highlight w:val="none"/>
        <w:lang w:val="en-US" w:eastAsia="zh-CN"/>
      </w:rPr>
      <w:t xml:space="preserve">    </w:t>
    </w:r>
    <w:r>
      <w:rPr>
        <w:rFonts w:hint="eastAsia" w:ascii="宋体" w:hAnsi="宋体" w:cs="Arial"/>
        <w:color w:val="auto"/>
        <w:kern w:val="0"/>
        <w:sz w:val="24"/>
        <w:szCs w:val="24"/>
        <w:highlight w:val="none"/>
      </w:rPr>
      <w:t xml:space="preserve">                    </w:t>
    </w:r>
    <w:r>
      <w:rPr>
        <w:rFonts w:hint="eastAsia" w:ascii="宋体" w:hAnsi="宋体" w:cs="Arial"/>
        <w:color w:val="auto"/>
        <w:kern w:val="0"/>
        <w:sz w:val="24"/>
        <w:szCs w:val="24"/>
        <w:highlight w:val="none"/>
        <w:lang w:val="en-US" w:eastAsia="zh-CN"/>
      </w:rPr>
      <w:t>竞争性比选</w:t>
    </w:r>
    <w:r>
      <w:rPr>
        <w:rFonts w:hint="eastAsia" w:ascii="宋体" w:hAnsi="宋体" w:eastAsia="宋体" w:cs="宋体"/>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31B85"/>
    <w:multiLevelType w:val="singleLevel"/>
    <w:tmpl w:val="9CA31B85"/>
    <w:lvl w:ilvl="0" w:tentative="0">
      <w:start w:val="1"/>
      <w:numFmt w:val="decimal"/>
      <w:suff w:val="nothing"/>
      <w:lvlText w:val="%1、"/>
      <w:lvlJc w:val="left"/>
      <w:pPr>
        <w:ind w:left="0" w:firstLine="0"/>
      </w:pPr>
    </w:lvl>
  </w:abstractNum>
  <w:abstractNum w:abstractNumId="1">
    <w:nsid w:val="235C95A0"/>
    <w:multiLevelType w:val="singleLevel"/>
    <w:tmpl w:val="235C95A0"/>
    <w:lvl w:ilvl="0" w:tentative="0">
      <w:start w:val="2"/>
      <w:numFmt w:val="decimal"/>
      <w:lvlText w:val="%1."/>
      <w:lvlJc w:val="left"/>
      <w:pPr>
        <w:tabs>
          <w:tab w:val="left" w:pos="312"/>
        </w:tabs>
        <w:ind w:left="96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Zjg0M2E3ZGFiODgxNzAxYmRmY2JhYTYwZTkzZTMifQ=="/>
  </w:docVars>
  <w:rsids>
    <w:rsidRoot w:val="48100089"/>
    <w:rsid w:val="00FE0C5C"/>
    <w:rsid w:val="016959CC"/>
    <w:rsid w:val="041A1188"/>
    <w:rsid w:val="04954E43"/>
    <w:rsid w:val="05673D5A"/>
    <w:rsid w:val="06D361A8"/>
    <w:rsid w:val="07485D30"/>
    <w:rsid w:val="087150EF"/>
    <w:rsid w:val="099E0166"/>
    <w:rsid w:val="09E3201C"/>
    <w:rsid w:val="0B212DFC"/>
    <w:rsid w:val="0B505490"/>
    <w:rsid w:val="0D284168"/>
    <w:rsid w:val="0D7F02AE"/>
    <w:rsid w:val="0E7A0DC9"/>
    <w:rsid w:val="108116D7"/>
    <w:rsid w:val="109C2F25"/>
    <w:rsid w:val="10E822F2"/>
    <w:rsid w:val="111927C8"/>
    <w:rsid w:val="11627CCB"/>
    <w:rsid w:val="11CC054E"/>
    <w:rsid w:val="1240492F"/>
    <w:rsid w:val="1254039F"/>
    <w:rsid w:val="135B0E75"/>
    <w:rsid w:val="163D388B"/>
    <w:rsid w:val="174B5E90"/>
    <w:rsid w:val="179B4EF1"/>
    <w:rsid w:val="1B177D78"/>
    <w:rsid w:val="1C1F4286"/>
    <w:rsid w:val="1C314E69"/>
    <w:rsid w:val="1D7E5172"/>
    <w:rsid w:val="1DAB29F9"/>
    <w:rsid w:val="1E0775AB"/>
    <w:rsid w:val="1E31552E"/>
    <w:rsid w:val="1E9D67E6"/>
    <w:rsid w:val="1EB464F2"/>
    <w:rsid w:val="1F6876B7"/>
    <w:rsid w:val="1FD71884"/>
    <w:rsid w:val="20EA531B"/>
    <w:rsid w:val="21162857"/>
    <w:rsid w:val="216830DB"/>
    <w:rsid w:val="22032E04"/>
    <w:rsid w:val="22993768"/>
    <w:rsid w:val="23D96CB4"/>
    <w:rsid w:val="24665A6C"/>
    <w:rsid w:val="25950217"/>
    <w:rsid w:val="259C2421"/>
    <w:rsid w:val="268C577D"/>
    <w:rsid w:val="269964BD"/>
    <w:rsid w:val="271635D9"/>
    <w:rsid w:val="274041B2"/>
    <w:rsid w:val="27F4193C"/>
    <w:rsid w:val="2A5B0765"/>
    <w:rsid w:val="2A5F7045"/>
    <w:rsid w:val="2AC171AD"/>
    <w:rsid w:val="2C1C748E"/>
    <w:rsid w:val="2E325C12"/>
    <w:rsid w:val="2F9B467C"/>
    <w:rsid w:val="30FF0C3A"/>
    <w:rsid w:val="314F3939"/>
    <w:rsid w:val="317E4255"/>
    <w:rsid w:val="31977DF1"/>
    <w:rsid w:val="32700042"/>
    <w:rsid w:val="331C4930"/>
    <w:rsid w:val="33357C06"/>
    <w:rsid w:val="33ED182B"/>
    <w:rsid w:val="34B1049E"/>
    <w:rsid w:val="364E3BC7"/>
    <w:rsid w:val="366C0B20"/>
    <w:rsid w:val="376F637E"/>
    <w:rsid w:val="37C4498C"/>
    <w:rsid w:val="392715E5"/>
    <w:rsid w:val="3FFD188D"/>
    <w:rsid w:val="420E5181"/>
    <w:rsid w:val="42E63A08"/>
    <w:rsid w:val="43774957"/>
    <w:rsid w:val="44564FD2"/>
    <w:rsid w:val="457C2402"/>
    <w:rsid w:val="467B6B5D"/>
    <w:rsid w:val="47977F99"/>
    <w:rsid w:val="48100089"/>
    <w:rsid w:val="49885819"/>
    <w:rsid w:val="49BF4FB3"/>
    <w:rsid w:val="4B1919ED"/>
    <w:rsid w:val="4BA10E14"/>
    <w:rsid w:val="4C3733D2"/>
    <w:rsid w:val="4C4E6541"/>
    <w:rsid w:val="4C7C401A"/>
    <w:rsid w:val="4CD5198D"/>
    <w:rsid w:val="4D3E674F"/>
    <w:rsid w:val="4D58587C"/>
    <w:rsid w:val="4E0E741B"/>
    <w:rsid w:val="4E173610"/>
    <w:rsid w:val="4EAC1FAA"/>
    <w:rsid w:val="4EDF237F"/>
    <w:rsid w:val="4F0D7768"/>
    <w:rsid w:val="4F9252DF"/>
    <w:rsid w:val="51A52CE0"/>
    <w:rsid w:val="523810E3"/>
    <w:rsid w:val="528238A3"/>
    <w:rsid w:val="52C35D08"/>
    <w:rsid w:val="52F12681"/>
    <w:rsid w:val="539B3BAF"/>
    <w:rsid w:val="549C6F06"/>
    <w:rsid w:val="54CB0CB0"/>
    <w:rsid w:val="5528545B"/>
    <w:rsid w:val="55E93AE3"/>
    <w:rsid w:val="55EB160A"/>
    <w:rsid w:val="56C37E91"/>
    <w:rsid w:val="574C662B"/>
    <w:rsid w:val="576553EC"/>
    <w:rsid w:val="579E1027"/>
    <w:rsid w:val="58E9606C"/>
    <w:rsid w:val="591E1CF6"/>
    <w:rsid w:val="59674FDC"/>
    <w:rsid w:val="5A050D40"/>
    <w:rsid w:val="5A61633E"/>
    <w:rsid w:val="5A8949DD"/>
    <w:rsid w:val="5ACB3F81"/>
    <w:rsid w:val="5BDF697F"/>
    <w:rsid w:val="5C303548"/>
    <w:rsid w:val="5E6463FD"/>
    <w:rsid w:val="5EBD5B0D"/>
    <w:rsid w:val="5F07118B"/>
    <w:rsid w:val="600625C5"/>
    <w:rsid w:val="601D600D"/>
    <w:rsid w:val="60367925"/>
    <w:rsid w:val="605C4EB2"/>
    <w:rsid w:val="60EF513B"/>
    <w:rsid w:val="613F0A5C"/>
    <w:rsid w:val="62022800"/>
    <w:rsid w:val="637D586B"/>
    <w:rsid w:val="63BA261B"/>
    <w:rsid w:val="63CF3EF5"/>
    <w:rsid w:val="6418459B"/>
    <w:rsid w:val="648F3388"/>
    <w:rsid w:val="66095268"/>
    <w:rsid w:val="66CB4B3F"/>
    <w:rsid w:val="676034DA"/>
    <w:rsid w:val="67885BF7"/>
    <w:rsid w:val="67EC1211"/>
    <w:rsid w:val="69BC2DCB"/>
    <w:rsid w:val="6A0004C5"/>
    <w:rsid w:val="6A8C1A58"/>
    <w:rsid w:val="6A8D3C94"/>
    <w:rsid w:val="6AA302AD"/>
    <w:rsid w:val="6AE0505D"/>
    <w:rsid w:val="6AE82164"/>
    <w:rsid w:val="6D361187"/>
    <w:rsid w:val="6E39393E"/>
    <w:rsid w:val="6E4E6782"/>
    <w:rsid w:val="6FD40F09"/>
    <w:rsid w:val="6FFD2184"/>
    <w:rsid w:val="706F2F57"/>
    <w:rsid w:val="70BE4BA3"/>
    <w:rsid w:val="71644FCD"/>
    <w:rsid w:val="7312137B"/>
    <w:rsid w:val="73417EB4"/>
    <w:rsid w:val="744228E5"/>
    <w:rsid w:val="75834A0A"/>
    <w:rsid w:val="759B2E08"/>
    <w:rsid w:val="76530DD9"/>
    <w:rsid w:val="77B37656"/>
    <w:rsid w:val="78753AE5"/>
    <w:rsid w:val="791E32C2"/>
    <w:rsid w:val="799A3C52"/>
    <w:rsid w:val="79E8298B"/>
    <w:rsid w:val="7A627230"/>
    <w:rsid w:val="7B3E4A3E"/>
    <w:rsid w:val="7DFD787D"/>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hAnsi="Times New Roman" w:eastAsia="宋体" w:cs="Times New Roman"/>
      <w:kern w:val="0"/>
      <w:sz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qFormat/>
    <w:uiPriority w:val="0"/>
    <w:pPr>
      <w:shd w:val="clear" w:color="auto" w:fill="000080"/>
    </w:pPr>
  </w:style>
  <w:style w:type="paragraph" w:styleId="7">
    <w:name w:val="Body Text"/>
    <w:basedOn w:val="1"/>
    <w:next w:val="8"/>
    <w:qFormat/>
    <w:uiPriority w:val="0"/>
    <w:rPr>
      <w:rFonts w:ascii="仿宋_GB2312" w:eastAsia="仿宋_GB2312"/>
      <w:sz w:val="32"/>
    </w:rPr>
  </w:style>
  <w:style w:type="paragraph" w:styleId="8">
    <w:name w:val="Body Text First Indent"/>
    <w:basedOn w:val="7"/>
    <w:unhideWhenUsed/>
    <w:qFormat/>
    <w:uiPriority w:val="99"/>
    <w:pPr>
      <w:spacing w:after="120"/>
      <w:ind w:firstLine="420" w:firstLineChars="100"/>
    </w:pPr>
    <w:rPr>
      <w:rFonts w:ascii="Calibri" w:hAnsi="Calibri"/>
      <w:sz w:val="21"/>
      <w:szCs w:val="22"/>
    </w:rPr>
  </w:style>
  <w:style w:type="paragraph" w:styleId="9">
    <w:name w:val="toc 3"/>
    <w:basedOn w:val="1"/>
    <w:next w:val="1"/>
    <w:qFormat/>
    <w:uiPriority w:val="0"/>
    <w:pPr>
      <w:ind w:left="840" w:leftChars="400"/>
    </w:pPr>
  </w:style>
  <w:style w:type="paragraph" w:styleId="10">
    <w:name w:val="Plain Text"/>
    <w:basedOn w:val="1"/>
    <w:next w:val="6"/>
    <w:qFormat/>
    <w:uiPriority w:val="0"/>
    <w:rPr>
      <w:rFonts w:ascii="宋体" w:hAnsi="Courier New"/>
      <w:sz w:val="21"/>
    </w:rPr>
  </w:style>
  <w:style w:type="paragraph" w:styleId="11">
    <w:name w:val="Body Text Indent 2"/>
    <w:basedOn w:val="1"/>
    <w:qFormat/>
    <w:uiPriority w:val="0"/>
    <w:pPr>
      <w:snapToGrid w:val="0"/>
      <w:spacing w:line="560" w:lineRule="atLeast"/>
      <w:ind w:firstLine="540"/>
    </w:pPr>
    <w:rPr>
      <w:rFonts w:ascii="Times New Roman" w:hAnsi="Times New Roman" w:eastAsia="宋体" w:cs="Times New Roman"/>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rPr>
      <w:sz w:val="24"/>
    </w:rPr>
  </w:style>
  <w:style w:type="table" w:styleId="18">
    <w:name w:val="Table Grid"/>
    <w:basedOn w:val="17"/>
    <w:qFormat/>
    <w:uiPriority w:val="39"/>
    <w:pPr>
      <w:ind w:left="641" w:firstLine="200" w:firstLineChars="20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paragraph" w:customStyle="1" w:styleId="22">
    <w:name w:val="图例"/>
    <w:basedOn w:val="1"/>
    <w:qFormat/>
    <w:uiPriority w:val="0"/>
    <w:pPr>
      <w:spacing w:before="120" w:after="120" w:line="360" w:lineRule="auto"/>
      <w:jc w:val="center"/>
    </w:pPr>
    <w:rPr>
      <w:rFonts w:eastAsia="仿宋_GB2312"/>
      <w:b/>
      <w:sz w:val="24"/>
    </w:rPr>
  </w:style>
  <w:style w:type="paragraph" w:customStyle="1" w:styleId="2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6479</Words>
  <Characters>6914</Characters>
  <Lines>0</Lines>
  <Paragraphs>0</Paragraphs>
  <TotalTime>9</TotalTime>
  <ScaleCrop>false</ScaleCrop>
  <LinksUpToDate>false</LinksUpToDate>
  <CharactersWithSpaces>7010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2026-01-19T01:53:00Z</dcterms:created>
  <dc:creator>何咏成</dc:creator>
  <cp:lastModifiedBy>HUAWEI</cp:lastModifiedBy>
  <cp:lastPrinted>2026-02-04T04:55:00Z</cp:lastPrinted>
  <dcterms:modified xsi:type="dcterms:W3CDTF">2026-06-20T06:09:04Z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4AF7549633CC49FEB5F6725664201721_13</vt:lpwstr>
  </property>
  <property fmtid="{D5CDD505-2E9C-101B-9397-08002B2CF9AE}" pid="4" name="KSOTemplateDocerSaveRecord">
    <vt:lpwstr>eyJoZGlkIjoiNzRjMTQ2MTAwZGQ5OTBmN2QzMGI1NDM3YmIwZTIzMzAiLCJ1c2VySWQiOiIyOTkzMTA1MzUifQ==</vt:lpwstr>
  </property>
</Properties>
</file>