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933891">
      <w:pPr>
        <w:kinsoku/>
        <w:wordWrap/>
        <w:overflowPunct/>
        <w:topLinePunct w:val="0"/>
        <w:autoSpaceDE/>
        <w:autoSpaceDN/>
        <w:bidi w:val="0"/>
        <w:spacing w:line="500" w:lineRule="exact"/>
        <w:jc w:val="center"/>
        <w:outlineLvl w:val="0"/>
        <w:rPr>
          <w:rFonts w:ascii="仿宋" w:hAnsi="仿宋" w:eastAsia="仿宋" w:cs="仿宋"/>
          <w:color w:val="auto"/>
          <w:sz w:val="52"/>
          <w:highlight w:val="none"/>
        </w:rPr>
      </w:pPr>
      <w:bookmarkStart w:id="0" w:name="_Toc495587751"/>
    </w:p>
    <w:p w14:paraId="3D114AB0">
      <w:pPr>
        <w:kinsoku/>
        <w:wordWrap/>
        <w:overflowPunct/>
        <w:topLinePunct w:val="0"/>
        <w:autoSpaceDE/>
        <w:autoSpaceDN/>
        <w:bidi w:val="0"/>
        <w:spacing w:line="500" w:lineRule="exact"/>
        <w:rPr>
          <w:rFonts w:ascii="仿宋" w:hAnsi="仿宋" w:eastAsia="仿宋" w:cs="仿宋"/>
          <w:color w:val="auto"/>
          <w:highlight w:val="none"/>
        </w:rPr>
      </w:pPr>
    </w:p>
    <w:p w14:paraId="39062596">
      <w:pPr>
        <w:kinsoku/>
        <w:wordWrap/>
        <w:overflowPunct/>
        <w:topLinePunct w:val="0"/>
        <w:autoSpaceDE/>
        <w:autoSpaceDN/>
        <w:bidi w:val="0"/>
        <w:spacing w:line="500" w:lineRule="exact"/>
        <w:rPr>
          <w:rFonts w:ascii="仿宋" w:hAnsi="仿宋" w:eastAsia="仿宋" w:cs="仿宋"/>
          <w:color w:val="auto"/>
          <w:highlight w:val="none"/>
        </w:rPr>
      </w:pPr>
    </w:p>
    <w:p w14:paraId="44C24594">
      <w:pPr>
        <w:kinsoku/>
        <w:wordWrap/>
        <w:overflowPunct/>
        <w:topLinePunct w:val="0"/>
        <w:autoSpaceDE/>
        <w:autoSpaceDN/>
        <w:bidi w:val="0"/>
        <w:spacing w:line="500" w:lineRule="exact"/>
        <w:rPr>
          <w:rFonts w:ascii="仿宋" w:hAnsi="仿宋" w:eastAsia="仿宋" w:cs="仿宋"/>
          <w:color w:val="auto"/>
          <w:highlight w:val="none"/>
        </w:rPr>
      </w:pPr>
    </w:p>
    <w:p w14:paraId="06CBCA3F">
      <w:pPr>
        <w:kinsoku/>
        <w:wordWrap/>
        <w:overflowPunct/>
        <w:topLinePunct w:val="0"/>
        <w:autoSpaceDE/>
        <w:autoSpaceDN/>
        <w:bidi w:val="0"/>
        <w:spacing w:line="500" w:lineRule="exact"/>
        <w:rPr>
          <w:rFonts w:ascii="仿宋" w:hAnsi="仿宋" w:eastAsia="仿宋" w:cs="仿宋"/>
          <w:color w:val="auto"/>
          <w:highlight w:val="none"/>
        </w:rPr>
      </w:pPr>
    </w:p>
    <w:p w14:paraId="5782B716">
      <w:pPr>
        <w:kinsoku/>
        <w:wordWrap/>
        <w:overflowPunct/>
        <w:topLinePunct w:val="0"/>
        <w:autoSpaceDE/>
        <w:autoSpaceDN/>
        <w:bidi w:val="0"/>
        <w:spacing w:line="500" w:lineRule="exact"/>
        <w:rPr>
          <w:rFonts w:ascii="仿宋" w:hAnsi="仿宋" w:eastAsia="仿宋" w:cs="仿宋"/>
          <w:color w:val="auto"/>
          <w:highlight w:val="none"/>
        </w:rPr>
      </w:pPr>
    </w:p>
    <w:p w14:paraId="285764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
          <w:bCs/>
          <w:color w:val="auto"/>
          <w:sz w:val="84"/>
          <w:szCs w:val="84"/>
          <w:highlight w:val="none"/>
        </w:rPr>
      </w:pPr>
      <w:bookmarkStart w:id="1" w:name="_Toc20142829"/>
      <w:r>
        <w:rPr>
          <w:rFonts w:hint="eastAsia" w:ascii="仿宋" w:hAnsi="仿宋" w:eastAsia="仿宋" w:cs="仿宋"/>
          <w:b/>
          <w:bCs/>
          <w:color w:val="auto"/>
          <w:sz w:val="84"/>
          <w:szCs w:val="84"/>
          <w:highlight w:val="none"/>
          <w:lang w:val="en-US" w:eastAsia="zh-CN"/>
        </w:rPr>
        <w:t>公开遴选</w:t>
      </w:r>
      <w:r>
        <w:rPr>
          <w:rFonts w:hint="eastAsia" w:ascii="仿宋" w:hAnsi="仿宋" w:eastAsia="仿宋" w:cs="仿宋"/>
          <w:b/>
          <w:bCs/>
          <w:color w:val="auto"/>
          <w:sz w:val="84"/>
          <w:szCs w:val="84"/>
          <w:highlight w:val="none"/>
        </w:rPr>
        <w:t>文件</w:t>
      </w:r>
      <w:bookmarkEnd w:id="1"/>
    </w:p>
    <w:p w14:paraId="3635D613">
      <w:pPr>
        <w:kinsoku/>
        <w:wordWrap/>
        <w:overflowPunct/>
        <w:topLinePunct w:val="0"/>
        <w:autoSpaceDE/>
        <w:autoSpaceDN/>
        <w:bidi w:val="0"/>
        <w:spacing w:line="500" w:lineRule="exact"/>
        <w:jc w:val="center"/>
        <w:rPr>
          <w:rFonts w:ascii="仿宋" w:hAnsi="仿宋" w:eastAsia="仿宋" w:cs="仿宋"/>
          <w:color w:val="auto"/>
          <w:sz w:val="32"/>
          <w:szCs w:val="32"/>
          <w:highlight w:val="none"/>
        </w:rPr>
      </w:pPr>
    </w:p>
    <w:p w14:paraId="5D5CB64B">
      <w:pPr>
        <w:kinsoku/>
        <w:wordWrap/>
        <w:overflowPunct/>
        <w:topLinePunct w:val="0"/>
        <w:autoSpaceDE/>
        <w:autoSpaceDN/>
        <w:bidi w:val="0"/>
        <w:spacing w:line="500" w:lineRule="exact"/>
        <w:jc w:val="center"/>
        <w:rPr>
          <w:rFonts w:ascii="仿宋" w:hAnsi="仿宋" w:eastAsia="仿宋" w:cs="仿宋"/>
          <w:color w:val="auto"/>
          <w:sz w:val="32"/>
          <w:szCs w:val="32"/>
          <w:highlight w:val="none"/>
        </w:rPr>
      </w:pPr>
    </w:p>
    <w:p w14:paraId="226DB80F">
      <w:pPr>
        <w:kinsoku/>
        <w:wordWrap/>
        <w:overflowPunct/>
        <w:topLinePunct w:val="0"/>
        <w:autoSpaceDE/>
        <w:autoSpaceDN/>
        <w:bidi w:val="0"/>
        <w:spacing w:line="500" w:lineRule="exact"/>
        <w:jc w:val="center"/>
        <w:rPr>
          <w:rFonts w:ascii="仿宋" w:hAnsi="仿宋" w:eastAsia="仿宋" w:cs="仿宋"/>
          <w:color w:val="auto"/>
          <w:sz w:val="32"/>
          <w:szCs w:val="32"/>
          <w:highlight w:val="none"/>
        </w:rPr>
      </w:pPr>
    </w:p>
    <w:p w14:paraId="17C2A18E">
      <w:pPr>
        <w:kinsoku/>
        <w:wordWrap/>
        <w:overflowPunct/>
        <w:topLinePunct w:val="0"/>
        <w:autoSpaceDE/>
        <w:autoSpaceDN/>
        <w:bidi w:val="0"/>
        <w:spacing w:line="500" w:lineRule="exact"/>
        <w:jc w:val="center"/>
        <w:rPr>
          <w:rFonts w:ascii="仿宋" w:hAnsi="仿宋" w:eastAsia="仿宋" w:cs="仿宋"/>
          <w:color w:val="auto"/>
          <w:sz w:val="32"/>
          <w:szCs w:val="32"/>
          <w:highlight w:val="none"/>
        </w:rPr>
      </w:pPr>
    </w:p>
    <w:p w14:paraId="4A6F60EC">
      <w:pPr>
        <w:kinsoku/>
        <w:wordWrap/>
        <w:overflowPunct/>
        <w:topLinePunct w:val="0"/>
        <w:autoSpaceDE/>
        <w:autoSpaceDN/>
        <w:bidi w:val="0"/>
        <w:spacing w:line="240" w:lineRule="auto"/>
        <w:ind w:left="0" w:leftChars="0" w:firstLine="0" w:firstLineChars="0"/>
        <w:jc w:val="both"/>
        <w:rPr>
          <w:rFonts w:ascii="仿宋" w:hAnsi="仿宋" w:eastAsia="仿宋" w:cs="仿宋"/>
          <w:color w:val="auto"/>
          <w:sz w:val="36"/>
          <w:szCs w:val="36"/>
          <w:highlight w:val="none"/>
        </w:rPr>
      </w:pPr>
      <w:bookmarkStart w:id="2" w:name="_Toc20142831"/>
      <w:r>
        <w:rPr>
          <w:rFonts w:hint="eastAsia" w:ascii="仿宋" w:hAnsi="仿宋" w:eastAsia="仿宋" w:cs="仿宋"/>
          <w:color w:val="auto"/>
          <w:sz w:val="36"/>
          <w:szCs w:val="36"/>
          <w:highlight w:val="none"/>
        </w:rPr>
        <w:t>项目名称：</w:t>
      </w:r>
      <w:bookmarkEnd w:id="2"/>
      <w:r>
        <w:rPr>
          <w:rFonts w:hint="eastAsia" w:ascii="仿宋" w:hAnsi="仿宋" w:eastAsia="仿宋" w:cs="仿宋"/>
          <w:color w:val="auto"/>
          <w:sz w:val="36"/>
          <w:szCs w:val="36"/>
          <w:highlight w:val="none"/>
        </w:rPr>
        <w:t>重庆第二师范学院</w:t>
      </w:r>
      <w:r>
        <w:rPr>
          <w:rFonts w:hint="eastAsia" w:ascii="仿宋" w:hAnsi="仿宋" w:eastAsia="仿宋" w:cs="仿宋"/>
          <w:color w:val="auto"/>
          <w:sz w:val="36"/>
          <w:szCs w:val="36"/>
          <w:highlight w:val="none"/>
          <w:lang w:eastAsia="zh-CN"/>
        </w:rPr>
        <w:t>荟园</w:t>
      </w:r>
      <w:r>
        <w:rPr>
          <w:rFonts w:hint="eastAsia" w:ascii="仿宋" w:hAnsi="仿宋" w:eastAsia="仿宋" w:cs="仿宋"/>
          <w:color w:val="auto"/>
          <w:sz w:val="36"/>
          <w:szCs w:val="36"/>
          <w:highlight w:val="none"/>
        </w:rPr>
        <w:t>学生食堂联合运营项目</w:t>
      </w:r>
    </w:p>
    <w:p w14:paraId="2A73062D">
      <w:pPr>
        <w:kinsoku/>
        <w:wordWrap/>
        <w:overflowPunct/>
        <w:topLinePunct w:val="0"/>
        <w:autoSpaceDE/>
        <w:autoSpaceDN/>
        <w:bidi w:val="0"/>
        <w:spacing w:line="500" w:lineRule="exact"/>
        <w:ind w:left="3234" w:leftChars="512" w:hanging="1800" w:hangingChars="500"/>
        <w:jc w:val="left"/>
        <w:rPr>
          <w:rFonts w:ascii="仿宋" w:hAnsi="仿宋" w:eastAsia="仿宋" w:cs="仿宋"/>
          <w:color w:val="auto"/>
          <w:sz w:val="36"/>
          <w:szCs w:val="36"/>
          <w:highlight w:val="none"/>
        </w:rPr>
      </w:pPr>
    </w:p>
    <w:p w14:paraId="227718C4">
      <w:pPr>
        <w:kinsoku/>
        <w:wordWrap/>
        <w:overflowPunct/>
        <w:topLinePunct w:val="0"/>
        <w:autoSpaceDE/>
        <w:autoSpaceDN/>
        <w:bidi w:val="0"/>
        <w:spacing w:line="500" w:lineRule="exact"/>
        <w:jc w:val="center"/>
        <w:rPr>
          <w:rFonts w:ascii="仿宋" w:hAnsi="仿宋" w:eastAsia="仿宋" w:cs="仿宋"/>
          <w:color w:val="auto"/>
          <w:sz w:val="36"/>
          <w:szCs w:val="36"/>
          <w:highlight w:val="none"/>
        </w:rPr>
      </w:pPr>
    </w:p>
    <w:p w14:paraId="66AA322A">
      <w:pPr>
        <w:kinsoku/>
        <w:wordWrap/>
        <w:overflowPunct/>
        <w:topLinePunct w:val="0"/>
        <w:autoSpaceDE/>
        <w:autoSpaceDN/>
        <w:bidi w:val="0"/>
        <w:spacing w:line="500" w:lineRule="exact"/>
        <w:jc w:val="center"/>
        <w:rPr>
          <w:rFonts w:ascii="仿宋" w:hAnsi="仿宋" w:eastAsia="仿宋" w:cs="仿宋"/>
          <w:color w:val="auto"/>
          <w:sz w:val="36"/>
          <w:szCs w:val="36"/>
          <w:highlight w:val="none"/>
        </w:rPr>
      </w:pPr>
    </w:p>
    <w:p w14:paraId="0AE487A3">
      <w:pPr>
        <w:kinsoku/>
        <w:wordWrap/>
        <w:overflowPunct/>
        <w:topLinePunct w:val="0"/>
        <w:autoSpaceDE/>
        <w:autoSpaceDN/>
        <w:bidi w:val="0"/>
        <w:spacing w:line="500" w:lineRule="exact"/>
        <w:jc w:val="center"/>
        <w:rPr>
          <w:rFonts w:ascii="仿宋" w:hAnsi="仿宋" w:eastAsia="仿宋" w:cs="仿宋"/>
          <w:color w:val="auto"/>
          <w:sz w:val="36"/>
          <w:szCs w:val="36"/>
          <w:highlight w:val="none"/>
        </w:rPr>
      </w:pPr>
    </w:p>
    <w:p w14:paraId="40A7EAAB">
      <w:pPr>
        <w:kinsoku/>
        <w:wordWrap/>
        <w:overflowPunct/>
        <w:topLinePunct w:val="0"/>
        <w:autoSpaceDE/>
        <w:autoSpaceDN/>
        <w:bidi w:val="0"/>
        <w:spacing w:line="500" w:lineRule="exact"/>
        <w:jc w:val="center"/>
        <w:rPr>
          <w:rFonts w:ascii="仿宋" w:hAnsi="仿宋" w:eastAsia="仿宋" w:cs="仿宋"/>
          <w:color w:val="auto"/>
          <w:sz w:val="36"/>
          <w:szCs w:val="36"/>
          <w:highlight w:val="none"/>
        </w:rPr>
      </w:pPr>
    </w:p>
    <w:p w14:paraId="3AAE11F5">
      <w:pPr>
        <w:kinsoku/>
        <w:wordWrap/>
        <w:overflowPunct/>
        <w:topLinePunct w:val="0"/>
        <w:autoSpaceDE/>
        <w:autoSpaceDN/>
        <w:bidi w:val="0"/>
        <w:spacing w:line="500" w:lineRule="exact"/>
        <w:jc w:val="center"/>
        <w:rPr>
          <w:rFonts w:ascii="仿宋" w:hAnsi="仿宋" w:eastAsia="仿宋" w:cs="仿宋"/>
          <w:color w:val="auto"/>
          <w:sz w:val="36"/>
          <w:szCs w:val="36"/>
          <w:highlight w:val="none"/>
        </w:rPr>
      </w:pPr>
    </w:p>
    <w:p w14:paraId="455EF6F5">
      <w:pPr>
        <w:kinsoku/>
        <w:wordWrap/>
        <w:overflowPunct/>
        <w:topLinePunct w:val="0"/>
        <w:autoSpaceDE/>
        <w:autoSpaceDN/>
        <w:bidi w:val="0"/>
        <w:spacing w:line="500" w:lineRule="exact"/>
        <w:ind w:firstLine="2520" w:firstLineChars="700"/>
        <w:jc w:val="left"/>
        <w:rPr>
          <w:rFonts w:ascii="仿宋" w:hAnsi="仿宋" w:eastAsia="仿宋" w:cs="仿宋"/>
          <w:color w:val="auto"/>
          <w:sz w:val="36"/>
          <w:szCs w:val="36"/>
          <w:highlight w:val="none"/>
        </w:rPr>
      </w:pPr>
      <w:bookmarkStart w:id="3" w:name="_Toc20142833"/>
      <w:r>
        <w:rPr>
          <w:rFonts w:hint="eastAsia" w:ascii="仿宋" w:hAnsi="仿宋" w:eastAsia="仿宋" w:cs="仿宋"/>
          <w:color w:val="auto"/>
          <w:sz w:val="36"/>
          <w:szCs w:val="36"/>
          <w:highlight w:val="none"/>
        </w:rPr>
        <w:t>采购人：</w:t>
      </w:r>
      <w:bookmarkEnd w:id="3"/>
      <w:r>
        <w:rPr>
          <w:rFonts w:hint="eastAsia" w:ascii="仿宋" w:hAnsi="仿宋" w:eastAsia="仿宋" w:cs="仿宋"/>
          <w:color w:val="auto"/>
          <w:sz w:val="36"/>
          <w:szCs w:val="36"/>
          <w:highlight w:val="none"/>
        </w:rPr>
        <w:t>重庆第二师范学院</w:t>
      </w:r>
    </w:p>
    <w:p w14:paraId="3F7D7CE2">
      <w:pPr>
        <w:kinsoku/>
        <w:wordWrap/>
        <w:overflowPunct/>
        <w:topLinePunct w:val="0"/>
        <w:autoSpaceDE/>
        <w:autoSpaceDN/>
        <w:bidi w:val="0"/>
        <w:snapToGrid w:val="0"/>
        <w:spacing w:line="500" w:lineRule="exact"/>
        <w:jc w:val="center"/>
        <w:rPr>
          <w:rFonts w:hint="eastAsia" w:ascii="仿宋" w:hAnsi="仿宋" w:eastAsia="仿宋" w:cs="仿宋"/>
          <w:b/>
          <w:color w:val="auto"/>
          <w:sz w:val="36"/>
          <w:szCs w:val="36"/>
          <w:highlight w:val="none"/>
        </w:rPr>
      </w:pPr>
    </w:p>
    <w:p w14:paraId="37BAA590">
      <w:pPr>
        <w:kinsoku/>
        <w:wordWrap/>
        <w:overflowPunct/>
        <w:topLinePunct w:val="0"/>
        <w:autoSpaceDE/>
        <w:autoSpaceDN/>
        <w:bidi w:val="0"/>
        <w:snapToGrid w:val="0"/>
        <w:spacing w:line="50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6"/>
          <w:szCs w:val="36"/>
          <w:highlight w:val="none"/>
        </w:rPr>
        <w:t>二○二</w:t>
      </w:r>
      <w:r>
        <w:rPr>
          <w:rFonts w:hint="eastAsia" w:ascii="仿宋" w:hAnsi="仿宋" w:eastAsia="仿宋" w:cs="仿宋"/>
          <w:b/>
          <w:color w:val="auto"/>
          <w:sz w:val="36"/>
          <w:szCs w:val="36"/>
          <w:highlight w:val="none"/>
          <w:lang w:eastAsia="zh-CN"/>
        </w:rPr>
        <w:t>五</w:t>
      </w:r>
      <w:r>
        <w:rPr>
          <w:rFonts w:hint="eastAsia" w:ascii="仿宋" w:hAnsi="仿宋" w:eastAsia="仿宋" w:cs="仿宋"/>
          <w:b/>
          <w:color w:val="auto"/>
          <w:sz w:val="36"/>
          <w:szCs w:val="36"/>
          <w:highlight w:val="none"/>
        </w:rPr>
        <w:t>年</w:t>
      </w:r>
      <w:r>
        <w:rPr>
          <w:rFonts w:hint="eastAsia" w:ascii="仿宋" w:hAnsi="仿宋" w:eastAsia="仿宋" w:cs="仿宋"/>
          <w:b/>
          <w:color w:val="auto"/>
          <w:sz w:val="36"/>
          <w:szCs w:val="36"/>
          <w:highlight w:val="none"/>
          <w:lang w:eastAsia="zh-CN"/>
        </w:rPr>
        <w:t>六</w:t>
      </w:r>
      <w:r>
        <w:rPr>
          <w:rFonts w:hint="eastAsia" w:ascii="仿宋" w:hAnsi="仿宋" w:eastAsia="仿宋" w:cs="仿宋"/>
          <w:b/>
          <w:color w:val="auto"/>
          <w:sz w:val="36"/>
          <w:szCs w:val="36"/>
          <w:highlight w:val="none"/>
        </w:rPr>
        <w:t>月</w:t>
      </w:r>
    </w:p>
    <w:p w14:paraId="72131CC7">
      <w:pPr>
        <w:kinsoku/>
        <w:wordWrap/>
        <w:overflowPunct/>
        <w:topLinePunct w:val="0"/>
        <w:autoSpaceDE/>
        <w:autoSpaceDN/>
        <w:bidi w:val="0"/>
        <w:spacing w:line="500" w:lineRule="exact"/>
        <w:rPr>
          <w:rFonts w:ascii="仿宋" w:hAnsi="仿宋" w:eastAsia="仿宋" w:cs="仿宋"/>
          <w:color w:val="auto"/>
          <w:highlight w:val="none"/>
        </w:rPr>
      </w:pPr>
    </w:p>
    <w:p w14:paraId="71AC3FA3">
      <w:pPr>
        <w:kinsoku/>
        <w:wordWrap/>
        <w:overflowPunct/>
        <w:topLinePunct w:val="0"/>
        <w:autoSpaceDE/>
        <w:autoSpaceDN/>
        <w:bidi w:val="0"/>
        <w:spacing w:line="500" w:lineRule="exact"/>
        <w:rPr>
          <w:rFonts w:ascii="仿宋" w:hAnsi="仿宋" w:eastAsia="仿宋" w:cs="仿宋"/>
          <w:color w:val="auto"/>
          <w:highlight w:val="none"/>
        </w:rPr>
      </w:pPr>
    </w:p>
    <w:p w14:paraId="24B5B13F">
      <w:pPr>
        <w:pStyle w:val="30"/>
        <w:kinsoku/>
        <w:wordWrap/>
        <w:overflowPunct/>
        <w:topLinePunct w:val="0"/>
        <w:autoSpaceDE/>
        <w:autoSpaceDN/>
        <w:bidi w:val="0"/>
        <w:spacing w:line="500" w:lineRule="exact"/>
        <w:jc w:val="both"/>
        <w:rPr>
          <w:rFonts w:hint="eastAsia" w:ascii="仿宋" w:hAnsi="仿宋" w:eastAsia="仿宋" w:cs="仿宋"/>
          <w:color w:val="auto"/>
          <w:sz w:val="36"/>
          <w:szCs w:val="36"/>
          <w:highlight w:val="none"/>
          <w:lang w:val="zh-CN"/>
        </w:rPr>
      </w:pPr>
    </w:p>
    <w:p w14:paraId="4CBE7824">
      <w:pPr>
        <w:pStyle w:val="30"/>
        <w:kinsoku/>
        <w:wordWrap/>
        <w:overflowPunct/>
        <w:topLinePunct w:val="0"/>
        <w:autoSpaceDE/>
        <w:autoSpaceDN/>
        <w:bidi w:val="0"/>
        <w:spacing w:line="500" w:lineRule="exact"/>
        <w:jc w:val="center"/>
        <w:rPr>
          <w:rFonts w:hint="eastAsia" w:ascii="仿宋" w:hAnsi="仿宋" w:eastAsia="仿宋" w:cs="仿宋"/>
          <w:color w:val="auto"/>
          <w:sz w:val="36"/>
          <w:szCs w:val="36"/>
          <w:highlight w:val="none"/>
          <w:lang w:val="zh-CN"/>
        </w:rPr>
      </w:pPr>
    </w:p>
    <w:p w14:paraId="54E0E850">
      <w:pPr>
        <w:pStyle w:val="30"/>
        <w:kinsoku/>
        <w:wordWrap/>
        <w:overflowPunct/>
        <w:topLinePunct w:val="0"/>
        <w:autoSpaceDE/>
        <w:autoSpaceDN/>
        <w:bidi w:val="0"/>
        <w:spacing w:line="500" w:lineRule="exact"/>
        <w:jc w:val="center"/>
        <w:rPr>
          <w:rFonts w:hint="eastAsia" w:ascii="仿宋" w:hAnsi="仿宋" w:eastAsia="仿宋" w:cs="仿宋"/>
          <w:color w:val="auto"/>
          <w:sz w:val="36"/>
          <w:szCs w:val="36"/>
          <w:highlight w:val="none"/>
          <w:lang w:val="zh-CN"/>
        </w:rPr>
      </w:pPr>
    </w:p>
    <w:p w14:paraId="65D001FF">
      <w:pPr>
        <w:pStyle w:val="30"/>
        <w:kinsoku/>
        <w:wordWrap/>
        <w:overflowPunct/>
        <w:topLinePunct w:val="0"/>
        <w:autoSpaceDE/>
        <w:autoSpaceDN/>
        <w:bidi w:val="0"/>
        <w:spacing w:line="500" w:lineRule="exact"/>
        <w:jc w:val="center"/>
        <w:rPr>
          <w:rFonts w:hint="eastAsia" w:ascii="仿宋" w:hAnsi="仿宋" w:eastAsia="仿宋" w:cs="仿宋"/>
          <w:color w:val="auto"/>
          <w:sz w:val="36"/>
          <w:szCs w:val="36"/>
          <w:highlight w:val="none"/>
          <w:lang w:val="zh-CN"/>
        </w:rPr>
      </w:pPr>
    </w:p>
    <w:p w14:paraId="21206385">
      <w:pPr>
        <w:pStyle w:val="30"/>
        <w:kinsoku/>
        <w:wordWrap/>
        <w:overflowPunct/>
        <w:topLinePunct w:val="0"/>
        <w:autoSpaceDE/>
        <w:autoSpaceDN/>
        <w:bidi w:val="0"/>
        <w:spacing w:line="500" w:lineRule="exact"/>
        <w:jc w:val="center"/>
        <w:rPr>
          <w:rFonts w:ascii="仿宋" w:hAnsi="仿宋" w:eastAsia="仿宋" w:cs="仿宋"/>
          <w:color w:val="auto"/>
          <w:sz w:val="36"/>
          <w:szCs w:val="36"/>
          <w:highlight w:val="none"/>
        </w:rPr>
      </w:pPr>
      <w:r>
        <w:rPr>
          <w:rFonts w:hint="eastAsia" w:ascii="仿宋" w:hAnsi="仿宋" w:eastAsia="仿宋" w:cs="仿宋"/>
          <w:color w:val="auto"/>
          <w:sz w:val="36"/>
          <w:szCs w:val="36"/>
          <w:highlight w:val="none"/>
          <w:lang w:val="zh-CN"/>
        </w:rPr>
        <w:t>目录</w:t>
      </w:r>
    </w:p>
    <w:p w14:paraId="2399A8F9">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TOC \o "1-3" \h \z \u </w:instrText>
      </w:r>
      <w:r>
        <w:rPr>
          <w:rFonts w:hint="eastAsia" w:ascii="仿宋" w:hAnsi="仿宋" w:eastAsia="仿宋" w:cs="仿宋"/>
          <w:color w:val="auto"/>
          <w:highlight w:val="none"/>
        </w:rPr>
        <w:fldChar w:fldCharType="separate"/>
      </w: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_Toc14932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一、</w:t>
      </w:r>
      <w:r>
        <w:rPr>
          <w:rFonts w:hint="eastAsia" w:ascii="仿宋" w:hAnsi="仿宋" w:eastAsia="仿宋" w:cs="仿宋"/>
          <w:bCs/>
          <w:color w:val="auto"/>
          <w:highlight w:val="none"/>
          <w:lang w:eastAsia="zh-CN"/>
        </w:rPr>
        <w:t>公开遴选</w:t>
      </w:r>
      <w:r>
        <w:rPr>
          <w:rFonts w:hint="eastAsia" w:ascii="仿宋" w:hAnsi="仿宋" w:eastAsia="仿宋" w:cs="仿宋"/>
          <w:bCs/>
          <w:color w:val="auto"/>
          <w:highlight w:val="none"/>
        </w:rPr>
        <w:t>内容</w:t>
      </w:r>
      <w:r>
        <w:rPr>
          <w:color w:val="auto"/>
          <w:highlight w:val="none"/>
        </w:rPr>
        <w:tab/>
      </w:r>
      <w:r>
        <w:rPr>
          <w:color w:val="auto"/>
          <w:highlight w:val="none"/>
        </w:rPr>
        <w:fldChar w:fldCharType="begin"/>
      </w:r>
      <w:r>
        <w:rPr>
          <w:color w:val="auto"/>
          <w:highlight w:val="none"/>
        </w:rPr>
        <w:instrText xml:space="preserve"> PAGEREF _Toc14932 \h </w:instrText>
      </w:r>
      <w:r>
        <w:rPr>
          <w:color w:val="auto"/>
          <w:highlight w:val="none"/>
        </w:rPr>
        <w:fldChar w:fldCharType="separate"/>
      </w:r>
      <w:r>
        <w:rPr>
          <w:color w:val="auto"/>
          <w:highlight w:val="none"/>
        </w:rPr>
        <w:t>- 5 -</w:t>
      </w:r>
      <w:r>
        <w:rPr>
          <w:color w:val="auto"/>
          <w:highlight w:val="none"/>
        </w:rPr>
        <w:fldChar w:fldCharType="end"/>
      </w:r>
      <w:r>
        <w:rPr>
          <w:rFonts w:hint="eastAsia" w:ascii="仿宋" w:hAnsi="仿宋" w:eastAsia="仿宋" w:cs="仿宋"/>
          <w:bCs/>
          <w:color w:val="auto"/>
          <w:highlight w:val="none"/>
          <w:lang w:val="zh-CN"/>
        </w:rPr>
        <w:fldChar w:fldCharType="end"/>
      </w:r>
    </w:p>
    <w:p w14:paraId="4EECBFC6">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_Toc601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二、资金来源</w:t>
      </w:r>
      <w:r>
        <w:rPr>
          <w:color w:val="auto"/>
          <w:highlight w:val="none"/>
        </w:rPr>
        <w:tab/>
      </w:r>
      <w:r>
        <w:rPr>
          <w:color w:val="auto"/>
          <w:highlight w:val="none"/>
        </w:rPr>
        <w:fldChar w:fldCharType="begin"/>
      </w:r>
      <w:r>
        <w:rPr>
          <w:color w:val="auto"/>
          <w:highlight w:val="none"/>
        </w:rPr>
        <w:instrText xml:space="preserve"> PAGEREF _Toc601 \h </w:instrText>
      </w:r>
      <w:r>
        <w:rPr>
          <w:color w:val="auto"/>
          <w:highlight w:val="none"/>
        </w:rPr>
        <w:fldChar w:fldCharType="separate"/>
      </w:r>
      <w:r>
        <w:rPr>
          <w:color w:val="auto"/>
          <w:highlight w:val="none"/>
        </w:rPr>
        <w:t>- 5 -</w:t>
      </w:r>
      <w:r>
        <w:rPr>
          <w:color w:val="auto"/>
          <w:highlight w:val="none"/>
        </w:rPr>
        <w:fldChar w:fldCharType="end"/>
      </w:r>
      <w:r>
        <w:rPr>
          <w:rFonts w:hint="eastAsia" w:ascii="仿宋" w:hAnsi="仿宋" w:eastAsia="仿宋" w:cs="仿宋"/>
          <w:bCs/>
          <w:color w:val="auto"/>
          <w:highlight w:val="none"/>
          <w:lang w:val="zh-CN"/>
        </w:rPr>
        <w:fldChar w:fldCharType="end"/>
      </w:r>
    </w:p>
    <w:p w14:paraId="215C2228">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_Toc9402 </w:instrText>
      </w:r>
      <w:r>
        <w:rPr>
          <w:rFonts w:hint="eastAsia" w:ascii="仿宋" w:hAnsi="仿宋" w:eastAsia="仿宋" w:cs="仿宋"/>
          <w:bCs/>
          <w:color w:val="auto"/>
          <w:highlight w:val="none"/>
          <w:lang w:val="zh-CN"/>
        </w:rPr>
        <w:fldChar w:fldCharType="separate"/>
      </w:r>
      <w:r>
        <w:rPr>
          <w:rFonts w:hint="eastAsia" w:ascii="方正仿宋_GBK" w:hAnsi="微软雅黑" w:eastAsia="方正仿宋_GBK" w:cs="宋体"/>
          <w:color w:val="auto"/>
          <w:kern w:val="0"/>
          <w:szCs w:val="28"/>
          <w:highlight w:val="none"/>
          <w:lang w:eastAsia="zh-CN"/>
        </w:rPr>
        <w:t>成交供应商</w:t>
      </w:r>
      <w:r>
        <w:rPr>
          <w:rFonts w:hint="eastAsia" w:ascii="方正仿宋_GBK" w:hAnsi="微软雅黑" w:eastAsia="方正仿宋_GBK" w:cs="宋体"/>
          <w:color w:val="auto"/>
          <w:kern w:val="0"/>
          <w:szCs w:val="28"/>
          <w:highlight w:val="none"/>
        </w:rPr>
        <w:t>自行全额投资</w:t>
      </w:r>
      <w:r>
        <w:rPr>
          <w:rFonts w:hint="eastAsia" w:ascii="方正仿宋_GBK" w:hAnsi="微软雅黑" w:eastAsia="方正仿宋_GBK" w:cs="宋体"/>
          <w:color w:val="auto"/>
          <w:kern w:val="0"/>
          <w:szCs w:val="28"/>
          <w:highlight w:val="none"/>
          <w:lang w:eastAsia="zh-CN"/>
        </w:rPr>
        <w:t>环境改善优化，包括但不限于</w:t>
      </w:r>
      <w:r>
        <w:rPr>
          <w:rFonts w:hint="eastAsia" w:ascii="Times New Roman" w:hAnsi="Times New Roman" w:eastAsia="方正仿宋_GBK" w:cs="Times New Roman"/>
          <w:color w:val="auto"/>
          <w:kern w:val="0"/>
          <w:szCs w:val="32"/>
          <w:highlight w:val="none"/>
          <w:lang w:val="en-US" w:eastAsia="zh-CN" w:bidi="ar"/>
        </w:rPr>
        <w:t>食堂环境美化、</w:t>
      </w:r>
      <w:r>
        <w:rPr>
          <w:rFonts w:hint="default" w:ascii="Times New Roman" w:hAnsi="Times New Roman" w:eastAsia="方正仿宋_GBK" w:cs="Times New Roman"/>
          <w:color w:val="auto"/>
          <w:kern w:val="0"/>
          <w:szCs w:val="32"/>
          <w:highlight w:val="none"/>
          <w:lang w:val="en-US" w:eastAsia="zh-CN" w:bidi="ar"/>
        </w:rPr>
        <w:t>安全</w:t>
      </w:r>
      <w:r>
        <w:rPr>
          <w:rFonts w:hint="eastAsia" w:ascii="Times New Roman" w:hAnsi="Times New Roman" w:eastAsia="方正仿宋_GBK" w:cs="Times New Roman"/>
          <w:color w:val="auto"/>
          <w:kern w:val="0"/>
          <w:szCs w:val="32"/>
          <w:highlight w:val="none"/>
          <w:lang w:val="en-US" w:eastAsia="zh-CN" w:bidi="ar"/>
        </w:rPr>
        <w:t>运营</w:t>
      </w:r>
      <w:r>
        <w:rPr>
          <w:rFonts w:hint="default" w:ascii="Times New Roman" w:hAnsi="Times New Roman" w:eastAsia="方正仿宋_GBK" w:cs="Times New Roman"/>
          <w:color w:val="auto"/>
          <w:kern w:val="0"/>
          <w:szCs w:val="32"/>
          <w:highlight w:val="none"/>
          <w:lang w:val="en-US" w:eastAsia="zh-CN" w:bidi="ar"/>
        </w:rPr>
        <w:t>、</w:t>
      </w:r>
      <w:r>
        <w:rPr>
          <w:rFonts w:hint="eastAsia" w:ascii="Times New Roman" w:hAnsi="Times New Roman" w:eastAsia="方正仿宋_GBK" w:cs="Times New Roman"/>
          <w:color w:val="auto"/>
          <w:kern w:val="0"/>
          <w:szCs w:val="32"/>
          <w:highlight w:val="none"/>
          <w:lang w:val="en-US" w:eastAsia="zh-CN" w:bidi="ar"/>
        </w:rPr>
        <w:t>智慧化建设</w:t>
      </w:r>
      <w:r>
        <w:rPr>
          <w:rFonts w:hint="eastAsia" w:ascii="方正仿宋_GBK" w:hAnsi="微软雅黑" w:eastAsia="方正仿宋_GBK" w:cs="宋体"/>
          <w:color w:val="auto"/>
          <w:kern w:val="0"/>
          <w:szCs w:val="28"/>
          <w:highlight w:val="none"/>
        </w:rPr>
        <w:t>等。</w:t>
      </w:r>
      <w:r>
        <w:rPr>
          <w:color w:val="auto"/>
          <w:highlight w:val="none"/>
        </w:rPr>
        <w:tab/>
      </w:r>
      <w:r>
        <w:rPr>
          <w:color w:val="auto"/>
          <w:highlight w:val="none"/>
        </w:rPr>
        <w:fldChar w:fldCharType="begin"/>
      </w:r>
      <w:r>
        <w:rPr>
          <w:color w:val="auto"/>
          <w:highlight w:val="none"/>
        </w:rPr>
        <w:instrText xml:space="preserve"> PAGEREF _Toc9402 \h </w:instrText>
      </w:r>
      <w:r>
        <w:rPr>
          <w:color w:val="auto"/>
          <w:highlight w:val="none"/>
        </w:rPr>
        <w:fldChar w:fldCharType="separate"/>
      </w:r>
      <w:r>
        <w:rPr>
          <w:color w:val="auto"/>
          <w:highlight w:val="none"/>
        </w:rPr>
        <w:t>- 5 -</w:t>
      </w:r>
      <w:r>
        <w:rPr>
          <w:color w:val="auto"/>
          <w:highlight w:val="none"/>
        </w:rPr>
        <w:fldChar w:fldCharType="end"/>
      </w:r>
      <w:r>
        <w:rPr>
          <w:rFonts w:hint="eastAsia" w:ascii="仿宋" w:hAnsi="仿宋" w:eastAsia="仿宋" w:cs="仿宋"/>
          <w:bCs/>
          <w:color w:val="auto"/>
          <w:highlight w:val="none"/>
          <w:lang w:val="zh-CN"/>
        </w:rPr>
        <w:fldChar w:fldCharType="end"/>
      </w:r>
    </w:p>
    <w:p w14:paraId="71697EBB">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_Toc13686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三、投</w:t>
      </w:r>
      <w:r>
        <w:rPr>
          <w:rFonts w:hint="eastAsia" w:ascii="仿宋" w:hAnsi="仿宋" w:eastAsia="仿宋" w:cs="仿宋"/>
          <w:bCs/>
          <w:color w:val="auto"/>
          <w:highlight w:val="none"/>
          <w:lang w:eastAsia="zh-CN"/>
        </w:rPr>
        <w:t>选</w:t>
      </w:r>
      <w:r>
        <w:rPr>
          <w:rFonts w:hint="eastAsia" w:ascii="仿宋" w:hAnsi="仿宋" w:eastAsia="仿宋" w:cs="仿宋"/>
          <w:bCs/>
          <w:color w:val="auto"/>
          <w:highlight w:val="none"/>
        </w:rPr>
        <w:t>人资格要求</w:t>
      </w:r>
      <w:r>
        <w:rPr>
          <w:color w:val="auto"/>
          <w:highlight w:val="none"/>
        </w:rPr>
        <w:tab/>
      </w:r>
      <w:r>
        <w:rPr>
          <w:color w:val="auto"/>
          <w:highlight w:val="none"/>
        </w:rPr>
        <w:fldChar w:fldCharType="begin"/>
      </w:r>
      <w:r>
        <w:rPr>
          <w:color w:val="auto"/>
          <w:highlight w:val="none"/>
        </w:rPr>
        <w:instrText xml:space="preserve"> PAGEREF _Toc13686 \h </w:instrText>
      </w:r>
      <w:r>
        <w:rPr>
          <w:color w:val="auto"/>
          <w:highlight w:val="none"/>
        </w:rPr>
        <w:fldChar w:fldCharType="separate"/>
      </w:r>
      <w:r>
        <w:rPr>
          <w:color w:val="auto"/>
          <w:highlight w:val="none"/>
        </w:rPr>
        <w:t>- 5 -</w:t>
      </w:r>
      <w:r>
        <w:rPr>
          <w:color w:val="auto"/>
          <w:highlight w:val="none"/>
        </w:rPr>
        <w:fldChar w:fldCharType="end"/>
      </w:r>
      <w:r>
        <w:rPr>
          <w:rFonts w:hint="eastAsia" w:ascii="仿宋" w:hAnsi="仿宋" w:eastAsia="仿宋" w:cs="仿宋"/>
          <w:bCs/>
          <w:color w:val="auto"/>
          <w:highlight w:val="none"/>
          <w:lang w:val="zh-CN"/>
        </w:rPr>
        <w:fldChar w:fldCharType="end"/>
      </w:r>
    </w:p>
    <w:p w14:paraId="2C7D0C2E">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_Toc9747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五、</w:t>
      </w:r>
      <w:r>
        <w:rPr>
          <w:rFonts w:hint="eastAsia" w:ascii="仿宋" w:hAnsi="仿宋" w:eastAsia="仿宋" w:cs="仿宋"/>
          <w:bCs/>
          <w:color w:val="auto"/>
          <w:highlight w:val="none"/>
          <w:lang w:eastAsia="zh-CN"/>
        </w:rPr>
        <w:t>遴选</w:t>
      </w:r>
      <w:r>
        <w:rPr>
          <w:rFonts w:hint="eastAsia" w:ascii="仿宋" w:hAnsi="仿宋" w:eastAsia="仿宋" w:cs="仿宋"/>
          <w:bCs/>
          <w:color w:val="auto"/>
          <w:highlight w:val="none"/>
        </w:rPr>
        <w:t>保证金</w:t>
      </w:r>
      <w:r>
        <w:rPr>
          <w:color w:val="auto"/>
          <w:highlight w:val="none"/>
        </w:rPr>
        <w:tab/>
      </w:r>
      <w:r>
        <w:rPr>
          <w:color w:val="auto"/>
          <w:highlight w:val="none"/>
        </w:rPr>
        <w:fldChar w:fldCharType="begin"/>
      </w:r>
      <w:r>
        <w:rPr>
          <w:color w:val="auto"/>
          <w:highlight w:val="none"/>
        </w:rPr>
        <w:instrText xml:space="preserve"> PAGEREF _Toc9747 \h </w:instrText>
      </w:r>
      <w:r>
        <w:rPr>
          <w:color w:val="auto"/>
          <w:highlight w:val="none"/>
        </w:rPr>
        <w:fldChar w:fldCharType="separate"/>
      </w:r>
      <w:r>
        <w:rPr>
          <w:color w:val="auto"/>
          <w:highlight w:val="none"/>
        </w:rPr>
        <w:t>- 7 -</w:t>
      </w:r>
      <w:r>
        <w:rPr>
          <w:color w:val="auto"/>
          <w:highlight w:val="none"/>
        </w:rPr>
        <w:fldChar w:fldCharType="end"/>
      </w:r>
      <w:r>
        <w:rPr>
          <w:rFonts w:hint="eastAsia" w:ascii="仿宋" w:hAnsi="仿宋" w:eastAsia="仿宋" w:cs="仿宋"/>
          <w:bCs/>
          <w:color w:val="auto"/>
          <w:highlight w:val="none"/>
          <w:lang w:val="zh-CN"/>
        </w:rPr>
        <w:fldChar w:fldCharType="end"/>
      </w:r>
    </w:p>
    <w:p w14:paraId="5D309CAA">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_Toc3195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lang w:val="en-US" w:eastAsia="zh-CN"/>
        </w:rPr>
        <w:t>六</w:t>
      </w:r>
      <w:r>
        <w:rPr>
          <w:rFonts w:hint="eastAsia" w:ascii="仿宋" w:hAnsi="仿宋" w:eastAsia="仿宋" w:cs="仿宋"/>
          <w:bCs/>
          <w:color w:val="auto"/>
          <w:highlight w:val="none"/>
        </w:rPr>
        <w:t>、其他有关规定</w:t>
      </w:r>
      <w:r>
        <w:rPr>
          <w:color w:val="auto"/>
          <w:highlight w:val="none"/>
        </w:rPr>
        <w:tab/>
      </w:r>
      <w:r>
        <w:rPr>
          <w:color w:val="auto"/>
          <w:highlight w:val="none"/>
        </w:rPr>
        <w:fldChar w:fldCharType="begin"/>
      </w:r>
      <w:r>
        <w:rPr>
          <w:color w:val="auto"/>
          <w:highlight w:val="none"/>
        </w:rPr>
        <w:instrText xml:space="preserve"> PAGEREF _Toc3195 \h </w:instrText>
      </w:r>
      <w:r>
        <w:rPr>
          <w:color w:val="auto"/>
          <w:highlight w:val="none"/>
        </w:rPr>
        <w:fldChar w:fldCharType="separate"/>
      </w:r>
      <w:r>
        <w:rPr>
          <w:color w:val="auto"/>
          <w:highlight w:val="none"/>
        </w:rPr>
        <w:t>- 7 -</w:t>
      </w:r>
      <w:r>
        <w:rPr>
          <w:color w:val="auto"/>
          <w:highlight w:val="none"/>
        </w:rPr>
        <w:fldChar w:fldCharType="end"/>
      </w:r>
      <w:r>
        <w:rPr>
          <w:rFonts w:hint="eastAsia" w:ascii="仿宋" w:hAnsi="仿宋" w:eastAsia="仿宋" w:cs="仿宋"/>
          <w:bCs/>
          <w:color w:val="auto"/>
          <w:highlight w:val="none"/>
          <w:lang w:val="zh-CN"/>
        </w:rPr>
        <w:fldChar w:fldCharType="end"/>
      </w:r>
    </w:p>
    <w:p w14:paraId="33D5264F">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_Toc3705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第二篇 项目服务要求</w:t>
      </w:r>
      <w:r>
        <w:rPr>
          <w:color w:val="auto"/>
          <w:highlight w:val="none"/>
        </w:rPr>
        <w:tab/>
      </w:r>
      <w:r>
        <w:rPr>
          <w:color w:val="auto"/>
          <w:highlight w:val="none"/>
        </w:rPr>
        <w:fldChar w:fldCharType="begin"/>
      </w:r>
      <w:r>
        <w:rPr>
          <w:color w:val="auto"/>
          <w:highlight w:val="none"/>
        </w:rPr>
        <w:instrText xml:space="preserve"> PAGEREF _Toc3705 \h </w:instrText>
      </w:r>
      <w:r>
        <w:rPr>
          <w:color w:val="auto"/>
          <w:highlight w:val="none"/>
        </w:rPr>
        <w:fldChar w:fldCharType="separate"/>
      </w:r>
      <w:r>
        <w:rPr>
          <w:color w:val="auto"/>
          <w:highlight w:val="none"/>
        </w:rPr>
        <w:t>- 9 -</w:t>
      </w:r>
      <w:r>
        <w:rPr>
          <w:color w:val="auto"/>
          <w:highlight w:val="none"/>
        </w:rPr>
        <w:fldChar w:fldCharType="end"/>
      </w:r>
      <w:r>
        <w:rPr>
          <w:rFonts w:hint="eastAsia" w:ascii="仿宋" w:hAnsi="仿宋" w:eastAsia="仿宋" w:cs="仿宋"/>
          <w:bCs/>
          <w:color w:val="auto"/>
          <w:highlight w:val="none"/>
          <w:lang w:val="zh-CN"/>
        </w:rPr>
        <w:fldChar w:fldCharType="end"/>
      </w:r>
    </w:p>
    <w:p w14:paraId="44F55B62">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_Toc3859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一、项目概况</w:t>
      </w:r>
      <w:r>
        <w:rPr>
          <w:color w:val="auto"/>
          <w:highlight w:val="none"/>
        </w:rPr>
        <w:tab/>
      </w:r>
      <w:r>
        <w:rPr>
          <w:color w:val="auto"/>
          <w:highlight w:val="none"/>
        </w:rPr>
        <w:fldChar w:fldCharType="begin"/>
      </w:r>
      <w:r>
        <w:rPr>
          <w:color w:val="auto"/>
          <w:highlight w:val="none"/>
        </w:rPr>
        <w:instrText xml:space="preserve"> PAGEREF _Toc3859 \h </w:instrText>
      </w:r>
      <w:r>
        <w:rPr>
          <w:color w:val="auto"/>
          <w:highlight w:val="none"/>
        </w:rPr>
        <w:fldChar w:fldCharType="separate"/>
      </w:r>
      <w:r>
        <w:rPr>
          <w:color w:val="auto"/>
          <w:highlight w:val="none"/>
        </w:rPr>
        <w:t>- 9 -</w:t>
      </w:r>
      <w:r>
        <w:rPr>
          <w:color w:val="auto"/>
          <w:highlight w:val="none"/>
        </w:rPr>
        <w:fldChar w:fldCharType="end"/>
      </w:r>
      <w:r>
        <w:rPr>
          <w:rFonts w:hint="eastAsia" w:ascii="仿宋" w:hAnsi="仿宋" w:eastAsia="仿宋" w:cs="仿宋"/>
          <w:bCs/>
          <w:color w:val="auto"/>
          <w:highlight w:val="none"/>
          <w:lang w:val="zh-CN"/>
        </w:rPr>
        <w:fldChar w:fldCharType="end"/>
      </w:r>
    </w:p>
    <w:p w14:paraId="7043153E">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_Toc18166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szCs w:val="28"/>
          <w:highlight w:val="none"/>
        </w:rPr>
        <w:t>二、 联合运营及服务要求</w:t>
      </w:r>
      <w:r>
        <w:rPr>
          <w:color w:val="auto"/>
          <w:highlight w:val="none"/>
        </w:rPr>
        <w:tab/>
      </w:r>
      <w:r>
        <w:rPr>
          <w:color w:val="auto"/>
          <w:highlight w:val="none"/>
        </w:rPr>
        <w:fldChar w:fldCharType="begin"/>
      </w:r>
      <w:r>
        <w:rPr>
          <w:color w:val="auto"/>
          <w:highlight w:val="none"/>
        </w:rPr>
        <w:instrText xml:space="preserve"> PAGEREF _Toc18166 \h </w:instrText>
      </w:r>
      <w:r>
        <w:rPr>
          <w:color w:val="auto"/>
          <w:highlight w:val="none"/>
        </w:rPr>
        <w:fldChar w:fldCharType="separate"/>
      </w:r>
      <w:r>
        <w:rPr>
          <w:color w:val="auto"/>
          <w:highlight w:val="none"/>
        </w:rPr>
        <w:t>- 9 -</w:t>
      </w:r>
      <w:r>
        <w:rPr>
          <w:color w:val="auto"/>
          <w:highlight w:val="none"/>
        </w:rPr>
        <w:fldChar w:fldCharType="end"/>
      </w:r>
      <w:r>
        <w:rPr>
          <w:rFonts w:hint="eastAsia" w:ascii="仿宋" w:hAnsi="仿宋" w:eastAsia="仿宋" w:cs="仿宋"/>
          <w:bCs/>
          <w:color w:val="auto"/>
          <w:highlight w:val="none"/>
          <w:lang w:val="zh-CN"/>
        </w:rPr>
        <w:fldChar w:fldCharType="end"/>
      </w:r>
    </w:p>
    <w:p w14:paraId="584767F9">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_Toc18920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highlight w:val="none"/>
        </w:rPr>
        <w:t>第三篇  项目商务要求</w:t>
      </w:r>
      <w:r>
        <w:rPr>
          <w:color w:val="auto"/>
          <w:highlight w:val="none"/>
        </w:rPr>
        <w:tab/>
      </w:r>
      <w:r>
        <w:rPr>
          <w:color w:val="auto"/>
          <w:highlight w:val="none"/>
        </w:rPr>
        <w:fldChar w:fldCharType="begin"/>
      </w:r>
      <w:r>
        <w:rPr>
          <w:color w:val="auto"/>
          <w:highlight w:val="none"/>
        </w:rPr>
        <w:instrText xml:space="preserve"> PAGEREF _Toc18920 \h </w:instrText>
      </w:r>
      <w:r>
        <w:rPr>
          <w:color w:val="auto"/>
          <w:highlight w:val="none"/>
        </w:rPr>
        <w:fldChar w:fldCharType="separate"/>
      </w:r>
      <w:r>
        <w:rPr>
          <w:color w:val="auto"/>
          <w:highlight w:val="none"/>
        </w:rPr>
        <w:t>- 17 -</w:t>
      </w:r>
      <w:r>
        <w:rPr>
          <w:color w:val="auto"/>
          <w:highlight w:val="none"/>
        </w:rPr>
        <w:fldChar w:fldCharType="end"/>
      </w:r>
      <w:r>
        <w:rPr>
          <w:rFonts w:hint="eastAsia" w:ascii="仿宋" w:hAnsi="仿宋" w:eastAsia="仿宋" w:cs="仿宋"/>
          <w:bCs/>
          <w:color w:val="auto"/>
          <w:highlight w:val="none"/>
          <w:lang w:val="zh-CN"/>
        </w:rPr>
        <w:fldChar w:fldCharType="end"/>
      </w:r>
    </w:p>
    <w:p w14:paraId="3941EBB1">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_Toc31285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一、服务期、地点及验收方式</w:t>
      </w:r>
      <w:r>
        <w:rPr>
          <w:color w:val="auto"/>
          <w:highlight w:val="none"/>
        </w:rPr>
        <w:tab/>
      </w:r>
      <w:r>
        <w:rPr>
          <w:color w:val="auto"/>
          <w:highlight w:val="none"/>
        </w:rPr>
        <w:fldChar w:fldCharType="begin"/>
      </w:r>
      <w:r>
        <w:rPr>
          <w:color w:val="auto"/>
          <w:highlight w:val="none"/>
        </w:rPr>
        <w:instrText xml:space="preserve"> PAGEREF _Toc31285 \h </w:instrText>
      </w:r>
      <w:r>
        <w:rPr>
          <w:color w:val="auto"/>
          <w:highlight w:val="none"/>
        </w:rPr>
        <w:fldChar w:fldCharType="separate"/>
      </w:r>
      <w:r>
        <w:rPr>
          <w:color w:val="auto"/>
          <w:highlight w:val="none"/>
        </w:rPr>
        <w:t>- 17 -</w:t>
      </w:r>
      <w:r>
        <w:rPr>
          <w:color w:val="auto"/>
          <w:highlight w:val="none"/>
        </w:rPr>
        <w:fldChar w:fldCharType="end"/>
      </w:r>
      <w:r>
        <w:rPr>
          <w:rFonts w:hint="eastAsia" w:ascii="仿宋" w:hAnsi="仿宋" w:eastAsia="仿宋" w:cs="仿宋"/>
          <w:bCs/>
          <w:color w:val="auto"/>
          <w:highlight w:val="none"/>
          <w:lang w:val="zh-CN"/>
        </w:rPr>
        <w:fldChar w:fldCharType="end"/>
      </w:r>
    </w:p>
    <w:p w14:paraId="4C59E9E2">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_Toc21266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lang w:eastAsia="zh-CN"/>
        </w:rPr>
        <w:t>二</w:t>
      </w:r>
      <w:r>
        <w:rPr>
          <w:rFonts w:hint="eastAsia" w:ascii="仿宋" w:hAnsi="仿宋" w:eastAsia="仿宋" w:cs="仿宋"/>
          <w:bCs/>
          <w:color w:val="auto"/>
          <w:highlight w:val="none"/>
        </w:rPr>
        <w:t>、</w:t>
      </w:r>
      <w:r>
        <w:rPr>
          <w:rFonts w:hint="eastAsia"/>
          <w:color w:val="auto"/>
          <w:highlight w:val="none"/>
        </w:rPr>
        <w:t>结算及营业收入提取方式</w:t>
      </w:r>
      <w:r>
        <w:rPr>
          <w:color w:val="auto"/>
          <w:highlight w:val="none"/>
        </w:rPr>
        <w:tab/>
      </w:r>
      <w:r>
        <w:rPr>
          <w:color w:val="auto"/>
          <w:highlight w:val="none"/>
        </w:rPr>
        <w:fldChar w:fldCharType="begin"/>
      </w:r>
      <w:r>
        <w:rPr>
          <w:color w:val="auto"/>
          <w:highlight w:val="none"/>
        </w:rPr>
        <w:instrText xml:space="preserve"> PAGEREF _Toc21266 \h </w:instrText>
      </w:r>
      <w:r>
        <w:rPr>
          <w:color w:val="auto"/>
          <w:highlight w:val="none"/>
        </w:rPr>
        <w:fldChar w:fldCharType="separate"/>
      </w:r>
      <w:r>
        <w:rPr>
          <w:color w:val="auto"/>
          <w:highlight w:val="none"/>
        </w:rPr>
        <w:t>- 18 -</w:t>
      </w:r>
      <w:r>
        <w:rPr>
          <w:color w:val="auto"/>
          <w:highlight w:val="none"/>
        </w:rPr>
        <w:fldChar w:fldCharType="end"/>
      </w:r>
      <w:r>
        <w:rPr>
          <w:rFonts w:hint="eastAsia" w:ascii="仿宋" w:hAnsi="仿宋" w:eastAsia="仿宋" w:cs="仿宋"/>
          <w:bCs/>
          <w:color w:val="auto"/>
          <w:highlight w:val="none"/>
          <w:lang w:val="zh-CN"/>
        </w:rPr>
        <w:fldChar w:fldCharType="end"/>
      </w:r>
    </w:p>
    <w:p w14:paraId="09A42444">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_Toc2972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szCs w:val="24"/>
          <w:highlight w:val="none"/>
          <w:lang w:eastAsia="zh-CN"/>
        </w:rPr>
        <w:t>三、</w:t>
      </w:r>
      <w:r>
        <w:rPr>
          <w:rFonts w:hint="eastAsia"/>
          <w:color w:val="auto"/>
          <w:highlight w:val="none"/>
        </w:rPr>
        <w:t>履约保证金</w:t>
      </w:r>
      <w:r>
        <w:rPr>
          <w:color w:val="auto"/>
          <w:highlight w:val="none"/>
        </w:rPr>
        <w:tab/>
      </w:r>
      <w:r>
        <w:rPr>
          <w:color w:val="auto"/>
          <w:highlight w:val="none"/>
        </w:rPr>
        <w:fldChar w:fldCharType="begin"/>
      </w:r>
      <w:r>
        <w:rPr>
          <w:color w:val="auto"/>
          <w:highlight w:val="none"/>
        </w:rPr>
        <w:instrText xml:space="preserve"> PAGEREF _Toc2972 \h </w:instrText>
      </w:r>
      <w:r>
        <w:rPr>
          <w:color w:val="auto"/>
          <w:highlight w:val="none"/>
        </w:rPr>
        <w:fldChar w:fldCharType="separate"/>
      </w:r>
      <w:r>
        <w:rPr>
          <w:color w:val="auto"/>
          <w:highlight w:val="none"/>
        </w:rPr>
        <w:t>- 19 -</w:t>
      </w:r>
      <w:r>
        <w:rPr>
          <w:color w:val="auto"/>
          <w:highlight w:val="none"/>
        </w:rPr>
        <w:fldChar w:fldCharType="end"/>
      </w:r>
      <w:r>
        <w:rPr>
          <w:rFonts w:hint="eastAsia" w:ascii="仿宋" w:hAnsi="仿宋" w:eastAsia="仿宋" w:cs="仿宋"/>
          <w:bCs/>
          <w:color w:val="auto"/>
          <w:highlight w:val="none"/>
          <w:lang w:val="zh-CN"/>
        </w:rPr>
        <w:fldChar w:fldCharType="end"/>
      </w:r>
    </w:p>
    <w:p w14:paraId="0B978730">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_Toc22350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第四篇  评审标准</w:t>
      </w:r>
      <w:r>
        <w:rPr>
          <w:color w:val="auto"/>
          <w:highlight w:val="none"/>
        </w:rPr>
        <w:tab/>
      </w:r>
      <w:r>
        <w:rPr>
          <w:color w:val="auto"/>
          <w:highlight w:val="none"/>
        </w:rPr>
        <w:fldChar w:fldCharType="begin"/>
      </w:r>
      <w:r>
        <w:rPr>
          <w:color w:val="auto"/>
          <w:highlight w:val="none"/>
        </w:rPr>
        <w:instrText xml:space="preserve"> PAGEREF _Toc22350 \h </w:instrText>
      </w:r>
      <w:r>
        <w:rPr>
          <w:color w:val="auto"/>
          <w:highlight w:val="none"/>
        </w:rPr>
        <w:fldChar w:fldCharType="separate"/>
      </w:r>
      <w:r>
        <w:rPr>
          <w:color w:val="auto"/>
          <w:highlight w:val="none"/>
        </w:rPr>
        <w:t>- 20 -</w:t>
      </w:r>
      <w:r>
        <w:rPr>
          <w:color w:val="auto"/>
          <w:highlight w:val="none"/>
        </w:rPr>
        <w:fldChar w:fldCharType="end"/>
      </w:r>
      <w:r>
        <w:rPr>
          <w:rFonts w:hint="eastAsia" w:ascii="仿宋" w:hAnsi="仿宋" w:eastAsia="仿宋" w:cs="仿宋"/>
          <w:bCs/>
          <w:color w:val="auto"/>
          <w:highlight w:val="none"/>
          <w:lang w:val="zh-CN"/>
        </w:rPr>
        <w:fldChar w:fldCharType="end"/>
      </w:r>
    </w:p>
    <w:p w14:paraId="4C462937">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_Toc6200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一、</w:t>
      </w:r>
      <w:r>
        <w:rPr>
          <w:rFonts w:hint="eastAsia" w:ascii="仿宋" w:hAnsi="仿宋" w:eastAsia="仿宋" w:cs="仿宋"/>
          <w:bCs/>
          <w:color w:val="auto"/>
          <w:highlight w:val="none"/>
          <w:lang w:eastAsia="zh-CN"/>
        </w:rPr>
        <w:t>遴选</w:t>
      </w:r>
      <w:r>
        <w:rPr>
          <w:rFonts w:hint="eastAsia" w:ascii="仿宋" w:hAnsi="仿宋" w:eastAsia="仿宋" w:cs="仿宋"/>
          <w:bCs/>
          <w:color w:val="auto"/>
          <w:highlight w:val="none"/>
        </w:rPr>
        <w:t>程序及方法</w:t>
      </w:r>
      <w:r>
        <w:rPr>
          <w:color w:val="auto"/>
          <w:highlight w:val="none"/>
        </w:rPr>
        <w:tab/>
      </w:r>
      <w:r>
        <w:rPr>
          <w:color w:val="auto"/>
          <w:highlight w:val="none"/>
        </w:rPr>
        <w:fldChar w:fldCharType="begin"/>
      </w:r>
      <w:r>
        <w:rPr>
          <w:color w:val="auto"/>
          <w:highlight w:val="none"/>
        </w:rPr>
        <w:instrText xml:space="preserve"> PAGEREF _Toc6200 \h </w:instrText>
      </w:r>
      <w:r>
        <w:rPr>
          <w:color w:val="auto"/>
          <w:highlight w:val="none"/>
        </w:rPr>
        <w:fldChar w:fldCharType="separate"/>
      </w:r>
      <w:r>
        <w:rPr>
          <w:color w:val="auto"/>
          <w:highlight w:val="none"/>
        </w:rPr>
        <w:t>- 20 -</w:t>
      </w:r>
      <w:r>
        <w:rPr>
          <w:color w:val="auto"/>
          <w:highlight w:val="none"/>
        </w:rPr>
        <w:fldChar w:fldCharType="end"/>
      </w:r>
      <w:r>
        <w:rPr>
          <w:rFonts w:hint="eastAsia" w:ascii="仿宋" w:hAnsi="仿宋" w:eastAsia="仿宋" w:cs="仿宋"/>
          <w:bCs/>
          <w:color w:val="auto"/>
          <w:highlight w:val="none"/>
          <w:lang w:val="zh-CN"/>
        </w:rPr>
        <w:fldChar w:fldCharType="end"/>
      </w:r>
    </w:p>
    <w:p w14:paraId="52F7618C">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_Toc7594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三、无效响应</w:t>
      </w:r>
      <w:r>
        <w:rPr>
          <w:color w:val="auto"/>
          <w:highlight w:val="none"/>
        </w:rPr>
        <w:tab/>
      </w:r>
      <w:r>
        <w:rPr>
          <w:color w:val="auto"/>
          <w:highlight w:val="none"/>
        </w:rPr>
        <w:fldChar w:fldCharType="begin"/>
      </w:r>
      <w:r>
        <w:rPr>
          <w:color w:val="auto"/>
          <w:highlight w:val="none"/>
        </w:rPr>
        <w:instrText xml:space="preserve"> PAGEREF _Toc7594 \h </w:instrText>
      </w:r>
      <w:r>
        <w:rPr>
          <w:color w:val="auto"/>
          <w:highlight w:val="none"/>
        </w:rPr>
        <w:fldChar w:fldCharType="separate"/>
      </w:r>
      <w:r>
        <w:rPr>
          <w:color w:val="auto"/>
          <w:highlight w:val="none"/>
        </w:rPr>
        <w:t>- 28 -</w:t>
      </w:r>
      <w:r>
        <w:rPr>
          <w:color w:val="auto"/>
          <w:highlight w:val="none"/>
        </w:rPr>
        <w:fldChar w:fldCharType="end"/>
      </w:r>
      <w:r>
        <w:rPr>
          <w:rFonts w:hint="eastAsia" w:ascii="仿宋" w:hAnsi="仿宋" w:eastAsia="仿宋" w:cs="仿宋"/>
          <w:bCs/>
          <w:color w:val="auto"/>
          <w:highlight w:val="none"/>
          <w:lang w:val="zh-CN"/>
        </w:rPr>
        <w:fldChar w:fldCharType="end"/>
      </w:r>
    </w:p>
    <w:p w14:paraId="23110A28">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_Toc22575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四、采购终止</w:t>
      </w:r>
      <w:r>
        <w:rPr>
          <w:color w:val="auto"/>
          <w:highlight w:val="none"/>
        </w:rPr>
        <w:tab/>
      </w:r>
      <w:r>
        <w:rPr>
          <w:color w:val="auto"/>
          <w:highlight w:val="none"/>
        </w:rPr>
        <w:fldChar w:fldCharType="begin"/>
      </w:r>
      <w:r>
        <w:rPr>
          <w:color w:val="auto"/>
          <w:highlight w:val="none"/>
        </w:rPr>
        <w:instrText xml:space="preserve"> PAGEREF _Toc22575 \h </w:instrText>
      </w:r>
      <w:r>
        <w:rPr>
          <w:color w:val="auto"/>
          <w:highlight w:val="none"/>
        </w:rPr>
        <w:fldChar w:fldCharType="separate"/>
      </w:r>
      <w:r>
        <w:rPr>
          <w:color w:val="auto"/>
          <w:highlight w:val="none"/>
        </w:rPr>
        <w:t>- 28 -</w:t>
      </w:r>
      <w:r>
        <w:rPr>
          <w:color w:val="auto"/>
          <w:highlight w:val="none"/>
        </w:rPr>
        <w:fldChar w:fldCharType="end"/>
      </w:r>
      <w:r>
        <w:rPr>
          <w:rFonts w:hint="eastAsia" w:ascii="仿宋" w:hAnsi="仿宋" w:eastAsia="仿宋" w:cs="仿宋"/>
          <w:bCs/>
          <w:color w:val="auto"/>
          <w:highlight w:val="none"/>
          <w:lang w:val="zh-CN"/>
        </w:rPr>
        <w:fldChar w:fldCharType="end"/>
      </w:r>
    </w:p>
    <w:p w14:paraId="77CCA52A">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_Toc7620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第五篇  供应商须知</w:t>
      </w:r>
      <w:r>
        <w:rPr>
          <w:color w:val="auto"/>
          <w:highlight w:val="none"/>
        </w:rPr>
        <w:tab/>
      </w:r>
      <w:r>
        <w:rPr>
          <w:color w:val="auto"/>
          <w:highlight w:val="none"/>
        </w:rPr>
        <w:fldChar w:fldCharType="begin"/>
      </w:r>
      <w:r>
        <w:rPr>
          <w:color w:val="auto"/>
          <w:highlight w:val="none"/>
        </w:rPr>
        <w:instrText xml:space="preserve"> PAGEREF _Toc7620 \h </w:instrText>
      </w:r>
      <w:r>
        <w:rPr>
          <w:color w:val="auto"/>
          <w:highlight w:val="none"/>
        </w:rPr>
        <w:fldChar w:fldCharType="separate"/>
      </w:r>
      <w:r>
        <w:rPr>
          <w:color w:val="auto"/>
          <w:highlight w:val="none"/>
        </w:rPr>
        <w:t>- 29 -</w:t>
      </w:r>
      <w:r>
        <w:rPr>
          <w:color w:val="auto"/>
          <w:highlight w:val="none"/>
        </w:rPr>
        <w:fldChar w:fldCharType="end"/>
      </w:r>
      <w:r>
        <w:rPr>
          <w:rFonts w:hint="eastAsia" w:ascii="仿宋" w:hAnsi="仿宋" w:eastAsia="仿宋" w:cs="仿宋"/>
          <w:bCs/>
          <w:color w:val="auto"/>
          <w:highlight w:val="none"/>
          <w:lang w:val="zh-CN"/>
        </w:rPr>
        <w:fldChar w:fldCharType="end"/>
      </w:r>
    </w:p>
    <w:p w14:paraId="580EF7CE">
      <w:pPr>
        <w:pStyle w:val="9"/>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_Toc11403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szCs w:val="24"/>
          <w:highlight w:val="none"/>
        </w:rPr>
        <w:t>一、</w:t>
      </w:r>
      <w:r>
        <w:rPr>
          <w:rFonts w:hint="eastAsia" w:ascii="仿宋" w:hAnsi="仿宋" w:eastAsia="仿宋" w:cs="仿宋"/>
          <w:color w:val="auto"/>
          <w:szCs w:val="24"/>
          <w:highlight w:val="none"/>
          <w:lang w:eastAsia="zh-CN"/>
        </w:rPr>
        <w:t>遴选</w:t>
      </w:r>
      <w:r>
        <w:rPr>
          <w:rFonts w:hint="eastAsia" w:ascii="仿宋" w:hAnsi="仿宋" w:eastAsia="仿宋" w:cs="仿宋"/>
          <w:color w:val="auto"/>
          <w:szCs w:val="24"/>
          <w:highlight w:val="none"/>
        </w:rPr>
        <w:t>费用</w:t>
      </w:r>
      <w:r>
        <w:rPr>
          <w:color w:val="auto"/>
          <w:highlight w:val="none"/>
        </w:rPr>
        <w:tab/>
      </w:r>
      <w:r>
        <w:rPr>
          <w:color w:val="auto"/>
          <w:highlight w:val="none"/>
        </w:rPr>
        <w:fldChar w:fldCharType="begin"/>
      </w:r>
      <w:r>
        <w:rPr>
          <w:color w:val="auto"/>
          <w:highlight w:val="none"/>
        </w:rPr>
        <w:instrText xml:space="preserve"> PAGEREF _Toc11403 \h </w:instrText>
      </w:r>
      <w:r>
        <w:rPr>
          <w:color w:val="auto"/>
          <w:highlight w:val="none"/>
        </w:rPr>
        <w:fldChar w:fldCharType="separate"/>
      </w:r>
      <w:r>
        <w:rPr>
          <w:color w:val="auto"/>
          <w:highlight w:val="none"/>
        </w:rPr>
        <w:t>- 29 -</w:t>
      </w:r>
      <w:r>
        <w:rPr>
          <w:color w:val="auto"/>
          <w:highlight w:val="none"/>
        </w:rPr>
        <w:fldChar w:fldCharType="end"/>
      </w:r>
      <w:r>
        <w:rPr>
          <w:rFonts w:hint="eastAsia" w:ascii="仿宋" w:hAnsi="仿宋" w:eastAsia="仿宋" w:cs="仿宋"/>
          <w:bCs/>
          <w:color w:val="auto"/>
          <w:highlight w:val="none"/>
          <w:lang w:val="zh-CN"/>
        </w:rPr>
        <w:fldChar w:fldCharType="end"/>
      </w:r>
    </w:p>
    <w:p w14:paraId="4948B919">
      <w:pPr>
        <w:pStyle w:val="9"/>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_Toc25808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szCs w:val="24"/>
          <w:highlight w:val="none"/>
        </w:rPr>
        <w:t>二、</w:t>
      </w:r>
      <w:r>
        <w:rPr>
          <w:rFonts w:hint="eastAsia" w:ascii="仿宋" w:hAnsi="仿宋" w:eastAsia="仿宋" w:cs="仿宋"/>
          <w:color w:val="auto"/>
          <w:szCs w:val="24"/>
          <w:highlight w:val="none"/>
          <w:lang w:eastAsia="zh-CN"/>
        </w:rPr>
        <w:t>公开遴选</w:t>
      </w:r>
      <w:r>
        <w:rPr>
          <w:rFonts w:hint="eastAsia" w:ascii="仿宋" w:hAnsi="仿宋" w:eastAsia="仿宋" w:cs="仿宋"/>
          <w:color w:val="auto"/>
          <w:szCs w:val="24"/>
          <w:highlight w:val="none"/>
        </w:rPr>
        <w:t>文件</w:t>
      </w:r>
      <w:r>
        <w:rPr>
          <w:color w:val="auto"/>
          <w:highlight w:val="none"/>
        </w:rPr>
        <w:tab/>
      </w:r>
      <w:r>
        <w:rPr>
          <w:color w:val="auto"/>
          <w:highlight w:val="none"/>
        </w:rPr>
        <w:fldChar w:fldCharType="begin"/>
      </w:r>
      <w:r>
        <w:rPr>
          <w:color w:val="auto"/>
          <w:highlight w:val="none"/>
        </w:rPr>
        <w:instrText xml:space="preserve"> PAGEREF _Toc25808 \h </w:instrText>
      </w:r>
      <w:r>
        <w:rPr>
          <w:color w:val="auto"/>
          <w:highlight w:val="none"/>
        </w:rPr>
        <w:fldChar w:fldCharType="separate"/>
      </w:r>
      <w:r>
        <w:rPr>
          <w:color w:val="auto"/>
          <w:highlight w:val="none"/>
        </w:rPr>
        <w:t>- 29 -</w:t>
      </w:r>
      <w:r>
        <w:rPr>
          <w:color w:val="auto"/>
          <w:highlight w:val="none"/>
        </w:rPr>
        <w:fldChar w:fldCharType="end"/>
      </w:r>
      <w:r>
        <w:rPr>
          <w:rFonts w:hint="eastAsia" w:ascii="仿宋" w:hAnsi="仿宋" w:eastAsia="仿宋" w:cs="仿宋"/>
          <w:bCs/>
          <w:color w:val="auto"/>
          <w:highlight w:val="none"/>
          <w:lang w:val="zh-CN"/>
        </w:rPr>
        <w:fldChar w:fldCharType="end"/>
      </w:r>
    </w:p>
    <w:p w14:paraId="0639C433">
      <w:pPr>
        <w:pStyle w:val="9"/>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_Toc17569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szCs w:val="24"/>
          <w:highlight w:val="none"/>
        </w:rPr>
        <w:t>三、</w:t>
      </w:r>
      <w:r>
        <w:rPr>
          <w:rFonts w:hint="eastAsia" w:ascii="仿宋" w:hAnsi="仿宋" w:eastAsia="仿宋" w:cs="仿宋"/>
          <w:color w:val="auto"/>
          <w:szCs w:val="24"/>
          <w:highlight w:val="none"/>
          <w:lang w:eastAsia="zh-CN"/>
        </w:rPr>
        <w:t>遴选</w:t>
      </w:r>
      <w:r>
        <w:rPr>
          <w:rFonts w:hint="eastAsia" w:ascii="仿宋" w:hAnsi="仿宋" w:eastAsia="仿宋" w:cs="仿宋"/>
          <w:color w:val="auto"/>
          <w:szCs w:val="24"/>
          <w:highlight w:val="none"/>
        </w:rPr>
        <w:t>要求</w:t>
      </w:r>
      <w:r>
        <w:rPr>
          <w:color w:val="auto"/>
          <w:highlight w:val="none"/>
        </w:rPr>
        <w:tab/>
      </w:r>
      <w:r>
        <w:rPr>
          <w:color w:val="auto"/>
          <w:highlight w:val="none"/>
        </w:rPr>
        <w:fldChar w:fldCharType="begin"/>
      </w:r>
      <w:r>
        <w:rPr>
          <w:color w:val="auto"/>
          <w:highlight w:val="none"/>
        </w:rPr>
        <w:instrText xml:space="preserve"> PAGEREF _Toc17569 \h </w:instrText>
      </w:r>
      <w:r>
        <w:rPr>
          <w:color w:val="auto"/>
          <w:highlight w:val="none"/>
        </w:rPr>
        <w:fldChar w:fldCharType="separate"/>
      </w:r>
      <w:r>
        <w:rPr>
          <w:color w:val="auto"/>
          <w:highlight w:val="none"/>
        </w:rPr>
        <w:t>- 29 -</w:t>
      </w:r>
      <w:r>
        <w:rPr>
          <w:color w:val="auto"/>
          <w:highlight w:val="none"/>
        </w:rPr>
        <w:fldChar w:fldCharType="end"/>
      </w:r>
      <w:r>
        <w:rPr>
          <w:rFonts w:hint="eastAsia" w:ascii="仿宋" w:hAnsi="仿宋" w:eastAsia="仿宋" w:cs="仿宋"/>
          <w:bCs/>
          <w:color w:val="auto"/>
          <w:highlight w:val="none"/>
          <w:lang w:val="zh-CN"/>
        </w:rPr>
        <w:fldChar w:fldCharType="end"/>
      </w:r>
    </w:p>
    <w:p w14:paraId="1335F50C">
      <w:pPr>
        <w:pStyle w:val="9"/>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_Toc10241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szCs w:val="24"/>
          <w:highlight w:val="none"/>
        </w:rPr>
        <w:t>四、成交供应商的确认和变更</w:t>
      </w:r>
      <w:r>
        <w:rPr>
          <w:color w:val="auto"/>
          <w:highlight w:val="none"/>
        </w:rPr>
        <w:tab/>
      </w:r>
      <w:r>
        <w:rPr>
          <w:color w:val="auto"/>
          <w:highlight w:val="none"/>
        </w:rPr>
        <w:fldChar w:fldCharType="begin"/>
      </w:r>
      <w:r>
        <w:rPr>
          <w:color w:val="auto"/>
          <w:highlight w:val="none"/>
        </w:rPr>
        <w:instrText xml:space="preserve"> PAGEREF _Toc10241 \h </w:instrText>
      </w:r>
      <w:r>
        <w:rPr>
          <w:color w:val="auto"/>
          <w:highlight w:val="none"/>
        </w:rPr>
        <w:fldChar w:fldCharType="separate"/>
      </w:r>
      <w:r>
        <w:rPr>
          <w:color w:val="auto"/>
          <w:highlight w:val="none"/>
        </w:rPr>
        <w:t>- 31 -</w:t>
      </w:r>
      <w:r>
        <w:rPr>
          <w:color w:val="auto"/>
          <w:highlight w:val="none"/>
        </w:rPr>
        <w:fldChar w:fldCharType="end"/>
      </w:r>
      <w:r>
        <w:rPr>
          <w:rFonts w:hint="eastAsia" w:ascii="仿宋" w:hAnsi="仿宋" w:eastAsia="仿宋" w:cs="仿宋"/>
          <w:bCs/>
          <w:color w:val="auto"/>
          <w:highlight w:val="none"/>
          <w:lang w:val="zh-CN"/>
        </w:rPr>
        <w:fldChar w:fldCharType="end"/>
      </w:r>
    </w:p>
    <w:p w14:paraId="7DA6E26F">
      <w:pPr>
        <w:pStyle w:val="9"/>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_Toc24412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szCs w:val="24"/>
          <w:highlight w:val="none"/>
        </w:rPr>
        <w:t>五、成交通知</w:t>
      </w:r>
      <w:r>
        <w:rPr>
          <w:color w:val="auto"/>
          <w:highlight w:val="none"/>
        </w:rPr>
        <w:tab/>
      </w:r>
      <w:r>
        <w:rPr>
          <w:color w:val="auto"/>
          <w:highlight w:val="none"/>
        </w:rPr>
        <w:fldChar w:fldCharType="begin"/>
      </w:r>
      <w:r>
        <w:rPr>
          <w:color w:val="auto"/>
          <w:highlight w:val="none"/>
        </w:rPr>
        <w:instrText xml:space="preserve"> PAGEREF _Toc24412 \h </w:instrText>
      </w:r>
      <w:r>
        <w:rPr>
          <w:color w:val="auto"/>
          <w:highlight w:val="none"/>
        </w:rPr>
        <w:fldChar w:fldCharType="separate"/>
      </w:r>
      <w:r>
        <w:rPr>
          <w:color w:val="auto"/>
          <w:highlight w:val="none"/>
        </w:rPr>
        <w:t>- 31 -</w:t>
      </w:r>
      <w:r>
        <w:rPr>
          <w:color w:val="auto"/>
          <w:highlight w:val="none"/>
        </w:rPr>
        <w:fldChar w:fldCharType="end"/>
      </w:r>
      <w:r>
        <w:rPr>
          <w:rFonts w:hint="eastAsia" w:ascii="仿宋" w:hAnsi="仿宋" w:eastAsia="仿宋" w:cs="仿宋"/>
          <w:bCs/>
          <w:color w:val="auto"/>
          <w:highlight w:val="none"/>
          <w:lang w:val="zh-CN"/>
        </w:rPr>
        <w:fldChar w:fldCharType="end"/>
      </w:r>
    </w:p>
    <w:p w14:paraId="1708107C">
      <w:pPr>
        <w:pStyle w:val="9"/>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_Toc5896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szCs w:val="24"/>
          <w:highlight w:val="none"/>
        </w:rPr>
        <w:t>六、关于质疑和投诉</w:t>
      </w:r>
      <w:r>
        <w:rPr>
          <w:color w:val="auto"/>
          <w:highlight w:val="none"/>
        </w:rPr>
        <w:tab/>
      </w:r>
      <w:r>
        <w:rPr>
          <w:color w:val="auto"/>
          <w:highlight w:val="none"/>
        </w:rPr>
        <w:fldChar w:fldCharType="begin"/>
      </w:r>
      <w:r>
        <w:rPr>
          <w:color w:val="auto"/>
          <w:highlight w:val="none"/>
        </w:rPr>
        <w:instrText xml:space="preserve"> PAGEREF _Toc5896 \h </w:instrText>
      </w:r>
      <w:r>
        <w:rPr>
          <w:color w:val="auto"/>
          <w:highlight w:val="none"/>
        </w:rPr>
        <w:fldChar w:fldCharType="separate"/>
      </w:r>
      <w:r>
        <w:rPr>
          <w:color w:val="auto"/>
          <w:highlight w:val="none"/>
        </w:rPr>
        <w:t>- 31 -</w:t>
      </w:r>
      <w:r>
        <w:rPr>
          <w:color w:val="auto"/>
          <w:highlight w:val="none"/>
        </w:rPr>
        <w:fldChar w:fldCharType="end"/>
      </w:r>
      <w:r>
        <w:rPr>
          <w:rFonts w:hint="eastAsia" w:ascii="仿宋" w:hAnsi="仿宋" w:eastAsia="仿宋" w:cs="仿宋"/>
          <w:bCs/>
          <w:color w:val="auto"/>
          <w:highlight w:val="none"/>
          <w:lang w:val="zh-CN"/>
        </w:rPr>
        <w:fldChar w:fldCharType="end"/>
      </w:r>
    </w:p>
    <w:p w14:paraId="6436B9A1">
      <w:pPr>
        <w:pStyle w:val="9"/>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_Toc4149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szCs w:val="24"/>
          <w:highlight w:val="none"/>
        </w:rPr>
        <w:t>七、签订合同</w:t>
      </w:r>
      <w:r>
        <w:rPr>
          <w:color w:val="auto"/>
          <w:highlight w:val="none"/>
        </w:rPr>
        <w:tab/>
      </w:r>
      <w:r>
        <w:rPr>
          <w:color w:val="auto"/>
          <w:highlight w:val="none"/>
        </w:rPr>
        <w:fldChar w:fldCharType="begin"/>
      </w:r>
      <w:r>
        <w:rPr>
          <w:color w:val="auto"/>
          <w:highlight w:val="none"/>
        </w:rPr>
        <w:instrText xml:space="preserve"> PAGEREF _Toc4149 \h </w:instrText>
      </w:r>
      <w:r>
        <w:rPr>
          <w:color w:val="auto"/>
          <w:highlight w:val="none"/>
        </w:rPr>
        <w:fldChar w:fldCharType="separate"/>
      </w:r>
      <w:r>
        <w:rPr>
          <w:color w:val="auto"/>
          <w:highlight w:val="none"/>
        </w:rPr>
        <w:t>- 32 -</w:t>
      </w:r>
      <w:r>
        <w:rPr>
          <w:color w:val="auto"/>
          <w:highlight w:val="none"/>
        </w:rPr>
        <w:fldChar w:fldCharType="end"/>
      </w:r>
      <w:r>
        <w:rPr>
          <w:rFonts w:hint="eastAsia" w:ascii="仿宋" w:hAnsi="仿宋" w:eastAsia="仿宋" w:cs="仿宋"/>
          <w:bCs/>
          <w:color w:val="auto"/>
          <w:highlight w:val="none"/>
          <w:lang w:val="zh-CN"/>
        </w:rPr>
        <w:fldChar w:fldCharType="end"/>
      </w:r>
    </w:p>
    <w:p w14:paraId="05DE76AE">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_Toc22475 </w:instrText>
      </w:r>
      <w:r>
        <w:rPr>
          <w:rFonts w:hint="eastAsia" w:ascii="仿宋" w:hAnsi="仿宋" w:eastAsia="仿宋" w:cs="仿宋"/>
          <w:bCs/>
          <w:color w:val="auto"/>
          <w:highlight w:val="none"/>
          <w:lang w:val="zh-CN"/>
        </w:rPr>
        <w:fldChar w:fldCharType="separate"/>
      </w:r>
      <w:r>
        <w:rPr>
          <w:rFonts w:hint="eastAsia" w:ascii="仿宋" w:hAnsi="仿宋" w:eastAsia="仿宋" w:cs="仿宋"/>
          <w:bCs/>
          <w:color w:val="auto"/>
          <w:highlight w:val="none"/>
        </w:rPr>
        <w:t>第六篇  合同草案条款</w:t>
      </w:r>
      <w:r>
        <w:rPr>
          <w:color w:val="auto"/>
          <w:highlight w:val="none"/>
        </w:rPr>
        <w:tab/>
      </w:r>
      <w:r>
        <w:rPr>
          <w:color w:val="auto"/>
          <w:highlight w:val="none"/>
        </w:rPr>
        <w:fldChar w:fldCharType="begin"/>
      </w:r>
      <w:r>
        <w:rPr>
          <w:color w:val="auto"/>
          <w:highlight w:val="none"/>
        </w:rPr>
        <w:instrText xml:space="preserve"> PAGEREF _Toc22475 \h </w:instrText>
      </w:r>
      <w:r>
        <w:rPr>
          <w:color w:val="auto"/>
          <w:highlight w:val="none"/>
        </w:rPr>
        <w:fldChar w:fldCharType="separate"/>
      </w:r>
      <w:r>
        <w:rPr>
          <w:color w:val="auto"/>
          <w:highlight w:val="none"/>
        </w:rPr>
        <w:t>- 34 -</w:t>
      </w:r>
      <w:r>
        <w:rPr>
          <w:color w:val="auto"/>
          <w:highlight w:val="none"/>
        </w:rPr>
        <w:fldChar w:fldCharType="end"/>
      </w:r>
      <w:r>
        <w:rPr>
          <w:rFonts w:hint="eastAsia" w:ascii="仿宋" w:hAnsi="仿宋" w:eastAsia="仿宋" w:cs="仿宋"/>
          <w:bCs/>
          <w:color w:val="auto"/>
          <w:highlight w:val="none"/>
          <w:lang w:val="zh-CN"/>
        </w:rPr>
        <w:fldChar w:fldCharType="end"/>
      </w:r>
    </w:p>
    <w:p w14:paraId="66084C86">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_Toc27811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highlight w:val="none"/>
        </w:rPr>
        <w:t>第七篇  响应文件格式</w:t>
      </w:r>
      <w:r>
        <w:rPr>
          <w:color w:val="auto"/>
          <w:highlight w:val="none"/>
        </w:rPr>
        <w:tab/>
      </w:r>
      <w:r>
        <w:rPr>
          <w:color w:val="auto"/>
          <w:highlight w:val="none"/>
        </w:rPr>
        <w:fldChar w:fldCharType="begin"/>
      </w:r>
      <w:r>
        <w:rPr>
          <w:color w:val="auto"/>
          <w:highlight w:val="none"/>
        </w:rPr>
        <w:instrText xml:space="preserve"> PAGEREF _Toc27811 \h </w:instrText>
      </w:r>
      <w:r>
        <w:rPr>
          <w:color w:val="auto"/>
          <w:highlight w:val="none"/>
        </w:rPr>
        <w:fldChar w:fldCharType="separate"/>
      </w:r>
      <w:r>
        <w:rPr>
          <w:color w:val="auto"/>
          <w:highlight w:val="none"/>
        </w:rPr>
        <w:t>- 53 -</w:t>
      </w:r>
      <w:r>
        <w:rPr>
          <w:color w:val="auto"/>
          <w:highlight w:val="none"/>
        </w:rPr>
        <w:fldChar w:fldCharType="end"/>
      </w:r>
      <w:r>
        <w:rPr>
          <w:rFonts w:hint="eastAsia" w:ascii="仿宋" w:hAnsi="仿宋" w:eastAsia="仿宋" w:cs="仿宋"/>
          <w:bCs/>
          <w:color w:val="auto"/>
          <w:highlight w:val="none"/>
          <w:lang w:val="zh-CN"/>
        </w:rPr>
        <w:fldChar w:fldCharType="end"/>
      </w:r>
    </w:p>
    <w:p w14:paraId="5ECC7062">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_Toc7292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highlight w:val="none"/>
        </w:rPr>
        <w:t>一、 经济部分</w:t>
      </w:r>
      <w:r>
        <w:rPr>
          <w:color w:val="auto"/>
          <w:highlight w:val="none"/>
        </w:rPr>
        <w:tab/>
      </w:r>
      <w:r>
        <w:rPr>
          <w:color w:val="auto"/>
          <w:highlight w:val="none"/>
        </w:rPr>
        <w:fldChar w:fldCharType="begin"/>
      </w:r>
      <w:r>
        <w:rPr>
          <w:color w:val="auto"/>
          <w:highlight w:val="none"/>
        </w:rPr>
        <w:instrText xml:space="preserve"> PAGEREF _Toc7292 \h </w:instrText>
      </w:r>
      <w:r>
        <w:rPr>
          <w:color w:val="auto"/>
          <w:highlight w:val="none"/>
        </w:rPr>
        <w:fldChar w:fldCharType="separate"/>
      </w:r>
      <w:r>
        <w:rPr>
          <w:color w:val="auto"/>
          <w:highlight w:val="none"/>
        </w:rPr>
        <w:t>- 54 -</w:t>
      </w:r>
      <w:r>
        <w:rPr>
          <w:color w:val="auto"/>
          <w:highlight w:val="none"/>
        </w:rPr>
        <w:fldChar w:fldCharType="end"/>
      </w:r>
      <w:r>
        <w:rPr>
          <w:rFonts w:hint="eastAsia" w:ascii="仿宋" w:hAnsi="仿宋" w:eastAsia="仿宋" w:cs="仿宋"/>
          <w:bCs/>
          <w:color w:val="auto"/>
          <w:highlight w:val="none"/>
          <w:lang w:val="zh-CN"/>
        </w:rPr>
        <w:fldChar w:fldCharType="end"/>
      </w:r>
    </w:p>
    <w:p w14:paraId="12F76B2B">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_Toc28226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1</w:t>
      </w:r>
      <w:r>
        <w:rPr>
          <w:color w:val="auto"/>
          <w:highlight w:val="none"/>
        </w:rPr>
        <w:tab/>
      </w:r>
      <w:r>
        <w:rPr>
          <w:color w:val="auto"/>
          <w:highlight w:val="none"/>
        </w:rPr>
        <w:fldChar w:fldCharType="begin"/>
      </w:r>
      <w:r>
        <w:rPr>
          <w:color w:val="auto"/>
          <w:highlight w:val="none"/>
        </w:rPr>
        <w:instrText xml:space="preserve"> PAGEREF _Toc28226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71DC5455">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_Toc4019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2</w:t>
      </w:r>
      <w:r>
        <w:rPr>
          <w:color w:val="auto"/>
          <w:highlight w:val="none"/>
        </w:rPr>
        <w:tab/>
      </w:r>
      <w:r>
        <w:rPr>
          <w:color w:val="auto"/>
          <w:highlight w:val="none"/>
        </w:rPr>
        <w:fldChar w:fldCharType="begin"/>
      </w:r>
      <w:r>
        <w:rPr>
          <w:color w:val="auto"/>
          <w:highlight w:val="none"/>
        </w:rPr>
        <w:instrText xml:space="preserve"> PAGEREF _Toc4019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23906000">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_Toc30470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3</w:t>
      </w:r>
      <w:r>
        <w:rPr>
          <w:color w:val="auto"/>
          <w:highlight w:val="none"/>
        </w:rPr>
        <w:tab/>
      </w:r>
      <w:r>
        <w:rPr>
          <w:color w:val="auto"/>
          <w:highlight w:val="none"/>
        </w:rPr>
        <w:fldChar w:fldCharType="begin"/>
      </w:r>
      <w:r>
        <w:rPr>
          <w:color w:val="auto"/>
          <w:highlight w:val="none"/>
        </w:rPr>
        <w:instrText xml:space="preserve"> PAGEREF _Toc30470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79741EBE">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_Toc28235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4</w:t>
      </w:r>
      <w:r>
        <w:rPr>
          <w:color w:val="auto"/>
          <w:highlight w:val="none"/>
        </w:rPr>
        <w:tab/>
      </w:r>
      <w:r>
        <w:rPr>
          <w:color w:val="auto"/>
          <w:highlight w:val="none"/>
        </w:rPr>
        <w:fldChar w:fldCharType="begin"/>
      </w:r>
      <w:r>
        <w:rPr>
          <w:color w:val="auto"/>
          <w:highlight w:val="none"/>
        </w:rPr>
        <w:instrText xml:space="preserve"> PAGEREF _Toc28235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55ABCFE5">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_Toc4148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5</w:t>
      </w:r>
      <w:r>
        <w:rPr>
          <w:color w:val="auto"/>
          <w:highlight w:val="none"/>
        </w:rPr>
        <w:tab/>
      </w:r>
      <w:r>
        <w:rPr>
          <w:color w:val="auto"/>
          <w:highlight w:val="none"/>
        </w:rPr>
        <w:fldChar w:fldCharType="begin"/>
      </w:r>
      <w:r>
        <w:rPr>
          <w:color w:val="auto"/>
          <w:highlight w:val="none"/>
        </w:rPr>
        <w:instrText xml:space="preserve"> PAGEREF _Toc4148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62D86E4B">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_Toc9472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6</w:t>
      </w:r>
      <w:r>
        <w:rPr>
          <w:color w:val="auto"/>
          <w:highlight w:val="none"/>
        </w:rPr>
        <w:tab/>
      </w:r>
      <w:r>
        <w:rPr>
          <w:color w:val="auto"/>
          <w:highlight w:val="none"/>
        </w:rPr>
        <w:fldChar w:fldCharType="begin"/>
      </w:r>
      <w:r>
        <w:rPr>
          <w:color w:val="auto"/>
          <w:highlight w:val="none"/>
        </w:rPr>
        <w:instrText xml:space="preserve"> PAGEREF _Toc9472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0F777142">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_Toc505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7</w:t>
      </w:r>
      <w:r>
        <w:rPr>
          <w:color w:val="auto"/>
          <w:highlight w:val="none"/>
        </w:rPr>
        <w:tab/>
      </w:r>
      <w:r>
        <w:rPr>
          <w:color w:val="auto"/>
          <w:highlight w:val="none"/>
        </w:rPr>
        <w:fldChar w:fldCharType="begin"/>
      </w:r>
      <w:r>
        <w:rPr>
          <w:color w:val="auto"/>
          <w:highlight w:val="none"/>
        </w:rPr>
        <w:instrText xml:space="preserve"> PAGEREF _Toc505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1633E531">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_Toc14371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8</w:t>
      </w:r>
      <w:r>
        <w:rPr>
          <w:color w:val="auto"/>
          <w:highlight w:val="none"/>
        </w:rPr>
        <w:tab/>
      </w:r>
      <w:r>
        <w:rPr>
          <w:color w:val="auto"/>
          <w:highlight w:val="none"/>
        </w:rPr>
        <w:fldChar w:fldCharType="begin"/>
      </w:r>
      <w:r>
        <w:rPr>
          <w:color w:val="auto"/>
          <w:highlight w:val="none"/>
        </w:rPr>
        <w:instrText xml:space="preserve"> PAGEREF _Toc14371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13FB8195">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_Toc4307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9</w:t>
      </w:r>
      <w:r>
        <w:rPr>
          <w:color w:val="auto"/>
          <w:highlight w:val="none"/>
        </w:rPr>
        <w:tab/>
      </w:r>
      <w:r>
        <w:rPr>
          <w:color w:val="auto"/>
          <w:highlight w:val="none"/>
        </w:rPr>
        <w:fldChar w:fldCharType="begin"/>
      </w:r>
      <w:r>
        <w:rPr>
          <w:color w:val="auto"/>
          <w:highlight w:val="none"/>
        </w:rPr>
        <w:instrText xml:space="preserve"> PAGEREF _Toc4307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49EDEA9D">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_Toc11753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10</w:t>
      </w:r>
      <w:r>
        <w:rPr>
          <w:color w:val="auto"/>
          <w:highlight w:val="none"/>
        </w:rPr>
        <w:tab/>
      </w:r>
      <w:r>
        <w:rPr>
          <w:color w:val="auto"/>
          <w:highlight w:val="none"/>
        </w:rPr>
        <w:fldChar w:fldCharType="begin"/>
      </w:r>
      <w:r>
        <w:rPr>
          <w:color w:val="auto"/>
          <w:highlight w:val="none"/>
        </w:rPr>
        <w:instrText xml:space="preserve"> PAGEREF _Toc11753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04D49D68">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_Toc22313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11</w:t>
      </w:r>
      <w:r>
        <w:rPr>
          <w:color w:val="auto"/>
          <w:highlight w:val="none"/>
        </w:rPr>
        <w:tab/>
      </w:r>
      <w:r>
        <w:rPr>
          <w:color w:val="auto"/>
          <w:highlight w:val="none"/>
        </w:rPr>
        <w:fldChar w:fldCharType="begin"/>
      </w:r>
      <w:r>
        <w:rPr>
          <w:color w:val="auto"/>
          <w:highlight w:val="none"/>
        </w:rPr>
        <w:instrText xml:space="preserve"> PAGEREF _Toc22313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0E4246AF">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_Toc14354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合计</w:t>
      </w:r>
      <w:r>
        <w:rPr>
          <w:color w:val="auto"/>
          <w:highlight w:val="none"/>
        </w:rPr>
        <w:tab/>
      </w:r>
      <w:r>
        <w:rPr>
          <w:color w:val="auto"/>
          <w:highlight w:val="none"/>
        </w:rPr>
        <w:fldChar w:fldCharType="begin"/>
      </w:r>
      <w:r>
        <w:rPr>
          <w:color w:val="auto"/>
          <w:highlight w:val="none"/>
        </w:rPr>
        <w:instrText xml:space="preserve"> PAGEREF _Toc14354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02506808">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_Toc9416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1</w:t>
      </w:r>
      <w:r>
        <w:rPr>
          <w:color w:val="auto"/>
          <w:highlight w:val="none"/>
        </w:rPr>
        <w:tab/>
      </w:r>
      <w:r>
        <w:rPr>
          <w:color w:val="auto"/>
          <w:highlight w:val="none"/>
        </w:rPr>
        <w:fldChar w:fldCharType="begin"/>
      </w:r>
      <w:r>
        <w:rPr>
          <w:color w:val="auto"/>
          <w:highlight w:val="none"/>
        </w:rPr>
        <w:instrText xml:space="preserve"> PAGEREF _Toc9416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331D34A4">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_Toc7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2</w:t>
      </w:r>
      <w:r>
        <w:rPr>
          <w:color w:val="auto"/>
          <w:highlight w:val="none"/>
        </w:rPr>
        <w:tab/>
      </w:r>
      <w:r>
        <w:rPr>
          <w:color w:val="auto"/>
          <w:highlight w:val="none"/>
        </w:rPr>
        <w:fldChar w:fldCharType="begin"/>
      </w:r>
      <w:r>
        <w:rPr>
          <w:color w:val="auto"/>
          <w:highlight w:val="none"/>
        </w:rPr>
        <w:instrText xml:space="preserve"> PAGEREF _Toc7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04DBF79F">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_Toc23323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3</w:t>
      </w:r>
      <w:r>
        <w:rPr>
          <w:color w:val="auto"/>
          <w:highlight w:val="none"/>
        </w:rPr>
        <w:tab/>
      </w:r>
      <w:r>
        <w:rPr>
          <w:color w:val="auto"/>
          <w:highlight w:val="none"/>
        </w:rPr>
        <w:fldChar w:fldCharType="begin"/>
      </w:r>
      <w:r>
        <w:rPr>
          <w:color w:val="auto"/>
          <w:highlight w:val="none"/>
        </w:rPr>
        <w:instrText xml:space="preserve"> PAGEREF _Toc23323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19FF46AC">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_Toc20633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4</w:t>
      </w:r>
      <w:r>
        <w:rPr>
          <w:color w:val="auto"/>
          <w:highlight w:val="none"/>
        </w:rPr>
        <w:tab/>
      </w:r>
      <w:r>
        <w:rPr>
          <w:color w:val="auto"/>
          <w:highlight w:val="none"/>
        </w:rPr>
        <w:fldChar w:fldCharType="begin"/>
      </w:r>
      <w:r>
        <w:rPr>
          <w:color w:val="auto"/>
          <w:highlight w:val="none"/>
        </w:rPr>
        <w:instrText xml:space="preserve"> PAGEREF _Toc20633 \h </w:instrText>
      </w:r>
      <w:r>
        <w:rPr>
          <w:color w:val="auto"/>
          <w:highlight w:val="none"/>
        </w:rPr>
        <w:fldChar w:fldCharType="separate"/>
      </w:r>
      <w:r>
        <w:rPr>
          <w:color w:val="auto"/>
          <w:highlight w:val="none"/>
        </w:rPr>
        <w:t>- 55 -</w:t>
      </w:r>
      <w:r>
        <w:rPr>
          <w:color w:val="auto"/>
          <w:highlight w:val="none"/>
        </w:rPr>
        <w:fldChar w:fldCharType="end"/>
      </w:r>
      <w:r>
        <w:rPr>
          <w:rFonts w:hint="eastAsia" w:ascii="仿宋" w:hAnsi="仿宋" w:eastAsia="仿宋" w:cs="仿宋"/>
          <w:bCs/>
          <w:color w:val="auto"/>
          <w:highlight w:val="none"/>
          <w:lang w:val="zh-CN"/>
        </w:rPr>
        <w:fldChar w:fldCharType="end"/>
      </w:r>
    </w:p>
    <w:p w14:paraId="05B9A2D4">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_Toc13404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5</w:t>
      </w:r>
      <w:r>
        <w:rPr>
          <w:color w:val="auto"/>
          <w:highlight w:val="none"/>
        </w:rPr>
        <w:tab/>
      </w:r>
      <w:r>
        <w:rPr>
          <w:color w:val="auto"/>
          <w:highlight w:val="none"/>
        </w:rPr>
        <w:fldChar w:fldCharType="begin"/>
      </w:r>
      <w:r>
        <w:rPr>
          <w:color w:val="auto"/>
          <w:highlight w:val="none"/>
        </w:rPr>
        <w:instrText xml:space="preserve"> PAGEREF _Toc13404 \h </w:instrText>
      </w:r>
      <w:r>
        <w:rPr>
          <w:color w:val="auto"/>
          <w:highlight w:val="none"/>
        </w:rPr>
        <w:fldChar w:fldCharType="separate"/>
      </w:r>
      <w:r>
        <w:rPr>
          <w:color w:val="auto"/>
          <w:highlight w:val="none"/>
        </w:rPr>
        <w:t>- 56 -</w:t>
      </w:r>
      <w:r>
        <w:rPr>
          <w:color w:val="auto"/>
          <w:highlight w:val="none"/>
        </w:rPr>
        <w:fldChar w:fldCharType="end"/>
      </w:r>
      <w:r>
        <w:rPr>
          <w:rFonts w:hint="eastAsia" w:ascii="仿宋" w:hAnsi="仿宋" w:eastAsia="仿宋" w:cs="仿宋"/>
          <w:bCs/>
          <w:color w:val="auto"/>
          <w:highlight w:val="none"/>
          <w:lang w:val="zh-CN"/>
        </w:rPr>
        <w:fldChar w:fldCharType="end"/>
      </w:r>
    </w:p>
    <w:p w14:paraId="2BDC6B93">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_Toc29449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6</w:t>
      </w:r>
      <w:r>
        <w:rPr>
          <w:color w:val="auto"/>
          <w:highlight w:val="none"/>
        </w:rPr>
        <w:tab/>
      </w:r>
      <w:r>
        <w:rPr>
          <w:color w:val="auto"/>
          <w:highlight w:val="none"/>
        </w:rPr>
        <w:fldChar w:fldCharType="begin"/>
      </w:r>
      <w:r>
        <w:rPr>
          <w:color w:val="auto"/>
          <w:highlight w:val="none"/>
        </w:rPr>
        <w:instrText xml:space="preserve"> PAGEREF _Toc29449 \h </w:instrText>
      </w:r>
      <w:r>
        <w:rPr>
          <w:color w:val="auto"/>
          <w:highlight w:val="none"/>
        </w:rPr>
        <w:fldChar w:fldCharType="separate"/>
      </w:r>
      <w:r>
        <w:rPr>
          <w:color w:val="auto"/>
          <w:highlight w:val="none"/>
        </w:rPr>
        <w:t>- 56 -</w:t>
      </w:r>
      <w:r>
        <w:rPr>
          <w:color w:val="auto"/>
          <w:highlight w:val="none"/>
        </w:rPr>
        <w:fldChar w:fldCharType="end"/>
      </w:r>
      <w:r>
        <w:rPr>
          <w:rFonts w:hint="eastAsia" w:ascii="仿宋" w:hAnsi="仿宋" w:eastAsia="仿宋" w:cs="仿宋"/>
          <w:bCs/>
          <w:color w:val="auto"/>
          <w:highlight w:val="none"/>
          <w:lang w:val="zh-CN"/>
        </w:rPr>
        <w:fldChar w:fldCharType="end"/>
      </w:r>
    </w:p>
    <w:p w14:paraId="02F07AA0">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_Toc5392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7</w:t>
      </w:r>
      <w:r>
        <w:rPr>
          <w:color w:val="auto"/>
          <w:highlight w:val="none"/>
        </w:rPr>
        <w:tab/>
      </w:r>
      <w:r>
        <w:rPr>
          <w:color w:val="auto"/>
          <w:highlight w:val="none"/>
        </w:rPr>
        <w:fldChar w:fldCharType="begin"/>
      </w:r>
      <w:r>
        <w:rPr>
          <w:color w:val="auto"/>
          <w:highlight w:val="none"/>
        </w:rPr>
        <w:instrText xml:space="preserve"> PAGEREF _Toc5392 \h </w:instrText>
      </w:r>
      <w:r>
        <w:rPr>
          <w:color w:val="auto"/>
          <w:highlight w:val="none"/>
        </w:rPr>
        <w:fldChar w:fldCharType="separate"/>
      </w:r>
      <w:r>
        <w:rPr>
          <w:color w:val="auto"/>
          <w:highlight w:val="none"/>
        </w:rPr>
        <w:t>- 56 -</w:t>
      </w:r>
      <w:r>
        <w:rPr>
          <w:color w:val="auto"/>
          <w:highlight w:val="none"/>
        </w:rPr>
        <w:fldChar w:fldCharType="end"/>
      </w:r>
      <w:r>
        <w:rPr>
          <w:rFonts w:hint="eastAsia" w:ascii="仿宋" w:hAnsi="仿宋" w:eastAsia="仿宋" w:cs="仿宋"/>
          <w:bCs/>
          <w:color w:val="auto"/>
          <w:highlight w:val="none"/>
          <w:lang w:val="zh-CN"/>
        </w:rPr>
        <w:fldChar w:fldCharType="end"/>
      </w:r>
    </w:p>
    <w:p w14:paraId="2AB719D6">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_Toc259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8</w:t>
      </w:r>
      <w:r>
        <w:rPr>
          <w:color w:val="auto"/>
          <w:highlight w:val="none"/>
        </w:rPr>
        <w:tab/>
      </w:r>
      <w:r>
        <w:rPr>
          <w:color w:val="auto"/>
          <w:highlight w:val="none"/>
        </w:rPr>
        <w:fldChar w:fldCharType="begin"/>
      </w:r>
      <w:r>
        <w:rPr>
          <w:color w:val="auto"/>
          <w:highlight w:val="none"/>
        </w:rPr>
        <w:instrText xml:space="preserve"> PAGEREF _Toc259 \h </w:instrText>
      </w:r>
      <w:r>
        <w:rPr>
          <w:color w:val="auto"/>
          <w:highlight w:val="none"/>
        </w:rPr>
        <w:fldChar w:fldCharType="separate"/>
      </w:r>
      <w:r>
        <w:rPr>
          <w:color w:val="auto"/>
          <w:highlight w:val="none"/>
        </w:rPr>
        <w:t>- 56 -</w:t>
      </w:r>
      <w:r>
        <w:rPr>
          <w:color w:val="auto"/>
          <w:highlight w:val="none"/>
        </w:rPr>
        <w:fldChar w:fldCharType="end"/>
      </w:r>
      <w:r>
        <w:rPr>
          <w:rFonts w:hint="eastAsia" w:ascii="仿宋" w:hAnsi="仿宋" w:eastAsia="仿宋" w:cs="仿宋"/>
          <w:bCs/>
          <w:color w:val="auto"/>
          <w:highlight w:val="none"/>
          <w:lang w:val="zh-CN"/>
        </w:rPr>
        <w:fldChar w:fldCharType="end"/>
      </w:r>
    </w:p>
    <w:p w14:paraId="5D07D47B">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_Toc17028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9</w:t>
      </w:r>
      <w:r>
        <w:rPr>
          <w:color w:val="auto"/>
          <w:highlight w:val="none"/>
        </w:rPr>
        <w:tab/>
      </w:r>
      <w:r>
        <w:rPr>
          <w:color w:val="auto"/>
          <w:highlight w:val="none"/>
        </w:rPr>
        <w:fldChar w:fldCharType="begin"/>
      </w:r>
      <w:r>
        <w:rPr>
          <w:color w:val="auto"/>
          <w:highlight w:val="none"/>
        </w:rPr>
        <w:instrText xml:space="preserve"> PAGEREF _Toc17028 \h </w:instrText>
      </w:r>
      <w:r>
        <w:rPr>
          <w:color w:val="auto"/>
          <w:highlight w:val="none"/>
        </w:rPr>
        <w:fldChar w:fldCharType="separate"/>
      </w:r>
      <w:r>
        <w:rPr>
          <w:color w:val="auto"/>
          <w:highlight w:val="none"/>
        </w:rPr>
        <w:t>- 56 -</w:t>
      </w:r>
      <w:r>
        <w:rPr>
          <w:color w:val="auto"/>
          <w:highlight w:val="none"/>
        </w:rPr>
        <w:fldChar w:fldCharType="end"/>
      </w:r>
      <w:r>
        <w:rPr>
          <w:rFonts w:hint="eastAsia" w:ascii="仿宋" w:hAnsi="仿宋" w:eastAsia="仿宋" w:cs="仿宋"/>
          <w:bCs/>
          <w:color w:val="auto"/>
          <w:highlight w:val="none"/>
          <w:lang w:val="zh-CN"/>
        </w:rPr>
        <w:fldChar w:fldCharType="end"/>
      </w:r>
    </w:p>
    <w:p w14:paraId="23F7251E">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_Toc15274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10</w:t>
      </w:r>
      <w:r>
        <w:rPr>
          <w:color w:val="auto"/>
          <w:highlight w:val="none"/>
        </w:rPr>
        <w:tab/>
      </w:r>
      <w:r>
        <w:rPr>
          <w:color w:val="auto"/>
          <w:highlight w:val="none"/>
        </w:rPr>
        <w:fldChar w:fldCharType="begin"/>
      </w:r>
      <w:r>
        <w:rPr>
          <w:color w:val="auto"/>
          <w:highlight w:val="none"/>
        </w:rPr>
        <w:instrText xml:space="preserve"> PAGEREF _Toc15274 \h </w:instrText>
      </w:r>
      <w:r>
        <w:rPr>
          <w:color w:val="auto"/>
          <w:highlight w:val="none"/>
        </w:rPr>
        <w:fldChar w:fldCharType="separate"/>
      </w:r>
      <w:r>
        <w:rPr>
          <w:color w:val="auto"/>
          <w:highlight w:val="none"/>
        </w:rPr>
        <w:t>- 56 -</w:t>
      </w:r>
      <w:r>
        <w:rPr>
          <w:color w:val="auto"/>
          <w:highlight w:val="none"/>
        </w:rPr>
        <w:fldChar w:fldCharType="end"/>
      </w:r>
      <w:r>
        <w:rPr>
          <w:rFonts w:hint="eastAsia" w:ascii="仿宋" w:hAnsi="仿宋" w:eastAsia="仿宋" w:cs="仿宋"/>
          <w:bCs/>
          <w:color w:val="auto"/>
          <w:highlight w:val="none"/>
          <w:lang w:val="zh-CN"/>
        </w:rPr>
        <w:fldChar w:fldCharType="end"/>
      </w:r>
    </w:p>
    <w:p w14:paraId="3156DE71">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_Toc28205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11</w:t>
      </w:r>
      <w:r>
        <w:rPr>
          <w:color w:val="auto"/>
          <w:highlight w:val="none"/>
        </w:rPr>
        <w:tab/>
      </w:r>
      <w:r>
        <w:rPr>
          <w:color w:val="auto"/>
          <w:highlight w:val="none"/>
        </w:rPr>
        <w:fldChar w:fldCharType="begin"/>
      </w:r>
      <w:r>
        <w:rPr>
          <w:color w:val="auto"/>
          <w:highlight w:val="none"/>
        </w:rPr>
        <w:instrText xml:space="preserve"> PAGEREF _Toc28205 \h </w:instrText>
      </w:r>
      <w:r>
        <w:rPr>
          <w:color w:val="auto"/>
          <w:highlight w:val="none"/>
        </w:rPr>
        <w:fldChar w:fldCharType="separate"/>
      </w:r>
      <w:r>
        <w:rPr>
          <w:color w:val="auto"/>
          <w:highlight w:val="none"/>
        </w:rPr>
        <w:t>- 56 -</w:t>
      </w:r>
      <w:r>
        <w:rPr>
          <w:color w:val="auto"/>
          <w:highlight w:val="none"/>
        </w:rPr>
        <w:fldChar w:fldCharType="end"/>
      </w:r>
      <w:r>
        <w:rPr>
          <w:rFonts w:hint="eastAsia" w:ascii="仿宋" w:hAnsi="仿宋" w:eastAsia="仿宋" w:cs="仿宋"/>
          <w:bCs/>
          <w:color w:val="auto"/>
          <w:highlight w:val="none"/>
          <w:lang w:val="zh-CN"/>
        </w:rPr>
        <w:fldChar w:fldCharType="end"/>
      </w:r>
    </w:p>
    <w:p w14:paraId="501BFF82">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_Toc14324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合计</w:t>
      </w:r>
      <w:r>
        <w:rPr>
          <w:color w:val="auto"/>
          <w:highlight w:val="none"/>
        </w:rPr>
        <w:tab/>
      </w:r>
      <w:r>
        <w:rPr>
          <w:color w:val="auto"/>
          <w:highlight w:val="none"/>
        </w:rPr>
        <w:fldChar w:fldCharType="begin"/>
      </w:r>
      <w:r>
        <w:rPr>
          <w:color w:val="auto"/>
          <w:highlight w:val="none"/>
        </w:rPr>
        <w:instrText xml:space="preserve"> PAGEREF _Toc14324 \h </w:instrText>
      </w:r>
      <w:r>
        <w:rPr>
          <w:color w:val="auto"/>
          <w:highlight w:val="none"/>
        </w:rPr>
        <w:fldChar w:fldCharType="separate"/>
      </w:r>
      <w:r>
        <w:rPr>
          <w:color w:val="auto"/>
          <w:highlight w:val="none"/>
        </w:rPr>
        <w:t>- 56 -</w:t>
      </w:r>
      <w:r>
        <w:rPr>
          <w:color w:val="auto"/>
          <w:highlight w:val="none"/>
        </w:rPr>
        <w:fldChar w:fldCharType="end"/>
      </w:r>
      <w:r>
        <w:rPr>
          <w:rFonts w:hint="eastAsia" w:ascii="仿宋" w:hAnsi="仿宋" w:eastAsia="仿宋" w:cs="仿宋"/>
          <w:bCs/>
          <w:color w:val="auto"/>
          <w:highlight w:val="none"/>
          <w:lang w:val="zh-CN"/>
        </w:rPr>
        <w:fldChar w:fldCharType="end"/>
      </w:r>
    </w:p>
    <w:p w14:paraId="65C17661">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_Toc17691 </w:instrText>
      </w:r>
      <w:r>
        <w:rPr>
          <w:rFonts w:hint="eastAsia" w:ascii="仿宋" w:hAnsi="仿宋" w:eastAsia="仿宋" w:cs="仿宋"/>
          <w:bCs/>
          <w:color w:val="auto"/>
          <w:highlight w:val="none"/>
          <w:lang w:val="zh-CN"/>
        </w:rPr>
        <w:fldChar w:fldCharType="separate"/>
      </w:r>
      <w:r>
        <w:rPr>
          <w:rFonts w:hint="eastAsia"/>
          <w:color w:val="auto"/>
          <w:highlight w:val="none"/>
        </w:rPr>
        <w:t>二、技术文件</w:t>
      </w:r>
      <w:r>
        <w:rPr>
          <w:color w:val="auto"/>
          <w:highlight w:val="none"/>
        </w:rPr>
        <w:tab/>
      </w:r>
      <w:r>
        <w:rPr>
          <w:color w:val="auto"/>
          <w:highlight w:val="none"/>
        </w:rPr>
        <w:fldChar w:fldCharType="begin"/>
      </w:r>
      <w:r>
        <w:rPr>
          <w:color w:val="auto"/>
          <w:highlight w:val="none"/>
        </w:rPr>
        <w:instrText xml:space="preserve"> PAGEREF _Toc17691 \h </w:instrText>
      </w:r>
      <w:r>
        <w:rPr>
          <w:color w:val="auto"/>
          <w:highlight w:val="none"/>
        </w:rPr>
        <w:fldChar w:fldCharType="separate"/>
      </w:r>
      <w:r>
        <w:rPr>
          <w:color w:val="auto"/>
          <w:highlight w:val="none"/>
        </w:rPr>
        <w:t>57</w:t>
      </w:r>
      <w:r>
        <w:rPr>
          <w:color w:val="auto"/>
          <w:highlight w:val="none"/>
        </w:rPr>
        <w:fldChar w:fldCharType="end"/>
      </w:r>
      <w:r>
        <w:rPr>
          <w:rFonts w:hint="eastAsia" w:ascii="仿宋" w:hAnsi="仿宋" w:eastAsia="仿宋" w:cs="仿宋"/>
          <w:bCs/>
          <w:color w:val="auto"/>
          <w:highlight w:val="none"/>
          <w:lang w:val="zh-CN"/>
        </w:rPr>
        <w:fldChar w:fldCharType="end"/>
      </w:r>
    </w:p>
    <w:p w14:paraId="1A1F269E">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_Toc29408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序号</w:t>
      </w:r>
      <w:r>
        <w:rPr>
          <w:color w:val="auto"/>
          <w:highlight w:val="none"/>
        </w:rPr>
        <w:tab/>
      </w:r>
      <w:r>
        <w:rPr>
          <w:color w:val="auto"/>
          <w:highlight w:val="none"/>
        </w:rPr>
        <w:fldChar w:fldCharType="begin"/>
      </w:r>
      <w:r>
        <w:rPr>
          <w:color w:val="auto"/>
          <w:highlight w:val="none"/>
        </w:rPr>
        <w:instrText xml:space="preserve"> PAGEREF _Toc29408 \h </w:instrText>
      </w:r>
      <w:r>
        <w:rPr>
          <w:color w:val="auto"/>
          <w:highlight w:val="none"/>
        </w:rPr>
        <w:fldChar w:fldCharType="separate"/>
      </w:r>
      <w:r>
        <w:rPr>
          <w:color w:val="auto"/>
          <w:highlight w:val="none"/>
        </w:rPr>
        <w:t>57</w:t>
      </w:r>
      <w:r>
        <w:rPr>
          <w:color w:val="auto"/>
          <w:highlight w:val="none"/>
        </w:rPr>
        <w:fldChar w:fldCharType="end"/>
      </w:r>
      <w:r>
        <w:rPr>
          <w:rFonts w:hint="eastAsia" w:ascii="仿宋" w:hAnsi="仿宋" w:eastAsia="仿宋" w:cs="仿宋"/>
          <w:bCs/>
          <w:color w:val="auto"/>
          <w:highlight w:val="none"/>
          <w:lang w:val="zh-CN"/>
        </w:rPr>
        <w:fldChar w:fldCharType="end"/>
      </w:r>
    </w:p>
    <w:p w14:paraId="0A2C17B7">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_Toc27608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招标要求</w:t>
      </w:r>
      <w:r>
        <w:rPr>
          <w:color w:val="auto"/>
          <w:highlight w:val="none"/>
        </w:rPr>
        <w:tab/>
      </w:r>
      <w:r>
        <w:rPr>
          <w:color w:val="auto"/>
          <w:highlight w:val="none"/>
        </w:rPr>
        <w:fldChar w:fldCharType="begin"/>
      </w:r>
      <w:r>
        <w:rPr>
          <w:color w:val="auto"/>
          <w:highlight w:val="none"/>
        </w:rPr>
        <w:instrText xml:space="preserve"> PAGEREF _Toc27608 \h </w:instrText>
      </w:r>
      <w:r>
        <w:rPr>
          <w:color w:val="auto"/>
          <w:highlight w:val="none"/>
        </w:rPr>
        <w:fldChar w:fldCharType="separate"/>
      </w:r>
      <w:r>
        <w:rPr>
          <w:color w:val="auto"/>
          <w:highlight w:val="none"/>
        </w:rPr>
        <w:t>57</w:t>
      </w:r>
      <w:r>
        <w:rPr>
          <w:color w:val="auto"/>
          <w:highlight w:val="none"/>
        </w:rPr>
        <w:fldChar w:fldCharType="end"/>
      </w:r>
      <w:r>
        <w:rPr>
          <w:rFonts w:hint="eastAsia" w:ascii="仿宋" w:hAnsi="仿宋" w:eastAsia="仿宋" w:cs="仿宋"/>
          <w:bCs/>
          <w:color w:val="auto"/>
          <w:highlight w:val="none"/>
          <w:lang w:val="zh-CN"/>
        </w:rPr>
        <w:fldChar w:fldCharType="end"/>
      </w:r>
    </w:p>
    <w:p w14:paraId="0D678F3E">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_Toc13381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投标应答</w:t>
      </w:r>
      <w:r>
        <w:rPr>
          <w:color w:val="auto"/>
          <w:highlight w:val="none"/>
        </w:rPr>
        <w:tab/>
      </w:r>
      <w:r>
        <w:rPr>
          <w:color w:val="auto"/>
          <w:highlight w:val="none"/>
        </w:rPr>
        <w:fldChar w:fldCharType="begin"/>
      </w:r>
      <w:r>
        <w:rPr>
          <w:color w:val="auto"/>
          <w:highlight w:val="none"/>
        </w:rPr>
        <w:instrText xml:space="preserve"> PAGEREF _Toc13381 \h </w:instrText>
      </w:r>
      <w:r>
        <w:rPr>
          <w:color w:val="auto"/>
          <w:highlight w:val="none"/>
        </w:rPr>
        <w:fldChar w:fldCharType="separate"/>
      </w:r>
      <w:r>
        <w:rPr>
          <w:color w:val="auto"/>
          <w:highlight w:val="none"/>
        </w:rPr>
        <w:t>57</w:t>
      </w:r>
      <w:r>
        <w:rPr>
          <w:color w:val="auto"/>
          <w:highlight w:val="none"/>
        </w:rPr>
        <w:fldChar w:fldCharType="end"/>
      </w:r>
      <w:r>
        <w:rPr>
          <w:rFonts w:hint="eastAsia" w:ascii="仿宋" w:hAnsi="仿宋" w:eastAsia="仿宋" w:cs="仿宋"/>
          <w:bCs/>
          <w:color w:val="auto"/>
          <w:highlight w:val="none"/>
          <w:lang w:val="zh-CN"/>
        </w:rPr>
        <w:fldChar w:fldCharType="end"/>
      </w:r>
    </w:p>
    <w:p w14:paraId="2F6A8A30">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_Toc21102 </w:instrText>
      </w:r>
      <w:r>
        <w:rPr>
          <w:rFonts w:hint="eastAsia" w:ascii="仿宋" w:hAnsi="仿宋" w:eastAsia="仿宋" w:cs="仿宋"/>
          <w:bCs/>
          <w:color w:val="auto"/>
          <w:highlight w:val="none"/>
          <w:lang w:val="zh-CN"/>
        </w:rPr>
        <w:fldChar w:fldCharType="separate"/>
      </w:r>
      <w:r>
        <w:rPr>
          <w:rFonts w:hint="eastAsia" w:ascii="宋体" w:hAnsi="宋体"/>
          <w:color w:val="auto"/>
          <w:szCs w:val="21"/>
          <w:highlight w:val="none"/>
        </w:rPr>
        <w:t>差异说明</w:t>
      </w:r>
      <w:r>
        <w:rPr>
          <w:color w:val="auto"/>
          <w:highlight w:val="none"/>
        </w:rPr>
        <w:tab/>
      </w:r>
      <w:r>
        <w:rPr>
          <w:color w:val="auto"/>
          <w:highlight w:val="none"/>
        </w:rPr>
        <w:fldChar w:fldCharType="begin"/>
      </w:r>
      <w:r>
        <w:rPr>
          <w:color w:val="auto"/>
          <w:highlight w:val="none"/>
        </w:rPr>
        <w:instrText xml:space="preserve"> PAGEREF _Toc21102 \h </w:instrText>
      </w:r>
      <w:r>
        <w:rPr>
          <w:color w:val="auto"/>
          <w:highlight w:val="none"/>
        </w:rPr>
        <w:fldChar w:fldCharType="separate"/>
      </w:r>
      <w:r>
        <w:rPr>
          <w:color w:val="auto"/>
          <w:highlight w:val="none"/>
        </w:rPr>
        <w:t>57</w:t>
      </w:r>
      <w:r>
        <w:rPr>
          <w:color w:val="auto"/>
          <w:highlight w:val="none"/>
        </w:rPr>
        <w:fldChar w:fldCharType="end"/>
      </w:r>
      <w:r>
        <w:rPr>
          <w:rFonts w:hint="eastAsia" w:ascii="仿宋" w:hAnsi="仿宋" w:eastAsia="仿宋" w:cs="仿宋"/>
          <w:bCs/>
          <w:color w:val="auto"/>
          <w:highlight w:val="none"/>
          <w:lang w:val="zh-CN"/>
        </w:rPr>
        <w:fldChar w:fldCharType="end"/>
      </w:r>
    </w:p>
    <w:p w14:paraId="23112403">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_Toc7510 </w:instrText>
      </w:r>
      <w:r>
        <w:rPr>
          <w:rFonts w:hint="eastAsia" w:ascii="仿宋" w:hAnsi="仿宋" w:eastAsia="仿宋" w:cs="仿宋"/>
          <w:bCs/>
          <w:color w:val="auto"/>
          <w:highlight w:val="none"/>
          <w:lang w:val="zh-CN"/>
        </w:rPr>
        <w:fldChar w:fldCharType="separate"/>
      </w:r>
      <w:r>
        <w:rPr>
          <w:rFonts w:hint="eastAsia"/>
          <w:color w:val="auto"/>
          <w:highlight w:val="none"/>
        </w:rPr>
        <w:t>三、商务文件</w:t>
      </w:r>
      <w:r>
        <w:rPr>
          <w:color w:val="auto"/>
          <w:highlight w:val="none"/>
        </w:rPr>
        <w:tab/>
      </w:r>
      <w:r>
        <w:rPr>
          <w:color w:val="auto"/>
          <w:highlight w:val="none"/>
        </w:rPr>
        <w:fldChar w:fldCharType="begin"/>
      </w:r>
      <w:r>
        <w:rPr>
          <w:color w:val="auto"/>
          <w:highlight w:val="none"/>
        </w:rPr>
        <w:instrText xml:space="preserve"> PAGEREF _Toc7510 \h </w:instrText>
      </w:r>
      <w:r>
        <w:rPr>
          <w:color w:val="auto"/>
          <w:highlight w:val="none"/>
        </w:rPr>
        <w:fldChar w:fldCharType="separate"/>
      </w:r>
      <w:r>
        <w:rPr>
          <w:color w:val="auto"/>
          <w:highlight w:val="none"/>
        </w:rPr>
        <w:t>58</w:t>
      </w:r>
      <w:r>
        <w:rPr>
          <w:color w:val="auto"/>
          <w:highlight w:val="none"/>
        </w:rPr>
        <w:fldChar w:fldCharType="end"/>
      </w:r>
      <w:r>
        <w:rPr>
          <w:rFonts w:hint="eastAsia" w:ascii="仿宋" w:hAnsi="仿宋" w:eastAsia="仿宋" w:cs="仿宋"/>
          <w:bCs/>
          <w:color w:val="auto"/>
          <w:highlight w:val="none"/>
          <w:lang w:val="zh-CN"/>
        </w:rPr>
        <w:fldChar w:fldCharType="end"/>
      </w:r>
    </w:p>
    <w:p w14:paraId="340028CD">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_Toc26981 </w:instrText>
      </w:r>
      <w:r>
        <w:rPr>
          <w:rFonts w:hint="eastAsia" w:ascii="仿宋" w:hAnsi="仿宋" w:eastAsia="仿宋" w:cs="仿宋"/>
          <w:bCs/>
          <w:color w:val="auto"/>
          <w:highlight w:val="none"/>
          <w:lang w:val="zh-CN"/>
        </w:rPr>
        <w:fldChar w:fldCharType="separate"/>
      </w:r>
      <w:r>
        <w:rPr>
          <w:rFonts w:hint="eastAsia" w:ascii="宋体" w:hAnsi="宋体" w:cs="宋体"/>
          <w:color w:val="auto"/>
          <w:szCs w:val="21"/>
          <w:highlight w:val="none"/>
        </w:rPr>
        <w:t>序号</w:t>
      </w:r>
      <w:r>
        <w:rPr>
          <w:color w:val="auto"/>
          <w:highlight w:val="none"/>
        </w:rPr>
        <w:tab/>
      </w:r>
      <w:r>
        <w:rPr>
          <w:color w:val="auto"/>
          <w:highlight w:val="none"/>
        </w:rPr>
        <w:fldChar w:fldCharType="begin"/>
      </w:r>
      <w:r>
        <w:rPr>
          <w:color w:val="auto"/>
          <w:highlight w:val="none"/>
        </w:rPr>
        <w:instrText xml:space="preserve"> PAGEREF _Toc26981 \h </w:instrText>
      </w:r>
      <w:r>
        <w:rPr>
          <w:color w:val="auto"/>
          <w:highlight w:val="none"/>
        </w:rPr>
        <w:fldChar w:fldCharType="separate"/>
      </w:r>
      <w:r>
        <w:rPr>
          <w:color w:val="auto"/>
          <w:highlight w:val="none"/>
        </w:rPr>
        <w:t>59</w:t>
      </w:r>
      <w:r>
        <w:rPr>
          <w:color w:val="auto"/>
          <w:highlight w:val="none"/>
        </w:rPr>
        <w:fldChar w:fldCharType="end"/>
      </w:r>
      <w:r>
        <w:rPr>
          <w:rFonts w:hint="eastAsia" w:ascii="仿宋" w:hAnsi="仿宋" w:eastAsia="仿宋" w:cs="仿宋"/>
          <w:bCs/>
          <w:color w:val="auto"/>
          <w:highlight w:val="none"/>
          <w:lang w:val="zh-CN"/>
        </w:rPr>
        <w:fldChar w:fldCharType="end"/>
      </w:r>
    </w:p>
    <w:p w14:paraId="0167A726">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_Toc26639 </w:instrText>
      </w:r>
      <w:r>
        <w:rPr>
          <w:rFonts w:hint="eastAsia" w:ascii="仿宋" w:hAnsi="仿宋" w:eastAsia="仿宋" w:cs="仿宋"/>
          <w:bCs/>
          <w:color w:val="auto"/>
          <w:highlight w:val="none"/>
          <w:lang w:val="zh-CN"/>
        </w:rPr>
        <w:fldChar w:fldCharType="separate"/>
      </w:r>
      <w:r>
        <w:rPr>
          <w:rFonts w:hint="eastAsia" w:ascii="宋体" w:hAnsi="宋体" w:cs="宋体"/>
          <w:color w:val="auto"/>
          <w:szCs w:val="21"/>
          <w:highlight w:val="none"/>
        </w:rPr>
        <w:t>招标商务要求</w:t>
      </w:r>
      <w:r>
        <w:rPr>
          <w:color w:val="auto"/>
          <w:highlight w:val="none"/>
        </w:rPr>
        <w:tab/>
      </w:r>
      <w:r>
        <w:rPr>
          <w:color w:val="auto"/>
          <w:highlight w:val="none"/>
        </w:rPr>
        <w:fldChar w:fldCharType="begin"/>
      </w:r>
      <w:r>
        <w:rPr>
          <w:color w:val="auto"/>
          <w:highlight w:val="none"/>
        </w:rPr>
        <w:instrText xml:space="preserve"> PAGEREF _Toc26639 \h </w:instrText>
      </w:r>
      <w:r>
        <w:rPr>
          <w:color w:val="auto"/>
          <w:highlight w:val="none"/>
        </w:rPr>
        <w:fldChar w:fldCharType="separate"/>
      </w:r>
      <w:r>
        <w:rPr>
          <w:color w:val="auto"/>
          <w:highlight w:val="none"/>
        </w:rPr>
        <w:t>59</w:t>
      </w:r>
      <w:r>
        <w:rPr>
          <w:color w:val="auto"/>
          <w:highlight w:val="none"/>
        </w:rPr>
        <w:fldChar w:fldCharType="end"/>
      </w:r>
      <w:r>
        <w:rPr>
          <w:rFonts w:hint="eastAsia" w:ascii="仿宋" w:hAnsi="仿宋" w:eastAsia="仿宋" w:cs="仿宋"/>
          <w:bCs/>
          <w:color w:val="auto"/>
          <w:highlight w:val="none"/>
          <w:lang w:val="zh-CN"/>
        </w:rPr>
        <w:fldChar w:fldCharType="end"/>
      </w:r>
    </w:p>
    <w:p w14:paraId="04DB4B91">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_Toc18429 </w:instrText>
      </w:r>
      <w:r>
        <w:rPr>
          <w:rFonts w:hint="eastAsia" w:ascii="仿宋" w:hAnsi="仿宋" w:eastAsia="仿宋" w:cs="仿宋"/>
          <w:bCs/>
          <w:color w:val="auto"/>
          <w:highlight w:val="none"/>
          <w:lang w:val="zh-CN"/>
        </w:rPr>
        <w:fldChar w:fldCharType="separate"/>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务应答</w:t>
      </w:r>
      <w:r>
        <w:rPr>
          <w:color w:val="auto"/>
          <w:highlight w:val="none"/>
        </w:rPr>
        <w:tab/>
      </w:r>
      <w:r>
        <w:rPr>
          <w:color w:val="auto"/>
          <w:highlight w:val="none"/>
        </w:rPr>
        <w:fldChar w:fldCharType="begin"/>
      </w:r>
      <w:r>
        <w:rPr>
          <w:color w:val="auto"/>
          <w:highlight w:val="none"/>
        </w:rPr>
        <w:instrText xml:space="preserve"> PAGEREF _Toc18429 \h </w:instrText>
      </w:r>
      <w:r>
        <w:rPr>
          <w:color w:val="auto"/>
          <w:highlight w:val="none"/>
        </w:rPr>
        <w:fldChar w:fldCharType="separate"/>
      </w:r>
      <w:r>
        <w:rPr>
          <w:color w:val="auto"/>
          <w:highlight w:val="none"/>
        </w:rPr>
        <w:t>59</w:t>
      </w:r>
      <w:r>
        <w:rPr>
          <w:color w:val="auto"/>
          <w:highlight w:val="none"/>
        </w:rPr>
        <w:fldChar w:fldCharType="end"/>
      </w:r>
      <w:r>
        <w:rPr>
          <w:rFonts w:hint="eastAsia" w:ascii="仿宋" w:hAnsi="仿宋" w:eastAsia="仿宋" w:cs="仿宋"/>
          <w:bCs/>
          <w:color w:val="auto"/>
          <w:highlight w:val="none"/>
          <w:lang w:val="zh-CN"/>
        </w:rPr>
        <w:fldChar w:fldCharType="end"/>
      </w:r>
    </w:p>
    <w:p w14:paraId="4C167CF7">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_Toc18205 </w:instrText>
      </w:r>
      <w:r>
        <w:rPr>
          <w:rFonts w:hint="eastAsia" w:ascii="仿宋" w:hAnsi="仿宋" w:eastAsia="仿宋" w:cs="仿宋"/>
          <w:bCs/>
          <w:color w:val="auto"/>
          <w:highlight w:val="none"/>
          <w:lang w:val="zh-CN"/>
        </w:rPr>
        <w:fldChar w:fldCharType="separate"/>
      </w:r>
      <w:r>
        <w:rPr>
          <w:rFonts w:hint="eastAsia" w:ascii="宋体" w:hAnsi="宋体" w:cs="宋体"/>
          <w:color w:val="auto"/>
          <w:szCs w:val="21"/>
          <w:highlight w:val="none"/>
        </w:rPr>
        <w:t>差异说明</w:t>
      </w:r>
      <w:r>
        <w:rPr>
          <w:color w:val="auto"/>
          <w:highlight w:val="none"/>
        </w:rPr>
        <w:tab/>
      </w:r>
      <w:r>
        <w:rPr>
          <w:color w:val="auto"/>
          <w:highlight w:val="none"/>
        </w:rPr>
        <w:fldChar w:fldCharType="begin"/>
      </w:r>
      <w:r>
        <w:rPr>
          <w:color w:val="auto"/>
          <w:highlight w:val="none"/>
        </w:rPr>
        <w:instrText xml:space="preserve"> PAGEREF _Toc18205 \h </w:instrText>
      </w:r>
      <w:r>
        <w:rPr>
          <w:color w:val="auto"/>
          <w:highlight w:val="none"/>
        </w:rPr>
        <w:fldChar w:fldCharType="separate"/>
      </w:r>
      <w:r>
        <w:rPr>
          <w:color w:val="auto"/>
          <w:highlight w:val="none"/>
        </w:rPr>
        <w:t>59</w:t>
      </w:r>
      <w:r>
        <w:rPr>
          <w:color w:val="auto"/>
          <w:highlight w:val="none"/>
        </w:rPr>
        <w:fldChar w:fldCharType="end"/>
      </w:r>
      <w:r>
        <w:rPr>
          <w:rFonts w:hint="eastAsia" w:ascii="仿宋" w:hAnsi="仿宋" w:eastAsia="仿宋" w:cs="仿宋"/>
          <w:bCs/>
          <w:color w:val="auto"/>
          <w:highlight w:val="none"/>
          <w:lang w:val="zh-CN"/>
        </w:rPr>
        <w:fldChar w:fldCharType="end"/>
      </w:r>
    </w:p>
    <w:p w14:paraId="61D2D62A">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_Toc5362 </w:instrText>
      </w:r>
      <w:r>
        <w:rPr>
          <w:rFonts w:hint="eastAsia" w:ascii="仿宋" w:hAnsi="仿宋" w:eastAsia="仿宋" w:cs="仿宋"/>
          <w:bCs/>
          <w:color w:val="auto"/>
          <w:highlight w:val="none"/>
          <w:lang w:val="zh-CN"/>
        </w:rPr>
        <w:fldChar w:fldCharType="separate"/>
      </w:r>
      <w:r>
        <w:rPr>
          <w:rFonts w:hint="eastAsia" w:ascii="宋体" w:hAnsi="宋体" w:cs="宋体"/>
          <w:color w:val="auto"/>
          <w:szCs w:val="21"/>
          <w:highlight w:val="none"/>
        </w:rPr>
        <w:t>提醒：请注明具体内容以及投标文件中具体内容的位置（页码）</w:t>
      </w:r>
      <w:r>
        <w:rPr>
          <w:color w:val="auto"/>
          <w:highlight w:val="none"/>
        </w:rPr>
        <w:tab/>
      </w:r>
      <w:r>
        <w:rPr>
          <w:color w:val="auto"/>
          <w:highlight w:val="none"/>
        </w:rPr>
        <w:fldChar w:fldCharType="begin"/>
      </w:r>
      <w:r>
        <w:rPr>
          <w:color w:val="auto"/>
          <w:highlight w:val="none"/>
        </w:rPr>
        <w:instrText xml:space="preserve"> PAGEREF _Toc5362 \h </w:instrText>
      </w:r>
      <w:r>
        <w:rPr>
          <w:color w:val="auto"/>
          <w:highlight w:val="none"/>
        </w:rPr>
        <w:fldChar w:fldCharType="separate"/>
      </w:r>
      <w:r>
        <w:rPr>
          <w:color w:val="auto"/>
          <w:highlight w:val="none"/>
        </w:rPr>
        <w:t>59</w:t>
      </w:r>
      <w:r>
        <w:rPr>
          <w:color w:val="auto"/>
          <w:highlight w:val="none"/>
        </w:rPr>
        <w:fldChar w:fldCharType="end"/>
      </w:r>
      <w:r>
        <w:rPr>
          <w:rFonts w:hint="eastAsia" w:ascii="仿宋" w:hAnsi="仿宋" w:eastAsia="仿宋" w:cs="仿宋"/>
          <w:bCs/>
          <w:color w:val="auto"/>
          <w:highlight w:val="none"/>
          <w:lang w:val="zh-CN"/>
        </w:rPr>
        <w:fldChar w:fldCharType="end"/>
      </w:r>
    </w:p>
    <w:p w14:paraId="6FFB4768">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_Toc4614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基本情况表</w:t>
      </w:r>
      <w:r>
        <w:rPr>
          <w:color w:val="auto"/>
          <w:highlight w:val="none"/>
        </w:rPr>
        <w:tab/>
      </w:r>
      <w:r>
        <w:rPr>
          <w:color w:val="auto"/>
          <w:highlight w:val="none"/>
        </w:rPr>
        <w:fldChar w:fldCharType="begin"/>
      </w:r>
      <w:r>
        <w:rPr>
          <w:color w:val="auto"/>
          <w:highlight w:val="none"/>
        </w:rPr>
        <w:instrText xml:space="preserve"> PAGEREF _Toc4614 \h </w:instrText>
      </w:r>
      <w:r>
        <w:rPr>
          <w:color w:val="auto"/>
          <w:highlight w:val="none"/>
        </w:rPr>
        <w:fldChar w:fldCharType="separate"/>
      </w:r>
      <w:r>
        <w:rPr>
          <w:color w:val="auto"/>
          <w:highlight w:val="none"/>
        </w:rPr>
        <w:t>60</w:t>
      </w:r>
      <w:r>
        <w:rPr>
          <w:color w:val="auto"/>
          <w:highlight w:val="none"/>
        </w:rPr>
        <w:fldChar w:fldCharType="end"/>
      </w:r>
      <w:r>
        <w:rPr>
          <w:rFonts w:hint="eastAsia" w:ascii="仿宋" w:hAnsi="仿宋" w:eastAsia="仿宋" w:cs="仿宋"/>
          <w:bCs/>
          <w:color w:val="auto"/>
          <w:highlight w:val="none"/>
          <w:lang w:val="zh-CN"/>
        </w:rPr>
        <w:fldChar w:fldCharType="end"/>
      </w:r>
    </w:p>
    <w:p w14:paraId="17222E63">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_Toc20096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highlight w:val="none"/>
        </w:rPr>
        <w:t>2.项目全部人员组成表（格式）</w:t>
      </w:r>
      <w:r>
        <w:rPr>
          <w:color w:val="auto"/>
          <w:highlight w:val="none"/>
        </w:rPr>
        <w:tab/>
      </w:r>
      <w:r>
        <w:rPr>
          <w:color w:val="auto"/>
          <w:highlight w:val="none"/>
        </w:rPr>
        <w:fldChar w:fldCharType="begin"/>
      </w:r>
      <w:r>
        <w:rPr>
          <w:color w:val="auto"/>
          <w:highlight w:val="none"/>
        </w:rPr>
        <w:instrText xml:space="preserve"> PAGEREF _Toc20096 \h </w:instrText>
      </w:r>
      <w:r>
        <w:rPr>
          <w:color w:val="auto"/>
          <w:highlight w:val="none"/>
        </w:rPr>
        <w:fldChar w:fldCharType="separate"/>
      </w:r>
      <w:r>
        <w:rPr>
          <w:color w:val="auto"/>
          <w:highlight w:val="none"/>
        </w:rPr>
        <w:t>62</w:t>
      </w:r>
      <w:r>
        <w:rPr>
          <w:color w:val="auto"/>
          <w:highlight w:val="none"/>
        </w:rPr>
        <w:fldChar w:fldCharType="end"/>
      </w:r>
      <w:r>
        <w:rPr>
          <w:rFonts w:hint="eastAsia" w:ascii="仿宋" w:hAnsi="仿宋" w:eastAsia="仿宋" w:cs="仿宋"/>
          <w:bCs/>
          <w:color w:val="auto"/>
          <w:highlight w:val="none"/>
          <w:lang w:val="zh-CN"/>
        </w:rPr>
        <w:fldChar w:fldCharType="end"/>
      </w:r>
    </w:p>
    <w:p w14:paraId="072AFDC2">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_Toc1951 </w:instrText>
      </w:r>
      <w:r>
        <w:rPr>
          <w:rFonts w:hint="eastAsia" w:ascii="仿宋" w:hAnsi="仿宋" w:eastAsia="仿宋" w:cs="仿宋"/>
          <w:bCs/>
          <w:color w:val="auto"/>
          <w:highlight w:val="none"/>
          <w:lang w:val="zh-CN"/>
        </w:rPr>
        <w:fldChar w:fldCharType="separate"/>
      </w:r>
      <w:r>
        <w:rPr>
          <w:rFonts w:hint="eastAsia" w:ascii="仿宋" w:hAnsi="仿宋" w:eastAsia="仿宋" w:cs="仿宋"/>
          <w:color w:val="auto"/>
          <w:highlight w:val="none"/>
        </w:rPr>
        <w:t>3.项目业绩一览表（格式）</w:t>
      </w:r>
      <w:r>
        <w:rPr>
          <w:color w:val="auto"/>
          <w:highlight w:val="none"/>
        </w:rPr>
        <w:tab/>
      </w:r>
      <w:r>
        <w:rPr>
          <w:color w:val="auto"/>
          <w:highlight w:val="none"/>
        </w:rPr>
        <w:fldChar w:fldCharType="begin"/>
      </w:r>
      <w:r>
        <w:rPr>
          <w:color w:val="auto"/>
          <w:highlight w:val="none"/>
        </w:rPr>
        <w:instrText xml:space="preserve"> PAGEREF _Toc1951 \h </w:instrText>
      </w:r>
      <w:r>
        <w:rPr>
          <w:color w:val="auto"/>
          <w:highlight w:val="none"/>
        </w:rPr>
        <w:fldChar w:fldCharType="separate"/>
      </w:r>
      <w:r>
        <w:rPr>
          <w:color w:val="auto"/>
          <w:highlight w:val="none"/>
        </w:rPr>
        <w:t>63</w:t>
      </w:r>
      <w:r>
        <w:rPr>
          <w:color w:val="auto"/>
          <w:highlight w:val="none"/>
        </w:rPr>
        <w:fldChar w:fldCharType="end"/>
      </w:r>
      <w:r>
        <w:rPr>
          <w:rFonts w:hint="eastAsia" w:ascii="仿宋" w:hAnsi="仿宋" w:eastAsia="仿宋" w:cs="仿宋"/>
          <w:bCs/>
          <w:color w:val="auto"/>
          <w:highlight w:val="none"/>
          <w:lang w:val="zh-CN"/>
        </w:rPr>
        <w:fldChar w:fldCharType="end"/>
      </w:r>
    </w:p>
    <w:p w14:paraId="0A10FBEB">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_Toc13199 </w:instrText>
      </w:r>
      <w:r>
        <w:rPr>
          <w:rFonts w:hint="eastAsia" w:ascii="仿宋" w:hAnsi="仿宋" w:eastAsia="仿宋" w:cs="仿宋"/>
          <w:bCs/>
          <w:color w:val="auto"/>
          <w:highlight w:val="none"/>
          <w:lang w:val="zh-CN"/>
        </w:rPr>
        <w:fldChar w:fldCharType="separate"/>
      </w:r>
      <w:r>
        <w:rPr>
          <w:rFonts w:hint="eastAsia" w:cs="宋体"/>
          <w:color w:val="auto"/>
          <w:szCs w:val="28"/>
          <w:highlight w:val="none"/>
        </w:rPr>
        <w:t>四、其他</w:t>
      </w:r>
      <w:r>
        <w:rPr>
          <w:color w:val="auto"/>
          <w:highlight w:val="none"/>
        </w:rPr>
        <w:tab/>
      </w:r>
      <w:r>
        <w:rPr>
          <w:color w:val="auto"/>
          <w:highlight w:val="none"/>
        </w:rPr>
        <w:fldChar w:fldCharType="begin"/>
      </w:r>
      <w:r>
        <w:rPr>
          <w:color w:val="auto"/>
          <w:highlight w:val="none"/>
        </w:rPr>
        <w:instrText xml:space="preserve"> PAGEREF _Toc13199 \h </w:instrText>
      </w:r>
      <w:r>
        <w:rPr>
          <w:color w:val="auto"/>
          <w:highlight w:val="none"/>
        </w:rPr>
        <w:fldChar w:fldCharType="separate"/>
      </w:r>
      <w:r>
        <w:rPr>
          <w:color w:val="auto"/>
          <w:highlight w:val="none"/>
        </w:rPr>
        <w:t>65</w:t>
      </w:r>
      <w:r>
        <w:rPr>
          <w:color w:val="auto"/>
          <w:highlight w:val="none"/>
        </w:rPr>
        <w:fldChar w:fldCharType="end"/>
      </w:r>
      <w:r>
        <w:rPr>
          <w:rFonts w:hint="eastAsia" w:ascii="仿宋" w:hAnsi="仿宋" w:eastAsia="仿宋" w:cs="仿宋"/>
          <w:bCs/>
          <w:color w:val="auto"/>
          <w:highlight w:val="none"/>
          <w:lang w:val="zh-CN"/>
        </w:rPr>
        <w:fldChar w:fldCharType="end"/>
      </w:r>
    </w:p>
    <w:p w14:paraId="3CEC630A">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_Toc265 </w:instrText>
      </w:r>
      <w:r>
        <w:rPr>
          <w:rFonts w:hint="eastAsia" w:ascii="仿宋" w:hAnsi="仿宋" w:eastAsia="仿宋" w:cs="仿宋"/>
          <w:bCs/>
          <w:color w:val="auto"/>
          <w:highlight w:val="none"/>
          <w:lang w:val="zh-CN"/>
        </w:rPr>
        <w:fldChar w:fldCharType="separate"/>
      </w:r>
      <w:r>
        <w:rPr>
          <w:rFonts w:hint="eastAsia"/>
          <w:color w:val="auto"/>
          <w:highlight w:val="none"/>
        </w:rPr>
        <w:t>五、资格文件</w:t>
      </w:r>
      <w:r>
        <w:rPr>
          <w:color w:val="auto"/>
          <w:highlight w:val="none"/>
        </w:rPr>
        <w:tab/>
      </w:r>
      <w:r>
        <w:rPr>
          <w:color w:val="auto"/>
          <w:highlight w:val="none"/>
        </w:rPr>
        <w:fldChar w:fldCharType="begin"/>
      </w:r>
      <w:r>
        <w:rPr>
          <w:color w:val="auto"/>
          <w:highlight w:val="none"/>
        </w:rPr>
        <w:instrText xml:space="preserve"> PAGEREF _Toc265 \h </w:instrText>
      </w:r>
      <w:r>
        <w:rPr>
          <w:color w:val="auto"/>
          <w:highlight w:val="none"/>
        </w:rPr>
        <w:fldChar w:fldCharType="separate"/>
      </w:r>
      <w:r>
        <w:rPr>
          <w:color w:val="auto"/>
          <w:highlight w:val="none"/>
        </w:rPr>
        <w:t>65</w:t>
      </w:r>
      <w:r>
        <w:rPr>
          <w:color w:val="auto"/>
          <w:highlight w:val="none"/>
        </w:rPr>
        <w:fldChar w:fldCharType="end"/>
      </w:r>
      <w:r>
        <w:rPr>
          <w:rFonts w:hint="eastAsia" w:ascii="仿宋" w:hAnsi="仿宋" w:eastAsia="仿宋" w:cs="仿宋"/>
          <w:bCs/>
          <w:color w:val="auto"/>
          <w:highlight w:val="none"/>
          <w:lang w:val="zh-CN"/>
        </w:rPr>
        <w:fldChar w:fldCharType="end"/>
      </w:r>
    </w:p>
    <w:p w14:paraId="39FE3845">
      <w:pPr>
        <w:pStyle w:val="15"/>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_Toc24361 </w:instrText>
      </w:r>
      <w:r>
        <w:rPr>
          <w:rFonts w:hint="eastAsia" w:ascii="仿宋" w:hAnsi="仿宋" w:eastAsia="仿宋" w:cs="仿宋"/>
          <w:bCs/>
          <w:color w:val="auto"/>
          <w:highlight w:val="none"/>
          <w:lang w:val="zh-CN"/>
        </w:rPr>
        <w:fldChar w:fldCharType="separate"/>
      </w:r>
      <w:r>
        <w:rPr>
          <w:rFonts w:hint="eastAsia" w:ascii="宋体" w:hAnsi="宋体" w:cs="宋体"/>
          <w:bCs/>
          <w:color w:val="auto"/>
          <w:szCs w:val="36"/>
          <w:highlight w:val="none"/>
        </w:rPr>
        <w:t>基本资格条件承诺函</w:t>
      </w:r>
      <w:r>
        <w:rPr>
          <w:color w:val="auto"/>
          <w:highlight w:val="none"/>
        </w:rPr>
        <w:tab/>
      </w:r>
      <w:r>
        <w:rPr>
          <w:color w:val="auto"/>
          <w:highlight w:val="none"/>
        </w:rPr>
        <w:fldChar w:fldCharType="begin"/>
      </w:r>
      <w:r>
        <w:rPr>
          <w:color w:val="auto"/>
          <w:highlight w:val="none"/>
        </w:rPr>
        <w:instrText xml:space="preserve"> PAGEREF _Toc24361 \h </w:instrText>
      </w:r>
      <w:r>
        <w:rPr>
          <w:color w:val="auto"/>
          <w:highlight w:val="none"/>
        </w:rPr>
        <w:fldChar w:fldCharType="separate"/>
      </w:r>
      <w:r>
        <w:rPr>
          <w:color w:val="auto"/>
          <w:highlight w:val="none"/>
        </w:rPr>
        <w:t>66</w:t>
      </w:r>
      <w:r>
        <w:rPr>
          <w:color w:val="auto"/>
          <w:highlight w:val="none"/>
        </w:rPr>
        <w:fldChar w:fldCharType="end"/>
      </w:r>
      <w:r>
        <w:rPr>
          <w:rFonts w:hint="eastAsia" w:ascii="仿宋" w:hAnsi="仿宋" w:eastAsia="仿宋" w:cs="仿宋"/>
          <w:bCs/>
          <w:color w:val="auto"/>
          <w:highlight w:val="none"/>
          <w:lang w:val="zh-CN"/>
        </w:rPr>
        <w:fldChar w:fldCharType="end"/>
      </w:r>
    </w:p>
    <w:p w14:paraId="37445D48">
      <w:pPr>
        <w:pStyle w:val="16"/>
        <w:tabs>
          <w:tab w:val="right" w:leader="dot" w:pos="9412"/>
        </w:tabs>
        <w:kinsoku/>
        <w:wordWrap/>
        <w:overflowPunct/>
        <w:topLinePunct w:val="0"/>
        <w:autoSpaceDE/>
        <w:autoSpaceDN/>
        <w:bidi w:val="0"/>
        <w:spacing w:line="500" w:lineRule="exact"/>
        <w:rPr>
          <w:color w:val="auto"/>
          <w:highlight w:val="none"/>
        </w:rPr>
      </w:pPr>
      <w:r>
        <w:rPr>
          <w:rFonts w:hint="eastAsia" w:ascii="仿宋" w:hAnsi="仿宋" w:eastAsia="仿宋" w:cs="仿宋"/>
          <w:bCs/>
          <w:color w:val="auto"/>
          <w:highlight w:val="none"/>
          <w:lang w:val="zh-CN"/>
        </w:rPr>
        <w:fldChar w:fldCharType="begin"/>
      </w:r>
      <w:r>
        <w:rPr>
          <w:rFonts w:hint="eastAsia" w:ascii="仿宋" w:hAnsi="仿宋" w:eastAsia="仿宋" w:cs="仿宋"/>
          <w:bCs/>
          <w:color w:val="auto"/>
          <w:highlight w:val="none"/>
          <w:lang w:val="zh-CN"/>
        </w:rPr>
        <w:instrText xml:space="preserve"> HYPERLINK \l _Toc468 </w:instrText>
      </w:r>
      <w:r>
        <w:rPr>
          <w:rFonts w:hint="eastAsia" w:ascii="仿宋" w:hAnsi="仿宋" w:eastAsia="仿宋" w:cs="仿宋"/>
          <w:bCs/>
          <w:color w:val="auto"/>
          <w:highlight w:val="none"/>
          <w:lang w:val="zh-CN"/>
        </w:rPr>
        <w:fldChar w:fldCharType="separate"/>
      </w:r>
      <w:r>
        <w:rPr>
          <w:rFonts w:hint="eastAsia" w:ascii="宋体" w:hAnsi="宋体" w:cs="宋体"/>
          <w:color w:val="auto"/>
          <w:highlight w:val="none"/>
        </w:rPr>
        <w:t>廉洁承诺函（格式）</w:t>
      </w:r>
      <w:r>
        <w:rPr>
          <w:color w:val="auto"/>
          <w:highlight w:val="none"/>
        </w:rPr>
        <w:tab/>
      </w:r>
      <w:r>
        <w:rPr>
          <w:color w:val="auto"/>
          <w:highlight w:val="none"/>
        </w:rPr>
        <w:fldChar w:fldCharType="begin"/>
      </w:r>
      <w:r>
        <w:rPr>
          <w:color w:val="auto"/>
          <w:highlight w:val="none"/>
        </w:rPr>
        <w:instrText xml:space="preserve"> PAGEREF _Toc468 \h </w:instrText>
      </w:r>
      <w:r>
        <w:rPr>
          <w:color w:val="auto"/>
          <w:highlight w:val="none"/>
        </w:rPr>
        <w:fldChar w:fldCharType="separate"/>
      </w:r>
      <w:r>
        <w:rPr>
          <w:color w:val="auto"/>
          <w:highlight w:val="none"/>
        </w:rPr>
        <w:t>67</w:t>
      </w:r>
      <w:r>
        <w:rPr>
          <w:color w:val="auto"/>
          <w:highlight w:val="none"/>
        </w:rPr>
        <w:fldChar w:fldCharType="end"/>
      </w:r>
      <w:r>
        <w:rPr>
          <w:rFonts w:hint="eastAsia" w:ascii="仿宋" w:hAnsi="仿宋" w:eastAsia="仿宋" w:cs="仿宋"/>
          <w:bCs/>
          <w:color w:val="auto"/>
          <w:highlight w:val="none"/>
          <w:lang w:val="zh-CN"/>
        </w:rPr>
        <w:fldChar w:fldCharType="end"/>
      </w:r>
    </w:p>
    <w:p w14:paraId="1542BBC8">
      <w:pPr>
        <w:pageBreakBefore w:val="0"/>
        <w:kinsoku/>
        <w:wordWrap/>
        <w:overflowPunct/>
        <w:topLinePunct w:val="0"/>
        <w:autoSpaceDE/>
        <w:autoSpaceDN/>
        <w:bidi w:val="0"/>
        <w:spacing w:line="500" w:lineRule="exact"/>
        <w:jc w:val="center"/>
        <w:textAlignment w:val="auto"/>
        <w:rPr>
          <w:rFonts w:hint="eastAsia" w:ascii="仿宋" w:hAnsi="仿宋" w:eastAsia="仿宋" w:cs="仿宋"/>
          <w:bCs/>
          <w:color w:val="auto"/>
          <w:highlight w:val="none"/>
          <w:lang w:val="zh-CN"/>
        </w:rPr>
      </w:pPr>
      <w:r>
        <w:rPr>
          <w:rFonts w:hint="eastAsia" w:ascii="仿宋" w:hAnsi="仿宋" w:eastAsia="仿宋" w:cs="仿宋"/>
          <w:bCs/>
          <w:color w:val="auto"/>
          <w:highlight w:val="none"/>
          <w:lang w:val="zh-CN"/>
        </w:rPr>
        <w:fldChar w:fldCharType="end"/>
      </w:r>
    </w:p>
    <w:p w14:paraId="0917E94D">
      <w:pPr>
        <w:rPr>
          <w:rFonts w:hint="eastAsia" w:ascii="仿宋" w:hAnsi="仿宋" w:eastAsia="仿宋" w:cs="仿宋"/>
          <w:bCs/>
          <w:color w:val="auto"/>
          <w:highlight w:val="none"/>
          <w:lang w:val="zh-CN"/>
        </w:rPr>
      </w:pPr>
      <w:r>
        <w:rPr>
          <w:rFonts w:hint="eastAsia" w:ascii="仿宋" w:hAnsi="仿宋" w:eastAsia="仿宋" w:cs="仿宋"/>
          <w:bCs/>
          <w:color w:val="auto"/>
          <w:highlight w:val="none"/>
          <w:lang w:val="zh-CN"/>
        </w:rPr>
        <w:br w:type="page"/>
      </w:r>
    </w:p>
    <w:p w14:paraId="3B3C9AFF">
      <w:pPr>
        <w:pageBreakBefore w:val="0"/>
        <w:kinsoku/>
        <w:wordWrap/>
        <w:overflowPunct/>
        <w:topLinePunct w:val="0"/>
        <w:autoSpaceDE/>
        <w:autoSpaceDN/>
        <w:bidi w:val="0"/>
        <w:spacing w:line="500" w:lineRule="exact"/>
        <w:jc w:val="center"/>
        <w:textAlignment w:val="auto"/>
        <w:rPr>
          <w:rStyle w:val="34"/>
          <w:rFonts w:ascii="仿宋" w:hAnsi="仿宋" w:eastAsia="仿宋" w:cs="仿宋"/>
          <w:b/>
          <w:bCs/>
          <w:color w:val="auto"/>
          <w:highlight w:val="none"/>
        </w:rPr>
      </w:pPr>
      <w:r>
        <w:rPr>
          <w:rStyle w:val="34"/>
          <w:rFonts w:hint="eastAsia" w:ascii="仿宋" w:hAnsi="仿宋" w:eastAsia="仿宋" w:cs="仿宋"/>
          <w:b/>
          <w:bCs/>
          <w:color w:val="auto"/>
          <w:highlight w:val="none"/>
        </w:rPr>
        <w:t>第一篇 采购邀请书</w:t>
      </w:r>
      <w:bookmarkEnd w:id="0"/>
    </w:p>
    <w:p w14:paraId="7C534C6C">
      <w:pPr>
        <w:pageBreakBefore w:val="0"/>
        <w:kinsoku/>
        <w:wordWrap/>
        <w:overflowPunct/>
        <w:topLinePunct w:val="0"/>
        <w:autoSpaceDE/>
        <w:autoSpaceDN/>
        <w:bidi w:val="0"/>
        <w:snapToGrid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重庆第二师范学院资产管理处招投标办公室</w:t>
      </w:r>
      <w:r>
        <w:rPr>
          <w:rFonts w:hint="eastAsia" w:ascii="仿宋" w:hAnsi="仿宋" w:eastAsia="仿宋" w:cs="仿宋"/>
          <w:color w:val="auto"/>
          <w:sz w:val="24"/>
          <w:szCs w:val="24"/>
          <w:highlight w:val="none"/>
        </w:rPr>
        <w:t>受重庆第二师范学院（</w:t>
      </w:r>
      <w:r>
        <w:rPr>
          <w:rFonts w:hint="eastAsia" w:ascii="仿宋" w:hAnsi="仿宋" w:eastAsia="仿宋" w:cs="仿宋"/>
          <w:bCs/>
          <w:color w:val="auto"/>
          <w:sz w:val="24"/>
          <w:szCs w:val="24"/>
          <w:highlight w:val="none"/>
        </w:rPr>
        <w:t>以下简称</w:t>
      </w:r>
      <w:r>
        <w:rPr>
          <w:rFonts w:hint="eastAsia" w:ascii="仿宋" w:hAnsi="仿宋" w:eastAsia="仿宋" w:cs="仿宋"/>
          <w:color w:val="auto"/>
          <w:sz w:val="24"/>
          <w:szCs w:val="24"/>
          <w:highlight w:val="none"/>
          <w:lang w:val="en-US" w:eastAsia="zh-CN"/>
        </w:rPr>
        <w:t>学校</w:t>
      </w:r>
      <w:r>
        <w:rPr>
          <w:rFonts w:hint="eastAsia" w:ascii="仿宋" w:hAnsi="仿宋" w:eastAsia="仿宋" w:cs="仿宋"/>
          <w:color w:val="auto"/>
          <w:sz w:val="24"/>
          <w:szCs w:val="24"/>
          <w:highlight w:val="none"/>
        </w:rPr>
        <w:t>）委托，对重庆第二师范学院</w:t>
      </w:r>
      <w:r>
        <w:rPr>
          <w:rFonts w:hint="eastAsia" w:ascii="仿宋" w:hAnsi="仿宋" w:eastAsia="仿宋" w:cs="仿宋"/>
          <w:color w:val="auto"/>
          <w:sz w:val="24"/>
          <w:szCs w:val="24"/>
          <w:highlight w:val="none"/>
          <w:lang w:eastAsia="zh-CN"/>
        </w:rPr>
        <w:t>南山校区荟园</w:t>
      </w:r>
      <w:r>
        <w:rPr>
          <w:rFonts w:hint="eastAsia" w:ascii="仿宋" w:hAnsi="仿宋" w:eastAsia="仿宋" w:cs="仿宋"/>
          <w:color w:val="auto"/>
          <w:sz w:val="24"/>
          <w:szCs w:val="24"/>
          <w:highlight w:val="none"/>
        </w:rPr>
        <w:t>学生食堂联合运营项目</w:t>
      </w:r>
      <w:r>
        <w:rPr>
          <w:rFonts w:hint="eastAsia" w:ascii="仿宋" w:hAnsi="仿宋" w:eastAsia="仿宋" w:cs="仿宋"/>
          <w:color w:val="auto"/>
          <w:sz w:val="24"/>
          <w:szCs w:val="24"/>
          <w:highlight w:val="none"/>
          <w:lang w:val="en-US" w:eastAsia="zh-CN"/>
        </w:rPr>
        <w:t>服务商参照政府采购竞争性磋商方式</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，欢迎有资格的供应商参加</w:t>
      </w:r>
      <w:r>
        <w:rPr>
          <w:rFonts w:hint="eastAsia" w:ascii="仿宋" w:hAnsi="仿宋" w:eastAsia="仿宋" w:cs="仿宋"/>
          <w:color w:val="auto"/>
          <w:sz w:val="24"/>
          <w:szCs w:val="24"/>
          <w:highlight w:val="none"/>
          <w:lang w:val="en-US" w:eastAsia="zh-CN"/>
        </w:rPr>
        <w:t>遴选</w:t>
      </w:r>
      <w:r>
        <w:rPr>
          <w:rFonts w:hint="eastAsia" w:ascii="仿宋" w:hAnsi="仿宋" w:eastAsia="仿宋" w:cs="仿宋"/>
          <w:color w:val="auto"/>
          <w:sz w:val="24"/>
          <w:szCs w:val="24"/>
          <w:highlight w:val="none"/>
        </w:rPr>
        <w:t>。</w:t>
      </w:r>
    </w:p>
    <w:tbl>
      <w:tblPr>
        <w:tblStyle w:val="18"/>
        <w:tblpPr w:leftFromText="180" w:rightFromText="180" w:vertAnchor="text" w:horzAnchor="page" w:tblpX="1438" w:tblpY="697"/>
        <w:tblOverlap w:val="never"/>
        <w:tblW w:w="9512" w:type="dxa"/>
        <w:tblInd w:w="0" w:type="dxa"/>
        <w:tblLayout w:type="fixed"/>
        <w:tblCellMar>
          <w:top w:w="0" w:type="dxa"/>
          <w:left w:w="108" w:type="dxa"/>
          <w:bottom w:w="0" w:type="dxa"/>
          <w:right w:w="108" w:type="dxa"/>
        </w:tblCellMar>
      </w:tblPr>
      <w:tblGrid>
        <w:gridCol w:w="875"/>
        <w:gridCol w:w="3950"/>
        <w:gridCol w:w="1600"/>
        <w:gridCol w:w="1337"/>
        <w:gridCol w:w="1750"/>
      </w:tblGrid>
      <w:tr w14:paraId="5EE757A8">
        <w:tblPrEx>
          <w:tblCellMar>
            <w:top w:w="0" w:type="dxa"/>
            <w:left w:w="108" w:type="dxa"/>
            <w:bottom w:w="0" w:type="dxa"/>
            <w:right w:w="108" w:type="dxa"/>
          </w:tblCellMar>
        </w:tblPrEx>
        <w:trPr>
          <w:trHeight w:val="559" w:hRule="atLeast"/>
        </w:trPr>
        <w:tc>
          <w:tcPr>
            <w:tcW w:w="875" w:type="dxa"/>
            <w:tcBorders>
              <w:top w:val="single" w:color="auto" w:sz="4" w:space="0"/>
              <w:left w:val="single" w:color="auto" w:sz="4" w:space="0"/>
              <w:bottom w:val="single" w:color="auto" w:sz="4" w:space="0"/>
              <w:right w:val="single" w:color="auto" w:sz="4" w:space="0"/>
            </w:tcBorders>
            <w:noWrap/>
            <w:vAlign w:val="center"/>
          </w:tcPr>
          <w:p w14:paraId="62CA7FFA">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ascii="仿宋" w:hAnsi="仿宋" w:eastAsia="仿宋" w:cs="仿宋"/>
                <w:bCs/>
                <w:color w:val="auto"/>
                <w:kern w:val="0"/>
                <w:sz w:val="24"/>
                <w:szCs w:val="24"/>
                <w:highlight w:val="none"/>
              </w:rPr>
            </w:pPr>
            <w:bookmarkStart w:id="4" w:name="_Toc495587752"/>
            <w:r>
              <w:rPr>
                <w:rFonts w:hint="eastAsia" w:ascii="仿宋" w:hAnsi="仿宋" w:eastAsia="仿宋" w:cs="仿宋"/>
                <w:bCs/>
                <w:color w:val="auto"/>
                <w:sz w:val="24"/>
                <w:szCs w:val="24"/>
                <w:highlight w:val="none"/>
              </w:rPr>
              <w:t>分包号</w:t>
            </w:r>
          </w:p>
        </w:tc>
        <w:tc>
          <w:tcPr>
            <w:tcW w:w="3950" w:type="dxa"/>
            <w:tcBorders>
              <w:top w:val="single" w:color="auto" w:sz="4" w:space="0"/>
              <w:left w:val="nil"/>
              <w:bottom w:val="single" w:color="auto" w:sz="4" w:space="0"/>
              <w:right w:val="single" w:color="auto" w:sz="4" w:space="0"/>
            </w:tcBorders>
            <w:vAlign w:val="center"/>
          </w:tcPr>
          <w:p w14:paraId="0F836856">
            <w:pPr>
              <w:pStyle w:val="5"/>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240" w:firstLineChars="100"/>
              <w:jc w:val="center"/>
              <w:textAlignment w:val="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分包名称</w:t>
            </w:r>
          </w:p>
        </w:tc>
        <w:tc>
          <w:tcPr>
            <w:tcW w:w="1600" w:type="dxa"/>
            <w:tcBorders>
              <w:top w:val="single" w:color="auto" w:sz="4" w:space="0"/>
              <w:left w:val="nil"/>
              <w:bottom w:val="single" w:color="auto" w:sz="4" w:space="0"/>
              <w:right w:val="single" w:color="auto" w:sz="4" w:space="0"/>
            </w:tcBorders>
            <w:vAlign w:val="center"/>
          </w:tcPr>
          <w:p w14:paraId="7B68ACA0">
            <w:pPr>
              <w:pStyle w:val="5"/>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0"/>
              <w:jc w:val="center"/>
              <w:textAlignment w:val="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建筑面积</w:t>
            </w:r>
          </w:p>
          <w:p w14:paraId="34938C1A">
            <w:pPr>
              <w:pStyle w:val="5"/>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0"/>
              <w:jc w:val="center"/>
              <w:textAlignment w:val="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tc>
        <w:tc>
          <w:tcPr>
            <w:tcW w:w="1337" w:type="dxa"/>
            <w:tcBorders>
              <w:top w:val="single" w:color="auto" w:sz="4" w:space="0"/>
              <w:left w:val="nil"/>
              <w:bottom w:val="single" w:color="auto" w:sz="4" w:space="0"/>
              <w:right w:val="single" w:color="auto" w:sz="4" w:space="0"/>
            </w:tcBorders>
            <w:vAlign w:val="center"/>
          </w:tcPr>
          <w:p w14:paraId="124DA102">
            <w:pPr>
              <w:pStyle w:val="5"/>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0"/>
              <w:jc w:val="center"/>
              <w:textAlignment w:val="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遴选</w:t>
            </w:r>
            <w:r>
              <w:rPr>
                <w:rFonts w:hint="eastAsia" w:ascii="仿宋" w:hAnsi="仿宋" w:eastAsia="仿宋" w:cs="仿宋"/>
                <w:bCs/>
                <w:color w:val="auto"/>
                <w:sz w:val="24"/>
                <w:szCs w:val="24"/>
                <w:highlight w:val="none"/>
              </w:rPr>
              <w:t>保证金</w:t>
            </w:r>
          </w:p>
          <w:p w14:paraId="637F31B2">
            <w:pPr>
              <w:pStyle w:val="5"/>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0"/>
              <w:jc w:val="center"/>
              <w:textAlignment w:val="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（万元）</w:t>
            </w:r>
          </w:p>
        </w:tc>
        <w:tc>
          <w:tcPr>
            <w:tcW w:w="1750" w:type="dxa"/>
            <w:tcBorders>
              <w:top w:val="single" w:color="auto" w:sz="4" w:space="0"/>
              <w:left w:val="nil"/>
              <w:bottom w:val="single" w:color="auto" w:sz="4" w:space="0"/>
              <w:right w:val="single" w:color="auto" w:sz="4" w:space="0"/>
            </w:tcBorders>
            <w:vAlign w:val="center"/>
          </w:tcPr>
          <w:p w14:paraId="185D46B4">
            <w:pPr>
              <w:pStyle w:val="5"/>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0"/>
              <w:jc w:val="center"/>
              <w:textAlignment w:val="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成交供应商数量（名）</w:t>
            </w:r>
          </w:p>
        </w:tc>
      </w:tr>
      <w:tr w14:paraId="26061BA9">
        <w:tblPrEx>
          <w:tblCellMar>
            <w:top w:w="0" w:type="dxa"/>
            <w:left w:w="108" w:type="dxa"/>
            <w:bottom w:w="0" w:type="dxa"/>
            <w:right w:w="108" w:type="dxa"/>
          </w:tblCellMar>
        </w:tblPrEx>
        <w:trPr>
          <w:trHeight w:val="551" w:hRule="atLeast"/>
        </w:trPr>
        <w:tc>
          <w:tcPr>
            <w:tcW w:w="875" w:type="dxa"/>
            <w:tcBorders>
              <w:top w:val="single" w:color="auto" w:sz="4" w:space="0"/>
              <w:left w:val="single" w:color="auto" w:sz="4" w:space="0"/>
              <w:bottom w:val="single" w:color="auto" w:sz="4" w:space="0"/>
              <w:right w:val="single" w:color="auto" w:sz="4" w:space="0"/>
            </w:tcBorders>
            <w:noWrap/>
            <w:vAlign w:val="center"/>
          </w:tcPr>
          <w:p w14:paraId="782B575C">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w:t>
            </w:r>
          </w:p>
        </w:tc>
        <w:tc>
          <w:tcPr>
            <w:tcW w:w="3950" w:type="dxa"/>
            <w:tcBorders>
              <w:top w:val="single" w:color="auto" w:sz="4" w:space="0"/>
              <w:left w:val="single" w:color="auto" w:sz="4" w:space="0"/>
              <w:bottom w:val="single" w:color="auto" w:sz="4" w:space="0"/>
              <w:right w:val="single" w:color="auto" w:sz="4" w:space="0"/>
            </w:tcBorders>
            <w:vAlign w:val="center"/>
          </w:tcPr>
          <w:p w14:paraId="27AD299D">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left"/>
              <w:textAlignment w:val="auto"/>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重庆第二师范学院</w:t>
            </w:r>
            <w:r>
              <w:rPr>
                <w:rFonts w:hint="eastAsia" w:ascii="仿宋" w:hAnsi="仿宋" w:eastAsia="仿宋" w:cs="仿宋"/>
                <w:color w:val="auto"/>
                <w:sz w:val="24"/>
                <w:szCs w:val="24"/>
                <w:highlight w:val="none"/>
                <w:lang w:eastAsia="zh-CN"/>
              </w:rPr>
              <w:t>南山</w:t>
            </w:r>
            <w:r>
              <w:rPr>
                <w:rFonts w:hint="eastAsia" w:ascii="仿宋" w:hAnsi="仿宋" w:eastAsia="仿宋" w:cs="仿宋"/>
                <w:color w:val="auto"/>
                <w:sz w:val="24"/>
                <w:szCs w:val="24"/>
                <w:highlight w:val="none"/>
              </w:rPr>
              <w:t>校区</w:t>
            </w:r>
            <w:r>
              <w:rPr>
                <w:rFonts w:hint="eastAsia" w:ascii="仿宋" w:hAnsi="仿宋" w:eastAsia="仿宋" w:cs="仿宋"/>
                <w:color w:val="auto"/>
                <w:sz w:val="24"/>
                <w:szCs w:val="24"/>
                <w:highlight w:val="none"/>
                <w:lang w:eastAsia="zh-CN"/>
              </w:rPr>
              <w:t>荟园</w:t>
            </w:r>
            <w:r>
              <w:rPr>
                <w:rFonts w:hint="eastAsia" w:ascii="仿宋" w:hAnsi="仿宋" w:eastAsia="仿宋" w:cs="仿宋"/>
                <w:color w:val="auto"/>
                <w:sz w:val="24"/>
                <w:szCs w:val="24"/>
                <w:highlight w:val="none"/>
              </w:rPr>
              <w:t>学生食堂二</w:t>
            </w:r>
            <w:r>
              <w:rPr>
                <w:rFonts w:hint="eastAsia" w:ascii="仿宋" w:hAnsi="仿宋" w:eastAsia="仿宋" w:cs="仿宋"/>
                <w:color w:val="auto"/>
                <w:sz w:val="24"/>
                <w:szCs w:val="24"/>
                <w:highlight w:val="none"/>
                <w:lang w:eastAsia="zh-CN"/>
              </w:rPr>
              <w:t>、三</w:t>
            </w:r>
            <w:r>
              <w:rPr>
                <w:rFonts w:hint="eastAsia" w:ascii="仿宋" w:hAnsi="仿宋" w:eastAsia="仿宋" w:cs="仿宋"/>
                <w:color w:val="auto"/>
                <w:sz w:val="24"/>
                <w:szCs w:val="24"/>
                <w:highlight w:val="none"/>
              </w:rPr>
              <w:t>楼联合运营项目</w:t>
            </w:r>
          </w:p>
        </w:tc>
        <w:tc>
          <w:tcPr>
            <w:tcW w:w="1600" w:type="dxa"/>
            <w:tcBorders>
              <w:top w:val="single" w:color="auto" w:sz="4" w:space="0"/>
              <w:left w:val="single" w:color="auto" w:sz="4" w:space="0"/>
              <w:bottom w:val="single" w:color="auto" w:sz="4" w:space="0"/>
              <w:right w:val="single" w:color="auto" w:sz="4" w:space="0"/>
            </w:tcBorders>
            <w:vAlign w:val="center"/>
          </w:tcPr>
          <w:p w14:paraId="23736915">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约3100㎡</w:t>
            </w:r>
          </w:p>
        </w:tc>
        <w:tc>
          <w:tcPr>
            <w:tcW w:w="1337" w:type="dxa"/>
            <w:tcBorders>
              <w:top w:val="single" w:color="auto" w:sz="4" w:space="0"/>
              <w:left w:val="single" w:color="auto" w:sz="4" w:space="0"/>
              <w:bottom w:val="single" w:color="auto" w:sz="4" w:space="0"/>
              <w:right w:val="single" w:color="auto" w:sz="4" w:space="0"/>
            </w:tcBorders>
            <w:vAlign w:val="center"/>
          </w:tcPr>
          <w:p w14:paraId="46511F98">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10</w:t>
            </w:r>
          </w:p>
        </w:tc>
        <w:tc>
          <w:tcPr>
            <w:tcW w:w="1750" w:type="dxa"/>
            <w:tcBorders>
              <w:top w:val="single" w:color="auto" w:sz="4" w:space="0"/>
              <w:left w:val="single" w:color="auto" w:sz="4" w:space="0"/>
              <w:bottom w:val="single" w:color="auto" w:sz="4" w:space="0"/>
              <w:right w:val="single" w:color="auto" w:sz="4" w:space="0"/>
            </w:tcBorders>
            <w:vAlign w:val="center"/>
          </w:tcPr>
          <w:p w14:paraId="2F50A85D">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r>
      <w:tr w14:paraId="5BB7D0A9">
        <w:tblPrEx>
          <w:tblCellMar>
            <w:top w:w="0" w:type="dxa"/>
            <w:left w:w="108" w:type="dxa"/>
            <w:bottom w:w="0" w:type="dxa"/>
            <w:right w:w="108" w:type="dxa"/>
          </w:tblCellMar>
        </w:tblPrEx>
        <w:trPr>
          <w:trHeight w:val="551" w:hRule="atLeast"/>
        </w:trPr>
        <w:tc>
          <w:tcPr>
            <w:tcW w:w="875" w:type="dxa"/>
            <w:tcBorders>
              <w:top w:val="single" w:color="auto" w:sz="4" w:space="0"/>
              <w:left w:val="single" w:color="auto" w:sz="4" w:space="0"/>
              <w:bottom w:val="single" w:color="auto" w:sz="4" w:space="0"/>
              <w:right w:val="single" w:color="auto" w:sz="4" w:space="0"/>
            </w:tcBorders>
            <w:noWrap/>
            <w:vAlign w:val="center"/>
          </w:tcPr>
          <w:p w14:paraId="4D494F76">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950" w:type="dxa"/>
            <w:tcBorders>
              <w:top w:val="single" w:color="auto" w:sz="4" w:space="0"/>
              <w:left w:val="single" w:color="auto" w:sz="4" w:space="0"/>
              <w:bottom w:val="single" w:color="auto" w:sz="4" w:space="0"/>
              <w:right w:val="single" w:color="auto" w:sz="4" w:space="0"/>
            </w:tcBorders>
            <w:vAlign w:val="center"/>
          </w:tcPr>
          <w:p w14:paraId="2D35C7D7">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left"/>
              <w:textAlignment w:val="auto"/>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重庆第二师范学院南山校区荟园学生食堂一楼联合运营项目</w:t>
            </w:r>
          </w:p>
        </w:tc>
        <w:tc>
          <w:tcPr>
            <w:tcW w:w="1600" w:type="dxa"/>
            <w:tcBorders>
              <w:top w:val="single" w:color="auto" w:sz="4" w:space="0"/>
              <w:left w:val="single" w:color="auto" w:sz="4" w:space="0"/>
              <w:bottom w:val="single" w:color="auto" w:sz="4" w:space="0"/>
              <w:right w:val="single" w:color="auto" w:sz="4" w:space="0"/>
            </w:tcBorders>
            <w:vAlign w:val="center"/>
          </w:tcPr>
          <w:p w14:paraId="7A04A8A3">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约1700㎡</w:t>
            </w:r>
          </w:p>
        </w:tc>
        <w:tc>
          <w:tcPr>
            <w:tcW w:w="1337" w:type="dxa"/>
            <w:tcBorders>
              <w:top w:val="single" w:color="auto" w:sz="4" w:space="0"/>
              <w:left w:val="single" w:color="auto" w:sz="4" w:space="0"/>
              <w:bottom w:val="single" w:color="auto" w:sz="4" w:space="0"/>
              <w:right w:val="single" w:color="auto" w:sz="4" w:space="0"/>
            </w:tcBorders>
            <w:vAlign w:val="center"/>
          </w:tcPr>
          <w:p w14:paraId="48D267BB">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c>
          <w:tcPr>
            <w:tcW w:w="1750" w:type="dxa"/>
            <w:tcBorders>
              <w:top w:val="single" w:color="auto" w:sz="4" w:space="0"/>
              <w:left w:val="single" w:color="auto" w:sz="4" w:space="0"/>
              <w:bottom w:val="single" w:color="auto" w:sz="4" w:space="0"/>
              <w:right w:val="single" w:color="auto" w:sz="4" w:space="0"/>
            </w:tcBorders>
            <w:vAlign w:val="center"/>
          </w:tcPr>
          <w:p w14:paraId="0B39CDE7">
            <w:pPr>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r>
    </w:tbl>
    <w:p w14:paraId="234A9D6E">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b/>
          <w:bCs/>
          <w:color w:val="auto"/>
          <w:kern w:val="0"/>
          <w:sz w:val="24"/>
          <w:szCs w:val="24"/>
          <w:highlight w:val="none"/>
          <w:lang w:eastAsia="zh-CN"/>
        </w:rPr>
      </w:pPr>
      <w:bookmarkStart w:id="5" w:name="_Toc14932"/>
      <w:bookmarkStart w:id="6" w:name="_Toc16780"/>
      <w:r>
        <w:rPr>
          <w:rFonts w:hint="eastAsia" w:ascii="方正仿宋_GBK" w:hAnsi="微软雅黑" w:eastAsia="方正仿宋_GBK" w:cs="宋体"/>
          <w:b/>
          <w:bCs/>
          <w:color w:val="auto"/>
          <w:kern w:val="0"/>
          <w:sz w:val="24"/>
          <w:szCs w:val="24"/>
          <w:highlight w:val="none"/>
          <w:lang w:eastAsia="zh-CN"/>
        </w:rPr>
        <w:t>一、公开遴选内容</w:t>
      </w:r>
      <w:bookmarkEnd w:id="4"/>
      <w:bookmarkEnd w:id="5"/>
      <w:bookmarkEnd w:id="6"/>
    </w:p>
    <w:p w14:paraId="05CB9D35">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b/>
          <w:bCs/>
          <w:color w:val="auto"/>
          <w:kern w:val="0"/>
          <w:sz w:val="24"/>
          <w:szCs w:val="24"/>
          <w:highlight w:val="none"/>
          <w:lang w:eastAsia="zh-CN"/>
        </w:rPr>
      </w:pPr>
      <w:bookmarkStart w:id="7" w:name="_Toc601"/>
      <w:bookmarkStart w:id="8" w:name="_Toc13524"/>
      <w:bookmarkStart w:id="9" w:name="_Toc495587753"/>
      <w:r>
        <w:rPr>
          <w:rFonts w:hint="eastAsia" w:ascii="方正仿宋_GBK" w:hAnsi="微软雅黑" w:eastAsia="方正仿宋_GBK" w:cs="宋体"/>
          <w:b/>
          <w:bCs/>
          <w:color w:val="auto"/>
          <w:kern w:val="0"/>
          <w:sz w:val="24"/>
          <w:szCs w:val="24"/>
          <w:highlight w:val="none"/>
          <w:lang w:eastAsia="zh-CN"/>
        </w:rPr>
        <w:t>二、资金来源</w:t>
      </w:r>
      <w:bookmarkEnd w:id="7"/>
      <w:bookmarkEnd w:id="8"/>
      <w:bookmarkEnd w:id="9"/>
      <w:bookmarkStart w:id="10" w:name="_Toc495587754"/>
    </w:p>
    <w:bookmarkEnd w:id="10"/>
    <w:p w14:paraId="0D8D6530">
      <w:pPr>
        <w:pStyle w:val="4"/>
        <w:pageBreakBefore w:val="0"/>
        <w:kinsoku/>
        <w:wordWrap/>
        <w:overflowPunct/>
        <w:topLinePunct w:val="0"/>
        <w:autoSpaceDE/>
        <w:autoSpaceDN/>
        <w:bidi w:val="0"/>
        <w:spacing w:line="500" w:lineRule="exact"/>
        <w:textAlignment w:val="auto"/>
        <w:rPr>
          <w:rFonts w:hint="eastAsia" w:ascii="方正仿宋_GBK" w:hAnsi="微软雅黑" w:eastAsia="方正仿宋_GBK" w:cs="宋体"/>
          <w:b/>
          <w:bCs/>
          <w:color w:val="auto"/>
          <w:kern w:val="0"/>
          <w:sz w:val="24"/>
          <w:szCs w:val="24"/>
          <w:highlight w:val="none"/>
          <w:lang w:eastAsia="zh-CN"/>
        </w:rPr>
      </w:pPr>
      <w:bookmarkStart w:id="11" w:name="_Toc9402"/>
      <w:bookmarkStart w:id="12" w:name="_Toc75793498"/>
      <w:bookmarkStart w:id="13" w:name="_Toc8912"/>
      <w:bookmarkStart w:id="14" w:name="_Toc495587755"/>
      <w:r>
        <w:rPr>
          <w:rFonts w:hint="eastAsia" w:ascii="方正仿宋_GBK" w:hAnsi="微软雅黑" w:eastAsia="方正仿宋_GBK" w:cs="宋体"/>
          <w:color w:val="auto"/>
          <w:kern w:val="0"/>
          <w:sz w:val="24"/>
          <w:szCs w:val="24"/>
          <w:highlight w:val="none"/>
          <w:lang w:eastAsia="zh-CN"/>
        </w:rPr>
        <w:t>成交供应商自行全额投资环境改善优化，包括但不限于</w:t>
      </w:r>
      <w:r>
        <w:rPr>
          <w:rFonts w:hint="eastAsia" w:ascii="方正仿宋_GBK" w:hAnsi="微软雅黑" w:eastAsia="方正仿宋_GBK" w:cs="宋体"/>
          <w:color w:val="auto"/>
          <w:kern w:val="0"/>
          <w:sz w:val="24"/>
          <w:szCs w:val="24"/>
          <w:highlight w:val="none"/>
          <w:lang w:val="en-US" w:eastAsia="zh-CN"/>
        </w:rPr>
        <w:t>食堂环境美化、</w:t>
      </w:r>
      <w:r>
        <w:rPr>
          <w:rFonts w:hint="default" w:ascii="方正仿宋_GBK" w:hAnsi="微软雅黑" w:eastAsia="方正仿宋_GBK" w:cs="宋体"/>
          <w:color w:val="auto"/>
          <w:kern w:val="0"/>
          <w:sz w:val="24"/>
          <w:szCs w:val="24"/>
          <w:highlight w:val="none"/>
          <w:lang w:val="en-US" w:eastAsia="zh-CN"/>
        </w:rPr>
        <w:t>安全</w:t>
      </w:r>
      <w:r>
        <w:rPr>
          <w:rFonts w:hint="eastAsia" w:ascii="方正仿宋_GBK" w:hAnsi="微软雅黑" w:eastAsia="方正仿宋_GBK" w:cs="宋体"/>
          <w:color w:val="auto"/>
          <w:kern w:val="0"/>
          <w:sz w:val="24"/>
          <w:szCs w:val="24"/>
          <w:highlight w:val="none"/>
          <w:lang w:val="en-US" w:eastAsia="zh-CN"/>
        </w:rPr>
        <w:t>运营</w:t>
      </w:r>
      <w:r>
        <w:rPr>
          <w:rFonts w:hint="default" w:ascii="方正仿宋_GBK" w:hAnsi="微软雅黑" w:eastAsia="方正仿宋_GBK" w:cs="宋体"/>
          <w:color w:val="auto"/>
          <w:kern w:val="0"/>
          <w:sz w:val="24"/>
          <w:szCs w:val="24"/>
          <w:highlight w:val="none"/>
          <w:lang w:val="en-US" w:eastAsia="zh-CN"/>
        </w:rPr>
        <w:t>、</w:t>
      </w:r>
      <w:r>
        <w:rPr>
          <w:rFonts w:hint="eastAsia" w:ascii="方正仿宋_GBK" w:hAnsi="微软雅黑" w:eastAsia="方正仿宋_GBK" w:cs="宋体"/>
          <w:color w:val="auto"/>
          <w:kern w:val="0"/>
          <w:sz w:val="24"/>
          <w:szCs w:val="24"/>
          <w:highlight w:val="none"/>
          <w:lang w:val="en-US" w:eastAsia="zh-CN"/>
        </w:rPr>
        <w:t>智慧化建设</w:t>
      </w:r>
      <w:r>
        <w:rPr>
          <w:rFonts w:hint="eastAsia" w:ascii="方正仿宋_GBK" w:hAnsi="微软雅黑" w:eastAsia="方正仿宋_GBK" w:cs="宋体"/>
          <w:color w:val="auto"/>
          <w:kern w:val="0"/>
          <w:sz w:val="24"/>
          <w:szCs w:val="24"/>
          <w:highlight w:val="none"/>
          <w:lang w:eastAsia="zh-CN"/>
        </w:rPr>
        <w:t>等。</w:t>
      </w:r>
      <w:bookmarkEnd w:id="11"/>
    </w:p>
    <w:p w14:paraId="70DAD8E2">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b/>
          <w:bCs/>
          <w:color w:val="auto"/>
          <w:kern w:val="0"/>
          <w:sz w:val="24"/>
          <w:szCs w:val="24"/>
          <w:highlight w:val="none"/>
          <w:lang w:eastAsia="zh-CN"/>
        </w:rPr>
      </w:pPr>
      <w:bookmarkStart w:id="15" w:name="_Toc13686"/>
      <w:r>
        <w:rPr>
          <w:rFonts w:hint="eastAsia" w:ascii="方正仿宋_GBK" w:hAnsi="微软雅黑" w:eastAsia="方正仿宋_GBK" w:cs="宋体"/>
          <w:b/>
          <w:bCs/>
          <w:color w:val="auto"/>
          <w:kern w:val="0"/>
          <w:sz w:val="24"/>
          <w:szCs w:val="24"/>
          <w:highlight w:val="none"/>
          <w:lang w:eastAsia="zh-CN"/>
        </w:rPr>
        <w:t>三、投选人资格要求</w:t>
      </w:r>
      <w:bookmarkEnd w:id="12"/>
      <w:bookmarkEnd w:id="13"/>
      <w:bookmarkEnd w:id="15"/>
    </w:p>
    <w:p w14:paraId="4B6074AD">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b w:val="0"/>
          <w:bCs w:val="0"/>
          <w:color w:val="auto"/>
          <w:kern w:val="0"/>
          <w:sz w:val="24"/>
          <w:szCs w:val="24"/>
          <w:highlight w:val="none"/>
          <w:lang w:eastAsia="zh-CN"/>
        </w:rPr>
      </w:pPr>
      <w:r>
        <w:rPr>
          <w:rFonts w:hint="eastAsia" w:ascii="方正仿宋_GBK" w:hAnsi="微软雅黑" w:eastAsia="方正仿宋_GBK" w:cs="宋体"/>
          <w:b w:val="0"/>
          <w:bCs w:val="0"/>
          <w:color w:val="auto"/>
          <w:kern w:val="0"/>
          <w:sz w:val="24"/>
          <w:szCs w:val="24"/>
          <w:highlight w:val="none"/>
          <w:lang w:eastAsia="zh-CN"/>
        </w:rPr>
        <w:t>（一）满足《中华人民共和国政府采购法》第二十二条规定；</w:t>
      </w:r>
    </w:p>
    <w:p w14:paraId="455DBA90">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b w:val="0"/>
          <w:bCs w:val="0"/>
          <w:color w:val="auto"/>
          <w:kern w:val="0"/>
          <w:sz w:val="24"/>
          <w:szCs w:val="24"/>
          <w:highlight w:val="none"/>
          <w:lang w:eastAsia="zh-CN"/>
        </w:rPr>
      </w:pPr>
      <w:r>
        <w:rPr>
          <w:rFonts w:hint="eastAsia" w:ascii="方正仿宋_GBK" w:hAnsi="微软雅黑" w:eastAsia="方正仿宋_GBK" w:cs="宋体"/>
          <w:b w:val="0"/>
          <w:bCs w:val="0"/>
          <w:color w:val="auto"/>
          <w:kern w:val="0"/>
          <w:sz w:val="24"/>
          <w:szCs w:val="24"/>
          <w:highlight w:val="none"/>
          <w:lang w:eastAsia="zh-CN"/>
        </w:rPr>
        <w:t>（二）落实政府采购政策需满足的资格要求：无</w:t>
      </w:r>
    </w:p>
    <w:p w14:paraId="002F9D7D">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b w:val="0"/>
          <w:bCs w:val="0"/>
          <w:color w:val="auto"/>
          <w:kern w:val="0"/>
          <w:sz w:val="24"/>
          <w:szCs w:val="24"/>
          <w:highlight w:val="none"/>
          <w:lang w:eastAsia="zh-CN"/>
        </w:rPr>
      </w:pPr>
      <w:r>
        <w:rPr>
          <w:rFonts w:hint="eastAsia" w:ascii="方正仿宋_GBK" w:hAnsi="微软雅黑" w:eastAsia="方正仿宋_GBK" w:cs="宋体"/>
          <w:b w:val="0"/>
          <w:bCs w:val="0"/>
          <w:color w:val="auto"/>
          <w:kern w:val="0"/>
          <w:sz w:val="24"/>
          <w:szCs w:val="24"/>
          <w:highlight w:val="none"/>
          <w:lang w:eastAsia="zh-CN"/>
        </w:rPr>
        <w:t>（三）本项目的特定资格要求：</w:t>
      </w:r>
    </w:p>
    <w:p w14:paraId="4C84C905">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微软雅黑" w:eastAsia="方正仿宋_GBK" w:cs="宋体"/>
          <w:b w:val="0"/>
          <w:bCs w:val="0"/>
          <w:color w:val="auto"/>
          <w:kern w:val="0"/>
          <w:sz w:val="24"/>
          <w:szCs w:val="24"/>
          <w:highlight w:val="yellow"/>
        </w:rPr>
      </w:pPr>
      <w:r>
        <w:rPr>
          <w:rFonts w:hint="eastAsia" w:ascii="方正仿宋_GBK" w:hAnsi="微软雅黑" w:eastAsia="方正仿宋_GBK" w:cs="宋体"/>
          <w:b w:val="0"/>
          <w:bCs w:val="0"/>
          <w:color w:val="auto"/>
          <w:kern w:val="0"/>
          <w:sz w:val="24"/>
          <w:szCs w:val="24"/>
          <w:highlight w:val="yellow"/>
        </w:rPr>
        <w:t>供应商提供1个从</w:t>
      </w:r>
      <w:r>
        <w:rPr>
          <w:rFonts w:hint="eastAsia" w:ascii="方正仿宋_GBK" w:hAnsi="微软雅黑" w:eastAsia="方正仿宋_GBK" w:cs="宋体"/>
          <w:b w:val="0"/>
          <w:bCs w:val="0"/>
          <w:color w:val="auto"/>
          <w:kern w:val="0"/>
          <w:sz w:val="24"/>
          <w:szCs w:val="24"/>
          <w:highlight w:val="yellow"/>
          <w:lang w:val="en-US" w:eastAsia="zh-CN"/>
        </w:rPr>
        <w:t>2020</w:t>
      </w:r>
      <w:r>
        <w:rPr>
          <w:rFonts w:hint="eastAsia" w:ascii="方正仿宋_GBK" w:hAnsi="微软雅黑" w:eastAsia="方正仿宋_GBK" w:cs="宋体"/>
          <w:b w:val="0"/>
          <w:bCs w:val="0"/>
          <w:color w:val="auto"/>
          <w:kern w:val="0"/>
          <w:sz w:val="24"/>
          <w:szCs w:val="24"/>
          <w:highlight w:val="yellow"/>
        </w:rPr>
        <w:t>年</w:t>
      </w:r>
      <w:r>
        <w:rPr>
          <w:rFonts w:hint="eastAsia" w:ascii="方正仿宋_GBK" w:hAnsi="微软雅黑" w:eastAsia="方正仿宋_GBK" w:cs="宋体"/>
          <w:b w:val="0"/>
          <w:bCs w:val="0"/>
          <w:color w:val="auto"/>
          <w:kern w:val="0"/>
          <w:sz w:val="24"/>
          <w:szCs w:val="24"/>
          <w:highlight w:val="yellow"/>
          <w:lang w:val="en-US" w:eastAsia="zh-CN"/>
        </w:rPr>
        <w:t>1</w:t>
      </w:r>
      <w:r>
        <w:rPr>
          <w:rFonts w:hint="eastAsia" w:ascii="方正仿宋_GBK" w:hAnsi="微软雅黑" w:eastAsia="方正仿宋_GBK" w:cs="宋体"/>
          <w:b w:val="0"/>
          <w:bCs w:val="0"/>
          <w:color w:val="auto"/>
          <w:kern w:val="0"/>
          <w:sz w:val="24"/>
          <w:szCs w:val="24"/>
          <w:highlight w:val="yellow"/>
        </w:rPr>
        <w:t>月</w:t>
      </w:r>
      <w:r>
        <w:rPr>
          <w:rFonts w:hint="eastAsia" w:ascii="方正仿宋_GBK" w:hAnsi="微软雅黑" w:eastAsia="方正仿宋_GBK" w:cs="宋体"/>
          <w:b w:val="0"/>
          <w:bCs w:val="0"/>
          <w:color w:val="auto"/>
          <w:kern w:val="0"/>
          <w:sz w:val="24"/>
          <w:szCs w:val="24"/>
          <w:highlight w:val="yellow"/>
          <w:lang w:val="en-US" w:eastAsia="zh-CN"/>
        </w:rPr>
        <w:t>1</w:t>
      </w:r>
      <w:r>
        <w:rPr>
          <w:rFonts w:hint="eastAsia" w:ascii="方正仿宋_GBK" w:hAnsi="微软雅黑" w:eastAsia="方正仿宋_GBK" w:cs="宋体"/>
          <w:b w:val="0"/>
          <w:bCs w:val="0"/>
          <w:color w:val="auto"/>
          <w:kern w:val="0"/>
          <w:sz w:val="24"/>
          <w:szCs w:val="24"/>
          <w:highlight w:val="yellow"/>
        </w:rPr>
        <w:t>日至遴选开始时间，在普通高校从事不少于3000平米食堂面积的食堂运营业绩。（提供合同复印件，盖</w:t>
      </w:r>
      <w:r>
        <w:rPr>
          <w:rFonts w:hint="eastAsia" w:ascii="方正仿宋_GBK" w:hAnsi="微软雅黑" w:eastAsia="方正仿宋_GBK" w:cs="宋体"/>
          <w:b w:val="0"/>
          <w:bCs w:val="0"/>
          <w:color w:val="auto"/>
          <w:kern w:val="0"/>
          <w:sz w:val="24"/>
          <w:szCs w:val="24"/>
          <w:highlight w:val="yellow"/>
          <w:lang w:eastAsia="zh-CN"/>
        </w:rPr>
        <w:t>供应商</w:t>
      </w:r>
      <w:r>
        <w:rPr>
          <w:rFonts w:hint="eastAsia" w:ascii="方正仿宋_GBK" w:hAnsi="微软雅黑" w:eastAsia="方正仿宋_GBK" w:cs="宋体"/>
          <w:b w:val="0"/>
          <w:bCs w:val="0"/>
          <w:color w:val="auto"/>
          <w:kern w:val="0"/>
          <w:sz w:val="24"/>
          <w:szCs w:val="24"/>
          <w:highlight w:val="yellow"/>
        </w:rPr>
        <w:t>公章</w:t>
      </w:r>
      <w:r>
        <w:rPr>
          <w:rFonts w:hint="eastAsia" w:ascii="方正仿宋_GBK" w:hAnsi="微软雅黑" w:eastAsia="方正仿宋_GBK" w:cs="宋体"/>
          <w:b w:val="0"/>
          <w:bCs w:val="0"/>
          <w:color w:val="auto"/>
          <w:kern w:val="0"/>
          <w:sz w:val="24"/>
          <w:szCs w:val="24"/>
          <w:highlight w:val="yellow"/>
          <w:lang w:eastAsia="zh-CN"/>
        </w:rPr>
        <w:t>。</w:t>
      </w:r>
      <w:r>
        <w:rPr>
          <w:rFonts w:hint="eastAsia" w:ascii="仿宋" w:hAnsi="仿宋" w:eastAsia="仿宋" w:cs="仿宋"/>
          <w:color w:val="auto"/>
          <w:sz w:val="24"/>
          <w:szCs w:val="24"/>
          <w:highlight w:val="yellow"/>
        </w:rPr>
        <w:t>本项目的特定资格</w:t>
      </w:r>
      <w:r>
        <w:rPr>
          <w:rFonts w:hint="eastAsia" w:ascii="仿宋" w:hAnsi="仿宋" w:eastAsia="仿宋" w:cs="仿宋"/>
          <w:color w:val="auto"/>
          <w:sz w:val="24"/>
          <w:szCs w:val="24"/>
          <w:highlight w:val="yellow"/>
          <w:lang w:val="en-US" w:eastAsia="zh-CN"/>
        </w:rPr>
        <w:t>符合性提供的合同不再计入商务要求-经营业绩的得分。</w:t>
      </w:r>
      <w:r>
        <w:rPr>
          <w:rFonts w:hint="eastAsia" w:ascii="方正仿宋_GBK" w:hAnsi="微软雅黑" w:eastAsia="方正仿宋_GBK" w:cs="宋体"/>
          <w:b w:val="0"/>
          <w:bCs w:val="0"/>
          <w:color w:val="auto"/>
          <w:kern w:val="0"/>
          <w:sz w:val="24"/>
          <w:szCs w:val="24"/>
          <w:highlight w:val="yellow"/>
        </w:rPr>
        <w:t>）</w:t>
      </w:r>
    </w:p>
    <w:p w14:paraId="61557DCF">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color w:val="auto"/>
          <w:kern w:val="0"/>
          <w:sz w:val="24"/>
          <w:szCs w:val="24"/>
          <w:highlight w:val="none"/>
          <w:lang w:eastAsia="zh-CN"/>
        </w:rPr>
      </w:pPr>
      <w:r>
        <w:rPr>
          <w:rFonts w:hint="eastAsia" w:ascii="方正仿宋_GBK" w:hAnsi="微软雅黑" w:eastAsia="方正仿宋_GBK" w:cs="宋体"/>
          <w:color w:val="auto"/>
          <w:kern w:val="0"/>
          <w:sz w:val="24"/>
          <w:szCs w:val="24"/>
          <w:highlight w:val="none"/>
          <w:lang w:eastAsia="zh-CN"/>
        </w:rPr>
        <w:t>说明：</w:t>
      </w:r>
    </w:p>
    <w:p w14:paraId="46EB04E1">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color w:val="auto"/>
          <w:kern w:val="0"/>
          <w:sz w:val="24"/>
          <w:szCs w:val="24"/>
          <w:highlight w:val="none"/>
          <w:lang w:eastAsia="zh-CN"/>
        </w:rPr>
      </w:pPr>
      <w:r>
        <w:rPr>
          <w:rFonts w:hint="eastAsia" w:ascii="方正仿宋_GBK" w:hAnsi="微软雅黑" w:eastAsia="方正仿宋_GBK" w:cs="宋体"/>
          <w:color w:val="auto"/>
          <w:kern w:val="0"/>
          <w:sz w:val="24"/>
          <w:szCs w:val="24"/>
          <w:highlight w:val="none"/>
          <w:lang w:eastAsia="zh-CN"/>
        </w:rPr>
        <w:t>1.业绩证明材料需附合同首尾页、关键信息页及盖章页，内容能够体现甲方名称、服务期限、服务内容、经营面积等。业绩证明材料需加盖供应商公章。</w:t>
      </w:r>
    </w:p>
    <w:p w14:paraId="18A03568">
      <w:pPr>
        <w:pageBreakBefore w:val="0"/>
        <w:widowControl/>
        <w:kinsoku/>
        <w:wordWrap/>
        <w:overflowPunct/>
        <w:topLinePunct w:val="0"/>
        <w:autoSpaceDE/>
        <w:autoSpaceDN/>
        <w:bidi w:val="0"/>
        <w:spacing w:line="500" w:lineRule="exact"/>
        <w:ind w:firstLine="480"/>
        <w:jc w:val="left"/>
        <w:textAlignment w:val="auto"/>
        <w:rPr>
          <w:rFonts w:hint="default" w:ascii="仿宋" w:hAnsi="仿宋" w:eastAsia="仿宋" w:cs="仿宋"/>
          <w:color w:val="auto"/>
          <w:sz w:val="24"/>
          <w:szCs w:val="24"/>
          <w:highlight w:val="none"/>
          <w:lang w:val="en-US" w:eastAsia="zh-CN"/>
        </w:rPr>
      </w:pPr>
      <w:r>
        <w:rPr>
          <w:rFonts w:hint="eastAsia" w:ascii="方正仿宋_GBK" w:hAnsi="微软雅黑" w:eastAsia="方正仿宋_GBK" w:cs="宋体"/>
          <w:color w:val="auto"/>
          <w:kern w:val="0"/>
          <w:sz w:val="24"/>
          <w:szCs w:val="24"/>
          <w:highlight w:val="none"/>
          <w:lang w:eastAsia="zh-CN"/>
        </w:rPr>
        <w:t>2.如果服务合同中未注明建筑面积，须提供与所投业绩相对应的甲方单位或者其后勤管理部门盖章出具的证明单体经营面积的证明材料。</w:t>
      </w:r>
    </w:p>
    <w:p w14:paraId="4386C7CE">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b/>
          <w:bCs/>
          <w:color w:val="auto"/>
          <w:kern w:val="0"/>
          <w:sz w:val="24"/>
          <w:szCs w:val="24"/>
          <w:highlight w:val="none"/>
          <w:lang w:eastAsia="zh-CN"/>
        </w:rPr>
      </w:pPr>
      <w:r>
        <w:rPr>
          <w:rFonts w:hint="eastAsia" w:ascii="方正仿宋_GBK" w:hAnsi="微软雅黑" w:eastAsia="方正仿宋_GBK" w:cs="宋体"/>
          <w:b/>
          <w:bCs/>
          <w:color w:val="auto"/>
          <w:kern w:val="0"/>
          <w:sz w:val="24"/>
          <w:szCs w:val="24"/>
          <w:highlight w:val="none"/>
          <w:lang w:eastAsia="zh-CN"/>
        </w:rPr>
        <w:t>四、遴选有关说明</w:t>
      </w:r>
      <w:bookmarkEnd w:id="14"/>
    </w:p>
    <w:p w14:paraId="7B0312DA">
      <w:pPr>
        <w:pageBreakBefore w:val="0"/>
        <w:kinsoku/>
        <w:wordWrap/>
        <w:overflowPunct/>
        <w:topLinePunct w:val="0"/>
        <w:autoSpaceDE/>
        <w:autoSpaceDN/>
        <w:bidi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（一）凡有意参加</w:t>
      </w:r>
      <w:r>
        <w:rPr>
          <w:rFonts w:hint="eastAsia" w:ascii="仿宋" w:hAnsi="仿宋" w:eastAsia="仿宋" w:cs="仿宋"/>
          <w:color w:val="auto"/>
          <w:sz w:val="24"/>
          <w:szCs w:val="24"/>
          <w:highlight w:val="none"/>
          <w:lang w:val="en-US" w:eastAsia="zh-CN"/>
        </w:rPr>
        <w:t>遴选</w:t>
      </w:r>
      <w:r>
        <w:rPr>
          <w:rFonts w:hint="eastAsia" w:ascii="仿宋" w:hAnsi="仿宋" w:eastAsia="仿宋" w:cs="仿宋"/>
          <w:color w:val="auto"/>
          <w:sz w:val="24"/>
          <w:szCs w:val="24"/>
          <w:highlight w:val="none"/>
        </w:rPr>
        <w:t>的供应商，请在重庆第二师范学院校园网（</w:t>
      </w:r>
      <w:r>
        <w:rPr>
          <w:color w:val="auto"/>
          <w:sz w:val="24"/>
          <w:szCs w:val="24"/>
          <w:highlight w:val="none"/>
        </w:rPr>
        <w:fldChar w:fldCharType="begin"/>
      </w:r>
      <w:r>
        <w:rPr>
          <w:color w:val="auto"/>
          <w:sz w:val="24"/>
          <w:szCs w:val="24"/>
          <w:highlight w:val="none"/>
        </w:rPr>
        <w:instrText xml:space="preserve"> HYPERLINK "http://www.cque.edu.cn" </w:instrText>
      </w:r>
      <w:r>
        <w:rPr>
          <w:color w:val="auto"/>
          <w:sz w:val="24"/>
          <w:szCs w:val="24"/>
          <w:highlight w:val="none"/>
        </w:rPr>
        <w:fldChar w:fldCharType="separate"/>
      </w:r>
      <w:r>
        <w:rPr>
          <w:rFonts w:hint="eastAsia" w:ascii="仿宋" w:hAnsi="仿宋" w:eastAsia="仿宋" w:cs="仿宋"/>
          <w:color w:val="auto"/>
          <w:sz w:val="24"/>
          <w:szCs w:val="24"/>
          <w:highlight w:val="none"/>
        </w:rPr>
        <w:t>http://www.cque.edu.cn</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）、行采家（https://www.gec123.com/）上下载本项目</w:t>
      </w:r>
      <w:r>
        <w:rPr>
          <w:rFonts w:hint="eastAsia" w:ascii="仿宋" w:hAnsi="仿宋" w:eastAsia="仿宋" w:cs="仿宋"/>
          <w:color w:val="auto"/>
          <w:sz w:val="24"/>
          <w:szCs w:val="24"/>
          <w:highlight w:val="none"/>
          <w:lang w:val="en-US" w:eastAsia="zh-CN"/>
        </w:rPr>
        <w:t>公开遴选</w:t>
      </w:r>
      <w:r>
        <w:rPr>
          <w:rFonts w:hint="eastAsia" w:ascii="仿宋" w:hAnsi="仿宋" w:eastAsia="仿宋" w:cs="仿宋"/>
          <w:color w:val="auto"/>
          <w:sz w:val="24"/>
          <w:szCs w:val="24"/>
          <w:highlight w:val="none"/>
        </w:rPr>
        <w:t>文件以及图纸、补遗文件等</w:t>
      </w:r>
      <w:r>
        <w:rPr>
          <w:rFonts w:hint="eastAsia" w:ascii="仿宋" w:hAnsi="仿宋" w:eastAsia="仿宋" w:cs="仿宋"/>
          <w:color w:val="auto"/>
          <w:sz w:val="24"/>
          <w:szCs w:val="24"/>
          <w:highlight w:val="none"/>
          <w:lang w:val="en-US" w:eastAsia="zh-CN"/>
        </w:rPr>
        <w:t>遴选</w:t>
      </w:r>
      <w:r>
        <w:rPr>
          <w:rFonts w:hint="eastAsia" w:ascii="仿宋" w:hAnsi="仿宋" w:eastAsia="仿宋" w:cs="仿宋"/>
          <w:color w:val="auto"/>
          <w:sz w:val="24"/>
          <w:szCs w:val="24"/>
          <w:highlight w:val="none"/>
        </w:rPr>
        <w:t>前公布的所有项目资料，无论供应商下载与否，均视为已知晓所有</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内容。</w:t>
      </w:r>
    </w:p>
    <w:p w14:paraId="5B532211">
      <w:pPr>
        <w:pageBreakBefore w:val="0"/>
        <w:kinsoku/>
        <w:wordWrap/>
        <w:overflowPunct/>
        <w:topLinePunct w:val="0"/>
        <w:autoSpaceDE/>
        <w:autoSpaceDN/>
        <w:bidi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文件公告期限：202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日起10个自然日。</w:t>
      </w:r>
    </w:p>
    <w:p w14:paraId="0EAA746E">
      <w:pPr>
        <w:pageBreakBefore w:val="0"/>
        <w:kinsoku/>
        <w:wordWrap/>
        <w:overflowPunct/>
        <w:topLinePunct w:val="0"/>
        <w:autoSpaceDE/>
        <w:autoSpaceDN/>
        <w:bidi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文件报名</w:t>
      </w:r>
    </w:p>
    <w:p w14:paraId="43CDE833">
      <w:pPr>
        <w:pageBreakBefore w:val="0"/>
        <w:kinsoku/>
        <w:wordWrap/>
        <w:overflowPunct/>
        <w:topLinePunct w:val="0"/>
        <w:autoSpaceDE/>
        <w:autoSpaceDN/>
        <w:bidi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报名</w:t>
      </w:r>
      <w:r>
        <w:rPr>
          <w:rFonts w:hint="eastAsia" w:ascii="仿宋" w:hAnsi="仿宋" w:eastAsia="仿宋" w:cs="仿宋"/>
          <w:color w:val="auto"/>
          <w:sz w:val="24"/>
          <w:szCs w:val="24"/>
          <w:highlight w:val="none"/>
        </w:rPr>
        <w:t>期：202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日-202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日17时00分（工作时间）</w:t>
      </w:r>
    </w:p>
    <w:p w14:paraId="07E808B0">
      <w:pPr>
        <w:pageBreakBefore w:val="0"/>
        <w:numPr>
          <w:ilvl w:val="-1"/>
          <w:numId w:val="0"/>
        </w:numPr>
        <w:kinsoku/>
        <w:wordWrap/>
        <w:overflowPunct/>
        <w:topLinePunct w:val="0"/>
        <w:autoSpaceDE/>
        <w:autoSpaceDN/>
        <w:bidi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报名方式：</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"mailto:非现场报名方式，将磋商文件汇款凭证、《采购文件发售登记表》（加盖供应商公章）扫描后发送至517027597@qq.com（邮箱）。"</w:instrText>
      </w:r>
      <w:r>
        <w:rPr>
          <w:rFonts w:hint="eastAsia" w:ascii="仿宋" w:hAnsi="仿宋" w:eastAsia="仿宋" w:cs="仿宋"/>
          <w:color w:val="auto"/>
          <w:sz w:val="24"/>
          <w:szCs w:val="24"/>
          <w:highlight w:val="none"/>
        </w:rPr>
        <w:fldChar w:fldCharType="separate"/>
      </w:r>
      <w:r>
        <w:rPr>
          <w:rStyle w:val="21"/>
          <w:rFonts w:hint="eastAsia" w:ascii="仿宋" w:hAnsi="仿宋" w:eastAsia="仿宋" w:cs="仿宋"/>
          <w:color w:val="auto"/>
          <w:sz w:val="24"/>
          <w:szCs w:val="24"/>
          <w:highlight w:val="none"/>
          <w:u w:val="none"/>
        </w:rPr>
        <w:t>非现场报名方式</w:t>
      </w:r>
    </w:p>
    <w:p w14:paraId="402B56D7">
      <w:pPr>
        <w:pageBreakBefore w:val="0"/>
        <w:kinsoku/>
        <w:wordWrap/>
        <w:overflowPunct/>
        <w:topLinePunct w:val="0"/>
        <w:autoSpaceDE/>
        <w:autoSpaceDN/>
        <w:bidi w:val="0"/>
        <w:spacing w:line="500" w:lineRule="exact"/>
        <w:ind w:firstLine="480" w:firstLineChars="200"/>
        <w:textAlignment w:val="auto"/>
        <w:rPr>
          <w:rFonts w:ascii="仿宋" w:hAnsi="仿宋" w:eastAsia="仿宋" w:cs="仿宋"/>
          <w:color w:val="auto"/>
          <w:sz w:val="24"/>
          <w:szCs w:val="24"/>
          <w:highlight w:val="none"/>
        </w:rPr>
      </w:pPr>
      <w:r>
        <w:rPr>
          <w:rStyle w:val="21"/>
          <w:rFonts w:hint="eastAsia" w:ascii="仿宋" w:hAnsi="仿宋" w:eastAsia="仿宋" w:cs="仿宋"/>
          <w:color w:val="auto"/>
          <w:sz w:val="24"/>
          <w:szCs w:val="24"/>
          <w:highlight w:val="none"/>
          <w:u w:val="none"/>
        </w:rPr>
        <w:t>将《</w:t>
      </w:r>
      <w:r>
        <w:rPr>
          <w:rStyle w:val="21"/>
          <w:rFonts w:hint="eastAsia" w:ascii="仿宋" w:hAnsi="仿宋" w:eastAsia="仿宋" w:cs="仿宋"/>
          <w:color w:val="auto"/>
          <w:sz w:val="24"/>
          <w:szCs w:val="24"/>
          <w:highlight w:val="none"/>
          <w:u w:val="none"/>
          <w:lang w:val="en-US" w:eastAsia="zh-CN"/>
        </w:rPr>
        <w:t>投标报名表</w:t>
      </w:r>
      <w:r>
        <w:rPr>
          <w:rStyle w:val="21"/>
          <w:rFonts w:hint="eastAsia" w:ascii="仿宋" w:hAnsi="仿宋" w:eastAsia="仿宋" w:cs="仿宋"/>
          <w:color w:val="auto"/>
          <w:sz w:val="24"/>
          <w:szCs w:val="24"/>
          <w:highlight w:val="none"/>
          <w:u w:val="none"/>
        </w:rPr>
        <w:t>》（加盖供应商公章）扫描后发送至</w:t>
      </w:r>
      <w:r>
        <w:rPr>
          <w:rStyle w:val="21"/>
          <w:rFonts w:hint="default" w:ascii="仿宋" w:hAnsi="仿宋" w:eastAsia="仿宋" w:cs="仿宋"/>
          <w:color w:val="auto"/>
          <w:sz w:val="24"/>
          <w:szCs w:val="24"/>
          <w:highlight w:val="none"/>
          <w:u w:val="none"/>
          <w:lang w:val="en-US"/>
        </w:rPr>
        <w:t>zcglc@cque.edu.cn</w:t>
      </w:r>
      <w:r>
        <w:rPr>
          <w:rStyle w:val="21"/>
          <w:rFonts w:hint="eastAsia" w:ascii="仿宋" w:hAnsi="仿宋" w:eastAsia="仿宋" w:cs="仿宋"/>
          <w:color w:val="auto"/>
          <w:sz w:val="24"/>
          <w:szCs w:val="24"/>
          <w:highlight w:val="none"/>
          <w:u w:val="none"/>
        </w:rPr>
        <w:t>（邮箱）。</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（详见附件）</w:t>
      </w:r>
    </w:p>
    <w:p w14:paraId="08E008A9">
      <w:pPr>
        <w:pageBreakBefore w:val="0"/>
        <w:kinsoku/>
        <w:wordWrap/>
        <w:overflowPunct/>
        <w:topLinePunct w:val="0"/>
        <w:autoSpaceDE/>
        <w:autoSpaceDN/>
        <w:bidi w:val="0"/>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（四）递交响应文件地点：重庆市南岸区学府大道9号重庆第二师范学院（学府校区综合楼512室）</w:t>
      </w:r>
    </w:p>
    <w:p w14:paraId="736B15A6">
      <w:pPr>
        <w:pageBreakBefore w:val="0"/>
        <w:kinsoku/>
        <w:wordWrap/>
        <w:overflowPunct/>
        <w:topLinePunct w:val="0"/>
        <w:autoSpaceDE/>
        <w:autoSpaceDN/>
        <w:bidi w:val="0"/>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注：请各位供应商在递交响应文件前一日内按以下流程完成访客登记方可进入校园！ 微信关注平安二师公众号——输入访客——点击进入弹出链接——填写供应商具体信息——选择学府校区——访问部门资产管理处——张孝丽，完成来访登记。</w:t>
      </w:r>
    </w:p>
    <w:p w14:paraId="781E980A">
      <w:pPr>
        <w:pageBreakBefore w:val="0"/>
        <w:kinsoku/>
        <w:wordWrap/>
        <w:overflowPunct/>
        <w:topLinePunct w:val="0"/>
        <w:autoSpaceDE/>
        <w:autoSpaceDN/>
        <w:bidi w:val="0"/>
        <w:spacing w:line="500" w:lineRule="exact"/>
        <w:ind w:firstLine="480" w:firstLineChars="200"/>
        <w:jc w:val="left"/>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（五）响应文件递交截止时间：202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年7月</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10:00</w:t>
      </w:r>
      <w:r>
        <w:rPr>
          <w:rFonts w:hint="eastAsia" w:ascii="仿宋" w:hAnsi="仿宋" w:eastAsia="仿宋" w:cs="仿宋"/>
          <w:color w:val="auto"/>
          <w:sz w:val="24"/>
          <w:szCs w:val="24"/>
          <w:highlight w:val="none"/>
        </w:rPr>
        <w:t>截止。</w:t>
      </w:r>
    </w:p>
    <w:p w14:paraId="1C2FD1FE">
      <w:pPr>
        <w:pageBreakBefore w:val="0"/>
        <w:kinsoku/>
        <w:wordWrap/>
        <w:overflowPunct/>
        <w:topLinePunct w:val="0"/>
        <w:autoSpaceDE/>
        <w:autoSpaceDN/>
        <w:bidi w:val="0"/>
        <w:spacing w:line="500" w:lineRule="exact"/>
        <w:ind w:firstLine="480" w:firstLineChars="200"/>
        <w:jc w:val="left"/>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时间：同响应文件递交截止时间。</w:t>
      </w:r>
    </w:p>
    <w:p w14:paraId="0CF1A57C">
      <w:pPr>
        <w:pageBreakBefore w:val="0"/>
        <w:kinsoku/>
        <w:wordWrap/>
        <w:overflowPunct/>
        <w:topLinePunct w:val="0"/>
        <w:autoSpaceDE/>
        <w:autoSpaceDN/>
        <w:bidi w:val="0"/>
        <w:snapToGrid w:val="0"/>
        <w:spacing w:line="500" w:lineRule="exact"/>
        <w:ind w:firstLine="480" w:firstLineChars="200"/>
        <w:jc w:val="left"/>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（七）本项目若有补遗文件一律在重庆第二师范学院校园（</w:t>
      </w:r>
      <w:r>
        <w:rPr>
          <w:color w:val="auto"/>
          <w:sz w:val="24"/>
          <w:szCs w:val="24"/>
          <w:highlight w:val="none"/>
        </w:rPr>
        <w:fldChar w:fldCharType="begin"/>
      </w:r>
      <w:r>
        <w:rPr>
          <w:color w:val="auto"/>
          <w:sz w:val="24"/>
          <w:szCs w:val="24"/>
          <w:highlight w:val="none"/>
        </w:rPr>
        <w:instrText xml:space="preserve"> HYPERLINK "http://www.cque.edu.cn" </w:instrText>
      </w:r>
      <w:r>
        <w:rPr>
          <w:color w:val="auto"/>
          <w:sz w:val="24"/>
          <w:szCs w:val="24"/>
          <w:highlight w:val="none"/>
        </w:rPr>
        <w:fldChar w:fldCharType="separate"/>
      </w:r>
      <w:r>
        <w:rPr>
          <w:rFonts w:hint="eastAsia" w:ascii="仿宋" w:hAnsi="仿宋" w:eastAsia="仿宋" w:cs="仿宋"/>
          <w:color w:val="auto"/>
          <w:sz w:val="24"/>
          <w:szCs w:val="24"/>
          <w:highlight w:val="none"/>
        </w:rPr>
        <w:t>http://www.cque.edu.cn</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）、行采家（https://www.gec123.com/）发布，请各供应商注意下载；无论供应商下载与否，均视同供应商已知晓本项目补遗文件的内容。</w:t>
      </w:r>
    </w:p>
    <w:p w14:paraId="1209A408">
      <w:pPr>
        <w:pageBreakBefore w:val="0"/>
        <w:kinsoku/>
        <w:wordWrap/>
        <w:overflowPunct/>
        <w:topLinePunct w:val="0"/>
        <w:autoSpaceDE/>
        <w:autoSpaceDN/>
        <w:bidi w:val="0"/>
        <w:snapToGrid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（八）超过</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时间递交的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文件，恕不接收。</w:t>
      </w:r>
    </w:p>
    <w:p w14:paraId="0374F5F5">
      <w:pPr>
        <w:pageBreakBefore w:val="0"/>
        <w:kinsoku/>
        <w:wordWrap/>
        <w:overflowPunct/>
        <w:topLinePunct w:val="0"/>
        <w:autoSpaceDE/>
        <w:autoSpaceDN/>
        <w:bidi w:val="0"/>
        <w:snapToGrid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（九）</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费用：无论</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结果如何，供应商参与本项目</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的所有费用均应由供应商自行承担。</w:t>
      </w:r>
    </w:p>
    <w:p w14:paraId="5B6F9046">
      <w:pPr>
        <w:pageBreakBefore w:val="0"/>
        <w:kinsoku/>
        <w:wordWrap/>
        <w:overflowPunct/>
        <w:topLinePunct w:val="0"/>
        <w:autoSpaceDE/>
        <w:autoSpaceDN/>
        <w:bidi w:val="0"/>
        <w:snapToGrid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（十）本项目不接受联合体参与</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w:t>
      </w:r>
    </w:p>
    <w:p w14:paraId="2F51BEFC">
      <w:pPr>
        <w:pageBreakBefore w:val="0"/>
        <w:kinsoku/>
        <w:wordWrap/>
        <w:overflowPunct/>
        <w:topLinePunct w:val="0"/>
        <w:autoSpaceDE/>
        <w:autoSpaceDN/>
        <w:bidi w:val="0"/>
        <w:snapToGrid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（十一）</w:t>
      </w:r>
      <w:bookmarkStart w:id="16" w:name="OLE_LINK1"/>
      <w:bookmarkStart w:id="17" w:name="OLE_LINK2"/>
      <w:r>
        <w:rPr>
          <w:rFonts w:hint="eastAsia" w:ascii="仿宋" w:hAnsi="仿宋" w:eastAsia="仿宋" w:cs="仿宋"/>
          <w:color w:val="auto"/>
          <w:sz w:val="24"/>
          <w:szCs w:val="24"/>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w:t>
      </w:r>
      <w:bookmarkEnd w:id="16"/>
      <w:bookmarkEnd w:id="17"/>
      <w:r>
        <w:rPr>
          <w:rFonts w:hint="eastAsia" w:ascii="仿宋" w:hAnsi="仿宋" w:eastAsia="仿宋" w:cs="仿宋"/>
          <w:color w:val="auto"/>
          <w:sz w:val="24"/>
          <w:szCs w:val="24"/>
          <w:highlight w:val="none"/>
        </w:rPr>
        <w:t>供应商，将拒绝其参与政府采购活动。</w:t>
      </w:r>
    </w:p>
    <w:p w14:paraId="5C070D38">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b/>
          <w:bCs/>
          <w:color w:val="auto"/>
          <w:kern w:val="0"/>
          <w:sz w:val="24"/>
          <w:szCs w:val="24"/>
          <w:highlight w:val="none"/>
          <w:lang w:eastAsia="zh-CN"/>
        </w:rPr>
      </w:pPr>
      <w:bookmarkStart w:id="18" w:name="_Toc9747"/>
      <w:bookmarkStart w:id="19" w:name="_Toc28877"/>
      <w:r>
        <w:rPr>
          <w:rFonts w:hint="eastAsia" w:ascii="方正仿宋_GBK" w:hAnsi="微软雅黑" w:eastAsia="方正仿宋_GBK" w:cs="宋体"/>
          <w:b/>
          <w:bCs/>
          <w:color w:val="auto"/>
          <w:kern w:val="0"/>
          <w:sz w:val="24"/>
          <w:szCs w:val="24"/>
          <w:highlight w:val="none"/>
          <w:lang w:eastAsia="zh-CN"/>
        </w:rPr>
        <w:t>五、遴选保证金</w:t>
      </w:r>
      <w:bookmarkEnd w:id="18"/>
      <w:bookmarkEnd w:id="19"/>
    </w:p>
    <w:p w14:paraId="14C5E330">
      <w:pPr>
        <w:pageBreakBefore w:val="0"/>
        <w:kinsoku/>
        <w:wordWrap/>
        <w:overflowPunct/>
        <w:topLinePunct w:val="0"/>
        <w:autoSpaceDE/>
        <w:autoSpaceDN/>
        <w:bidi w:val="0"/>
        <w:snapToGrid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保证金递交</w:t>
      </w:r>
    </w:p>
    <w:p w14:paraId="0D95FF46">
      <w:pPr>
        <w:pageBreakBefore w:val="0"/>
        <w:kinsoku/>
        <w:wordWrap/>
        <w:overflowPunct/>
        <w:topLinePunct w:val="0"/>
        <w:autoSpaceDE/>
        <w:autoSpaceDN/>
        <w:bidi w:val="0"/>
        <w:snapToGrid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yellow"/>
        </w:rPr>
        <w:t>供应商须按本项目规定的</w:t>
      </w:r>
      <w:r>
        <w:rPr>
          <w:rFonts w:hint="eastAsia" w:ascii="仿宋" w:hAnsi="仿宋" w:eastAsia="仿宋" w:cs="仿宋"/>
          <w:color w:val="auto"/>
          <w:sz w:val="24"/>
          <w:szCs w:val="24"/>
          <w:highlight w:val="yellow"/>
          <w:lang w:eastAsia="zh-CN"/>
        </w:rPr>
        <w:t>遴选</w:t>
      </w:r>
      <w:r>
        <w:rPr>
          <w:rFonts w:hint="eastAsia" w:ascii="仿宋" w:hAnsi="仿宋" w:eastAsia="仿宋" w:cs="仿宋"/>
          <w:color w:val="auto"/>
          <w:sz w:val="24"/>
          <w:szCs w:val="24"/>
          <w:highlight w:val="yellow"/>
        </w:rPr>
        <w:t>保证金金额进行缴纳（保证金金额详见本篇，一、</w:t>
      </w:r>
      <w:r>
        <w:rPr>
          <w:rFonts w:hint="eastAsia" w:ascii="仿宋" w:hAnsi="仿宋" w:eastAsia="仿宋" w:cs="仿宋"/>
          <w:color w:val="auto"/>
          <w:sz w:val="24"/>
          <w:szCs w:val="24"/>
          <w:highlight w:val="yellow"/>
          <w:lang w:eastAsia="zh-CN"/>
        </w:rPr>
        <w:t>公开遴选</w:t>
      </w:r>
      <w:r>
        <w:rPr>
          <w:rFonts w:hint="eastAsia" w:ascii="仿宋" w:hAnsi="仿宋" w:eastAsia="仿宋" w:cs="仿宋"/>
          <w:color w:val="auto"/>
          <w:sz w:val="24"/>
          <w:szCs w:val="24"/>
          <w:highlight w:val="yellow"/>
        </w:rPr>
        <w:t>内容），由供应商将</w:t>
      </w:r>
      <w:r>
        <w:rPr>
          <w:rFonts w:hint="eastAsia" w:ascii="仿宋" w:hAnsi="仿宋" w:eastAsia="仿宋" w:cs="仿宋"/>
          <w:color w:val="auto"/>
          <w:sz w:val="24"/>
          <w:szCs w:val="24"/>
          <w:highlight w:val="yellow"/>
          <w:lang w:eastAsia="zh-CN"/>
        </w:rPr>
        <w:t>遴选</w:t>
      </w:r>
      <w:r>
        <w:rPr>
          <w:rFonts w:hint="eastAsia" w:ascii="仿宋" w:hAnsi="仿宋" w:eastAsia="仿宋" w:cs="仿宋"/>
          <w:color w:val="auto"/>
          <w:sz w:val="24"/>
          <w:szCs w:val="24"/>
          <w:highlight w:val="yellow"/>
        </w:rPr>
        <w:t>保证金汇至以下账户</w:t>
      </w:r>
      <w:r>
        <w:rPr>
          <w:rFonts w:hint="eastAsia" w:ascii="仿宋" w:hAnsi="仿宋" w:eastAsia="仿宋" w:cs="仿宋"/>
          <w:color w:val="auto"/>
          <w:sz w:val="24"/>
          <w:szCs w:val="24"/>
          <w:highlight w:val="yellow"/>
          <w:lang w:eastAsia="zh-CN"/>
        </w:rPr>
        <w:t>（</w:t>
      </w:r>
      <w:r>
        <w:rPr>
          <w:rFonts w:hint="eastAsia" w:ascii="仿宋" w:hAnsi="仿宋" w:eastAsia="仿宋" w:cs="仿宋"/>
          <w:color w:val="auto"/>
          <w:sz w:val="24"/>
          <w:szCs w:val="24"/>
          <w:highlight w:val="yellow"/>
          <w:lang w:val="en-US" w:eastAsia="zh-CN"/>
        </w:rPr>
        <w:t>备注报名项目名、来款单位</w:t>
      </w:r>
      <w:r>
        <w:rPr>
          <w:rFonts w:hint="eastAsia" w:ascii="仿宋" w:hAnsi="仿宋" w:eastAsia="仿宋" w:cs="仿宋"/>
          <w:color w:val="auto"/>
          <w:sz w:val="24"/>
          <w:szCs w:val="24"/>
          <w:highlight w:val="yellow"/>
          <w:lang w:eastAsia="zh-CN"/>
        </w:rPr>
        <w:t>）</w:t>
      </w:r>
      <w:r>
        <w:rPr>
          <w:rFonts w:hint="eastAsia" w:ascii="仿宋" w:hAnsi="仿宋" w:eastAsia="仿宋" w:cs="仿宋"/>
          <w:color w:val="auto"/>
          <w:sz w:val="24"/>
          <w:szCs w:val="24"/>
          <w:highlight w:val="yellow"/>
        </w:rPr>
        <w:t>，</w:t>
      </w:r>
      <w:r>
        <w:rPr>
          <w:rFonts w:hint="eastAsia" w:ascii="仿宋" w:hAnsi="仿宋" w:eastAsia="仿宋" w:cs="仿宋"/>
          <w:color w:val="auto"/>
          <w:sz w:val="24"/>
          <w:szCs w:val="24"/>
          <w:highlight w:val="yellow"/>
          <w:lang w:eastAsia="zh-CN"/>
        </w:rPr>
        <w:t>遴选</w:t>
      </w:r>
      <w:r>
        <w:rPr>
          <w:rFonts w:hint="eastAsia" w:ascii="仿宋" w:hAnsi="仿宋" w:eastAsia="仿宋" w:cs="仿宋"/>
          <w:color w:val="auto"/>
          <w:sz w:val="24"/>
          <w:szCs w:val="24"/>
          <w:highlight w:val="yellow"/>
        </w:rPr>
        <w:t>保证金的到账截止时间为北京时间</w:t>
      </w:r>
      <w:r>
        <w:rPr>
          <w:rFonts w:hint="eastAsia" w:ascii="仿宋" w:hAnsi="仿宋" w:eastAsia="仿宋" w:cs="仿宋"/>
          <w:color w:val="auto"/>
          <w:sz w:val="24"/>
          <w:szCs w:val="24"/>
          <w:highlight w:val="yellow"/>
          <w:lang w:val="en-US" w:eastAsia="zh-CN"/>
        </w:rPr>
        <w:t>2025年6月30日</w:t>
      </w:r>
      <w:r>
        <w:rPr>
          <w:rFonts w:hint="eastAsia" w:ascii="仿宋" w:hAnsi="仿宋" w:eastAsia="仿宋" w:cs="仿宋"/>
          <w:color w:val="auto"/>
          <w:sz w:val="24"/>
          <w:szCs w:val="24"/>
          <w:highlight w:val="yellow"/>
        </w:rPr>
        <w:t>1</w:t>
      </w:r>
      <w:r>
        <w:rPr>
          <w:rFonts w:hint="eastAsia" w:ascii="仿宋" w:hAnsi="仿宋" w:eastAsia="仿宋" w:cs="仿宋"/>
          <w:color w:val="auto"/>
          <w:sz w:val="24"/>
          <w:szCs w:val="24"/>
          <w:highlight w:val="yellow"/>
          <w:lang w:val="en-US" w:eastAsia="zh-CN"/>
        </w:rPr>
        <w:t>7</w:t>
      </w:r>
      <w:r>
        <w:rPr>
          <w:rFonts w:hint="eastAsia" w:ascii="仿宋" w:hAnsi="仿宋" w:eastAsia="仿宋" w:cs="仿宋"/>
          <w:color w:val="auto"/>
          <w:sz w:val="24"/>
          <w:szCs w:val="24"/>
          <w:highlight w:val="yellow"/>
        </w:rPr>
        <w:t>:</w:t>
      </w:r>
      <w:r>
        <w:rPr>
          <w:rFonts w:hint="eastAsia" w:ascii="仿宋" w:hAnsi="仿宋" w:eastAsia="仿宋" w:cs="仿宋"/>
          <w:color w:val="auto"/>
          <w:sz w:val="24"/>
          <w:szCs w:val="24"/>
          <w:highlight w:val="yellow"/>
          <w:lang w:val="en-US" w:eastAsia="zh-CN"/>
        </w:rPr>
        <w:t>0</w:t>
      </w:r>
      <w:r>
        <w:rPr>
          <w:rFonts w:hint="eastAsia" w:ascii="仿宋" w:hAnsi="仿宋" w:eastAsia="仿宋" w:cs="仿宋"/>
          <w:color w:val="auto"/>
          <w:sz w:val="24"/>
          <w:szCs w:val="24"/>
          <w:highlight w:val="yellow"/>
        </w:rPr>
        <w:t>0</w:t>
      </w:r>
      <w:r>
        <w:rPr>
          <w:rFonts w:hint="eastAsia" w:ascii="仿宋" w:hAnsi="仿宋" w:eastAsia="仿宋" w:cs="仿宋"/>
          <w:color w:val="auto"/>
          <w:sz w:val="24"/>
          <w:szCs w:val="24"/>
          <w:highlight w:val="none"/>
        </w:rPr>
        <w:t>。</w:t>
      </w:r>
    </w:p>
    <w:p w14:paraId="608A1D7B">
      <w:pPr>
        <w:pageBreakBefore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保证金缴纳账户：</w:t>
      </w:r>
    </w:p>
    <w:p w14:paraId="16912B7D">
      <w:pPr>
        <w:pageBreakBefore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户  名：重庆第二师范学院</w:t>
      </w:r>
    </w:p>
    <w:p w14:paraId="45BB50D8">
      <w:pPr>
        <w:pageBreakBefore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开户行：中行重庆南岸支行</w:t>
      </w:r>
    </w:p>
    <w:p w14:paraId="15457A1B">
      <w:pPr>
        <w:pageBreakBefore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  号： 113000765454</w:t>
      </w:r>
    </w:p>
    <w:p w14:paraId="3901498A">
      <w:pPr>
        <w:pageBreakBefore w:val="0"/>
        <w:kinsoku/>
        <w:wordWrap/>
        <w:overflowPunct/>
        <w:topLinePunct w:val="0"/>
        <w:autoSpaceDE/>
        <w:autoSpaceDN/>
        <w:bidi w:val="0"/>
        <w:snapToGrid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2、保证金退还方式</w:t>
      </w:r>
    </w:p>
    <w:p w14:paraId="7B2D99CF">
      <w:pPr>
        <w:pageBreakBefore w:val="0"/>
        <w:kinsoku/>
        <w:wordWrap/>
        <w:overflowPunct/>
        <w:topLinePunct w:val="0"/>
        <w:autoSpaceDE/>
        <w:autoSpaceDN/>
        <w:bidi w:val="0"/>
        <w:snapToGrid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未成交供应商的保证金，在成交通知书发放后，在五个工作日内按来款渠道直接退还。</w:t>
      </w:r>
    </w:p>
    <w:p w14:paraId="2B7B7F67">
      <w:pPr>
        <w:pageBreakBefore w:val="0"/>
        <w:kinsoku/>
        <w:wordWrap/>
        <w:overflowPunct/>
        <w:topLinePunct w:val="0"/>
        <w:autoSpaceDE/>
        <w:autoSpaceDN/>
        <w:bidi w:val="0"/>
        <w:snapToGrid w:val="0"/>
        <w:spacing w:line="5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成交供应商的保证金，在成交供应商与采购人签订合同后，在五个工作日内按资金来款渠道直接退还。</w:t>
      </w:r>
    </w:p>
    <w:p w14:paraId="5A1CB506">
      <w:pPr>
        <w:pageBreakBefore w:val="0"/>
        <w:widowControl/>
        <w:kinsoku/>
        <w:wordWrap/>
        <w:overflowPunct/>
        <w:topLinePunct w:val="0"/>
        <w:autoSpaceDE/>
        <w:autoSpaceDN/>
        <w:bidi w:val="0"/>
        <w:spacing w:line="500" w:lineRule="exact"/>
        <w:ind w:firstLine="480"/>
        <w:jc w:val="left"/>
        <w:textAlignment w:val="auto"/>
        <w:rPr>
          <w:rFonts w:hint="eastAsia" w:ascii="方正仿宋_GBK" w:hAnsi="微软雅黑" w:eastAsia="方正仿宋_GBK" w:cs="宋体"/>
          <w:b/>
          <w:bCs/>
          <w:color w:val="auto"/>
          <w:kern w:val="0"/>
          <w:sz w:val="24"/>
          <w:szCs w:val="24"/>
          <w:highlight w:val="none"/>
          <w:lang w:eastAsia="zh-CN"/>
        </w:rPr>
      </w:pPr>
      <w:bookmarkStart w:id="20" w:name="_Toc3195"/>
      <w:bookmarkStart w:id="21" w:name="_Toc486322077"/>
      <w:bookmarkStart w:id="22" w:name="_Toc24146"/>
      <w:bookmarkStart w:id="23" w:name="_Toc495587759"/>
      <w:r>
        <w:rPr>
          <w:rFonts w:hint="eastAsia" w:ascii="方正仿宋_GBK" w:hAnsi="微软雅黑" w:eastAsia="方正仿宋_GBK" w:cs="宋体"/>
          <w:b/>
          <w:bCs/>
          <w:color w:val="auto"/>
          <w:kern w:val="0"/>
          <w:sz w:val="24"/>
          <w:szCs w:val="24"/>
          <w:highlight w:val="none"/>
          <w:lang w:val="en-US" w:eastAsia="zh-CN"/>
        </w:rPr>
        <w:t>六</w:t>
      </w:r>
      <w:r>
        <w:rPr>
          <w:rFonts w:hint="eastAsia" w:ascii="方正仿宋_GBK" w:hAnsi="微软雅黑" w:eastAsia="方正仿宋_GBK" w:cs="宋体"/>
          <w:b/>
          <w:bCs/>
          <w:color w:val="auto"/>
          <w:kern w:val="0"/>
          <w:sz w:val="24"/>
          <w:szCs w:val="24"/>
          <w:highlight w:val="none"/>
          <w:lang w:eastAsia="zh-CN"/>
        </w:rPr>
        <w:t>、其他有关规定</w:t>
      </w:r>
      <w:bookmarkEnd w:id="20"/>
      <w:bookmarkEnd w:id="21"/>
      <w:bookmarkEnd w:id="22"/>
    </w:p>
    <w:p w14:paraId="4084DDEC">
      <w:pPr>
        <w:pageBreakBefore w:val="0"/>
        <w:widowControl/>
        <w:kinsoku/>
        <w:wordWrap/>
        <w:overflowPunct/>
        <w:topLinePunct w:val="0"/>
        <w:autoSpaceDE/>
        <w:autoSpaceDN/>
        <w:bidi w:val="0"/>
        <w:snapToGrid w:val="0"/>
        <w:spacing w:line="500" w:lineRule="exact"/>
        <w:ind w:firstLine="480" w:firstLineChars="200"/>
        <w:jc w:val="left"/>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一）采购人不统一组织踏勘，供应商可于投标截止时间前自行对项目服务现场和周围环境进行勘察，并根据现场勘察了解项目情况，测算各项工作量，以获取有关准备投标文件和签署合同所需要的资料和信息。供应商据此做出的判断和决策，由供应商自行负责。</w:t>
      </w:r>
    </w:p>
    <w:p w14:paraId="775961B3">
      <w:pPr>
        <w:pageBreakBefore w:val="0"/>
        <w:widowControl/>
        <w:kinsoku/>
        <w:wordWrap/>
        <w:overflowPunct/>
        <w:topLinePunct w:val="0"/>
        <w:autoSpaceDE/>
        <w:autoSpaceDN/>
        <w:bidi w:val="0"/>
        <w:snapToGrid w:val="0"/>
        <w:spacing w:line="500" w:lineRule="exact"/>
        <w:ind w:firstLine="480" w:firstLineChars="200"/>
        <w:jc w:val="left"/>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二）无论供应商是否进行现场踏勘，均视为已踏勘过现场并认可本项目现场情况，在递交投标文件前已经充分了解本项目整体情况。能对应作出符合文件要求的实施方案，可能产生的风险意外已在投标文件中体现。</w:t>
      </w:r>
    </w:p>
    <w:p w14:paraId="7212089F">
      <w:pPr>
        <w:pageBreakBefore w:val="0"/>
        <w:widowControl/>
        <w:kinsoku/>
        <w:wordWrap/>
        <w:overflowPunct/>
        <w:topLinePunct w:val="0"/>
        <w:autoSpaceDE/>
        <w:autoSpaceDN/>
        <w:bidi w:val="0"/>
        <w:snapToGrid w:val="0"/>
        <w:spacing w:line="500" w:lineRule="exact"/>
        <w:ind w:firstLine="480" w:firstLineChars="200"/>
        <w:jc w:val="left"/>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（三）供应商因自身原因未到现场实地踏勘的，在签订合同时和履约过程中，不得以不完全了解现场情况为由，提出任何形式的增加款项或索赔的要求。</w:t>
      </w:r>
    </w:p>
    <w:p w14:paraId="152884A2">
      <w:pPr>
        <w:pageBreakBefore w:val="0"/>
        <w:widowControl/>
        <w:kinsoku/>
        <w:wordWrap/>
        <w:overflowPunct/>
        <w:topLinePunct w:val="0"/>
        <w:autoSpaceDE/>
        <w:autoSpaceDN/>
        <w:bidi w:val="0"/>
        <w:snapToGrid w:val="0"/>
        <w:spacing w:line="500" w:lineRule="exact"/>
        <w:ind w:firstLine="480" w:firstLineChars="200"/>
        <w:jc w:val="left"/>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（四）勘察现场所发生的一切费用由潜在供应商自行承担。</w:t>
      </w:r>
    </w:p>
    <w:p w14:paraId="4C9E73B4">
      <w:pPr>
        <w:pageBreakBefore w:val="0"/>
        <w:widowControl/>
        <w:kinsoku/>
        <w:wordWrap/>
        <w:overflowPunct/>
        <w:topLinePunct w:val="0"/>
        <w:autoSpaceDE/>
        <w:autoSpaceDN/>
        <w:bidi w:val="0"/>
        <w:snapToGrid w:val="0"/>
        <w:spacing w:line="500" w:lineRule="exact"/>
        <w:ind w:firstLine="480" w:firstLineChars="200"/>
        <w:jc w:val="left"/>
        <w:textAlignment w:val="auto"/>
        <w:rPr>
          <w:rFonts w:hint="eastAsia" w:ascii="仿宋" w:hAnsi="仿宋" w:eastAsia="仿宋" w:cs="仿宋"/>
          <w:b w:val="0"/>
          <w:bCs w:val="0"/>
          <w:color w:val="auto"/>
          <w:sz w:val="24"/>
          <w:szCs w:val="24"/>
          <w:highlight w:val="none"/>
        </w:rPr>
      </w:pPr>
      <w:bookmarkStart w:id="24" w:name="_Toc3242"/>
      <w:r>
        <w:rPr>
          <w:rFonts w:hint="eastAsia" w:ascii="仿宋" w:hAnsi="仿宋" w:eastAsia="仿宋" w:cs="仿宋"/>
          <w:b w:val="0"/>
          <w:bCs w:val="0"/>
          <w:color w:val="auto"/>
          <w:sz w:val="24"/>
          <w:szCs w:val="24"/>
          <w:highlight w:val="none"/>
        </w:rPr>
        <w:t>八、联系方式</w:t>
      </w:r>
      <w:bookmarkEnd w:id="23"/>
      <w:bookmarkEnd w:id="24"/>
    </w:p>
    <w:p w14:paraId="25372575">
      <w:pPr>
        <w:pageBreakBefore w:val="0"/>
        <w:widowControl/>
        <w:kinsoku/>
        <w:wordWrap/>
        <w:overflowPunct/>
        <w:topLinePunct w:val="0"/>
        <w:autoSpaceDE/>
        <w:autoSpaceDN/>
        <w:bidi w:val="0"/>
        <w:snapToGrid w:val="0"/>
        <w:spacing w:line="500" w:lineRule="exact"/>
        <w:ind w:right="0" w:firstLine="480" w:firstLineChars="200"/>
        <w:jc w:val="left"/>
        <w:textAlignment w:val="auto"/>
        <w:rPr>
          <w:rFonts w:hint="eastAsia" w:ascii="仿宋" w:hAnsi="仿宋" w:eastAsia="仿宋" w:cs="仿宋"/>
          <w:color w:val="auto"/>
          <w:sz w:val="24"/>
          <w:szCs w:val="24"/>
          <w:highlight w:val="none"/>
        </w:rPr>
      </w:pPr>
      <w:bookmarkStart w:id="25" w:name="_Toc495587760"/>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val="en-US" w:eastAsia="zh-CN"/>
        </w:rPr>
        <w:t>采购人业务主管部门</w:t>
      </w:r>
      <w:r>
        <w:rPr>
          <w:rFonts w:hint="eastAsia" w:ascii="仿宋" w:hAnsi="仿宋" w:eastAsia="仿宋" w:cs="仿宋"/>
          <w:color w:val="auto"/>
          <w:sz w:val="24"/>
          <w:szCs w:val="24"/>
          <w:highlight w:val="none"/>
        </w:rPr>
        <w:t>：重庆第二师范学院</w:t>
      </w:r>
    </w:p>
    <w:p w14:paraId="3B06BF99">
      <w:pPr>
        <w:pageBreakBefore w:val="0"/>
        <w:widowControl/>
        <w:kinsoku/>
        <w:wordWrap/>
        <w:overflowPunct/>
        <w:topLinePunct w:val="0"/>
        <w:autoSpaceDE/>
        <w:autoSpaceDN/>
        <w:bidi w:val="0"/>
        <w:snapToGrid w:val="0"/>
        <w:spacing w:line="500" w:lineRule="exact"/>
        <w:ind w:right="0" w:firstLine="480" w:firstLineChars="200"/>
        <w:jc w:val="left"/>
        <w:textAlignment w:val="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张老师</w:t>
      </w:r>
    </w:p>
    <w:p w14:paraId="3EABE09E">
      <w:pPr>
        <w:pageBreakBefore w:val="0"/>
        <w:widowControl/>
        <w:kinsoku/>
        <w:wordWrap/>
        <w:overflowPunct/>
        <w:topLinePunct w:val="0"/>
        <w:autoSpaceDE/>
        <w:autoSpaceDN/>
        <w:bidi w:val="0"/>
        <w:snapToGrid w:val="0"/>
        <w:spacing w:line="500" w:lineRule="exact"/>
        <w:ind w:right="0" w:firstLine="480" w:firstLineChars="200"/>
        <w:jc w:val="left"/>
        <w:textAlignment w:val="auto"/>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lang w:val="en-US" w:eastAsia="zh-CN"/>
        </w:rPr>
        <w:t>13883252726</w:t>
      </w:r>
    </w:p>
    <w:p w14:paraId="230CFFBE">
      <w:pPr>
        <w:pageBreakBefore w:val="0"/>
        <w:widowControl/>
        <w:kinsoku/>
        <w:wordWrap/>
        <w:overflowPunct/>
        <w:topLinePunct w:val="0"/>
        <w:autoSpaceDE/>
        <w:autoSpaceDN/>
        <w:bidi w:val="0"/>
        <w:snapToGrid w:val="0"/>
        <w:spacing w:line="500" w:lineRule="exact"/>
        <w:ind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址：重庆市南岸区南山街道崇教路1号（南山校区）</w:t>
      </w:r>
    </w:p>
    <w:p w14:paraId="15CCA1D1">
      <w:pPr>
        <w:pageBreakBefore w:val="0"/>
        <w:widowControl/>
        <w:kinsoku/>
        <w:wordWrap/>
        <w:overflowPunct/>
        <w:topLinePunct w:val="0"/>
        <w:autoSpaceDE/>
        <w:autoSpaceDN/>
        <w:bidi w:val="0"/>
        <w:snapToGrid w:val="0"/>
        <w:spacing w:line="500" w:lineRule="exact"/>
        <w:ind w:right="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（二）采购</w:t>
      </w:r>
      <w:r>
        <w:rPr>
          <w:rFonts w:hint="eastAsia" w:ascii="仿宋" w:hAnsi="仿宋" w:eastAsia="仿宋" w:cs="仿宋"/>
          <w:color w:val="auto"/>
          <w:sz w:val="24"/>
          <w:szCs w:val="24"/>
          <w:highlight w:val="none"/>
          <w:lang w:val="en-US" w:eastAsia="zh-CN"/>
        </w:rPr>
        <w:t>人采购执行部门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重庆第二师范学院资产管理处</w:t>
      </w:r>
    </w:p>
    <w:p w14:paraId="2EFFE5A6">
      <w:pPr>
        <w:pageBreakBefore w:val="0"/>
        <w:widowControl/>
        <w:kinsoku/>
        <w:wordWrap/>
        <w:overflowPunct/>
        <w:topLinePunct w:val="0"/>
        <w:autoSpaceDE/>
        <w:autoSpaceDN/>
        <w:bidi w:val="0"/>
        <w:snapToGrid w:val="0"/>
        <w:spacing w:line="500" w:lineRule="exact"/>
        <w:ind w:firstLine="480" w:firstLineChars="20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李老师</w:t>
      </w:r>
    </w:p>
    <w:p w14:paraId="717F4093">
      <w:pPr>
        <w:pageBreakBefore w:val="0"/>
        <w:widowControl/>
        <w:kinsoku/>
        <w:wordWrap/>
        <w:overflowPunct/>
        <w:topLinePunct w:val="0"/>
        <w:autoSpaceDE/>
        <w:autoSpaceDN/>
        <w:bidi w:val="0"/>
        <w:snapToGrid w:val="0"/>
        <w:spacing w:line="500" w:lineRule="exact"/>
        <w:ind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lang w:val="en-US" w:eastAsia="zh-CN"/>
        </w:rPr>
        <w:t>61638023</w:t>
      </w:r>
    </w:p>
    <w:p w14:paraId="648BA2CA">
      <w:pPr>
        <w:pageBreakBefore w:val="0"/>
        <w:widowControl/>
        <w:kinsoku/>
        <w:wordWrap/>
        <w:overflowPunct/>
        <w:topLinePunct w:val="0"/>
        <w:autoSpaceDE/>
        <w:autoSpaceDN/>
        <w:bidi w:val="0"/>
        <w:snapToGrid w:val="0"/>
        <w:spacing w:line="500" w:lineRule="exact"/>
        <w:ind w:right="0" w:firstLine="480" w:firstLineChars="200"/>
        <w:jc w:val="left"/>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  址：重庆市南岸区南山街道崇教路1号（南山校区）</w:t>
      </w:r>
    </w:p>
    <w:p w14:paraId="235C6C4E">
      <w:pPr>
        <w:kinsoku/>
        <w:wordWrap/>
        <w:overflowPunct/>
        <w:topLinePunct w:val="0"/>
        <w:autoSpaceDE/>
        <w:autoSpaceDN/>
        <w:bidi w:val="0"/>
        <w:snapToGrid w:val="0"/>
        <w:spacing w:line="500" w:lineRule="exact"/>
        <w:ind w:firstLine="1200" w:firstLineChars="500"/>
        <w:rPr>
          <w:rFonts w:hint="eastAsia" w:ascii="仿宋" w:hAnsi="仿宋" w:eastAsia="仿宋" w:cs="仿宋"/>
          <w:color w:val="auto"/>
          <w:sz w:val="24"/>
          <w:szCs w:val="24"/>
          <w:highlight w:val="none"/>
        </w:rPr>
      </w:pPr>
    </w:p>
    <w:p w14:paraId="646B6FD0">
      <w:pPr>
        <w:pStyle w:val="2"/>
        <w:kinsoku/>
        <w:wordWrap/>
        <w:overflowPunct/>
        <w:topLinePunct w:val="0"/>
        <w:autoSpaceDE/>
        <w:autoSpaceDN/>
        <w:bidi w:val="0"/>
        <w:spacing w:line="500" w:lineRule="exact"/>
        <w:rPr>
          <w:rFonts w:hint="eastAsia"/>
          <w:color w:val="auto"/>
          <w:highlight w:val="none"/>
        </w:rPr>
      </w:pPr>
    </w:p>
    <w:p w14:paraId="0F2EF8B4">
      <w:pPr>
        <w:kinsoku/>
        <w:wordWrap/>
        <w:overflowPunct/>
        <w:topLinePunct w:val="0"/>
        <w:autoSpaceDE/>
        <w:autoSpaceDN/>
        <w:bidi w:val="0"/>
        <w:spacing w:line="500" w:lineRule="exact"/>
        <w:rPr>
          <w:rFonts w:hint="eastAsia"/>
          <w:color w:val="auto"/>
          <w:highlight w:val="none"/>
        </w:rPr>
      </w:pPr>
    </w:p>
    <w:p w14:paraId="5AF4C61F">
      <w:pPr>
        <w:rPr>
          <w:rFonts w:hint="eastAsia" w:ascii="仿宋" w:hAnsi="仿宋" w:eastAsia="仿宋" w:cs="仿宋"/>
          <w:b/>
          <w:bCs/>
          <w:color w:val="auto"/>
          <w:highlight w:val="none"/>
        </w:rPr>
      </w:pPr>
      <w:bookmarkStart w:id="26" w:name="_Toc7818"/>
      <w:bookmarkStart w:id="27" w:name="_Toc3705"/>
      <w:r>
        <w:rPr>
          <w:rFonts w:hint="eastAsia" w:ascii="仿宋" w:hAnsi="仿宋" w:eastAsia="仿宋" w:cs="仿宋"/>
          <w:b/>
          <w:bCs/>
          <w:color w:val="auto"/>
          <w:highlight w:val="none"/>
        </w:rPr>
        <w:br w:type="page"/>
      </w:r>
    </w:p>
    <w:p w14:paraId="6D0DD2FD">
      <w:pPr>
        <w:pStyle w:val="3"/>
        <w:kinsoku/>
        <w:wordWrap/>
        <w:overflowPunct/>
        <w:topLinePunct w:val="0"/>
        <w:autoSpaceDE/>
        <w:autoSpaceDN/>
        <w:bidi w:val="0"/>
        <w:spacing w:before="240" w:after="120" w:line="500" w:lineRule="exact"/>
        <w:rPr>
          <w:rFonts w:ascii="仿宋" w:hAnsi="仿宋" w:eastAsia="仿宋" w:cs="仿宋"/>
          <w:b/>
          <w:bCs/>
          <w:color w:val="auto"/>
          <w:highlight w:val="none"/>
        </w:rPr>
      </w:pPr>
      <w:r>
        <w:rPr>
          <w:rFonts w:hint="eastAsia" w:ascii="仿宋" w:hAnsi="仿宋" w:eastAsia="仿宋" w:cs="仿宋"/>
          <w:b/>
          <w:bCs/>
          <w:color w:val="auto"/>
          <w:highlight w:val="none"/>
        </w:rPr>
        <w:t>第二篇 项目服务要求</w:t>
      </w:r>
      <w:bookmarkEnd w:id="25"/>
      <w:bookmarkEnd w:id="26"/>
      <w:bookmarkEnd w:id="27"/>
    </w:p>
    <w:p w14:paraId="7A367DBB">
      <w:pPr>
        <w:pStyle w:val="4"/>
        <w:kinsoku/>
        <w:wordWrap/>
        <w:overflowPunct/>
        <w:topLinePunct w:val="0"/>
        <w:autoSpaceDE/>
        <w:autoSpaceDN/>
        <w:bidi w:val="0"/>
        <w:spacing w:line="500" w:lineRule="exact"/>
        <w:ind w:firstLine="562" w:firstLineChars="200"/>
        <w:rPr>
          <w:rFonts w:ascii="仿宋" w:hAnsi="仿宋" w:eastAsia="仿宋" w:cs="仿宋"/>
          <w:b/>
          <w:bCs/>
          <w:color w:val="auto"/>
          <w:highlight w:val="none"/>
        </w:rPr>
      </w:pPr>
      <w:bookmarkStart w:id="28" w:name="_Toc344475116"/>
      <w:bookmarkStart w:id="29" w:name="_Toc313536013"/>
      <w:bookmarkStart w:id="30" w:name="_Toc522724243"/>
      <w:bookmarkStart w:id="31" w:name="_Toc3859"/>
      <w:bookmarkStart w:id="32" w:name="_Toc2789"/>
      <w:r>
        <w:rPr>
          <w:rFonts w:hint="eastAsia" w:ascii="仿宋" w:hAnsi="仿宋" w:eastAsia="仿宋" w:cs="仿宋"/>
          <w:b/>
          <w:bCs/>
          <w:color w:val="auto"/>
          <w:highlight w:val="none"/>
        </w:rPr>
        <w:t>一、</w:t>
      </w:r>
      <w:bookmarkEnd w:id="28"/>
      <w:bookmarkEnd w:id="29"/>
      <w:bookmarkEnd w:id="30"/>
      <w:r>
        <w:rPr>
          <w:rFonts w:hint="eastAsia" w:ascii="仿宋" w:hAnsi="仿宋" w:eastAsia="仿宋" w:cs="仿宋"/>
          <w:b/>
          <w:bCs/>
          <w:color w:val="auto"/>
          <w:highlight w:val="none"/>
        </w:rPr>
        <w:t>项目概况</w:t>
      </w:r>
      <w:bookmarkEnd w:id="31"/>
      <w:bookmarkEnd w:id="32"/>
    </w:p>
    <w:tbl>
      <w:tblPr>
        <w:tblStyle w:val="18"/>
        <w:tblW w:w="9887"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375"/>
        <w:gridCol w:w="1402"/>
        <w:gridCol w:w="1258"/>
        <w:gridCol w:w="1204"/>
        <w:gridCol w:w="2552"/>
      </w:tblGrid>
      <w:tr w14:paraId="1A20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96" w:type="dxa"/>
            <w:vAlign w:val="center"/>
          </w:tcPr>
          <w:p w14:paraId="64D37FA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分包号</w:t>
            </w:r>
          </w:p>
        </w:tc>
        <w:tc>
          <w:tcPr>
            <w:tcW w:w="2375" w:type="dxa"/>
            <w:vAlign w:val="center"/>
          </w:tcPr>
          <w:p w14:paraId="0928523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采购内容</w:t>
            </w:r>
          </w:p>
        </w:tc>
        <w:tc>
          <w:tcPr>
            <w:tcW w:w="1402" w:type="dxa"/>
            <w:vAlign w:val="center"/>
          </w:tcPr>
          <w:p w14:paraId="07BDC4F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联合运营面积</w:t>
            </w:r>
          </w:p>
        </w:tc>
        <w:tc>
          <w:tcPr>
            <w:tcW w:w="1258" w:type="dxa"/>
            <w:vAlign w:val="center"/>
          </w:tcPr>
          <w:p w14:paraId="77F9A36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履约保证金（万元）</w:t>
            </w:r>
          </w:p>
        </w:tc>
        <w:tc>
          <w:tcPr>
            <w:tcW w:w="1204" w:type="dxa"/>
            <w:vAlign w:val="center"/>
          </w:tcPr>
          <w:p w14:paraId="2469B646">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联合运营时间</w:t>
            </w:r>
          </w:p>
        </w:tc>
        <w:tc>
          <w:tcPr>
            <w:tcW w:w="2552" w:type="dxa"/>
            <w:vAlign w:val="center"/>
          </w:tcPr>
          <w:p w14:paraId="48BF37D1">
            <w:pPr>
              <w:keepNext w:val="0"/>
              <w:keepLines w:val="0"/>
              <w:suppressLineNumbers w:val="0"/>
              <w:tabs>
                <w:tab w:val="left" w:pos="242"/>
              </w:tabs>
              <w:kinsoku/>
              <w:wordWrap/>
              <w:overflowPunct/>
              <w:topLinePunct w:val="0"/>
              <w:autoSpaceDE/>
              <w:autoSpaceDN/>
              <w:bidi w:val="0"/>
              <w:spacing w:before="0" w:beforeAutospacing="0" w:after="0" w:afterAutospacing="0" w:line="500" w:lineRule="exact"/>
              <w:ind w:left="0" w:right="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t>备注</w:t>
            </w:r>
          </w:p>
        </w:tc>
      </w:tr>
      <w:tr w14:paraId="7A5D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096" w:type="dxa"/>
            <w:vAlign w:val="center"/>
          </w:tcPr>
          <w:p w14:paraId="40790F0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375" w:type="dxa"/>
            <w:vAlign w:val="center"/>
          </w:tcPr>
          <w:p w14:paraId="4F7229A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1"/>
                <w:szCs w:val="21"/>
                <w:highlight w:val="none"/>
              </w:rPr>
              <w:t>重庆第二师范学院</w:t>
            </w:r>
            <w:r>
              <w:rPr>
                <w:rFonts w:hint="eastAsia" w:ascii="仿宋" w:hAnsi="仿宋" w:eastAsia="仿宋" w:cs="仿宋"/>
                <w:color w:val="auto"/>
                <w:sz w:val="21"/>
                <w:szCs w:val="21"/>
                <w:highlight w:val="none"/>
                <w:lang w:eastAsia="zh-CN"/>
              </w:rPr>
              <w:t>南山</w:t>
            </w:r>
            <w:r>
              <w:rPr>
                <w:rFonts w:hint="eastAsia" w:ascii="仿宋" w:hAnsi="仿宋" w:eastAsia="仿宋" w:cs="仿宋"/>
                <w:color w:val="auto"/>
                <w:sz w:val="21"/>
                <w:szCs w:val="21"/>
                <w:highlight w:val="none"/>
              </w:rPr>
              <w:t>校区</w:t>
            </w:r>
            <w:r>
              <w:rPr>
                <w:rFonts w:hint="eastAsia" w:ascii="仿宋" w:hAnsi="仿宋" w:eastAsia="仿宋" w:cs="仿宋"/>
                <w:color w:val="auto"/>
                <w:sz w:val="21"/>
                <w:szCs w:val="21"/>
                <w:highlight w:val="none"/>
                <w:lang w:eastAsia="zh-CN"/>
              </w:rPr>
              <w:t>荟园</w:t>
            </w:r>
            <w:r>
              <w:rPr>
                <w:rFonts w:hint="eastAsia" w:ascii="仿宋" w:hAnsi="仿宋" w:eastAsia="仿宋" w:cs="仿宋"/>
                <w:color w:val="auto"/>
                <w:sz w:val="21"/>
                <w:szCs w:val="21"/>
                <w:highlight w:val="none"/>
              </w:rPr>
              <w:t>学生食堂二</w:t>
            </w:r>
            <w:r>
              <w:rPr>
                <w:rFonts w:hint="eastAsia" w:ascii="仿宋" w:hAnsi="仿宋" w:eastAsia="仿宋" w:cs="仿宋"/>
                <w:color w:val="auto"/>
                <w:sz w:val="21"/>
                <w:szCs w:val="21"/>
                <w:highlight w:val="none"/>
                <w:lang w:eastAsia="zh-CN"/>
              </w:rPr>
              <w:t>、三</w:t>
            </w:r>
            <w:r>
              <w:rPr>
                <w:rFonts w:hint="eastAsia" w:ascii="仿宋" w:hAnsi="仿宋" w:eastAsia="仿宋" w:cs="仿宋"/>
                <w:color w:val="auto"/>
                <w:sz w:val="21"/>
                <w:szCs w:val="21"/>
                <w:highlight w:val="none"/>
              </w:rPr>
              <w:t>楼联合运营项目</w:t>
            </w:r>
          </w:p>
        </w:tc>
        <w:tc>
          <w:tcPr>
            <w:tcW w:w="1402" w:type="dxa"/>
            <w:vAlign w:val="center"/>
          </w:tcPr>
          <w:p w14:paraId="513CA13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约3100㎡</w:t>
            </w:r>
          </w:p>
        </w:tc>
        <w:tc>
          <w:tcPr>
            <w:tcW w:w="1258" w:type="dxa"/>
            <w:vAlign w:val="center"/>
          </w:tcPr>
          <w:p w14:paraId="55AD4BB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仿宋" w:hAnsi="仿宋" w:eastAsia="仿宋" w:cs="仿宋"/>
                <w:color w:val="auto"/>
                <w:kern w:val="0"/>
                <w:sz w:val="24"/>
                <w:szCs w:val="24"/>
                <w:highlight w:val="none"/>
              </w:rPr>
            </w:pPr>
            <w:r>
              <w:rPr>
                <w:rFonts w:ascii="Times New Roman" w:hAnsi="Times New Roman"/>
                <w:color w:val="auto"/>
                <w:kern w:val="0"/>
                <w:sz w:val="24"/>
                <w:szCs w:val="24"/>
                <w:highlight w:val="none"/>
              </w:rPr>
              <w:t>100</w:t>
            </w:r>
          </w:p>
        </w:tc>
        <w:tc>
          <w:tcPr>
            <w:tcW w:w="1204" w:type="dxa"/>
            <w:vMerge w:val="restart"/>
            <w:vAlign w:val="center"/>
          </w:tcPr>
          <w:p w14:paraId="62EA0BA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4年</w:t>
            </w:r>
            <w:r>
              <w:rPr>
                <w:rFonts w:hint="eastAsia" w:ascii="仿宋" w:hAnsi="仿宋" w:eastAsia="仿宋" w:cs="仿宋"/>
                <w:color w:val="auto"/>
                <w:sz w:val="24"/>
                <w:szCs w:val="24"/>
                <w:highlight w:val="none"/>
                <w:lang w:eastAsia="zh-CN"/>
              </w:rPr>
              <w:t>（基本期）</w:t>
            </w:r>
            <w:r>
              <w:rPr>
                <w:rFonts w:hint="eastAsia" w:ascii="仿宋" w:hAnsi="仿宋" w:eastAsia="仿宋" w:cs="仿宋"/>
                <w:color w:val="auto"/>
                <w:sz w:val="24"/>
                <w:szCs w:val="24"/>
                <w:highlight w:val="none"/>
                <w:lang w:val="en-US" w:eastAsia="zh-CN"/>
              </w:rPr>
              <w:t>+3年（延展期）</w:t>
            </w:r>
          </w:p>
          <w:p w14:paraId="16CFA957">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ascii="仿宋" w:hAnsi="仿宋" w:eastAsia="仿宋" w:cs="仿宋"/>
                <w:color w:val="auto"/>
                <w:sz w:val="24"/>
                <w:szCs w:val="24"/>
                <w:highlight w:val="none"/>
              </w:rPr>
            </w:pPr>
          </w:p>
        </w:tc>
        <w:tc>
          <w:tcPr>
            <w:tcW w:w="2552" w:type="dxa"/>
            <w:vMerge w:val="restart"/>
            <w:vAlign w:val="center"/>
          </w:tcPr>
          <w:p w14:paraId="01484F2B">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4年基本期满后，</w:t>
            </w:r>
            <w:r>
              <w:rPr>
                <w:rFonts w:hint="eastAsia" w:ascii="仿宋" w:hAnsi="仿宋" w:eastAsia="仿宋" w:cs="仿宋"/>
                <w:color w:val="auto"/>
                <w:sz w:val="24"/>
                <w:szCs w:val="24"/>
                <w:highlight w:val="none"/>
              </w:rPr>
              <w:t>达到合同约定中相关</w:t>
            </w:r>
            <w:r>
              <w:rPr>
                <w:rFonts w:hint="eastAsia" w:ascii="仿宋" w:hAnsi="仿宋" w:eastAsia="仿宋" w:cs="仿宋"/>
                <w:color w:val="auto"/>
                <w:sz w:val="24"/>
                <w:szCs w:val="24"/>
                <w:highlight w:val="none"/>
                <w:lang w:eastAsia="zh-CN"/>
              </w:rPr>
              <w:t>考核</w:t>
            </w:r>
            <w:r>
              <w:rPr>
                <w:rFonts w:hint="eastAsia" w:ascii="仿宋" w:hAnsi="仿宋" w:eastAsia="仿宋" w:cs="仿宋"/>
                <w:color w:val="auto"/>
                <w:sz w:val="24"/>
                <w:szCs w:val="24"/>
                <w:highlight w:val="none"/>
              </w:rPr>
              <w:t>条款要求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续签</w:t>
            </w:r>
            <w:r>
              <w:rPr>
                <w:rFonts w:hint="eastAsia" w:ascii="仿宋" w:hAnsi="仿宋" w:eastAsia="仿宋" w:cs="仿宋"/>
                <w:color w:val="auto"/>
                <w:sz w:val="24"/>
                <w:szCs w:val="24"/>
                <w:highlight w:val="none"/>
                <w:lang w:eastAsia="zh-CN"/>
              </w:rPr>
              <w:t>延展期</w:t>
            </w: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eastAsia="zh-CN"/>
              </w:rPr>
              <w:t>。考核不达标，则合同终止。</w:t>
            </w:r>
          </w:p>
        </w:tc>
      </w:tr>
      <w:tr w14:paraId="4B07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096" w:type="dxa"/>
            <w:vAlign w:val="center"/>
          </w:tcPr>
          <w:p w14:paraId="7EF8D43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375" w:type="dxa"/>
            <w:vAlign w:val="center"/>
          </w:tcPr>
          <w:p w14:paraId="66A41F2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荟园学生食堂一楼联合运营</w:t>
            </w:r>
          </w:p>
        </w:tc>
        <w:tc>
          <w:tcPr>
            <w:tcW w:w="1402" w:type="dxa"/>
            <w:vAlign w:val="center"/>
          </w:tcPr>
          <w:p w14:paraId="1ADF375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约1700</w:t>
            </w:r>
            <w:r>
              <w:rPr>
                <w:rFonts w:hint="eastAsia" w:ascii="仿宋" w:hAnsi="仿宋" w:eastAsia="仿宋" w:cs="仿宋"/>
                <w:color w:val="auto"/>
                <w:kern w:val="0"/>
                <w:sz w:val="24"/>
                <w:szCs w:val="24"/>
                <w:highlight w:val="none"/>
              </w:rPr>
              <w:t>㎡</w:t>
            </w:r>
          </w:p>
        </w:tc>
        <w:tc>
          <w:tcPr>
            <w:tcW w:w="1258" w:type="dxa"/>
            <w:vAlign w:val="center"/>
          </w:tcPr>
          <w:p w14:paraId="16FC8386">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仿宋" w:hAnsi="仿宋" w:eastAsia="仿宋" w:cs="仿宋"/>
                <w:color w:val="auto"/>
                <w:sz w:val="24"/>
                <w:szCs w:val="24"/>
                <w:highlight w:val="none"/>
              </w:rPr>
            </w:pPr>
            <w:r>
              <w:rPr>
                <w:rFonts w:hint="eastAsia" w:ascii="Times New Roman" w:hAnsi="Times New Roman"/>
                <w:color w:val="auto"/>
                <w:kern w:val="0"/>
                <w:sz w:val="24"/>
                <w:szCs w:val="24"/>
                <w:highlight w:val="none"/>
              </w:rPr>
              <w:t>50</w:t>
            </w:r>
          </w:p>
        </w:tc>
        <w:tc>
          <w:tcPr>
            <w:tcW w:w="1204" w:type="dxa"/>
            <w:vMerge w:val="continue"/>
            <w:vAlign w:val="center"/>
          </w:tcPr>
          <w:p w14:paraId="5EC8329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2552" w:type="dxa"/>
            <w:vMerge w:val="continue"/>
            <w:vAlign w:val="center"/>
          </w:tcPr>
          <w:p w14:paraId="5E38B9E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r>
      <w:tr w14:paraId="05AC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096" w:type="dxa"/>
            <w:vAlign w:val="center"/>
          </w:tcPr>
          <w:p w14:paraId="6AEA527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特别</w:t>
            </w:r>
          </w:p>
          <w:p w14:paraId="7FA6778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说明</w:t>
            </w:r>
          </w:p>
        </w:tc>
        <w:tc>
          <w:tcPr>
            <w:tcW w:w="8791" w:type="dxa"/>
            <w:gridSpan w:val="5"/>
            <w:vAlign w:val="center"/>
          </w:tcPr>
          <w:p w14:paraId="13C48921">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left"/>
              <w:rPr>
                <w:rFonts w:ascii="微软雅黑" w:hAnsi="微软雅黑"/>
                <w:color w:val="auto"/>
                <w:kern w:val="0"/>
                <w:sz w:val="24"/>
                <w:szCs w:val="24"/>
                <w:highlight w:val="none"/>
              </w:rPr>
            </w:pPr>
            <w:r>
              <w:rPr>
                <w:rFonts w:ascii="Times New Roman" w:hAnsi="Times New Roman"/>
                <w:color w:val="auto"/>
                <w:kern w:val="0"/>
                <w:sz w:val="24"/>
                <w:szCs w:val="24"/>
                <w:highlight w:val="none"/>
              </w:rPr>
              <w:t>1.</w:t>
            </w:r>
            <w:r>
              <w:rPr>
                <w:rFonts w:hint="eastAsia" w:ascii="方正仿宋_GBK" w:hAnsi="微软雅黑" w:eastAsia="方正仿宋_GBK" w:cs="宋体"/>
                <w:color w:val="auto"/>
                <w:kern w:val="0"/>
                <w:sz w:val="24"/>
                <w:szCs w:val="24"/>
                <w:highlight w:val="none"/>
              </w:rPr>
              <w:t>食堂建筑面积以</w:t>
            </w:r>
            <w:r>
              <w:rPr>
                <w:rFonts w:hint="eastAsia" w:ascii="方正仿宋_GBK" w:hAnsi="微软雅黑" w:eastAsia="方正仿宋_GBK" w:cs="宋体"/>
                <w:color w:val="auto"/>
                <w:kern w:val="0"/>
                <w:sz w:val="24"/>
                <w:szCs w:val="24"/>
                <w:highlight w:val="none"/>
                <w:lang w:eastAsia="zh-CN"/>
              </w:rPr>
              <w:t>采购人</w:t>
            </w:r>
            <w:r>
              <w:rPr>
                <w:rFonts w:hint="eastAsia" w:ascii="方正仿宋_GBK" w:hAnsi="微软雅黑" w:eastAsia="方正仿宋_GBK" w:cs="宋体"/>
                <w:color w:val="auto"/>
                <w:kern w:val="0"/>
                <w:sz w:val="24"/>
                <w:szCs w:val="24"/>
                <w:highlight w:val="none"/>
              </w:rPr>
              <w:t>交付</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实际面积为准。</w:t>
            </w:r>
          </w:p>
          <w:p w14:paraId="4E3EB0D4">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微软雅黑" w:eastAsia="方正仿宋_GBK" w:cs="宋体"/>
                <w:color w:val="auto"/>
                <w:kern w:val="0"/>
                <w:sz w:val="24"/>
                <w:szCs w:val="24"/>
                <w:highlight w:val="none"/>
              </w:rPr>
            </w:pPr>
            <w:r>
              <w:rPr>
                <w:rFonts w:ascii="Times New Roman" w:hAnsi="Times New Roman"/>
                <w:color w:val="auto"/>
                <w:kern w:val="0"/>
                <w:sz w:val="24"/>
                <w:szCs w:val="24"/>
                <w:highlight w:val="none"/>
              </w:rPr>
              <w:t>2.</w:t>
            </w:r>
            <w:r>
              <w:rPr>
                <w:rFonts w:hint="eastAsia" w:ascii="方正仿宋_GBK" w:hAnsi="微软雅黑" w:eastAsia="方正仿宋_GBK" w:cs="宋体"/>
                <w:color w:val="auto"/>
                <w:kern w:val="0"/>
                <w:sz w:val="24"/>
                <w:szCs w:val="24"/>
                <w:highlight w:val="none"/>
              </w:rPr>
              <w:t>参与</w:t>
            </w:r>
            <w:r>
              <w:rPr>
                <w:rFonts w:hint="eastAsia" w:ascii="方正仿宋_GBK" w:hAnsi="微软雅黑" w:eastAsia="方正仿宋_GBK" w:cs="宋体"/>
                <w:color w:val="auto"/>
                <w:kern w:val="0"/>
                <w:sz w:val="24"/>
                <w:szCs w:val="24"/>
                <w:highlight w:val="none"/>
                <w:lang w:val="en-US" w:eastAsia="zh-CN"/>
              </w:rPr>
              <w:t>遴选</w:t>
            </w:r>
            <w:r>
              <w:rPr>
                <w:rFonts w:hint="eastAsia" w:ascii="方正仿宋_GBK" w:hAnsi="微软雅黑" w:eastAsia="方正仿宋_GBK" w:cs="宋体"/>
                <w:color w:val="auto"/>
                <w:kern w:val="0"/>
                <w:sz w:val="24"/>
                <w:szCs w:val="24"/>
                <w:highlight w:val="none"/>
              </w:rPr>
              <w:t>的</w:t>
            </w:r>
            <w:r>
              <w:rPr>
                <w:rFonts w:hint="eastAsia" w:ascii="方正仿宋_GBK" w:hAnsi="微软雅黑" w:eastAsia="方正仿宋_GBK" w:cs="宋体"/>
                <w:color w:val="auto"/>
                <w:kern w:val="0"/>
                <w:sz w:val="24"/>
                <w:szCs w:val="24"/>
                <w:highlight w:val="none"/>
                <w:lang w:val="en-US" w:eastAsia="zh-CN"/>
              </w:rPr>
              <w:t>供应商</w:t>
            </w:r>
            <w:r>
              <w:rPr>
                <w:rFonts w:hint="eastAsia" w:ascii="方正仿宋_GBK" w:hAnsi="微软雅黑" w:eastAsia="方正仿宋_GBK" w:cs="宋体"/>
                <w:color w:val="auto"/>
                <w:kern w:val="0"/>
                <w:sz w:val="24"/>
                <w:szCs w:val="24"/>
                <w:highlight w:val="none"/>
              </w:rPr>
              <w:t>可以参与</w:t>
            </w:r>
            <w:r>
              <w:rPr>
                <w:rFonts w:ascii="Times New Roman" w:hAnsi="Times New Roman"/>
                <w:color w:val="auto"/>
                <w:kern w:val="0"/>
                <w:sz w:val="24"/>
                <w:szCs w:val="24"/>
                <w:highlight w:val="none"/>
              </w:rPr>
              <w:t>1</w:t>
            </w:r>
            <w:r>
              <w:rPr>
                <w:rFonts w:hint="eastAsia" w:ascii="方正仿宋_GBK" w:hAnsi="微软雅黑" w:eastAsia="方正仿宋_GBK" w:cs="宋体"/>
                <w:color w:val="auto"/>
                <w:kern w:val="0"/>
                <w:sz w:val="24"/>
                <w:szCs w:val="24"/>
                <w:highlight w:val="none"/>
              </w:rPr>
              <w:t>个包或同时参与</w:t>
            </w:r>
            <w:r>
              <w:rPr>
                <w:rFonts w:ascii="Times New Roman" w:hAnsi="Times New Roman"/>
                <w:color w:val="auto"/>
                <w:kern w:val="0"/>
                <w:sz w:val="24"/>
                <w:szCs w:val="24"/>
                <w:highlight w:val="none"/>
              </w:rPr>
              <w:t>2</w:t>
            </w:r>
            <w:r>
              <w:rPr>
                <w:rFonts w:hint="eastAsia" w:ascii="方正仿宋_GBK" w:hAnsi="微软雅黑" w:eastAsia="方正仿宋_GBK" w:cs="宋体"/>
                <w:color w:val="auto"/>
                <w:kern w:val="0"/>
                <w:sz w:val="24"/>
                <w:szCs w:val="24"/>
                <w:highlight w:val="none"/>
              </w:rPr>
              <w:t>个包。同时参与</w:t>
            </w:r>
            <w:r>
              <w:rPr>
                <w:rFonts w:ascii="Times New Roman" w:hAnsi="Times New Roman"/>
                <w:color w:val="auto"/>
                <w:kern w:val="0"/>
                <w:sz w:val="24"/>
                <w:szCs w:val="24"/>
                <w:highlight w:val="none"/>
              </w:rPr>
              <w:t>2</w:t>
            </w:r>
            <w:r>
              <w:rPr>
                <w:rFonts w:hint="eastAsia" w:ascii="方正仿宋_GBK" w:hAnsi="微软雅黑" w:eastAsia="方正仿宋_GBK" w:cs="宋体"/>
                <w:color w:val="auto"/>
                <w:kern w:val="0"/>
                <w:sz w:val="24"/>
                <w:szCs w:val="24"/>
                <w:highlight w:val="none"/>
              </w:rPr>
              <w:t>个包时，需分别提供响应文件，兼投不兼中，按照自然分包号顺序进行评审。</w:t>
            </w:r>
            <w:r>
              <w:rPr>
                <w:rFonts w:hint="eastAsia" w:ascii="方正仿宋_GBK" w:hAnsi="微软雅黑" w:eastAsia="方正仿宋_GBK" w:cs="宋体"/>
                <w:color w:val="auto"/>
                <w:kern w:val="0"/>
                <w:sz w:val="24"/>
                <w:szCs w:val="24"/>
                <w:highlight w:val="none"/>
                <w:lang w:val="en-US" w:eastAsia="zh-CN"/>
              </w:rPr>
              <w:t>如有遴选报名商同时中选两个包，可自选一包履行合同，另一包由第二候选人顺延中选。</w:t>
            </w:r>
          </w:p>
          <w:p w14:paraId="4B19FD45">
            <w:pPr>
              <w:pStyle w:val="7"/>
              <w:keepNext w:val="0"/>
              <w:keepLines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rPr>
              <w:t>3.</w:t>
            </w:r>
            <w:r>
              <w:rPr>
                <w:rFonts w:hint="eastAsia" w:ascii="方正仿宋_GBK" w:hAnsi="微软雅黑" w:eastAsia="方正仿宋_GBK" w:cs="宋体"/>
                <w:color w:val="auto"/>
                <w:kern w:val="0"/>
                <w:sz w:val="24"/>
                <w:szCs w:val="24"/>
                <w:highlight w:val="none"/>
                <w:lang w:val="en-US" w:eastAsia="zh-CN"/>
              </w:rPr>
              <w:t>遴选</w:t>
            </w:r>
            <w:r>
              <w:rPr>
                <w:rFonts w:hint="eastAsia" w:ascii="方正仿宋_GBK" w:hAnsi="微软雅黑" w:eastAsia="方正仿宋_GBK" w:cs="宋体"/>
                <w:color w:val="auto"/>
                <w:kern w:val="0"/>
                <w:sz w:val="24"/>
                <w:szCs w:val="24"/>
                <w:highlight w:val="none"/>
              </w:rPr>
              <w:t>保证金在投标前缴纳至学校财务处</w:t>
            </w:r>
            <w:r>
              <w:rPr>
                <w:rFonts w:hint="eastAsia" w:ascii="方正仿宋_GBK" w:hAnsi="微软雅黑" w:eastAsia="方正仿宋_GBK" w:cs="宋体"/>
                <w:color w:val="auto"/>
                <w:kern w:val="0"/>
                <w:sz w:val="24"/>
                <w:szCs w:val="24"/>
                <w:highlight w:val="none"/>
                <w:lang w:eastAsia="zh-CN"/>
              </w:rPr>
              <w:t>（</w:t>
            </w:r>
            <w:r>
              <w:rPr>
                <w:rFonts w:hint="eastAsia" w:ascii="方正仿宋_GBK" w:hAnsi="微软雅黑" w:eastAsia="方正仿宋_GBK" w:cs="宋体"/>
                <w:color w:val="auto"/>
                <w:kern w:val="0"/>
                <w:sz w:val="24"/>
                <w:szCs w:val="24"/>
                <w:highlight w:val="none"/>
                <w:lang w:val="en-US" w:eastAsia="zh-CN"/>
              </w:rPr>
              <w:t>以开标前一日17:30前到账为准</w:t>
            </w:r>
            <w:r>
              <w:rPr>
                <w:rFonts w:hint="eastAsia" w:ascii="方正仿宋_GBK" w:hAnsi="微软雅黑" w:eastAsia="方正仿宋_GBK" w:cs="宋体"/>
                <w:color w:val="auto"/>
                <w:kern w:val="0"/>
                <w:sz w:val="24"/>
                <w:szCs w:val="24"/>
                <w:highlight w:val="none"/>
                <w:lang w:eastAsia="zh-CN"/>
              </w:rPr>
              <w:t>）</w:t>
            </w:r>
            <w:r>
              <w:rPr>
                <w:rFonts w:hint="eastAsia" w:ascii="方正仿宋_GBK" w:hAnsi="微软雅黑" w:eastAsia="方正仿宋_GBK" w:cs="宋体"/>
                <w:color w:val="auto"/>
                <w:kern w:val="0"/>
                <w:sz w:val="24"/>
                <w:szCs w:val="24"/>
                <w:highlight w:val="none"/>
              </w:rPr>
              <w:t>，未中标者，5个工作日后返回。</w:t>
            </w:r>
          </w:p>
          <w:p w14:paraId="77672DE9">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ascii="仿宋" w:hAnsi="仿宋" w:eastAsia="仿宋" w:cs="仿宋"/>
                <w:color w:val="auto"/>
                <w:sz w:val="24"/>
                <w:szCs w:val="24"/>
                <w:highlight w:val="none"/>
              </w:rPr>
            </w:pPr>
            <w:r>
              <w:rPr>
                <w:rFonts w:hint="eastAsia" w:ascii="方正仿宋_GBK" w:hAnsi="微软雅黑" w:eastAsia="方正仿宋_GBK" w:cs="宋体"/>
                <w:color w:val="auto"/>
                <w:kern w:val="0"/>
                <w:sz w:val="24"/>
                <w:szCs w:val="24"/>
                <w:highlight w:val="none"/>
              </w:rPr>
              <w:t>4.履约保证金在中标通知书发出后，合同签订之前，中标商缴纳至学校财务处。（缴纳银行账号见招商公告）</w:t>
            </w:r>
          </w:p>
        </w:tc>
      </w:tr>
    </w:tbl>
    <w:p w14:paraId="4B22BD25">
      <w:pPr>
        <w:pStyle w:val="4"/>
        <w:numPr>
          <w:ilvl w:val="0"/>
          <w:numId w:val="0"/>
        </w:numPr>
        <w:kinsoku/>
        <w:wordWrap/>
        <w:overflowPunct/>
        <w:topLinePunct w:val="0"/>
        <w:autoSpaceDE/>
        <w:autoSpaceDN/>
        <w:bidi w:val="0"/>
        <w:spacing w:line="500" w:lineRule="exact"/>
        <w:rPr>
          <w:rFonts w:hint="eastAsia" w:ascii="仿宋" w:hAnsi="仿宋" w:eastAsia="仿宋" w:cs="仿宋"/>
          <w:b/>
          <w:bCs/>
          <w:color w:val="auto"/>
          <w:szCs w:val="28"/>
          <w:highlight w:val="none"/>
          <w:lang w:eastAsia="zh-CN"/>
        </w:rPr>
      </w:pPr>
    </w:p>
    <w:p w14:paraId="62352344">
      <w:pPr>
        <w:pStyle w:val="4"/>
        <w:numPr>
          <w:ilvl w:val="0"/>
          <w:numId w:val="1"/>
        </w:numPr>
        <w:kinsoku/>
        <w:wordWrap/>
        <w:overflowPunct/>
        <w:topLinePunct w:val="0"/>
        <w:autoSpaceDE/>
        <w:autoSpaceDN/>
        <w:bidi w:val="0"/>
        <w:spacing w:line="500" w:lineRule="exact"/>
        <w:ind w:firstLine="562"/>
        <w:rPr>
          <w:rFonts w:ascii="仿宋" w:hAnsi="仿宋" w:eastAsia="仿宋" w:cs="仿宋"/>
          <w:b/>
          <w:bCs/>
          <w:color w:val="auto"/>
          <w:szCs w:val="28"/>
          <w:highlight w:val="none"/>
        </w:rPr>
      </w:pPr>
      <w:bookmarkStart w:id="33" w:name="_Toc13773"/>
      <w:bookmarkStart w:id="34" w:name="_Toc18166"/>
      <w:r>
        <w:rPr>
          <w:rFonts w:hint="eastAsia" w:ascii="仿宋" w:hAnsi="仿宋" w:eastAsia="仿宋" w:cs="仿宋"/>
          <w:b/>
          <w:bCs/>
          <w:color w:val="auto"/>
          <w:szCs w:val="28"/>
          <w:highlight w:val="none"/>
        </w:rPr>
        <w:t>联合运营及服务要求</w:t>
      </w:r>
      <w:bookmarkEnd w:id="33"/>
      <w:bookmarkEnd w:id="34"/>
    </w:p>
    <w:p w14:paraId="581436E8">
      <w:pPr>
        <w:numPr>
          <w:ilvl w:val="0"/>
          <w:numId w:val="2"/>
        </w:numPr>
        <w:kinsoku/>
        <w:wordWrap/>
        <w:overflowPunct/>
        <w:topLinePunct w:val="0"/>
        <w:autoSpaceDE/>
        <w:autoSpaceDN/>
        <w:bidi w:val="0"/>
        <w:spacing w:line="500" w:lineRule="exact"/>
        <w:ind w:left="421"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项目总体要求</w:t>
      </w:r>
    </w:p>
    <w:p w14:paraId="1CE8FA7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包1、包2的定位为适合现代大学和重庆第二师范学院特色的集餐饮、休闲、育人、服务保障等为一体的多功能现代化食堂。</w:t>
      </w:r>
    </w:p>
    <w:p w14:paraId="43D87D13">
      <w:pPr>
        <w:kinsoku/>
        <w:wordWrap/>
        <w:overflowPunct/>
        <w:topLinePunct w:val="0"/>
        <w:autoSpaceDE/>
        <w:autoSpaceDN/>
        <w:bidi w:val="0"/>
        <w:spacing w:line="5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包1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包2食堂实行场地“零租赁”、免收管理费，</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需结合经营场地的实际情况、重庆二师特色以及学校内涵，提供食堂环境改善方案，自行负责购置、安装与管理、维护。采购人每月按月营业收入的1%收取餐饮公司一卡通使用维护费用。</w:t>
      </w:r>
      <w:r>
        <w:rPr>
          <w:rFonts w:hint="eastAsia" w:ascii="仿宋" w:hAnsi="仿宋" w:eastAsia="仿宋" w:cs="仿宋"/>
          <w:color w:val="auto"/>
          <w:sz w:val="24"/>
          <w:szCs w:val="24"/>
          <w:highlight w:val="none"/>
          <w:lang w:eastAsia="zh-CN"/>
        </w:rPr>
        <w:t>采购人每月按与燃气等消防维保单位签订的协议代收该食堂的燃气维保费用（不超过月营业额的</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p>
    <w:p w14:paraId="2B1D4391">
      <w:pPr>
        <w:kinsoku/>
        <w:wordWrap/>
        <w:overflowPunct/>
        <w:topLinePunct w:val="0"/>
        <w:autoSpaceDE/>
        <w:autoSpaceDN/>
        <w:bidi w:val="0"/>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餐厨设施设备正常运行时白天（6:00―22:00）必须将噪声控制在55dB以下，晚上（22:00―次日6:00）必须将噪声控制在45dB以下；装修材料必须达到国家环保规定要求。</w:t>
      </w:r>
    </w:p>
    <w:p w14:paraId="2C5B34ED">
      <w:pPr>
        <w:kinsoku/>
        <w:wordWrap/>
        <w:overflowPunct/>
        <w:topLinePunct w:val="0"/>
        <w:autoSpaceDE/>
        <w:autoSpaceDN/>
        <w:bidi w:val="0"/>
        <w:spacing w:line="5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为保证食品安全监管措施到位，供应商必须遵守《重庆第二师范学院学生食堂联合运营管理日常考核实施细则》、《重庆第二师范学院学生食堂联合运营管理与服务考核办法》等（见附件）。</w:t>
      </w:r>
    </w:p>
    <w:p w14:paraId="73E57E9C">
      <w:pPr>
        <w:kinsoku/>
        <w:wordWrap/>
        <w:overflowPunct/>
        <w:topLinePunct w:val="0"/>
        <w:autoSpaceDE/>
        <w:autoSpaceDN/>
        <w:bidi w:val="0"/>
        <w:spacing w:line="5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供应商投资食堂环境改善装修和餐厨设施设备等费用不得低于公开遴选文件规定的标准，以经营服务方案中投资预算为依据。</w:t>
      </w:r>
    </w:p>
    <w:p w14:paraId="65EEF791">
      <w:pPr>
        <w:kinsoku/>
        <w:wordWrap/>
        <w:overflowPunct/>
        <w:topLinePunct w:val="0"/>
        <w:autoSpaceDE/>
        <w:autoSpaceDN/>
        <w:bidi w:val="0"/>
        <w:spacing w:line="5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（二）经营管理要求</w:t>
      </w:r>
    </w:p>
    <w:p w14:paraId="512C0772">
      <w:pPr>
        <w:kinsoku/>
        <w:wordWrap/>
        <w:overflowPunct/>
        <w:topLinePunct w:val="0"/>
        <w:autoSpaceDE/>
        <w:autoSpaceDN/>
        <w:bidi w:val="0"/>
        <w:spacing w:line="5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包1经营服务范围为学生基本伙+特色餐饮+少数民族餐饮，学生基本伙菜品种类占比不低于30%（含早点）。同时需设置少数民族餐饮服务窗口且须严格遵守少数民族饮食习俗和加工制作要求。包2经营服务范围为学生基本伙+特色餐饮,基本伙菜品种类不低于30%（含早点）。</w:t>
      </w:r>
    </w:p>
    <w:p w14:paraId="26E3FE40">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1.基本大伙</w:t>
      </w:r>
    </w:p>
    <w:p w14:paraId="6518EDBF">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8"/>
          <w:szCs w:val="28"/>
          <w:highlight w:val="none"/>
        </w:rPr>
      </w:pPr>
      <w:r>
        <w:rPr>
          <w:rFonts w:hint="eastAsia" w:ascii="仿宋" w:hAnsi="仿宋" w:eastAsia="仿宋" w:cs="仿宋"/>
          <w:color w:val="auto"/>
          <w:sz w:val="24"/>
          <w:szCs w:val="24"/>
          <w:highlight w:val="none"/>
          <w:lang w:eastAsia="zh-CN"/>
        </w:rPr>
        <w:t>成交供应商应充分考虑大多数学生的经济承受能力，严格执行学校和行业的相关规定控制饭菜质量和价格。合理设置基本大伙档口（成交供应商必须设置明确标识），原则上基本大伙档口数量占比不低于30%，且基本大伙档口数量占比应与基本大伙档口面积占比大致相当，确保学生基本伙食需要，有低价菜、平价菜窗口。饭菜价格应明码标价，其中单份荤菜价格3.00元至4.50元，素菜价格1.00至2.00元，并明显低于社会餐饮同等水平。</w:t>
      </w:r>
    </w:p>
    <w:p w14:paraId="6BF13BE1">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1.1基本大伙菜品种类和份量须满足学生用餐的实际需求。针对基本大伙菜价管理，暂定执行以下要求：</w:t>
      </w:r>
    </w:p>
    <w:p w14:paraId="60208191">
      <w:pPr>
        <w:kinsoku/>
        <w:wordWrap/>
        <w:overflowPunct/>
        <w:topLinePunct w:val="0"/>
        <w:autoSpaceDE/>
        <w:autoSpaceDN/>
        <w:bidi w:val="0"/>
        <w:spacing w:line="500" w:lineRule="exact"/>
        <w:ind w:firstLine="480" w:firstLineChars="200"/>
        <w:rPr>
          <w:rFonts w:ascii="宋体" w:hAnsi="宋体" w:cs="仿宋"/>
          <w:color w:val="auto"/>
          <w:sz w:val="24"/>
          <w:szCs w:val="24"/>
          <w:highlight w:val="none"/>
        </w:rPr>
      </w:pPr>
      <w:r>
        <w:rPr>
          <w:rFonts w:hint="eastAsia" w:ascii="宋体" w:hAnsi="宋体" w:cs="仿宋"/>
          <w:color w:val="auto"/>
          <w:sz w:val="24"/>
          <w:szCs w:val="24"/>
          <w:highlight w:val="none"/>
          <w:lang w:val="en-US" w:eastAsia="zh-CN"/>
        </w:rPr>
        <w:t>1.1.1</w:t>
      </w:r>
      <w:r>
        <w:rPr>
          <w:rFonts w:hint="eastAsia" w:ascii="仿宋" w:hAnsi="仿宋" w:eastAsia="仿宋" w:cs="仿宋"/>
          <w:color w:val="auto"/>
          <w:sz w:val="24"/>
          <w:szCs w:val="24"/>
          <w:highlight w:val="none"/>
          <w:lang w:eastAsia="zh-CN"/>
        </w:rPr>
        <w:t>所有菜品的出品量、荤素比、售卖价，采取报批制，严格按照中选企业上报的数据对照执行。所有上报的菜品包括菜品名称、菜品主配料成分、成品售卖价格。</w:t>
      </w:r>
    </w:p>
    <w:p w14:paraId="49B0FFCC">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 xml:space="preserve">1.1.2 </w:t>
      </w:r>
      <w:r>
        <w:rPr>
          <w:rFonts w:hint="eastAsia" w:ascii="仿宋" w:hAnsi="仿宋" w:eastAsia="仿宋" w:cs="仿宋"/>
          <w:color w:val="auto"/>
          <w:sz w:val="24"/>
          <w:szCs w:val="24"/>
          <w:highlight w:val="none"/>
          <w:lang w:eastAsia="zh-CN"/>
        </w:rPr>
        <w:t>所有上报的菜品与其他高校一致的，需包括相同产品2-3所本科高校的对比价格。</w:t>
      </w:r>
    </w:p>
    <w:p w14:paraId="357AA414">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1.1.3</w:t>
      </w:r>
      <w:r>
        <w:rPr>
          <w:rFonts w:hint="eastAsia" w:ascii="仿宋" w:hAnsi="仿宋" w:eastAsia="仿宋" w:cs="仿宋"/>
          <w:color w:val="auto"/>
          <w:sz w:val="24"/>
          <w:szCs w:val="24"/>
          <w:highlight w:val="none"/>
          <w:lang w:eastAsia="zh-CN"/>
        </w:rPr>
        <w:t>基本大伙食品价格参照以下标准经营：</w:t>
      </w:r>
    </w:p>
    <w:tbl>
      <w:tblPr>
        <w:tblStyle w:val="18"/>
        <w:tblW w:w="8479" w:type="dxa"/>
        <w:jc w:val="center"/>
        <w:tblLayout w:type="fixed"/>
        <w:tblCellMar>
          <w:top w:w="0" w:type="dxa"/>
          <w:left w:w="108" w:type="dxa"/>
          <w:bottom w:w="0" w:type="dxa"/>
          <w:right w:w="108" w:type="dxa"/>
        </w:tblCellMar>
      </w:tblPr>
      <w:tblGrid>
        <w:gridCol w:w="1171"/>
        <w:gridCol w:w="1612"/>
        <w:gridCol w:w="816"/>
        <w:gridCol w:w="2567"/>
        <w:gridCol w:w="2313"/>
      </w:tblGrid>
      <w:tr w14:paraId="651DC857">
        <w:tblPrEx>
          <w:tblCellMar>
            <w:top w:w="0" w:type="dxa"/>
            <w:left w:w="108" w:type="dxa"/>
            <w:bottom w:w="0" w:type="dxa"/>
            <w:right w:w="108" w:type="dxa"/>
          </w:tblCellMar>
        </w:tblPrEx>
        <w:trPr>
          <w:trHeight w:val="753" w:hRule="atLeast"/>
          <w:jc w:val="center"/>
        </w:trPr>
        <w:tc>
          <w:tcPr>
            <w:tcW w:w="2783" w:type="dxa"/>
            <w:gridSpan w:val="2"/>
            <w:tcBorders>
              <w:top w:val="single" w:color="000000" w:sz="4" w:space="0"/>
              <w:left w:val="single" w:color="000000" w:sz="4" w:space="0"/>
              <w:bottom w:val="single" w:color="000000" w:sz="4" w:space="0"/>
              <w:right w:val="single" w:color="000000" w:sz="4" w:space="0"/>
            </w:tcBorders>
            <w:noWrap/>
            <w:vAlign w:val="center"/>
          </w:tcPr>
          <w:p w14:paraId="204E15E3">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品类</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A470BCD">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售价（元）</w:t>
            </w:r>
          </w:p>
        </w:tc>
        <w:tc>
          <w:tcPr>
            <w:tcW w:w="2567" w:type="dxa"/>
            <w:tcBorders>
              <w:top w:val="single" w:color="000000" w:sz="4" w:space="0"/>
              <w:left w:val="single" w:color="000000" w:sz="4" w:space="0"/>
              <w:bottom w:val="single" w:color="000000" w:sz="4" w:space="0"/>
              <w:right w:val="single" w:color="000000" w:sz="4" w:space="0"/>
            </w:tcBorders>
            <w:noWrap/>
            <w:vAlign w:val="center"/>
          </w:tcPr>
          <w:p w14:paraId="4F82F086">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荤菜类（g）（熟重）</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766BD562">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素菜类（g）</w:t>
            </w:r>
          </w:p>
        </w:tc>
      </w:tr>
      <w:tr w14:paraId="6B0FD09D">
        <w:tblPrEx>
          <w:tblCellMar>
            <w:top w:w="0" w:type="dxa"/>
            <w:left w:w="108" w:type="dxa"/>
            <w:bottom w:w="0" w:type="dxa"/>
            <w:right w:w="108" w:type="dxa"/>
          </w:tblCellMar>
        </w:tblPrEx>
        <w:trPr>
          <w:trHeight w:val="586" w:hRule="atLeast"/>
          <w:jc w:val="center"/>
        </w:trPr>
        <w:tc>
          <w:tcPr>
            <w:tcW w:w="1171" w:type="dxa"/>
            <w:vMerge w:val="restart"/>
            <w:tcBorders>
              <w:top w:val="single" w:color="000000" w:sz="4" w:space="0"/>
              <w:left w:val="single" w:color="000000" w:sz="4" w:space="0"/>
              <w:bottom w:val="single" w:color="000000" w:sz="4" w:space="0"/>
              <w:right w:val="single" w:color="000000" w:sz="4" w:space="0"/>
            </w:tcBorders>
            <w:noWrap/>
            <w:vAlign w:val="center"/>
          </w:tcPr>
          <w:p w14:paraId="7A1B0776">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left"/>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bidi="ar"/>
              </w:rPr>
              <w:t>基</w:t>
            </w:r>
            <w:r>
              <w:rPr>
                <w:rFonts w:hint="eastAsia" w:ascii="宋体" w:hAnsi="宋体" w:cs="宋体"/>
                <w:color w:val="auto"/>
                <w:kern w:val="0"/>
                <w:sz w:val="24"/>
                <w:szCs w:val="24"/>
                <w:highlight w:val="none"/>
                <w:lang w:eastAsia="zh-CN" w:bidi="ar"/>
              </w:rPr>
              <w:t>本</w:t>
            </w:r>
            <w:r>
              <w:rPr>
                <w:rFonts w:hint="eastAsia" w:ascii="宋体" w:hAnsi="宋体" w:cs="宋体"/>
                <w:color w:val="auto"/>
                <w:kern w:val="0"/>
                <w:sz w:val="24"/>
                <w:szCs w:val="24"/>
                <w:highlight w:val="none"/>
                <w:lang w:bidi="ar"/>
              </w:rPr>
              <w:t>大伙餐</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bidi="ar"/>
              </w:rPr>
              <w:t>米饭、汤免费</w:t>
            </w:r>
            <w:r>
              <w:rPr>
                <w:rFonts w:hint="eastAsia" w:ascii="宋体" w:hAnsi="宋体" w:cs="宋体"/>
                <w:color w:val="auto"/>
                <w:kern w:val="0"/>
                <w:sz w:val="24"/>
                <w:szCs w:val="24"/>
                <w:highlight w:val="none"/>
                <w:lang w:eastAsia="zh-CN" w:bidi="ar"/>
              </w:rPr>
              <w:t>）</w:t>
            </w:r>
          </w:p>
        </w:tc>
        <w:tc>
          <w:tcPr>
            <w:tcW w:w="1612" w:type="dxa"/>
            <w:tcBorders>
              <w:top w:val="single" w:color="000000" w:sz="4" w:space="0"/>
              <w:left w:val="single" w:color="000000" w:sz="4" w:space="0"/>
              <w:bottom w:val="single" w:color="000000" w:sz="4" w:space="0"/>
              <w:right w:val="single" w:color="000000" w:sz="4" w:space="0"/>
            </w:tcBorders>
            <w:noWrap/>
            <w:vAlign w:val="center"/>
          </w:tcPr>
          <w:p w14:paraId="339A9AF0">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一荤一素</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7044859">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7</w:t>
            </w:r>
          </w:p>
        </w:tc>
        <w:tc>
          <w:tcPr>
            <w:tcW w:w="2567" w:type="dxa"/>
            <w:tcBorders>
              <w:top w:val="single" w:color="000000" w:sz="4" w:space="0"/>
              <w:left w:val="single" w:color="000000" w:sz="4" w:space="0"/>
              <w:bottom w:val="single" w:color="000000" w:sz="4" w:space="0"/>
              <w:right w:val="single" w:color="000000" w:sz="4" w:space="0"/>
            </w:tcBorders>
            <w:noWrap/>
            <w:vAlign w:val="center"/>
          </w:tcPr>
          <w:p w14:paraId="52E298F1">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肉类≥60，配菜≥50</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18C2535E">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熟重≥100</w:t>
            </w:r>
          </w:p>
        </w:tc>
      </w:tr>
      <w:tr w14:paraId="3993A91B">
        <w:tblPrEx>
          <w:tblCellMar>
            <w:top w:w="0" w:type="dxa"/>
            <w:left w:w="108" w:type="dxa"/>
            <w:bottom w:w="0" w:type="dxa"/>
            <w:right w:w="108" w:type="dxa"/>
          </w:tblCellMar>
        </w:tblPrEx>
        <w:trPr>
          <w:trHeight w:val="759"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14:paraId="111B0C50">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jc w:val="center"/>
              <w:textAlignment w:val="center"/>
              <w:rPr>
                <w:rFonts w:ascii="宋体" w:hAnsi="宋体" w:cs="宋体"/>
                <w:color w:val="auto"/>
                <w:kern w:val="0"/>
                <w:sz w:val="24"/>
                <w:szCs w:val="24"/>
                <w:highlight w:val="none"/>
                <w:lang w:bidi="ar"/>
              </w:rPr>
            </w:pPr>
          </w:p>
        </w:tc>
        <w:tc>
          <w:tcPr>
            <w:tcW w:w="1612" w:type="dxa"/>
            <w:tcBorders>
              <w:top w:val="single" w:color="000000" w:sz="4" w:space="0"/>
              <w:left w:val="single" w:color="000000" w:sz="4" w:space="0"/>
              <w:bottom w:val="single" w:color="000000" w:sz="4" w:space="0"/>
              <w:right w:val="single" w:color="000000" w:sz="4" w:space="0"/>
            </w:tcBorders>
            <w:noWrap/>
            <w:vAlign w:val="center"/>
          </w:tcPr>
          <w:p w14:paraId="5E80B1A6">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一荤两素</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7BF1762">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8</w:t>
            </w:r>
          </w:p>
        </w:tc>
        <w:tc>
          <w:tcPr>
            <w:tcW w:w="2567" w:type="dxa"/>
            <w:tcBorders>
              <w:top w:val="single" w:color="000000" w:sz="4" w:space="0"/>
              <w:left w:val="single" w:color="000000" w:sz="4" w:space="0"/>
              <w:bottom w:val="single" w:color="000000" w:sz="4" w:space="0"/>
              <w:right w:val="single" w:color="000000" w:sz="4" w:space="0"/>
            </w:tcBorders>
            <w:noWrap/>
            <w:vAlign w:val="center"/>
          </w:tcPr>
          <w:p w14:paraId="51DB1453">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肉类≥60，配菜≥100</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3B75C5AE">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熟重≥200</w:t>
            </w:r>
          </w:p>
        </w:tc>
      </w:tr>
      <w:tr w14:paraId="42FEF3DB">
        <w:tblPrEx>
          <w:tblCellMar>
            <w:top w:w="0" w:type="dxa"/>
            <w:left w:w="108" w:type="dxa"/>
            <w:bottom w:w="0" w:type="dxa"/>
            <w:right w:w="108" w:type="dxa"/>
          </w:tblCellMar>
        </w:tblPrEx>
        <w:trPr>
          <w:trHeight w:val="759"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14:paraId="6B16702E">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jc w:val="center"/>
              <w:textAlignment w:val="center"/>
              <w:rPr>
                <w:rFonts w:ascii="宋体" w:hAnsi="宋体" w:cs="宋体"/>
                <w:color w:val="auto"/>
                <w:kern w:val="0"/>
                <w:sz w:val="24"/>
                <w:szCs w:val="24"/>
                <w:highlight w:val="none"/>
                <w:lang w:bidi="ar"/>
              </w:rPr>
            </w:pPr>
          </w:p>
        </w:tc>
        <w:tc>
          <w:tcPr>
            <w:tcW w:w="1612" w:type="dxa"/>
            <w:tcBorders>
              <w:top w:val="single" w:color="000000" w:sz="4" w:space="0"/>
              <w:left w:val="single" w:color="000000" w:sz="4" w:space="0"/>
              <w:bottom w:val="single" w:color="000000" w:sz="4" w:space="0"/>
              <w:right w:val="single" w:color="000000" w:sz="4" w:space="0"/>
            </w:tcBorders>
            <w:noWrap/>
            <w:vAlign w:val="center"/>
          </w:tcPr>
          <w:p w14:paraId="6C6C54F7">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两荤一素</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BA8D201">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9</w:t>
            </w:r>
          </w:p>
        </w:tc>
        <w:tc>
          <w:tcPr>
            <w:tcW w:w="2567" w:type="dxa"/>
            <w:tcBorders>
              <w:top w:val="single" w:color="000000" w:sz="4" w:space="0"/>
              <w:left w:val="single" w:color="000000" w:sz="4" w:space="0"/>
              <w:bottom w:val="single" w:color="000000" w:sz="4" w:space="0"/>
              <w:right w:val="single" w:color="000000" w:sz="4" w:space="0"/>
            </w:tcBorders>
            <w:noWrap/>
            <w:vAlign w:val="center"/>
          </w:tcPr>
          <w:p w14:paraId="2DAC9B85">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肉类≥120，配菜≥100</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2A61C59F">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熟重≥100</w:t>
            </w:r>
          </w:p>
        </w:tc>
      </w:tr>
      <w:tr w14:paraId="5BC734FA">
        <w:tblPrEx>
          <w:tblCellMar>
            <w:top w:w="0" w:type="dxa"/>
            <w:left w:w="108" w:type="dxa"/>
            <w:bottom w:w="0" w:type="dxa"/>
            <w:right w:w="108" w:type="dxa"/>
          </w:tblCellMar>
        </w:tblPrEx>
        <w:trPr>
          <w:trHeight w:val="849"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14:paraId="32913C93">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jc w:val="center"/>
              <w:textAlignment w:val="center"/>
              <w:rPr>
                <w:rFonts w:ascii="宋体" w:hAnsi="宋体" w:cs="宋体"/>
                <w:color w:val="auto"/>
                <w:kern w:val="0"/>
                <w:sz w:val="24"/>
                <w:szCs w:val="24"/>
                <w:highlight w:val="none"/>
                <w:lang w:bidi="ar"/>
              </w:rPr>
            </w:pPr>
          </w:p>
        </w:tc>
        <w:tc>
          <w:tcPr>
            <w:tcW w:w="1612" w:type="dxa"/>
            <w:tcBorders>
              <w:top w:val="single" w:color="000000" w:sz="4" w:space="0"/>
              <w:left w:val="single" w:color="000000" w:sz="4" w:space="0"/>
              <w:bottom w:val="single" w:color="000000" w:sz="4" w:space="0"/>
              <w:right w:val="single" w:color="000000" w:sz="4" w:space="0"/>
            </w:tcBorders>
            <w:noWrap/>
            <w:vAlign w:val="center"/>
          </w:tcPr>
          <w:p w14:paraId="031E5FBE">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两荤两素</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B7B3B27">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10</w:t>
            </w:r>
          </w:p>
        </w:tc>
        <w:tc>
          <w:tcPr>
            <w:tcW w:w="2567" w:type="dxa"/>
            <w:tcBorders>
              <w:top w:val="single" w:color="000000" w:sz="4" w:space="0"/>
              <w:left w:val="single" w:color="000000" w:sz="4" w:space="0"/>
              <w:bottom w:val="single" w:color="000000" w:sz="4" w:space="0"/>
              <w:right w:val="single" w:color="000000" w:sz="4" w:space="0"/>
            </w:tcBorders>
            <w:noWrap/>
            <w:vAlign w:val="center"/>
          </w:tcPr>
          <w:p w14:paraId="7A9D8172">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肉类≥120，配菜≥100</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1C5B87BF">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熟重≥200</w:t>
            </w:r>
          </w:p>
        </w:tc>
      </w:tr>
      <w:tr w14:paraId="2ADDDB0C">
        <w:tblPrEx>
          <w:tblCellMar>
            <w:top w:w="0" w:type="dxa"/>
            <w:left w:w="108" w:type="dxa"/>
            <w:bottom w:w="0" w:type="dxa"/>
            <w:right w:w="108" w:type="dxa"/>
          </w:tblCellMar>
        </w:tblPrEx>
        <w:trPr>
          <w:trHeight w:val="849" w:hRule="atLeast"/>
          <w:jc w:val="center"/>
        </w:trPr>
        <w:tc>
          <w:tcPr>
            <w:tcW w:w="1171" w:type="dxa"/>
            <w:vMerge w:val="restart"/>
            <w:tcBorders>
              <w:top w:val="single" w:color="000000" w:sz="4" w:space="0"/>
              <w:left w:val="single" w:color="000000" w:sz="4" w:space="0"/>
              <w:right w:val="single" w:color="000000" w:sz="4" w:space="0"/>
            </w:tcBorders>
            <w:noWrap/>
            <w:vAlign w:val="center"/>
          </w:tcPr>
          <w:p w14:paraId="6460375B">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left"/>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基本大伙早餐</w:t>
            </w:r>
          </w:p>
        </w:tc>
        <w:tc>
          <w:tcPr>
            <w:tcW w:w="1612" w:type="dxa"/>
            <w:tcBorders>
              <w:top w:val="single" w:color="000000" w:sz="4" w:space="0"/>
              <w:left w:val="single" w:color="000000" w:sz="4" w:space="0"/>
              <w:bottom w:val="single" w:color="000000" w:sz="4" w:space="0"/>
              <w:right w:val="single" w:color="000000" w:sz="4" w:space="0"/>
            </w:tcBorders>
            <w:noWrap/>
            <w:vAlign w:val="center"/>
          </w:tcPr>
          <w:p w14:paraId="4A6614D0">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馒头</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106DF85">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0.6</w:t>
            </w:r>
          </w:p>
        </w:tc>
        <w:tc>
          <w:tcPr>
            <w:tcW w:w="2567" w:type="dxa"/>
            <w:tcBorders>
              <w:top w:val="single" w:color="000000" w:sz="4" w:space="0"/>
              <w:left w:val="single" w:color="000000" w:sz="4" w:space="0"/>
              <w:bottom w:val="single" w:color="000000" w:sz="4" w:space="0"/>
              <w:right w:val="single" w:color="000000" w:sz="4" w:space="0"/>
            </w:tcBorders>
            <w:noWrap/>
            <w:vAlign w:val="center"/>
          </w:tcPr>
          <w:p w14:paraId="1E935256">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hint="eastAsia" w:ascii="宋体" w:hAnsi="宋体" w:cs="宋体"/>
                <w:color w:val="auto"/>
                <w:kern w:val="0"/>
                <w:sz w:val="24"/>
                <w:szCs w:val="24"/>
                <w:highlight w:val="none"/>
                <w:lang w:bidi="ar"/>
              </w:rPr>
            </w:pP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7CFF579E">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jc w:val="both"/>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生重≥100</w:t>
            </w:r>
          </w:p>
        </w:tc>
      </w:tr>
      <w:tr w14:paraId="05C2E9EC">
        <w:tblPrEx>
          <w:tblCellMar>
            <w:top w:w="0" w:type="dxa"/>
            <w:left w:w="108" w:type="dxa"/>
            <w:bottom w:w="0" w:type="dxa"/>
            <w:right w:w="108" w:type="dxa"/>
          </w:tblCellMar>
        </w:tblPrEx>
        <w:trPr>
          <w:trHeight w:val="849" w:hRule="atLeast"/>
          <w:jc w:val="center"/>
        </w:trPr>
        <w:tc>
          <w:tcPr>
            <w:tcW w:w="1171" w:type="dxa"/>
            <w:vMerge w:val="continue"/>
            <w:tcBorders>
              <w:left w:val="single" w:color="000000" w:sz="4" w:space="0"/>
              <w:right w:val="single" w:color="000000" w:sz="4" w:space="0"/>
            </w:tcBorders>
            <w:noWrap/>
            <w:vAlign w:val="center"/>
          </w:tcPr>
          <w:p w14:paraId="46EE9F74">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jc w:val="center"/>
              <w:textAlignment w:val="center"/>
              <w:rPr>
                <w:rFonts w:hint="eastAsia" w:ascii="宋体" w:hAnsi="宋体" w:cs="宋体"/>
                <w:color w:val="auto"/>
                <w:kern w:val="0"/>
                <w:sz w:val="24"/>
                <w:szCs w:val="24"/>
                <w:highlight w:val="none"/>
                <w:lang w:eastAsia="zh-CN" w:bidi="ar"/>
              </w:rPr>
            </w:pPr>
          </w:p>
        </w:tc>
        <w:tc>
          <w:tcPr>
            <w:tcW w:w="1612" w:type="dxa"/>
            <w:tcBorders>
              <w:top w:val="single" w:color="000000" w:sz="4" w:space="0"/>
              <w:left w:val="single" w:color="000000" w:sz="4" w:space="0"/>
              <w:bottom w:val="single" w:color="000000" w:sz="4" w:space="0"/>
              <w:right w:val="single" w:color="000000" w:sz="4" w:space="0"/>
            </w:tcBorders>
            <w:noWrap/>
            <w:vAlign w:val="center"/>
          </w:tcPr>
          <w:p w14:paraId="43D816F1">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花卷、发糕</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80A96D2">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0.7</w:t>
            </w:r>
          </w:p>
        </w:tc>
        <w:tc>
          <w:tcPr>
            <w:tcW w:w="2567" w:type="dxa"/>
            <w:tcBorders>
              <w:top w:val="single" w:color="000000" w:sz="4" w:space="0"/>
              <w:left w:val="single" w:color="000000" w:sz="4" w:space="0"/>
              <w:bottom w:val="single" w:color="000000" w:sz="4" w:space="0"/>
              <w:right w:val="single" w:color="000000" w:sz="4" w:space="0"/>
            </w:tcBorders>
            <w:noWrap/>
            <w:vAlign w:val="center"/>
          </w:tcPr>
          <w:p w14:paraId="6E09DA61">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hint="eastAsia" w:ascii="宋体" w:hAnsi="宋体" w:cs="宋体"/>
                <w:color w:val="auto"/>
                <w:kern w:val="0"/>
                <w:sz w:val="24"/>
                <w:szCs w:val="24"/>
                <w:highlight w:val="none"/>
                <w:lang w:bidi="ar"/>
              </w:rPr>
            </w:pP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0743C363">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jc w:val="both"/>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生重≥100</w:t>
            </w:r>
          </w:p>
        </w:tc>
      </w:tr>
      <w:tr w14:paraId="2AA09F1C">
        <w:tblPrEx>
          <w:tblCellMar>
            <w:top w:w="0" w:type="dxa"/>
            <w:left w:w="108" w:type="dxa"/>
            <w:bottom w:w="0" w:type="dxa"/>
            <w:right w:w="108" w:type="dxa"/>
          </w:tblCellMar>
        </w:tblPrEx>
        <w:trPr>
          <w:trHeight w:val="849" w:hRule="atLeast"/>
          <w:jc w:val="center"/>
        </w:trPr>
        <w:tc>
          <w:tcPr>
            <w:tcW w:w="1171" w:type="dxa"/>
            <w:vMerge w:val="continue"/>
            <w:tcBorders>
              <w:left w:val="single" w:color="000000" w:sz="4" w:space="0"/>
              <w:right w:val="single" w:color="000000" w:sz="4" w:space="0"/>
            </w:tcBorders>
            <w:noWrap/>
            <w:vAlign w:val="center"/>
          </w:tcPr>
          <w:p w14:paraId="7D8CADF0">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jc w:val="center"/>
              <w:textAlignment w:val="center"/>
              <w:rPr>
                <w:rFonts w:hint="eastAsia" w:ascii="宋体" w:hAnsi="宋体" w:cs="宋体"/>
                <w:color w:val="auto"/>
                <w:kern w:val="0"/>
                <w:sz w:val="24"/>
                <w:szCs w:val="24"/>
                <w:highlight w:val="none"/>
                <w:lang w:eastAsia="zh-CN" w:bidi="ar"/>
              </w:rPr>
            </w:pPr>
          </w:p>
        </w:tc>
        <w:tc>
          <w:tcPr>
            <w:tcW w:w="1612" w:type="dxa"/>
            <w:tcBorders>
              <w:top w:val="single" w:color="000000" w:sz="4" w:space="0"/>
              <w:left w:val="single" w:color="000000" w:sz="4" w:space="0"/>
              <w:bottom w:val="single" w:color="000000" w:sz="4" w:space="0"/>
              <w:right w:val="single" w:color="000000" w:sz="4" w:space="0"/>
            </w:tcBorders>
            <w:noWrap/>
            <w:vAlign w:val="center"/>
          </w:tcPr>
          <w:p w14:paraId="4D879A3B">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小面、米线</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A52D832">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w:t>
            </w:r>
          </w:p>
        </w:tc>
        <w:tc>
          <w:tcPr>
            <w:tcW w:w="2567" w:type="dxa"/>
            <w:tcBorders>
              <w:top w:val="single" w:color="000000" w:sz="4" w:space="0"/>
              <w:left w:val="single" w:color="000000" w:sz="4" w:space="0"/>
              <w:bottom w:val="single" w:color="000000" w:sz="4" w:space="0"/>
              <w:right w:val="single" w:color="000000" w:sz="4" w:space="0"/>
            </w:tcBorders>
            <w:noWrap/>
            <w:vAlign w:val="center"/>
          </w:tcPr>
          <w:p w14:paraId="3139A468">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hint="eastAsia" w:ascii="宋体" w:hAnsi="宋体" w:cs="宋体"/>
                <w:color w:val="auto"/>
                <w:kern w:val="0"/>
                <w:sz w:val="24"/>
                <w:szCs w:val="24"/>
                <w:highlight w:val="none"/>
                <w:lang w:bidi="ar"/>
              </w:rPr>
            </w:pP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4A7474F1">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jc w:val="both"/>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bidi="ar"/>
              </w:rPr>
              <w:t>生重≥100</w:t>
            </w:r>
          </w:p>
        </w:tc>
      </w:tr>
      <w:tr w14:paraId="025F9F37">
        <w:tblPrEx>
          <w:tblCellMar>
            <w:top w:w="0" w:type="dxa"/>
            <w:left w:w="108" w:type="dxa"/>
            <w:bottom w:w="0" w:type="dxa"/>
            <w:right w:w="108" w:type="dxa"/>
          </w:tblCellMar>
        </w:tblPrEx>
        <w:trPr>
          <w:trHeight w:val="849" w:hRule="atLeast"/>
          <w:jc w:val="center"/>
        </w:trPr>
        <w:tc>
          <w:tcPr>
            <w:tcW w:w="1171" w:type="dxa"/>
            <w:vMerge w:val="continue"/>
            <w:tcBorders>
              <w:left w:val="single" w:color="000000" w:sz="4" w:space="0"/>
              <w:bottom w:val="single" w:color="000000" w:sz="4" w:space="0"/>
              <w:right w:val="single" w:color="000000" w:sz="4" w:space="0"/>
            </w:tcBorders>
            <w:noWrap/>
            <w:vAlign w:val="center"/>
          </w:tcPr>
          <w:p w14:paraId="6CA7D886">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jc w:val="center"/>
              <w:textAlignment w:val="center"/>
              <w:rPr>
                <w:rFonts w:hint="eastAsia" w:ascii="宋体" w:hAnsi="宋体" w:cs="宋体"/>
                <w:color w:val="auto"/>
                <w:kern w:val="0"/>
                <w:sz w:val="24"/>
                <w:szCs w:val="24"/>
                <w:highlight w:val="none"/>
                <w:lang w:eastAsia="zh-CN" w:bidi="ar"/>
              </w:rPr>
            </w:pPr>
          </w:p>
        </w:tc>
        <w:tc>
          <w:tcPr>
            <w:tcW w:w="1612" w:type="dxa"/>
            <w:tcBorders>
              <w:top w:val="single" w:color="000000" w:sz="4" w:space="0"/>
              <w:left w:val="single" w:color="000000" w:sz="4" w:space="0"/>
              <w:bottom w:val="single" w:color="000000" w:sz="4" w:space="0"/>
              <w:right w:val="single" w:color="000000" w:sz="4" w:space="0"/>
            </w:tcBorders>
            <w:noWrap/>
            <w:vAlign w:val="center"/>
          </w:tcPr>
          <w:p w14:paraId="3954E15A">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鲜肉包、油条</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70DF603">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0.8</w:t>
            </w:r>
          </w:p>
        </w:tc>
        <w:tc>
          <w:tcPr>
            <w:tcW w:w="2567" w:type="dxa"/>
            <w:tcBorders>
              <w:top w:val="single" w:color="000000" w:sz="4" w:space="0"/>
              <w:left w:val="single" w:color="000000" w:sz="4" w:space="0"/>
              <w:bottom w:val="single" w:color="000000" w:sz="4" w:space="0"/>
              <w:right w:val="single" w:color="000000" w:sz="4" w:space="0"/>
            </w:tcBorders>
            <w:noWrap/>
            <w:vAlign w:val="center"/>
          </w:tcPr>
          <w:p w14:paraId="5F604D70">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生重≥</w:t>
            </w:r>
            <w:r>
              <w:rPr>
                <w:rFonts w:hint="eastAsia" w:ascii="宋体" w:hAnsi="宋体" w:cs="宋体"/>
                <w:color w:val="auto"/>
                <w:kern w:val="0"/>
                <w:sz w:val="24"/>
                <w:szCs w:val="24"/>
                <w:highlight w:val="none"/>
                <w:lang w:val="en-US" w:eastAsia="zh-CN" w:bidi="ar"/>
              </w:rPr>
              <w:t>50</w:t>
            </w:r>
          </w:p>
        </w:tc>
        <w:tc>
          <w:tcPr>
            <w:tcW w:w="2313" w:type="dxa"/>
            <w:tcBorders>
              <w:top w:val="single" w:color="000000" w:sz="4" w:space="0"/>
              <w:left w:val="single" w:color="000000" w:sz="4" w:space="0"/>
              <w:bottom w:val="single" w:color="000000" w:sz="4" w:space="0"/>
              <w:right w:val="single" w:color="000000" w:sz="4" w:space="0"/>
            </w:tcBorders>
            <w:noWrap/>
            <w:vAlign w:val="center"/>
          </w:tcPr>
          <w:p w14:paraId="21FE169E">
            <w:pPr>
              <w:keepNext w:val="0"/>
              <w:keepLines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jc w:val="both"/>
              <w:textAlignment w:val="center"/>
              <w:rPr>
                <w:rFonts w:hint="eastAsia" w:ascii="宋体" w:hAnsi="宋体" w:cs="宋体"/>
                <w:color w:val="auto"/>
                <w:kern w:val="0"/>
                <w:sz w:val="24"/>
                <w:szCs w:val="24"/>
                <w:highlight w:val="none"/>
                <w:lang w:bidi="ar"/>
              </w:rPr>
            </w:pPr>
          </w:p>
        </w:tc>
      </w:tr>
    </w:tbl>
    <w:p w14:paraId="3AC7FAD8">
      <w:pPr>
        <w:widowControl/>
        <w:kinsoku/>
        <w:wordWrap/>
        <w:overflowPunct/>
        <w:topLinePunct w:val="0"/>
        <w:autoSpaceDE/>
        <w:autoSpaceDN/>
        <w:bidi w:val="0"/>
        <w:spacing w:line="500" w:lineRule="exact"/>
        <w:ind w:firstLine="480"/>
        <w:jc w:val="left"/>
        <w:rPr>
          <w:rFonts w:hint="eastAsia" w:ascii="仿宋" w:hAnsi="仿宋" w:eastAsia="仿宋" w:cs="仿宋"/>
          <w:color w:val="auto"/>
          <w:sz w:val="24"/>
          <w:szCs w:val="24"/>
          <w:highlight w:val="none"/>
          <w:lang w:eastAsia="zh-CN"/>
        </w:rPr>
      </w:pPr>
      <w:r>
        <w:rPr>
          <w:rFonts w:hint="eastAsia" w:ascii="方正仿宋_GBK" w:hAnsi="微软雅黑" w:eastAsia="方正仿宋_GBK" w:cs="宋体"/>
          <w:color w:val="auto"/>
          <w:kern w:val="0"/>
          <w:sz w:val="24"/>
          <w:szCs w:val="24"/>
          <w:highlight w:val="none"/>
        </w:rPr>
        <w:t>说明：</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按以上售价</w:t>
      </w:r>
      <w:r>
        <w:rPr>
          <w:rFonts w:hint="eastAsia" w:ascii="方正仿宋_GBK" w:hAnsi="微软雅黑" w:eastAsia="方正仿宋_GBK" w:cs="宋体"/>
          <w:color w:val="auto"/>
          <w:kern w:val="0"/>
          <w:sz w:val="24"/>
          <w:szCs w:val="24"/>
          <w:highlight w:val="none"/>
          <w:lang w:eastAsia="zh-CN"/>
        </w:rPr>
        <w:t>和质量</w:t>
      </w:r>
      <w:r>
        <w:rPr>
          <w:rFonts w:hint="eastAsia" w:ascii="方正仿宋_GBK" w:hAnsi="微软雅黑" w:eastAsia="方正仿宋_GBK" w:cs="宋体"/>
          <w:color w:val="auto"/>
          <w:kern w:val="0"/>
          <w:sz w:val="24"/>
          <w:szCs w:val="24"/>
          <w:highlight w:val="none"/>
        </w:rPr>
        <w:t>标准</w:t>
      </w:r>
      <w:r>
        <w:rPr>
          <w:rFonts w:hint="eastAsia" w:ascii="方正仿宋_GBK" w:hAnsi="微软雅黑" w:eastAsia="方正仿宋_GBK" w:cs="宋体"/>
          <w:color w:val="auto"/>
          <w:kern w:val="0"/>
          <w:sz w:val="24"/>
          <w:szCs w:val="24"/>
          <w:highlight w:val="none"/>
          <w:lang w:eastAsia="zh-CN"/>
        </w:rPr>
        <w:t>经营基本伙</w:t>
      </w:r>
      <w:r>
        <w:rPr>
          <w:rFonts w:hint="eastAsia" w:ascii="方正仿宋_GBK" w:hAnsi="微软雅黑" w:eastAsia="方正仿宋_GBK" w:cs="宋体"/>
          <w:color w:val="auto"/>
          <w:kern w:val="0"/>
          <w:sz w:val="24"/>
          <w:szCs w:val="24"/>
          <w:highlight w:val="none"/>
        </w:rPr>
        <w:t>。否则，发现一次罚款10000元，一学期发现三次（含三次）以上，学校有权解除合同。</w:t>
      </w:r>
    </w:p>
    <w:p w14:paraId="12AEFA0B">
      <w:pPr>
        <w:widowControl/>
        <w:kinsoku/>
        <w:wordWrap/>
        <w:overflowPunct/>
        <w:topLinePunct w:val="0"/>
        <w:autoSpaceDE/>
        <w:autoSpaceDN/>
        <w:bidi w:val="0"/>
        <w:spacing w:line="500" w:lineRule="exact"/>
        <w:ind w:firstLine="480"/>
        <w:jc w:val="left"/>
        <w:rPr>
          <w:rFonts w:hint="default" w:ascii="方正仿宋_GBK" w:hAnsi="微软雅黑" w:eastAsia="方正仿宋_GBK" w:cs="宋体"/>
          <w:color w:val="auto"/>
          <w:kern w:val="0"/>
          <w:sz w:val="24"/>
          <w:szCs w:val="24"/>
          <w:highlight w:val="none"/>
          <w:lang w:val="en-US" w:eastAsia="zh-CN"/>
        </w:rPr>
      </w:pPr>
      <w:r>
        <w:rPr>
          <w:rFonts w:hint="eastAsia" w:ascii="方正仿宋_GBK" w:hAnsi="微软雅黑" w:eastAsia="方正仿宋_GBK" w:cs="宋体"/>
          <w:color w:val="auto"/>
          <w:kern w:val="0"/>
          <w:sz w:val="24"/>
          <w:szCs w:val="24"/>
          <w:highlight w:val="none"/>
          <w:lang w:val="en-US" w:eastAsia="zh-CN"/>
        </w:rPr>
        <w:t>2.特色餐饮</w:t>
      </w:r>
    </w:p>
    <w:p w14:paraId="186CA2A1">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2.1</w:t>
      </w:r>
      <w:r>
        <w:rPr>
          <w:rFonts w:hint="eastAsia" w:ascii="方正仿宋_GBK" w:hAnsi="微软雅黑" w:eastAsia="方正仿宋_GBK" w:cs="宋体"/>
          <w:color w:val="auto"/>
          <w:kern w:val="0"/>
          <w:sz w:val="24"/>
          <w:szCs w:val="24"/>
          <w:highlight w:val="none"/>
        </w:rPr>
        <w:t>特色品种在同质同量同品种的前提下，价格应低于周边市场价格8折，罗列所有能提供的特色菜品或套餐品类，必须有质、量、价的标准，特色餐报价参照下填写。</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需努力增加饭菜的花色品种，提高饭菜质量，注重科学营养配餐。保证学校正常教学运行期间满足师生就餐需求，且未经批准不得擅自停业。</w:t>
      </w:r>
    </w:p>
    <w:p w14:paraId="3061583B">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2.2</w:t>
      </w:r>
      <w:r>
        <w:rPr>
          <w:rFonts w:hint="eastAsia" w:ascii="方正仿宋_GBK" w:hAnsi="微软雅黑" w:eastAsia="方正仿宋_GBK" w:cs="宋体"/>
          <w:color w:val="auto"/>
          <w:kern w:val="0"/>
          <w:sz w:val="24"/>
          <w:szCs w:val="24"/>
          <w:highlight w:val="none"/>
        </w:rPr>
        <w:t>食堂业态和档口设置须进行前置审核，菜肴品种、菜品价格、成本核算、菜品质量标准和经营管理（含人员管理）等须“一事一议一报批”，由学校考核小组审核，并批准同意后方可实施，实行全过程监督管理。</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不得从事餐饮以外的其它业务（如经营超市等），不得经营超出自身经营条件的餐饮项目（若没有凉菜制作条件，则不得经营凉菜项目）。</w:t>
      </w:r>
    </w:p>
    <w:p w14:paraId="0A6984C1">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3.</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须直接管理和经营食堂，食堂所有窗口须一体化管理，不得分包或转包。不得在食堂内非窗口场所、食堂周边、校园内摆摊设点，不得破坏食堂整体格局、外观和使用功能。</w:t>
      </w:r>
    </w:p>
    <w:p w14:paraId="7AF9FD2D">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4</w:t>
      </w:r>
      <w:r>
        <w:rPr>
          <w:rFonts w:hint="eastAsia" w:ascii="方正仿宋_GBK" w:hAnsi="微软雅黑" w:eastAsia="方正仿宋_GBK" w:cs="宋体"/>
          <w:color w:val="auto"/>
          <w:kern w:val="0"/>
          <w:sz w:val="24"/>
          <w:szCs w:val="24"/>
          <w:highlight w:val="none"/>
        </w:rPr>
        <w:t>.</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须注重食品安全卫生管理，严格执行国家、政府行政主管部门、学校对食品安全生产的法律、法规、规章制度的要求，有健全的食品安全管理制度，有食品安全管理团队，有完备的食品安全事故处置预案。不得在食堂内使用、销售预制菜。</w:t>
      </w:r>
    </w:p>
    <w:p w14:paraId="02B77947">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lang w:eastAsia="zh-CN"/>
        </w:rPr>
      </w:pPr>
      <w:r>
        <w:rPr>
          <w:rFonts w:hint="eastAsia" w:ascii="方正仿宋_GBK" w:hAnsi="微软雅黑" w:eastAsia="方正仿宋_GBK" w:cs="宋体"/>
          <w:color w:val="auto"/>
          <w:kern w:val="0"/>
          <w:sz w:val="24"/>
          <w:szCs w:val="24"/>
          <w:highlight w:val="none"/>
          <w:lang w:val="en-US" w:eastAsia="zh-CN"/>
        </w:rPr>
        <w:t>5</w:t>
      </w:r>
      <w:r>
        <w:rPr>
          <w:rFonts w:hint="eastAsia" w:ascii="方正仿宋_GBK" w:hAnsi="微软雅黑" w:eastAsia="方正仿宋_GBK" w:cs="宋体"/>
          <w:color w:val="auto"/>
          <w:kern w:val="0"/>
          <w:sz w:val="24"/>
          <w:szCs w:val="24"/>
          <w:highlight w:val="none"/>
        </w:rPr>
        <w:t>.</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服从政府相关部门和学校的监督管理和指导，自行承担经营责任和风险。</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须依法用工，工资待遇和社会保险按国家规定执行；</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不得拖欠员工工资和第三方货物等经营款项，自行负责妥善处理各类纠纷（含用工纠纷）和投诉，并自行承担由此造成的一切经济、安全责任和法律责任；</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自行承担员工和经营范围内发生的人身财产安全、食品卫生、消防安全等事故造成的一切经济、行政和法律责任。</w:t>
      </w:r>
      <w:r>
        <w:rPr>
          <w:rFonts w:hint="eastAsia" w:ascii="方正仿宋_GBK" w:hAnsi="微软雅黑" w:eastAsia="方正仿宋_GBK" w:cs="宋体"/>
          <w:color w:val="auto"/>
          <w:kern w:val="0"/>
          <w:sz w:val="24"/>
          <w:szCs w:val="24"/>
          <w:highlight w:val="none"/>
          <w:lang w:eastAsia="zh-CN"/>
        </w:rPr>
        <w:t>学生食堂内不能有住宿的情况存在，成交供应商自行解决员工的住宿问题。</w:t>
      </w:r>
    </w:p>
    <w:p w14:paraId="0D771C6C">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6</w:t>
      </w:r>
      <w:r>
        <w:rPr>
          <w:rFonts w:hint="eastAsia" w:ascii="方正仿宋_GBK" w:hAnsi="微软雅黑" w:eastAsia="方正仿宋_GBK" w:cs="宋体"/>
          <w:color w:val="auto"/>
          <w:kern w:val="0"/>
          <w:sz w:val="24"/>
          <w:szCs w:val="24"/>
          <w:highlight w:val="none"/>
        </w:rPr>
        <w:t>.采购人需要</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寒暑假营业的，</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须无条件服从采购人安排。</w:t>
      </w:r>
    </w:p>
    <w:p w14:paraId="4FF06F59">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bookmarkStart w:id="35" w:name="_Toc22378"/>
      <w:r>
        <w:rPr>
          <w:rFonts w:hint="eastAsia" w:ascii="方正仿宋_GBK" w:hAnsi="微软雅黑" w:eastAsia="方正仿宋_GBK" w:cs="宋体"/>
          <w:color w:val="auto"/>
          <w:kern w:val="0"/>
          <w:sz w:val="24"/>
          <w:szCs w:val="24"/>
          <w:highlight w:val="none"/>
        </w:rPr>
        <w:t>（三）食材采购要求</w:t>
      </w:r>
      <w:bookmarkEnd w:id="35"/>
    </w:p>
    <w:p w14:paraId="184D558A">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rPr>
        <w:t>1.</w:t>
      </w:r>
      <w:r>
        <w:rPr>
          <w:rFonts w:hint="eastAsia" w:ascii="方正仿宋_GBK" w:hAnsi="微软雅黑" w:eastAsia="方正仿宋_GBK" w:cs="宋体"/>
          <w:color w:val="auto"/>
          <w:kern w:val="0"/>
          <w:sz w:val="24"/>
          <w:szCs w:val="24"/>
          <w:highlight w:val="none"/>
          <w:lang w:eastAsia="zh-CN"/>
        </w:rPr>
        <w:t>供应商</w:t>
      </w:r>
      <w:r>
        <w:rPr>
          <w:rFonts w:hint="eastAsia" w:ascii="方正仿宋_GBK" w:hAnsi="微软雅黑" w:eastAsia="方正仿宋_GBK" w:cs="宋体"/>
          <w:color w:val="auto"/>
          <w:kern w:val="0"/>
          <w:sz w:val="24"/>
          <w:szCs w:val="24"/>
          <w:highlight w:val="none"/>
        </w:rPr>
        <w:t>必须使用采购人自营食堂进销存管理系统或</w:t>
      </w:r>
      <w:r>
        <w:rPr>
          <w:rFonts w:hint="eastAsia" w:ascii="方正仿宋_GBK" w:hAnsi="微软雅黑" w:eastAsia="方正仿宋_GBK" w:cs="宋体"/>
          <w:color w:val="auto"/>
          <w:kern w:val="0"/>
          <w:sz w:val="24"/>
          <w:szCs w:val="24"/>
          <w:highlight w:val="none"/>
          <w:lang w:eastAsia="zh-CN"/>
        </w:rPr>
        <w:t>供应商</w:t>
      </w:r>
      <w:r>
        <w:rPr>
          <w:rFonts w:hint="eastAsia" w:ascii="方正仿宋_GBK" w:hAnsi="微软雅黑" w:eastAsia="方正仿宋_GBK" w:cs="宋体"/>
          <w:color w:val="auto"/>
          <w:kern w:val="0"/>
          <w:sz w:val="24"/>
          <w:szCs w:val="24"/>
          <w:highlight w:val="none"/>
        </w:rPr>
        <w:t>进销存管理系统（需向学校开放管理权限），在系统中建立所有食材（主料、辅料、调料）进货、出货台账，学校根据该系统数据对</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进行成本核算。使用学校进销存管理系统的，开通账号所需费用由</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承担。</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须安排专人（详细人员信息包含但不限于姓名、身份证号及联系电话等）负责管理进销存系统，确保每天进货、出货数据及时更新，保证食材种类、数量与系统数据一致。</w:t>
      </w:r>
    </w:p>
    <w:p w14:paraId="401C0363">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lang w:eastAsia="zh-CN"/>
        </w:rPr>
      </w:pPr>
      <w:r>
        <w:rPr>
          <w:rFonts w:hint="eastAsia" w:ascii="方正仿宋_GBK" w:hAnsi="微软雅黑" w:eastAsia="方正仿宋_GBK" w:cs="宋体"/>
          <w:color w:val="auto"/>
          <w:kern w:val="0"/>
          <w:sz w:val="24"/>
          <w:szCs w:val="24"/>
          <w:highlight w:val="none"/>
          <w:lang w:eastAsia="zh-CN"/>
        </w:rPr>
        <w:t>2.成交供应商严把食材采购关，须保证各类食材供应商资质符合学校要求，并将相应证照复印件收集完整，报采购人备案。投标文件中须明确原材料的采购途径和保障原材料质量的措施。</w:t>
      </w:r>
    </w:p>
    <w:p w14:paraId="2D77B581">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3.</w:t>
      </w:r>
      <w:r>
        <w:rPr>
          <w:rFonts w:hint="eastAsia" w:ascii="方正仿宋_GBK" w:hAnsi="微软雅黑" w:eastAsia="方正仿宋_GBK" w:cs="宋体"/>
          <w:color w:val="auto"/>
          <w:kern w:val="0"/>
          <w:sz w:val="24"/>
          <w:szCs w:val="24"/>
          <w:highlight w:val="none"/>
        </w:rPr>
        <w:t>餐饮原材料的采购须严格执行索证验证制度，并建立台帐，保留购买的每批次货物生产厂家的营业执照、卫生许可证等相关证明，应保存二年以上，以备查验。</w:t>
      </w:r>
    </w:p>
    <w:p w14:paraId="1D03B9C1">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rPr>
        <w:t>4.学校随机检查</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的伙食原材料采购情况，包括但不限于供应商合同、发票、支付凭证等文件资料，对自采伙食原料必要时有权委托第三方进行检验检测，并由</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承担检验检测费；检验检测不合格的，</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承担所有有关责任。</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需积极配合学校开展此项工作，不得推诿、拒绝，否则视为违约。</w:t>
      </w:r>
    </w:p>
    <w:p w14:paraId="0A473671">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rPr>
        <w:t>5.</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烹制饭菜所用的原材料、调味品等应符合国家有关规定，严禁使用非食用辅助材料或添加剂加工食品及转基因原材料。</w:t>
      </w:r>
    </w:p>
    <w:p w14:paraId="1BAE2BC4">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lang w:val="en-US" w:eastAsia="zh-CN"/>
        </w:rPr>
      </w:pPr>
      <w:r>
        <w:rPr>
          <w:rFonts w:hint="eastAsia" w:ascii="方正仿宋_GBK" w:hAnsi="微软雅黑" w:eastAsia="方正仿宋_GBK" w:cs="宋体"/>
          <w:color w:val="auto"/>
          <w:kern w:val="0"/>
          <w:sz w:val="24"/>
          <w:szCs w:val="24"/>
          <w:highlight w:val="none"/>
          <w:lang w:val="en-US" w:eastAsia="zh-CN"/>
        </w:rPr>
        <w:t>6.食材采购需要实现月投料达标。</w:t>
      </w:r>
    </w:p>
    <w:p w14:paraId="7A6E3F84">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6.1</w:t>
      </w:r>
      <w:r>
        <w:rPr>
          <w:rFonts w:hint="eastAsia" w:ascii="方正仿宋_GBK" w:hAnsi="微软雅黑" w:eastAsia="方正仿宋_GBK" w:cs="宋体"/>
          <w:color w:val="auto"/>
          <w:kern w:val="0"/>
          <w:sz w:val="24"/>
          <w:szCs w:val="24"/>
          <w:highlight w:val="none"/>
        </w:rPr>
        <w:t>月投料率不得低于50%。</w:t>
      </w:r>
    </w:p>
    <w:p w14:paraId="23A6A047">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6.2</w:t>
      </w:r>
      <w:r>
        <w:rPr>
          <w:rFonts w:hint="eastAsia" w:ascii="方正仿宋_GBK" w:hAnsi="微软雅黑" w:eastAsia="方正仿宋_GBK" w:cs="宋体"/>
          <w:color w:val="auto"/>
          <w:kern w:val="0"/>
          <w:sz w:val="24"/>
          <w:szCs w:val="24"/>
          <w:highlight w:val="none"/>
        </w:rPr>
        <w:t>月投料率=（月主辅料和调料总成本/月营业收入）×100%</w:t>
      </w:r>
    </w:p>
    <w:p w14:paraId="78DD7068">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b/>
          <w:bCs/>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6.3</w:t>
      </w:r>
      <w:r>
        <w:rPr>
          <w:rFonts w:hint="eastAsia" w:ascii="方正仿宋_GBK" w:hAnsi="微软雅黑" w:eastAsia="方正仿宋_GBK" w:cs="宋体"/>
          <w:color w:val="auto"/>
          <w:kern w:val="0"/>
          <w:sz w:val="24"/>
          <w:szCs w:val="24"/>
          <w:highlight w:val="none"/>
        </w:rPr>
        <w:t>采购人按月查验核实</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的投料率情况。若</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投料率低于其响应的投料率，不足部分由采购人从该食堂营业收入中扣除，同时采购人扣罚履约保证金10000元/次。若出现2次月投料率低于其响应的投料率的情形，采购人全额扣罚履约保证金，并有权终止合同。</w:t>
      </w:r>
    </w:p>
    <w:p w14:paraId="3083900C">
      <w:pPr>
        <w:widowControl/>
        <w:numPr>
          <w:ilvl w:val="0"/>
          <w:numId w:val="3"/>
        </w:numPr>
        <w:kinsoku/>
        <w:wordWrap/>
        <w:overflowPunct/>
        <w:topLinePunct w:val="0"/>
        <w:autoSpaceDE/>
        <w:autoSpaceDN/>
        <w:bidi w:val="0"/>
        <w:spacing w:line="500" w:lineRule="exact"/>
        <w:ind w:firstLine="480"/>
        <w:jc w:val="left"/>
        <w:rPr>
          <w:rFonts w:hint="eastAsia" w:ascii="方正仿宋_GBK" w:hAnsi="微软雅黑" w:eastAsia="方正仿宋_GBK" w:cs="宋体"/>
          <w:b/>
          <w:bCs/>
          <w:color w:val="auto"/>
          <w:kern w:val="0"/>
          <w:sz w:val="24"/>
          <w:szCs w:val="24"/>
          <w:highlight w:val="none"/>
          <w:lang w:val="en-US" w:eastAsia="zh-CN"/>
        </w:rPr>
      </w:pPr>
      <w:r>
        <w:rPr>
          <w:rFonts w:hint="eastAsia" w:ascii="方正仿宋_GBK" w:hAnsi="微软雅黑" w:eastAsia="方正仿宋_GBK" w:cs="宋体"/>
          <w:b/>
          <w:bCs/>
          <w:color w:val="auto"/>
          <w:kern w:val="0"/>
          <w:sz w:val="24"/>
          <w:szCs w:val="24"/>
          <w:highlight w:val="none"/>
          <w:lang w:val="en-US" w:eastAsia="zh-CN"/>
        </w:rPr>
        <w:t>环境改善要求</w:t>
      </w:r>
    </w:p>
    <w:p w14:paraId="0552F092">
      <w:pPr>
        <w:kinsoku/>
        <w:wordWrap/>
        <w:overflowPunct/>
        <w:topLinePunct w:val="0"/>
        <w:autoSpaceDE/>
        <w:autoSpaceDN/>
        <w:bidi w:val="0"/>
        <w:spacing w:line="500" w:lineRule="exact"/>
        <w:ind w:firstLine="480" w:firstLineChars="200"/>
        <w:rPr>
          <w:rFonts w:hint="eastAsia" w:ascii="方正仿宋_GBK" w:hAnsi="微软雅黑" w:eastAsia="方正仿宋_GBK" w:cs="宋体"/>
          <w:color w:val="auto"/>
          <w:kern w:val="0"/>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供应商须按“明细报价表”要求</w:t>
      </w:r>
      <w:r>
        <w:rPr>
          <w:rFonts w:hint="eastAsia" w:ascii="仿宋" w:hAnsi="仿宋" w:eastAsia="仿宋" w:cs="仿宋"/>
          <w:color w:val="auto"/>
          <w:sz w:val="24"/>
          <w:szCs w:val="24"/>
          <w:highlight w:val="none"/>
          <w:lang w:eastAsia="zh-CN"/>
        </w:rPr>
        <w:t>填写食堂环境改善费用</w:t>
      </w:r>
      <w:r>
        <w:rPr>
          <w:rFonts w:hint="eastAsia" w:ascii="仿宋" w:hAnsi="仿宋" w:eastAsia="仿宋" w:cs="仿宋"/>
          <w:color w:val="auto"/>
          <w:sz w:val="24"/>
          <w:szCs w:val="24"/>
          <w:highlight w:val="none"/>
        </w:rPr>
        <w:t>进行填报，并在“总价”栏填写各分项报价之和，以此作为</w:t>
      </w:r>
      <w:r>
        <w:rPr>
          <w:rFonts w:hint="eastAsia" w:ascii="仿宋" w:hAnsi="仿宋" w:eastAsia="仿宋" w:cs="仿宋"/>
          <w:color w:val="auto"/>
          <w:sz w:val="24"/>
          <w:szCs w:val="24"/>
          <w:highlight w:val="none"/>
          <w:lang w:eastAsia="zh-CN"/>
        </w:rPr>
        <w:t>环境改善方案的一部分</w:t>
      </w:r>
      <w:r>
        <w:rPr>
          <w:rFonts w:hint="eastAsia" w:ascii="仿宋" w:hAnsi="仿宋" w:eastAsia="仿宋" w:cs="仿宋"/>
          <w:color w:val="auto"/>
          <w:sz w:val="24"/>
          <w:szCs w:val="24"/>
          <w:highlight w:val="none"/>
        </w:rPr>
        <w:t>。报价为包干价，包括完成本项目所需的装修费、设计费、设备费、运输费、检验费、安装费、安全费、保险费、人工费和各种税费等所有费用。因成交供应商自身原因造成漏报、少报皆由其自行承担责任，采购人不再补偿。</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在经营管理场地范围内，按照不少于响应文件承诺金额自主装修改造环境。</w:t>
      </w:r>
    </w:p>
    <w:p w14:paraId="08717AE5">
      <w:pPr>
        <w:widowControl/>
        <w:kinsoku/>
        <w:wordWrap/>
        <w:overflowPunct/>
        <w:topLinePunct w:val="0"/>
        <w:autoSpaceDE/>
        <w:autoSpaceDN/>
        <w:bidi w:val="0"/>
        <w:spacing w:line="500" w:lineRule="exact"/>
        <w:ind w:firstLine="480" w:firstLineChars="20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1.1环境改善必须关注</w:t>
      </w:r>
      <w:r>
        <w:rPr>
          <w:rFonts w:hint="eastAsia" w:ascii="方正仿宋_GBK" w:hAnsi="微软雅黑" w:eastAsia="方正仿宋_GBK" w:cs="宋体"/>
          <w:color w:val="auto"/>
          <w:kern w:val="0"/>
          <w:sz w:val="24"/>
          <w:szCs w:val="24"/>
          <w:highlight w:val="none"/>
        </w:rPr>
        <w:t>电力、燃气、消防、隔油池等</w:t>
      </w:r>
      <w:r>
        <w:rPr>
          <w:rFonts w:hint="eastAsia" w:ascii="方正仿宋_GBK" w:hAnsi="微软雅黑" w:eastAsia="方正仿宋_GBK" w:cs="宋体"/>
          <w:color w:val="auto"/>
          <w:kern w:val="0"/>
          <w:sz w:val="24"/>
          <w:szCs w:val="24"/>
          <w:highlight w:val="none"/>
          <w:lang w:eastAsia="zh-CN"/>
        </w:rPr>
        <w:t>条件的改善</w:t>
      </w:r>
      <w:r>
        <w:rPr>
          <w:rFonts w:hint="eastAsia" w:ascii="方正仿宋_GBK" w:hAnsi="微软雅黑" w:eastAsia="方正仿宋_GBK" w:cs="宋体"/>
          <w:color w:val="auto"/>
          <w:kern w:val="0"/>
          <w:sz w:val="24"/>
          <w:szCs w:val="24"/>
          <w:highlight w:val="none"/>
        </w:rPr>
        <w:t>，</w:t>
      </w:r>
      <w:r>
        <w:rPr>
          <w:rFonts w:hint="eastAsia" w:ascii="方正仿宋_GBK" w:hAnsi="微软雅黑" w:eastAsia="方正仿宋_GBK" w:cs="宋体"/>
          <w:color w:val="auto"/>
          <w:kern w:val="0"/>
          <w:sz w:val="24"/>
          <w:szCs w:val="24"/>
          <w:highlight w:val="none"/>
          <w:lang w:eastAsia="zh-CN"/>
        </w:rPr>
        <w:t>在改善</w:t>
      </w:r>
      <w:r>
        <w:rPr>
          <w:rFonts w:hint="eastAsia" w:ascii="方正仿宋_GBK" w:hAnsi="微软雅黑" w:eastAsia="方正仿宋_GBK" w:cs="宋体"/>
          <w:color w:val="auto"/>
          <w:kern w:val="0"/>
          <w:sz w:val="24"/>
          <w:szCs w:val="24"/>
          <w:highlight w:val="none"/>
        </w:rPr>
        <w:t>过程中，</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应根据建设、环境保护等行政主管部门规定以及</w:t>
      </w:r>
      <w:r>
        <w:rPr>
          <w:rFonts w:hint="eastAsia" w:ascii="方正仿宋_GBK" w:hAnsi="微软雅黑" w:eastAsia="方正仿宋_GBK" w:cs="宋体"/>
          <w:color w:val="auto"/>
          <w:kern w:val="0"/>
          <w:sz w:val="24"/>
          <w:szCs w:val="24"/>
          <w:highlight w:val="none"/>
          <w:lang w:eastAsia="zh-CN"/>
        </w:rPr>
        <w:t>采购人</w:t>
      </w:r>
      <w:r>
        <w:rPr>
          <w:rFonts w:hint="eastAsia" w:ascii="方正仿宋_GBK" w:hAnsi="微软雅黑" w:eastAsia="方正仿宋_GBK" w:cs="宋体"/>
          <w:color w:val="auto"/>
          <w:kern w:val="0"/>
          <w:sz w:val="24"/>
          <w:szCs w:val="24"/>
          <w:highlight w:val="none"/>
        </w:rPr>
        <w:t>要求，采取安全文明施工措施，建设过程中的一切安全生产责任和环境保护责任由</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自行承担，并负责处置各类纠纷并承担全部费用和责任。</w:t>
      </w:r>
    </w:p>
    <w:p w14:paraId="6E9F3A66">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8"/>
          <w:szCs w:val="28"/>
          <w:highlight w:val="none"/>
        </w:rPr>
      </w:pPr>
      <w:r>
        <w:rPr>
          <w:rFonts w:hint="eastAsia" w:ascii="方正仿宋_GBK" w:hAnsi="微软雅黑" w:eastAsia="方正仿宋_GBK" w:cs="宋体"/>
          <w:color w:val="auto"/>
          <w:kern w:val="0"/>
          <w:sz w:val="24"/>
          <w:szCs w:val="24"/>
          <w:highlight w:val="none"/>
          <w:lang w:val="en-US" w:eastAsia="zh-CN"/>
        </w:rPr>
        <w:t>1.2</w:t>
      </w:r>
      <w:r>
        <w:rPr>
          <w:rFonts w:hint="eastAsia" w:ascii="方正仿宋_GBK" w:hAnsi="微软雅黑" w:eastAsia="方正仿宋_GBK" w:cs="宋体"/>
          <w:color w:val="auto"/>
          <w:kern w:val="0"/>
          <w:sz w:val="24"/>
          <w:szCs w:val="24"/>
          <w:highlight w:val="none"/>
          <w:lang w:eastAsia="zh-CN"/>
        </w:rPr>
        <w:t>供应商</w:t>
      </w:r>
      <w:r>
        <w:rPr>
          <w:rFonts w:hint="eastAsia" w:ascii="方正仿宋_GBK" w:hAnsi="微软雅黑" w:eastAsia="方正仿宋_GBK" w:cs="宋体"/>
          <w:color w:val="auto"/>
          <w:kern w:val="0"/>
          <w:sz w:val="24"/>
          <w:szCs w:val="24"/>
          <w:highlight w:val="none"/>
        </w:rPr>
        <w:t>需根据各分包食堂的平面设计图和现场探勘了解情况，设计装修改造设计方案，制作效果图参与评审。</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的设计方案和效果图还需经</w:t>
      </w:r>
      <w:r>
        <w:rPr>
          <w:rFonts w:hint="eastAsia" w:ascii="方正仿宋_GBK" w:hAnsi="微软雅黑" w:eastAsia="方正仿宋_GBK" w:cs="宋体"/>
          <w:color w:val="auto"/>
          <w:kern w:val="0"/>
          <w:sz w:val="24"/>
          <w:szCs w:val="24"/>
          <w:highlight w:val="none"/>
          <w:lang w:eastAsia="zh-CN"/>
        </w:rPr>
        <w:t>采购人</w:t>
      </w:r>
      <w:r>
        <w:rPr>
          <w:rFonts w:hint="eastAsia" w:ascii="方正仿宋_GBK" w:hAnsi="微软雅黑" w:eastAsia="方正仿宋_GBK" w:cs="宋体"/>
          <w:color w:val="auto"/>
          <w:kern w:val="0"/>
          <w:sz w:val="24"/>
          <w:szCs w:val="24"/>
          <w:highlight w:val="none"/>
        </w:rPr>
        <w:t>审核同意后，由</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交由有资质的设计单位进行施工图设计。设计图纸不得随意更改，施工图设计单位的营业执照和设计资质交</w:t>
      </w:r>
      <w:r>
        <w:rPr>
          <w:rFonts w:hint="eastAsia" w:ascii="方正仿宋_GBK" w:hAnsi="微软雅黑" w:eastAsia="方正仿宋_GBK" w:cs="宋体"/>
          <w:color w:val="auto"/>
          <w:kern w:val="0"/>
          <w:sz w:val="24"/>
          <w:szCs w:val="24"/>
          <w:highlight w:val="none"/>
          <w:lang w:eastAsia="zh-CN"/>
        </w:rPr>
        <w:t>采购人</w:t>
      </w:r>
      <w:r>
        <w:rPr>
          <w:rFonts w:hint="eastAsia" w:ascii="方正仿宋_GBK" w:hAnsi="微软雅黑" w:eastAsia="方正仿宋_GBK" w:cs="宋体"/>
          <w:color w:val="auto"/>
          <w:kern w:val="0"/>
          <w:sz w:val="24"/>
          <w:szCs w:val="24"/>
          <w:highlight w:val="none"/>
        </w:rPr>
        <w:t>备案。装修改造设计方案和施工图按上级主管部门要求备案。改造方案必须符合食品卫生和建筑、消防、环保安全要求。装修改造施工单位应具有相应资质并交</w:t>
      </w:r>
      <w:r>
        <w:rPr>
          <w:rFonts w:hint="eastAsia" w:ascii="方正仿宋_GBK" w:hAnsi="微软雅黑" w:eastAsia="方正仿宋_GBK" w:cs="宋体"/>
          <w:color w:val="auto"/>
          <w:kern w:val="0"/>
          <w:sz w:val="24"/>
          <w:szCs w:val="24"/>
          <w:highlight w:val="none"/>
          <w:lang w:eastAsia="zh-CN"/>
        </w:rPr>
        <w:t>采购人</w:t>
      </w:r>
      <w:r>
        <w:rPr>
          <w:rFonts w:hint="eastAsia" w:ascii="方正仿宋_GBK" w:hAnsi="微软雅黑" w:eastAsia="方正仿宋_GBK" w:cs="宋体"/>
          <w:color w:val="auto"/>
          <w:kern w:val="0"/>
          <w:sz w:val="24"/>
          <w:szCs w:val="24"/>
          <w:highlight w:val="none"/>
        </w:rPr>
        <w:t>备案存档。施工图需经第三方图审机构审核合格，并提供报告书。</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需在响应文件中承诺装修改造（含装修费和设施设备费）投入费用额度并保证全额用于该项目装修改造，并在装修完成后提供第三方机构的审计报告。</w:t>
      </w:r>
    </w:p>
    <w:p w14:paraId="0E233690">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8"/>
          <w:szCs w:val="28"/>
          <w:highlight w:val="none"/>
        </w:rPr>
      </w:pPr>
      <w:r>
        <w:rPr>
          <w:rFonts w:hint="eastAsia" w:ascii="方正仿宋_GBK" w:hAnsi="微软雅黑" w:eastAsia="方正仿宋_GBK" w:cs="宋体"/>
          <w:color w:val="auto"/>
          <w:kern w:val="0"/>
          <w:sz w:val="24"/>
          <w:szCs w:val="24"/>
          <w:highlight w:val="none"/>
          <w:lang w:val="en-US" w:eastAsia="zh-CN"/>
        </w:rPr>
        <w:t>1.3</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按照不低于重庆市高校标准化食堂建设标准装修，在经营管理场地范围内合理布局主副食库房、冷藏库、冷冻库、粗加工间、精加工间、操作间、洗碗间、留样间等。食堂内部功能布局合理，装修改造须保证建筑结构安全，同时符合食品安全、消防安全、燃气安全、环保排放、油污深度治理、空气检测相关标准并通过验收。</w:t>
      </w:r>
    </w:p>
    <w:p w14:paraId="45B0B23A">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1.4</w:t>
      </w:r>
      <w:r>
        <w:rPr>
          <w:rFonts w:hint="eastAsia" w:ascii="方正仿宋_GBK" w:hAnsi="微软雅黑" w:eastAsia="方正仿宋_GBK" w:cs="宋体"/>
          <w:color w:val="auto"/>
          <w:kern w:val="0"/>
          <w:sz w:val="24"/>
          <w:szCs w:val="24"/>
          <w:highlight w:val="none"/>
        </w:rPr>
        <w:t>视频监控要符合就餐区、加工、售卖、库房、通道及出入口交叉全覆盖全方位要求，预留拓展接口（在保持原有视频接入点的情况下作适当增加），视频监控应对角拍摄，摄像头分辨率不低于1920*1080，储存空间不少于90天。视频监控系统设置在本食堂办公区域内，监控显示屏幕尺寸不低于55英寸，提供安装点位设计图。须安装覆盖就餐区70%以上的电视广播系统，可按</w:t>
      </w:r>
      <w:r>
        <w:rPr>
          <w:rFonts w:hint="eastAsia" w:ascii="方正仿宋_GBK" w:hAnsi="微软雅黑" w:eastAsia="方正仿宋_GBK" w:cs="宋体"/>
          <w:color w:val="auto"/>
          <w:kern w:val="0"/>
          <w:sz w:val="24"/>
          <w:szCs w:val="24"/>
          <w:highlight w:val="none"/>
          <w:lang w:eastAsia="zh-CN"/>
        </w:rPr>
        <w:t>采购人</w:t>
      </w:r>
      <w:r>
        <w:rPr>
          <w:rFonts w:hint="eastAsia" w:ascii="方正仿宋_GBK" w:hAnsi="微软雅黑" w:eastAsia="方正仿宋_GBK" w:cs="宋体"/>
          <w:color w:val="auto"/>
          <w:kern w:val="0"/>
          <w:sz w:val="24"/>
          <w:szCs w:val="24"/>
          <w:highlight w:val="none"/>
        </w:rPr>
        <w:t>要求随时调整播放内容。</w:t>
      </w:r>
    </w:p>
    <w:p w14:paraId="6CA9E934">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1.5</w:t>
      </w:r>
      <w:r>
        <w:rPr>
          <w:rFonts w:hint="eastAsia" w:ascii="方正仿宋_GBK" w:hAnsi="微软雅黑" w:eastAsia="方正仿宋_GBK" w:cs="宋体"/>
          <w:color w:val="auto"/>
          <w:kern w:val="0"/>
          <w:sz w:val="24"/>
          <w:szCs w:val="24"/>
          <w:highlight w:val="none"/>
        </w:rPr>
        <w:t>设施设备投入包括且不仅限于：</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自行购置并安装全自动消毒一体洗碗机、厨具和餐具、桌椅、电视机安装、高温及低温消毒柜、视频监控、空调、抽油烟新风系统等；师生在</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食堂的所有消费必须通过学校一卡通设备，一卡通营业收入通过学校财务处按月结算，一卡通设备的采购及维护费用由</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承担。</w:t>
      </w:r>
    </w:p>
    <w:p w14:paraId="4A437491">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rPr>
      </w:pPr>
      <w:r>
        <w:rPr>
          <w:rFonts w:hint="eastAsia" w:ascii="方正仿宋_GBK" w:hAnsi="微软雅黑" w:eastAsia="方正仿宋_GBK" w:cs="宋体"/>
          <w:color w:val="auto"/>
          <w:kern w:val="0"/>
          <w:sz w:val="24"/>
          <w:szCs w:val="24"/>
          <w:highlight w:val="none"/>
          <w:lang w:val="en-US" w:eastAsia="zh-CN"/>
        </w:rPr>
        <w:t>1.6</w:t>
      </w:r>
      <w:r>
        <w:rPr>
          <w:rFonts w:hint="eastAsia" w:ascii="方正仿宋_GBK" w:hAnsi="微软雅黑" w:eastAsia="方正仿宋_GBK" w:cs="宋体"/>
          <w:color w:val="auto"/>
          <w:kern w:val="0"/>
          <w:sz w:val="24"/>
          <w:szCs w:val="24"/>
          <w:highlight w:val="none"/>
        </w:rPr>
        <w:t>消防、天然气改造：按规定安装消防排烟、管道、喷淋、报警系统；按规定安装天然气报警装置等。</w:t>
      </w:r>
      <w:r>
        <w:rPr>
          <w:rFonts w:hint="eastAsia" w:ascii="方正仿宋_GBK" w:hAnsi="微软雅黑" w:eastAsia="方正仿宋_GBK" w:cs="宋体"/>
          <w:color w:val="auto"/>
          <w:kern w:val="0"/>
          <w:sz w:val="24"/>
          <w:szCs w:val="24"/>
          <w:highlight w:val="none"/>
          <w:lang w:eastAsia="zh-CN"/>
        </w:rPr>
        <w:t>采购人</w:t>
      </w:r>
      <w:r>
        <w:rPr>
          <w:rFonts w:hint="eastAsia" w:ascii="方正仿宋_GBK" w:hAnsi="微软雅黑" w:eastAsia="方正仿宋_GBK" w:cs="宋体"/>
          <w:color w:val="auto"/>
          <w:kern w:val="0"/>
          <w:sz w:val="24"/>
          <w:szCs w:val="24"/>
          <w:highlight w:val="none"/>
        </w:rPr>
        <w:t>指定天然气接口位置，</w:t>
      </w:r>
      <w:r>
        <w:rPr>
          <w:rFonts w:hint="eastAsia" w:ascii="方正仿宋_GBK" w:hAnsi="微软雅黑" w:eastAsia="方正仿宋_GBK" w:cs="宋体"/>
          <w:color w:val="auto"/>
          <w:kern w:val="0"/>
          <w:sz w:val="24"/>
          <w:szCs w:val="24"/>
          <w:highlight w:val="none"/>
          <w:lang w:eastAsia="zh-CN"/>
        </w:rPr>
        <w:t>成交供应商</w:t>
      </w:r>
      <w:r>
        <w:rPr>
          <w:rFonts w:hint="eastAsia" w:ascii="方正仿宋_GBK" w:hAnsi="微软雅黑" w:eastAsia="方正仿宋_GBK" w:cs="宋体"/>
          <w:color w:val="auto"/>
          <w:kern w:val="0"/>
          <w:sz w:val="24"/>
          <w:szCs w:val="24"/>
          <w:highlight w:val="none"/>
        </w:rPr>
        <w:t>根据需要并按天然气公司要求完成经营所需的安装、改造，并承担相关费用，并完善所有相关手续及报备。</w:t>
      </w:r>
    </w:p>
    <w:p w14:paraId="72CB6EA8">
      <w:pPr>
        <w:widowControl/>
        <w:kinsoku/>
        <w:wordWrap/>
        <w:overflowPunct/>
        <w:topLinePunct w:val="0"/>
        <w:autoSpaceDE/>
        <w:autoSpaceDN/>
        <w:bidi w:val="0"/>
        <w:spacing w:line="500" w:lineRule="exact"/>
        <w:ind w:firstLine="480"/>
        <w:jc w:val="left"/>
        <w:rPr>
          <w:rFonts w:hint="default" w:ascii="方正仿宋_GBK" w:hAnsi="微软雅黑" w:eastAsia="方正仿宋_GBK" w:cs="宋体"/>
          <w:color w:val="auto"/>
          <w:kern w:val="0"/>
          <w:sz w:val="24"/>
          <w:szCs w:val="24"/>
          <w:highlight w:val="none"/>
          <w:lang w:val="en-US" w:eastAsia="zh-CN"/>
        </w:rPr>
      </w:pPr>
      <w:r>
        <w:rPr>
          <w:rFonts w:hint="eastAsia" w:ascii="方正仿宋_GBK" w:hAnsi="微软雅黑" w:eastAsia="方正仿宋_GBK" w:cs="宋体"/>
          <w:color w:val="auto"/>
          <w:kern w:val="0"/>
          <w:sz w:val="24"/>
          <w:szCs w:val="24"/>
          <w:highlight w:val="none"/>
          <w:lang w:val="en-US" w:eastAsia="zh-CN"/>
        </w:rPr>
        <w:t>1.7</w:t>
      </w:r>
      <w:r>
        <w:rPr>
          <w:rFonts w:hint="default" w:ascii="方正仿宋_GBK" w:hAnsi="微软雅黑" w:eastAsia="方正仿宋_GBK" w:cs="宋体"/>
          <w:color w:val="auto"/>
          <w:kern w:val="0"/>
          <w:sz w:val="24"/>
          <w:szCs w:val="24"/>
          <w:highlight w:val="none"/>
          <w:lang w:val="en-US" w:eastAsia="zh-CN"/>
        </w:rPr>
        <w:t>水电气改造：由</w:t>
      </w:r>
      <w:r>
        <w:rPr>
          <w:rFonts w:hint="eastAsia" w:ascii="方正仿宋_GBK" w:hAnsi="微软雅黑" w:eastAsia="方正仿宋_GBK" w:cs="宋体"/>
          <w:color w:val="auto"/>
          <w:kern w:val="0"/>
          <w:sz w:val="24"/>
          <w:szCs w:val="24"/>
          <w:highlight w:val="none"/>
          <w:lang w:val="en-US" w:eastAsia="zh-CN"/>
        </w:rPr>
        <w:t>采购人</w:t>
      </w:r>
      <w:r>
        <w:rPr>
          <w:rFonts w:hint="default" w:ascii="方正仿宋_GBK" w:hAnsi="微软雅黑" w:eastAsia="方正仿宋_GBK" w:cs="宋体"/>
          <w:color w:val="auto"/>
          <w:kern w:val="0"/>
          <w:sz w:val="24"/>
          <w:szCs w:val="24"/>
          <w:highlight w:val="none"/>
          <w:lang w:val="en-US" w:eastAsia="zh-CN"/>
        </w:rPr>
        <w:t>指定接口，</w:t>
      </w:r>
      <w:r>
        <w:rPr>
          <w:rFonts w:hint="eastAsia" w:ascii="方正仿宋_GBK" w:hAnsi="微软雅黑" w:eastAsia="方正仿宋_GBK" w:cs="宋体"/>
          <w:color w:val="auto"/>
          <w:kern w:val="0"/>
          <w:sz w:val="24"/>
          <w:szCs w:val="24"/>
          <w:highlight w:val="none"/>
          <w:lang w:val="en-US" w:eastAsia="zh-CN"/>
        </w:rPr>
        <w:t>成交供应商</w:t>
      </w:r>
      <w:r>
        <w:rPr>
          <w:rFonts w:hint="default" w:ascii="方正仿宋_GBK" w:hAnsi="微软雅黑" w:eastAsia="方正仿宋_GBK" w:cs="宋体"/>
          <w:color w:val="auto"/>
          <w:kern w:val="0"/>
          <w:sz w:val="24"/>
          <w:szCs w:val="24"/>
          <w:highlight w:val="none"/>
          <w:lang w:val="en-US" w:eastAsia="zh-CN"/>
        </w:rPr>
        <w:t>自行安装，全部水、电、气管线需含在装修改造设计图（强电、弱电、给排水）中，食堂内部所有设备使用功率超过现有用量的，由</w:t>
      </w:r>
      <w:r>
        <w:rPr>
          <w:rFonts w:hint="eastAsia" w:ascii="方正仿宋_GBK" w:hAnsi="微软雅黑" w:eastAsia="方正仿宋_GBK" w:cs="宋体"/>
          <w:color w:val="auto"/>
          <w:kern w:val="0"/>
          <w:sz w:val="24"/>
          <w:szCs w:val="24"/>
          <w:highlight w:val="none"/>
          <w:lang w:val="en-US" w:eastAsia="zh-CN"/>
        </w:rPr>
        <w:t>成交供应商</w:t>
      </w:r>
      <w:r>
        <w:rPr>
          <w:rFonts w:hint="default" w:ascii="方正仿宋_GBK" w:hAnsi="微软雅黑" w:eastAsia="方正仿宋_GBK" w:cs="宋体"/>
          <w:color w:val="auto"/>
          <w:kern w:val="0"/>
          <w:sz w:val="24"/>
          <w:szCs w:val="24"/>
          <w:highlight w:val="none"/>
          <w:lang w:val="en-US" w:eastAsia="zh-CN"/>
        </w:rPr>
        <w:t>按</w:t>
      </w:r>
      <w:r>
        <w:rPr>
          <w:rFonts w:hint="eastAsia" w:ascii="方正仿宋_GBK" w:hAnsi="微软雅黑" w:eastAsia="方正仿宋_GBK" w:cs="宋体"/>
          <w:color w:val="auto"/>
          <w:kern w:val="0"/>
          <w:sz w:val="24"/>
          <w:szCs w:val="24"/>
          <w:highlight w:val="none"/>
          <w:lang w:val="en-US" w:eastAsia="zh-CN"/>
        </w:rPr>
        <w:t>采购人</w:t>
      </w:r>
      <w:r>
        <w:rPr>
          <w:rFonts w:hint="default" w:ascii="方正仿宋_GBK" w:hAnsi="微软雅黑" w:eastAsia="方正仿宋_GBK" w:cs="宋体"/>
          <w:color w:val="auto"/>
          <w:kern w:val="0"/>
          <w:sz w:val="24"/>
          <w:szCs w:val="24"/>
          <w:highlight w:val="none"/>
          <w:lang w:val="en-US" w:eastAsia="zh-CN"/>
        </w:rPr>
        <w:t>和电力公司要求完成经营所需的电力增容的安装改造，并承担相关费用，完善所有相关手续及报备。</w:t>
      </w:r>
      <w:r>
        <w:rPr>
          <w:rFonts w:hint="eastAsia" w:ascii="方正仿宋_GBK" w:hAnsi="微软雅黑" w:eastAsia="方正仿宋_GBK" w:cs="宋体"/>
          <w:color w:val="auto"/>
          <w:kern w:val="0"/>
          <w:sz w:val="24"/>
          <w:szCs w:val="24"/>
          <w:highlight w:val="none"/>
          <w:lang w:val="en-US" w:eastAsia="zh-CN"/>
        </w:rPr>
        <w:t>成交供应商</w:t>
      </w:r>
      <w:r>
        <w:rPr>
          <w:rFonts w:hint="default" w:ascii="方正仿宋_GBK" w:hAnsi="微软雅黑" w:eastAsia="方正仿宋_GBK" w:cs="宋体"/>
          <w:color w:val="auto"/>
          <w:kern w:val="0"/>
          <w:sz w:val="24"/>
          <w:szCs w:val="24"/>
          <w:highlight w:val="none"/>
          <w:lang w:val="en-US" w:eastAsia="zh-CN"/>
        </w:rPr>
        <w:t>承担该食堂水电气等设施设备维护保养费用。</w:t>
      </w:r>
    </w:p>
    <w:p w14:paraId="518BFF26">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color w:val="auto"/>
          <w:kern w:val="0"/>
          <w:sz w:val="24"/>
          <w:szCs w:val="24"/>
          <w:highlight w:val="none"/>
          <w:lang w:val="en-US" w:eastAsia="zh-CN"/>
        </w:rPr>
      </w:pPr>
      <w:r>
        <w:rPr>
          <w:rFonts w:hint="eastAsia" w:ascii="方正仿宋_GBK" w:hAnsi="微软雅黑" w:eastAsia="方正仿宋_GBK" w:cs="宋体"/>
          <w:color w:val="auto"/>
          <w:kern w:val="0"/>
          <w:sz w:val="24"/>
          <w:szCs w:val="24"/>
          <w:highlight w:val="none"/>
          <w:lang w:val="en-US" w:eastAsia="zh-CN"/>
        </w:rPr>
        <w:t>1.8成交供应商严格按照国家相关规范进行防水处理，装修后必须保证楼层防水处理达到要求。包1负责楼顶防水处理。</w:t>
      </w:r>
    </w:p>
    <w:p w14:paraId="65FA3FCB">
      <w:pPr>
        <w:widowControl/>
        <w:kinsoku/>
        <w:wordWrap/>
        <w:overflowPunct/>
        <w:topLinePunct w:val="0"/>
        <w:autoSpaceDE/>
        <w:autoSpaceDN/>
        <w:bidi w:val="0"/>
        <w:spacing w:line="500" w:lineRule="exact"/>
        <w:ind w:firstLine="480"/>
        <w:jc w:val="left"/>
        <w:rPr>
          <w:rFonts w:hint="default" w:ascii="方正仿宋_GBK" w:hAnsi="微软雅黑" w:eastAsia="方正仿宋_GBK" w:cs="宋体"/>
          <w:color w:val="auto"/>
          <w:kern w:val="0"/>
          <w:sz w:val="24"/>
          <w:szCs w:val="24"/>
          <w:highlight w:val="none"/>
          <w:lang w:val="en-US" w:eastAsia="zh-CN"/>
        </w:rPr>
      </w:pPr>
      <w:r>
        <w:rPr>
          <w:rFonts w:hint="eastAsia" w:ascii="方正仿宋_GBK" w:hAnsi="微软雅黑" w:eastAsia="方正仿宋_GBK" w:cs="宋体"/>
          <w:color w:val="auto"/>
          <w:kern w:val="0"/>
          <w:sz w:val="24"/>
          <w:szCs w:val="24"/>
          <w:highlight w:val="none"/>
          <w:lang w:val="en-US" w:eastAsia="zh-CN"/>
        </w:rPr>
        <w:t>1.9成交供应商经营的食堂需体现结算、订餐、洗消、菜品菜价管理、师生投诉建议管理、食安管理和食堂巡检等全场景智能化。其中食安管理需包含但不限于信息公示、智能晨检、智能留样、AI着装抓拍、鼠患抓拍、油锅离岗抓拍和溯源管理等。同时，根据主管部门要求和采购人管理需要接入食品安全监管、原材料进销存、网络订餐等相应数字化平台，所需费用由成交供应商承担。成交供应商使用自有的进销存管理系统需接入采购人相应数字化平台，所需费用由成交供应商承担。</w:t>
      </w:r>
    </w:p>
    <w:p w14:paraId="232AB688">
      <w:pPr>
        <w:widowControl/>
        <w:kinsoku/>
        <w:wordWrap/>
        <w:overflowPunct/>
        <w:topLinePunct w:val="0"/>
        <w:autoSpaceDE/>
        <w:autoSpaceDN/>
        <w:bidi w:val="0"/>
        <w:spacing w:line="500" w:lineRule="exact"/>
        <w:ind w:firstLine="480"/>
        <w:jc w:val="left"/>
        <w:rPr>
          <w:rFonts w:hint="eastAsia" w:ascii="方正仿宋_GBK" w:hAnsi="微软雅黑" w:eastAsia="方正仿宋_GBK" w:cs="宋体"/>
          <w:b/>
          <w:bCs/>
          <w:color w:val="auto"/>
          <w:kern w:val="0"/>
          <w:sz w:val="24"/>
          <w:szCs w:val="24"/>
          <w:highlight w:val="none"/>
          <w:lang w:val="en-US" w:eastAsia="zh-CN"/>
        </w:rPr>
      </w:pPr>
      <w:r>
        <w:rPr>
          <w:rFonts w:hint="eastAsia" w:ascii="方正仿宋_GBK" w:hAnsi="微软雅黑" w:eastAsia="方正仿宋_GBK" w:cs="宋体"/>
          <w:b/>
          <w:bCs/>
          <w:color w:val="auto"/>
          <w:kern w:val="0"/>
          <w:sz w:val="24"/>
          <w:szCs w:val="24"/>
          <w:highlight w:val="none"/>
          <w:lang w:val="en-US" w:eastAsia="zh-CN"/>
        </w:rPr>
        <w:t>2.智慧生态环保食堂建设</w:t>
      </w:r>
    </w:p>
    <w:p w14:paraId="7FAC747B">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r>
        <w:rPr>
          <w:rFonts w:hint="default" w:ascii="方正仿宋_GBK" w:hAnsi="微软雅黑" w:eastAsia="方正仿宋_GBK" w:cs="宋体"/>
          <w:color w:val="auto"/>
          <w:kern w:val="0"/>
          <w:sz w:val="24"/>
          <w:szCs w:val="24"/>
          <w:highlight w:val="none"/>
          <w:lang w:val="en-US" w:eastAsia="zh-CN"/>
        </w:rPr>
        <w:t>环境改善计划方案中，必须包含食堂的智慧生态环保食堂建设方案，智慧食堂必须实行以下功能：</w:t>
      </w:r>
    </w:p>
    <w:p w14:paraId="047FD5B4">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r>
        <w:rPr>
          <w:rFonts w:hint="default" w:ascii="方正仿宋_GBK" w:hAnsi="微软雅黑" w:eastAsia="方正仿宋_GBK" w:cs="宋体"/>
          <w:color w:val="auto"/>
          <w:kern w:val="0"/>
          <w:sz w:val="24"/>
          <w:szCs w:val="24"/>
          <w:highlight w:val="none"/>
          <w:lang w:val="en-US" w:eastAsia="zh-CN"/>
        </w:rPr>
        <w:t>2.2.1前台智能结算。前台结算具有智能化销售数据采集系统功能，能实时采集销售数量及销售金额、销售时间段等相关信息，支持人通过人脸识别、饭卡等就餐人员可以快速结账，享受便捷的就餐体验支付方式，同时可以进行汇总查询。</w:t>
      </w:r>
    </w:p>
    <w:p w14:paraId="3DBD7B44">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r>
        <w:rPr>
          <w:rFonts w:hint="default" w:ascii="方正仿宋_GBK" w:hAnsi="微软雅黑" w:eastAsia="方正仿宋_GBK" w:cs="宋体"/>
          <w:color w:val="auto"/>
          <w:kern w:val="0"/>
          <w:sz w:val="24"/>
          <w:szCs w:val="24"/>
          <w:highlight w:val="none"/>
          <w:lang w:val="en-US" w:eastAsia="zh-CN"/>
        </w:rPr>
        <w:t>2.2.1中台后厨加工智能</w:t>
      </w:r>
    </w:p>
    <w:p w14:paraId="266459A4">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r>
        <w:rPr>
          <w:rFonts w:hint="default" w:ascii="方正仿宋_GBK" w:hAnsi="微软雅黑" w:eastAsia="方正仿宋_GBK" w:cs="宋体"/>
          <w:color w:val="auto"/>
          <w:kern w:val="0"/>
          <w:sz w:val="24"/>
          <w:szCs w:val="24"/>
          <w:highlight w:val="none"/>
          <w:lang w:val="en-US" w:eastAsia="zh-CN"/>
        </w:rPr>
        <w:t>2.2.1.1</w:t>
      </w:r>
      <w:r>
        <w:rPr>
          <w:rFonts w:hint="eastAsia" w:ascii="方正仿宋_GBK" w:hAnsi="微软雅黑" w:eastAsia="方正仿宋_GBK" w:cs="宋体"/>
          <w:color w:val="auto"/>
          <w:kern w:val="0"/>
          <w:sz w:val="24"/>
          <w:szCs w:val="24"/>
          <w:highlight w:val="none"/>
          <w:lang w:val="en-US" w:eastAsia="zh-CN"/>
        </w:rPr>
        <w:t>供应商</w:t>
      </w:r>
      <w:r>
        <w:rPr>
          <w:rFonts w:hint="default" w:ascii="方正仿宋_GBK" w:hAnsi="微软雅黑" w:eastAsia="方正仿宋_GBK" w:cs="宋体"/>
          <w:color w:val="auto"/>
          <w:kern w:val="0"/>
          <w:sz w:val="24"/>
          <w:szCs w:val="24"/>
          <w:highlight w:val="none"/>
          <w:lang w:val="en-US" w:eastAsia="zh-CN"/>
        </w:rPr>
        <w:t>需按照市场监管部门要求建设完善提供“互联网+明厨亮灶+AI 自能识别系统”。后厨加工间入口需建设门禁系统功能，可进行工作人员智能化人脸识别、身份识别。从业人员管理（含基础信息管理、健康证有效期进行预警等功能）。主要功能应包含但不限于以下内容：人脸身份识别、从业人员准入、测温等功能，支持活体检测。</w:t>
      </w:r>
    </w:p>
    <w:p w14:paraId="12C97AAF">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r>
        <w:rPr>
          <w:rFonts w:hint="default" w:ascii="方正仿宋_GBK" w:hAnsi="微软雅黑" w:eastAsia="方正仿宋_GBK" w:cs="宋体"/>
          <w:color w:val="auto"/>
          <w:kern w:val="0"/>
          <w:sz w:val="24"/>
          <w:szCs w:val="24"/>
          <w:highlight w:val="none"/>
          <w:lang w:val="en-US" w:eastAsia="zh-CN"/>
        </w:rPr>
        <w:t>2.2.1.2具有后厨加工间生物智能监控功能，实时监控工作人员穿戴违规，不戴口罩、帽子、不穿工作服、日常工作习惯、实时健康检测，有害生物抓拍及告警处置。主要功能应包含但不限于以下内容：老鼠监测，不规范佩戴口罩、帽子识别，后厨违规抽烟识别、明火离岗检测、烟火识别、夜间人员闯入、非法闯入等智能抓拍。</w:t>
      </w:r>
    </w:p>
    <w:p w14:paraId="3ECB1688">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r>
        <w:rPr>
          <w:rFonts w:hint="default" w:ascii="方正仿宋_GBK" w:hAnsi="微软雅黑" w:eastAsia="方正仿宋_GBK" w:cs="宋体"/>
          <w:color w:val="auto"/>
          <w:kern w:val="0"/>
          <w:sz w:val="24"/>
          <w:szCs w:val="24"/>
          <w:highlight w:val="none"/>
          <w:lang w:val="en-US" w:eastAsia="zh-CN"/>
        </w:rPr>
        <w:t>2.2.1.3具有食品原材料及物资管理功能，实现各类物资特征或包装视觉识别，并自动及编辑采集物品名称、重量、规格等进出货信息（含保质期过期提醒、原材料进出商家记录等功能），生成实时可查询的电子库管台帐，识别准确率达到90%以上。</w:t>
      </w:r>
    </w:p>
    <w:p w14:paraId="1B8DF634">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r>
        <w:rPr>
          <w:rFonts w:hint="default" w:ascii="方正仿宋_GBK" w:hAnsi="微软雅黑" w:eastAsia="方正仿宋_GBK" w:cs="宋体"/>
          <w:color w:val="auto"/>
          <w:kern w:val="0"/>
          <w:sz w:val="24"/>
          <w:szCs w:val="24"/>
          <w:highlight w:val="none"/>
          <w:lang w:val="en-US" w:eastAsia="zh-CN"/>
        </w:rPr>
        <w:t xml:space="preserve">2.2.1.4具有智能化能耗管理功能，对水、电、气等终端设施使用节水节能产品或改造，分类、分点位数据进行采集，建立分析管理后台，实现能耗管理数字化。食堂加工区设备具备智能化，燃气、消防、油烟污染净化等相关系统具备预（报）警及联动处置功能，应支持可查询信息功能。 </w:t>
      </w:r>
    </w:p>
    <w:p w14:paraId="1411874D">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r>
        <w:rPr>
          <w:rFonts w:hint="default" w:ascii="方正仿宋_GBK" w:hAnsi="微软雅黑" w:eastAsia="方正仿宋_GBK" w:cs="宋体"/>
          <w:color w:val="auto"/>
          <w:kern w:val="0"/>
          <w:sz w:val="24"/>
          <w:szCs w:val="24"/>
          <w:highlight w:val="none"/>
          <w:lang w:val="en-US" w:eastAsia="zh-CN"/>
        </w:rPr>
        <w:t>2.3.其他要求</w:t>
      </w:r>
    </w:p>
    <w:p w14:paraId="47EAC8F1">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r>
        <w:rPr>
          <w:rFonts w:hint="eastAsia" w:ascii="方正仿宋_GBK" w:hAnsi="微软雅黑" w:eastAsia="方正仿宋_GBK" w:cs="宋体"/>
          <w:color w:val="auto"/>
          <w:kern w:val="0"/>
          <w:sz w:val="24"/>
          <w:szCs w:val="24"/>
          <w:highlight w:val="none"/>
          <w:lang w:val="en-US" w:eastAsia="zh-CN"/>
        </w:rPr>
        <w:t>2.3.1</w:t>
      </w:r>
      <w:r>
        <w:rPr>
          <w:rFonts w:hint="default" w:ascii="方正仿宋_GBK" w:hAnsi="微软雅黑" w:eastAsia="方正仿宋_GBK" w:cs="宋体"/>
          <w:color w:val="auto"/>
          <w:kern w:val="0"/>
          <w:sz w:val="24"/>
          <w:szCs w:val="24"/>
          <w:highlight w:val="none"/>
          <w:lang w:val="en-US" w:eastAsia="zh-CN"/>
        </w:rPr>
        <w:t>中选人所投</w:t>
      </w:r>
      <w:r>
        <w:rPr>
          <w:rFonts w:hint="eastAsia" w:ascii="方正仿宋_GBK" w:hAnsi="微软雅黑" w:eastAsia="方正仿宋_GBK" w:cs="宋体"/>
          <w:color w:val="auto"/>
          <w:kern w:val="0"/>
          <w:sz w:val="24"/>
          <w:szCs w:val="24"/>
          <w:highlight w:val="none"/>
          <w:lang w:val="en-US" w:eastAsia="zh-CN"/>
        </w:rPr>
        <w:t>环境改善</w:t>
      </w:r>
      <w:r>
        <w:rPr>
          <w:rFonts w:hint="default" w:ascii="方正仿宋_GBK" w:hAnsi="微软雅黑" w:eastAsia="方正仿宋_GBK" w:cs="宋体"/>
          <w:color w:val="auto"/>
          <w:kern w:val="0"/>
          <w:sz w:val="24"/>
          <w:szCs w:val="24"/>
          <w:highlight w:val="none"/>
          <w:lang w:val="en-US" w:eastAsia="zh-CN"/>
        </w:rPr>
        <w:t>费用，暂由学校财务处代管。经审计后，装修不足经费由中选人补足。多余经费继续用于后期该食堂</w:t>
      </w:r>
      <w:r>
        <w:rPr>
          <w:rFonts w:hint="eastAsia" w:ascii="方正仿宋_GBK" w:hAnsi="微软雅黑" w:eastAsia="方正仿宋_GBK" w:cs="宋体"/>
          <w:color w:val="auto"/>
          <w:kern w:val="0"/>
          <w:sz w:val="24"/>
          <w:szCs w:val="24"/>
          <w:highlight w:val="none"/>
          <w:lang w:val="en-US" w:eastAsia="zh-CN"/>
        </w:rPr>
        <w:t>环境持续改善</w:t>
      </w:r>
      <w:r>
        <w:rPr>
          <w:rFonts w:hint="default" w:ascii="方正仿宋_GBK" w:hAnsi="微软雅黑" w:eastAsia="方正仿宋_GBK" w:cs="宋体"/>
          <w:color w:val="auto"/>
          <w:kern w:val="0"/>
          <w:sz w:val="24"/>
          <w:szCs w:val="24"/>
          <w:highlight w:val="none"/>
          <w:lang w:val="en-US" w:eastAsia="zh-CN"/>
        </w:rPr>
        <w:t>。</w:t>
      </w:r>
    </w:p>
    <w:p w14:paraId="336767B5">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r>
        <w:rPr>
          <w:rFonts w:hint="default" w:ascii="方正仿宋_GBK" w:hAnsi="微软雅黑" w:eastAsia="方正仿宋_GBK" w:cs="宋体"/>
          <w:color w:val="auto"/>
          <w:kern w:val="0"/>
          <w:sz w:val="24"/>
          <w:szCs w:val="24"/>
          <w:highlight w:val="none"/>
          <w:lang w:val="en-US" w:eastAsia="zh-CN"/>
        </w:rPr>
        <w:t>2.3.</w:t>
      </w:r>
      <w:r>
        <w:rPr>
          <w:rFonts w:hint="eastAsia" w:ascii="方正仿宋_GBK" w:hAnsi="微软雅黑" w:eastAsia="方正仿宋_GBK" w:cs="宋体"/>
          <w:color w:val="auto"/>
          <w:kern w:val="0"/>
          <w:sz w:val="24"/>
          <w:szCs w:val="24"/>
          <w:highlight w:val="none"/>
          <w:lang w:val="en-US" w:eastAsia="zh-CN"/>
        </w:rPr>
        <w:t>2成交供应商</w:t>
      </w:r>
      <w:r>
        <w:rPr>
          <w:rFonts w:hint="default" w:ascii="方正仿宋_GBK" w:hAnsi="微软雅黑" w:eastAsia="方正仿宋_GBK" w:cs="宋体"/>
          <w:color w:val="auto"/>
          <w:kern w:val="0"/>
          <w:sz w:val="24"/>
          <w:szCs w:val="24"/>
          <w:highlight w:val="none"/>
          <w:lang w:val="en-US" w:eastAsia="zh-CN"/>
        </w:rPr>
        <w:t>全额承担环境改善费用，用于该食堂包括但不限于装修改造、能源扩容、智慧化食堂建设、设施设备等费用。包1不低于500万元，包2不低于350万元。</w:t>
      </w:r>
      <w:r>
        <w:rPr>
          <w:rFonts w:hint="eastAsia" w:ascii="方正仿宋_GBK" w:hAnsi="微软雅黑" w:eastAsia="方正仿宋_GBK" w:cs="宋体"/>
          <w:color w:val="auto"/>
          <w:kern w:val="0"/>
          <w:sz w:val="24"/>
          <w:szCs w:val="24"/>
          <w:highlight w:val="none"/>
          <w:lang w:val="en-US" w:eastAsia="zh-CN"/>
        </w:rPr>
        <w:t>供应商对环境改善费用进行报价（智慧化食堂建设经费包含在内，但需要单独报价，作为评分依据）</w:t>
      </w:r>
    </w:p>
    <w:p w14:paraId="677810F5">
      <w:pPr>
        <w:widowControl/>
        <w:kinsoku/>
        <w:wordWrap/>
        <w:overflowPunct/>
        <w:topLinePunct w:val="0"/>
        <w:autoSpaceDE/>
        <w:autoSpaceDN/>
        <w:bidi w:val="0"/>
        <w:spacing w:line="500" w:lineRule="exact"/>
        <w:ind w:firstLine="480" w:firstLineChars="200"/>
        <w:jc w:val="left"/>
        <w:rPr>
          <w:rFonts w:hint="default" w:ascii="方正仿宋_GBK" w:hAnsi="微软雅黑" w:eastAsia="方正仿宋_GBK" w:cs="宋体"/>
          <w:color w:val="auto"/>
          <w:kern w:val="0"/>
          <w:sz w:val="24"/>
          <w:szCs w:val="24"/>
          <w:highlight w:val="none"/>
          <w:lang w:val="en-US" w:eastAsia="zh-CN"/>
        </w:rPr>
      </w:pPr>
    </w:p>
    <w:p w14:paraId="36077294">
      <w:pPr>
        <w:kinsoku/>
        <w:wordWrap/>
        <w:overflowPunct/>
        <w:topLinePunct w:val="0"/>
        <w:autoSpaceDE/>
        <w:autoSpaceDN/>
        <w:bidi w:val="0"/>
        <w:spacing w:line="500" w:lineRule="exact"/>
        <w:rPr>
          <w:rFonts w:ascii="仿宋" w:hAnsi="仿宋" w:eastAsia="仿宋" w:cs="仿宋"/>
          <w:color w:val="auto"/>
          <w:highlight w:val="none"/>
        </w:rPr>
      </w:pPr>
    </w:p>
    <w:p w14:paraId="67900C93">
      <w:pPr>
        <w:kinsoku/>
        <w:wordWrap/>
        <w:overflowPunct/>
        <w:topLinePunct w:val="0"/>
        <w:autoSpaceDE/>
        <w:autoSpaceDN/>
        <w:bidi w:val="0"/>
        <w:spacing w:line="500" w:lineRule="exact"/>
        <w:rPr>
          <w:rFonts w:ascii="仿宋" w:hAnsi="仿宋" w:eastAsia="仿宋" w:cs="仿宋"/>
          <w:color w:val="auto"/>
          <w:highlight w:val="none"/>
        </w:rPr>
        <w:sectPr>
          <w:footerReference r:id="rId3" w:type="default"/>
          <w:footerReference r:id="rId4" w:type="even"/>
          <w:pgSz w:w="11907" w:h="16840"/>
          <w:pgMar w:top="1134" w:right="1191" w:bottom="1134" w:left="1304" w:header="964" w:footer="992" w:gutter="0"/>
          <w:pgNumType w:fmt="numberInDash"/>
          <w:cols w:space="720" w:num="1"/>
          <w:docGrid w:linePitch="312" w:charSpace="0"/>
        </w:sectPr>
      </w:pPr>
    </w:p>
    <w:p w14:paraId="2BCB7F36">
      <w:pPr>
        <w:pStyle w:val="3"/>
        <w:kinsoku/>
        <w:wordWrap/>
        <w:overflowPunct/>
        <w:topLinePunct w:val="0"/>
        <w:autoSpaceDE/>
        <w:autoSpaceDN/>
        <w:bidi w:val="0"/>
        <w:spacing w:beforeLines="0" w:afterLines="0" w:line="500" w:lineRule="exact"/>
        <w:rPr>
          <w:rFonts w:ascii="仿宋" w:hAnsi="仿宋" w:eastAsia="仿宋" w:cs="仿宋"/>
          <w:b/>
          <w:color w:val="auto"/>
          <w:highlight w:val="none"/>
        </w:rPr>
      </w:pPr>
      <w:bookmarkStart w:id="36" w:name="_Toc9048"/>
      <w:bookmarkStart w:id="37" w:name="_Toc18920"/>
      <w:bookmarkStart w:id="38" w:name="_Toc495587763"/>
      <w:r>
        <w:rPr>
          <w:rFonts w:hint="eastAsia" w:ascii="仿宋" w:hAnsi="仿宋" w:eastAsia="仿宋" w:cs="仿宋"/>
          <w:b/>
          <w:color w:val="auto"/>
          <w:highlight w:val="none"/>
        </w:rPr>
        <w:t>第三篇  项目商务要求</w:t>
      </w:r>
      <w:bookmarkEnd w:id="36"/>
      <w:bookmarkEnd w:id="37"/>
      <w:bookmarkEnd w:id="38"/>
    </w:p>
    <w:p w14:paraId="52D629C3">
      <w:pPr>
        <w:pStyle w:val="4"/>
        <w:kinsoku/>
        <w:wordWrap/>
        <w:overflowPunct/>
        <w:topLinePunct w:val="0"/>
        <w:autoSpaceDE/>
        <w:autoSpaceDN/>
        <w:bidi w:val="0"/>
        <w:spacing w:line="500" w:lineRule="exact"/>
        <w:ind w:firstLine="562" w:firstLineChars="200"/>
        <w:rPr>
          <w:rFonts w:ascii="仿宋" w:hAnsi="仿宋" w:eastAsia="仿宋" w:cs="仿宋"/>
          <w:b/>
          <w:bCs/>
          <w:color w:val="auto"/>
          <w:highlight w:val="none"/>
        </w:rPr>
      </w:pPr>
      <w:bookmarkStart w:id="39" w:name="_Toc5473"/>
      <w:bookmarkStart w:id="40" w:name="_Toc344475120"/>
      <w:bookmarkStart w:id="41" w:name="_Toc31285"/>
      <w:bookmarkStart w:id="42" w:name="_Toc522724245"/>
      <w:bookmarkStart w:id="43" w:name="_Toc495587792"/>
      <w:r>
        <w:rPr>
          <w:rFonts w:hint="eastAsia" w:ascii="仿宋" w:hAnsi="仿宋" w:eastAsia="仿宋" w:cs="仿宋"/>
          <w:b/>
          <w:bCs/>
          <w:color w:val="auto"/>
          <w:highlight w:val="none"/>
        </w:rPr>
        <w:t>一、服务期、地点及验收方式</w:t>
      </w:r>
      <w:bookmarkEnd w:id="39"/>
      <w:bookmarkEnd w:id="40"/>
      <w:bookmarkEnd w:id="41"/>
      <w:bookmarkEnd w:id="42"/>
    </w:p>
    <w:p w14:paraId="1ECEB2E0">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（一）服务期：</w:t>
      </w:r>
    </w:p>
    <w:p w14:paraId="29063790">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bookmarkStart w:id="44" w:name="OLE_LINK104"/>
      <w:bookmarkStart w:id="45" w:name="OLE_LINK105"/>
      <w:bookmarkStart w:id="46" w:name="OLE_LINK95"/>
      <w:bookmarkStart w:id="47" w:name="OLE_LINK112"/>
      <w:bookmarkStart w:id="48" w:name="OLE_LINK111"/>
      <w:r>
        <w:rPr>
          <w:rFonts w:hint="eastAsia" w:ascii="仿宋" w:hAnsi="仿宋" w:eastAsia="仿宋" w:cs="仿宋"/>
          <w:color w:val="auto"/>
          <w:sz w:val="24"/>
          <w:szCs w:val="24"/>
          <w:highlight w:val="none"/>
          <w:lang w:val="en-US" w:eastAsia="zh-CN"/>
        </w:rPr>
        <w:t>经营服务外包期</w:t>
      </w:r>
      <w:bookmarkEnd w:id="44"/>
      <w:bookmarkEnd w:id="45"/>
      <w:r>
        <w:rPr>
          <w:rFonts w:hint="eastAsia" w:ascii="仿宋" w:hAnsi="仿宋" w:eastAsia="仿宋" w:cs="仿宋"/>
          <w:color w:val="auto"/>
          <w:sz w:val="24"/>
          <w:szCs w:val="24"/>
          <w:highlight w:val="none"/>
          <w:lang w:val="en-US" w:eastAsia="zh-CN"/>
        </w:rPr>
        <w:t>为</w:t>
      </w:r>
      <w:bookmarkEnd w:id="46"/>
      <w:r>
        <w:rPr>
          <w:rFonts w:hint="eastAsia" w:ascii="仿宋" w:hAnsi="仿宋" w:eastAsia="仿宋" w:cs="仿宋"/>
          <w:color w:val="auto"/>
          <w:sz w:val="24"/>
          <w:szCs w:val="24"/>
          <w:highlight w:val="none"/>
        </w:rPr>
        <w:t>4年</w:t>
      </w:r>
      <w:r>
        <w:rPr>
          <w:rFonts w:hint="eastAsia" w:ascii="仿宋" w:hAnsi="仿宋" w:eastAsia="仿宋" w:cs="仿宋"/>
          <w:color w:val="auto"/>
          <w:sz w:val="24"/>
          <w:szCs w:val="24"/>
          <w:highlight w:val="none"/>
          <w:lang w:eastAsia="zh-CN"/>
        </w:rPr>
        <w:t>（基本期）</w:t>
      </w:r>
      <w:r>
        <w:rPr>
          <w:rFonts w:hint="eastAsia" w:ascii="仿宋" w:hAnsi="仿宋" w:eastAsia="仿宋" w:cs="仿宋"/>
          <w:color w:val="auto"/>
          <w:sz w:val="24"/>
          <w:szCs w:val="24"/>
          <w:highlight w:val="none"/>
          <w:lang w:val="en-US" w:eastAsia="zh-CN"/>
        </w:rPr>
        <w:t>+3年（延展期）。（4年基本期满后，</w:t>
      </w:r>
      <w:r>
        <w:rPr>
          <w:rFonts w:hint="eastAsia" w:ascii="仿宋" w:hAnsi="仿宋" w:eastAsia="仿宋" w:cs="仿宋"/>
          <w:color w:val="auto"/>
          <w:sz w:val="24"/>
          <w:szCs w:val="24"/>
          <w:highlight w:val="none"/>
        </w:rPr>
        <w:t>达到合同约定中相关</w:t>
      </w:r>
      <w:r>
        <w:rPr>
          <w:rFonts w:hint="eastAsia" w:ascii="仿宋" w:hAnsi="仿宋" w:eastAsia="仿宋" w:cs="仿宋"/>
          <w:color w:val="auto"/>
          <w:sz w:val="24"/>
          <w:szCs w:val="24"/>
          <w:highlight w:val="none"/>
          <w:lang w:eastAsia="zh-CN"/>
        </w:rPr>
        <w:t>考核</w:t>
      </w:r>
      <w:r>
        <w:rPr>
          <w:rFonts w:hint="eastAsia" w:ascii="仿宋" w:hAnsi="仿宋" w:eastAsia="仿宋" w:cs="仿宋"/>
          <w:color w:val="auto"/>
          <w:sz w:val="24"/>
          <w:szCs w:val="24"/>
          <w:highlight w:val="none"/>
        </w:rPr>
        <w:t>条款要求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续签</w:t>
      </w:r>
      <w:r>
        <w:rPr>
          <w:rFonts w:hint="eastAsia" w:ascii="仿宋" w:hAnsi="仿宋" w:eastAsia="仿宋" w:cs="仿宋"/>
          <w:color w:val="auto"/>
          <w:sz w:val="24"/>
          <w:szCs w:val="24"/>
          <w:highlight w:val="none"/>
          <w:lang w:eastAsia="zh-CN"/>
        </w:rPr>
        <w:t>延展期</w:t>
      </w: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eastAsia="zh-CN"/>
        </w:rPr>
        <w:t>。考核不达标，则合同终止）。第一个基本合同期为</w:t>
      </w:r>
      <w:r>
        <w:rPr>
          <w:rFonts w:hint="eastAsia" w:ascii="仿宋" w:hAnsi="仿宋" w:eastAsia="仿宋" w:cs="仿宋"/>
          <w:color w:val="auto"/>
          <w:sz w:val="24"/>
          <w:szCs w:val="24"/>
          <w:highlight w:val="none"/>
          <w:lang w:val="en-US" w:eastAsia="zh-CN"/>
        </w:rPr>
        <w:t>2025年7月至2029年7月。第一个合同期满考核达标后，续签延展期合同三年。</w:t>
      </w:r>
    </w:p>
    <w:bookmarkEnd w:id="47"/>
    <w:bookmarkEnd w:id="48"/>
    <w:p w14:paraId="60692D09">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环境改善期不计入</w:t>
      </w:r>
      <w:bookmarkStart w:id="49" w:name="OLE_LINK64"/>
      <w:bookmarkStart w:id="50" w:name="OLE_LINK70"/>
      <w:r>
        <w:rPr>
          <w:rFonts w:hint="eastAsia" w:ascii="仿宋" w:hAnsi="仿宋" w:eastAsia="仿宋" w:cs="仿宋"/>
          <w:color w:val="auto"/>
          <w:sz w:val="24"/>
          <w:szCs w:val="24"/>
          <w:highlight w:val="none"/>
          <w:lang w:eastAsia="zh-CN"/>
        </w:rPr>
        <w:t>经营服务外包期</w:t>
      </w:r>
      <w:bookmarkEnd w:id="49"/>
      <w:bookmarkEnd w:id="50"/>
      <w:r>
        <w:rPr>
          <w:rFonts w:hint="eastAsia" w:ascii="仿宋" w:hAnsi="仿宋" w:eastAsia="仿宋" w:cs="仿宋"/>
          <w:color w:val="auto"/>
          <w:sz w:val="24"/>
          <w:szCs w:val="24"/>
          <w:highlight w:val="none"/>
          <w:lang w:eastAsia="zh-CN"/>
        </w:rPr>
        <w:t>，但成交供应商须承担水电等费用及环境改善期间的安全责任。环境改善期需在</w:t>
      </w:r>
      <w:r>
        <w:rPr>
          <w:rFonts w:hint="eastAsia" w:ascii="仿宋" w:hAnsi="仿宋" w:eastAsia="仿宋" w:cs="仿宋"/>
          <w:color w:val="auto"/>
          <w:sz w:val="24"/>
          <w:szCs w:val="24"/>
          <w:highlight w:val="none"/>
          <w:lang w:val="en-US" w:eastAsia="zh-CN"/>
        </w:rPr>
        <w:t>2025年8月31日前全面完成，并按照采购人要求开业。</w:t>
      </w:r>
    </w:p>
    <w:p w14:paraId="71D3F111">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（二）服务地点：重庆第二师范学院</w:t>
      </w:r>
      <w:r>
        <w:rPr>
          <w:rFonts w:hint="eastAsia" w:ascii="仿宋" w:hAnsi="仿宋" w:eastAsia="仿宋" w:cs="仿宋"/>
          <w:color w:val="auto"/>
          <w:kern w:val="0"/>
          <w:sz w:val="24"/>
          <w:szCs w:val="24"/>
          <w:highlight w:val="none"/>
        </w:rPr>
        <w:t>南山校区荟园</w:t>
      </w:r>
      <w:r>
        <w:rPr>
          <w:rFonts w:hint="eastAsia" w:ascii="仿宋" w:hAnsi="仿宋" w:eastAsia="仿宋" w:cs="仿宋"/>
          <w:color w:val="auto"/>
          <w:sz w:val="24"/>
          <w:szCs w:val="24"/>
          <w:highlight w:val="none"/>
        </w:rPr>
        <w:t>学生食堂。</w:t>
      </w:r>
    </w:p>
    <w:p w14:paraId="2C2BDD8A">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环境改善实施及验收</w:t>
      </w:r>
    </w:p>
    <w:p w14:paraId="4CB16A82">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实施方式：</w:t>
      </w:r>
    </w:p>
    <w:p w14:paraId="68B34E30">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成交供应商用于食堂</w:t>
      </w:r>
      <w:r>
        <w:rPr>
          <w:rFonts w:hint="eastAsia" w:ascii="仿宋" w:hAnsi="仿宋" w:eastAsia="仿宋" w:cs="仿宋"/>
          <w:color w:val="auto"/>
          <w:sz w:val="24"/>
          <w:szCs w:val="24"/>
          <w:highlight w:val="none"/>
          <w:lang w:eastAsia="zh-CN"/>
        </w:rPr>
        <w:t>环境改善的</w:t>
      </w:r>
      <w:r>
        <w:rPr>
          <w:rFonts w:hint="eastAsia" w:ascii="仿宋" w:hAnsi="仿宋" w:eastAsia="仿宋" w:cs="仿宋"/>
          <w:color w:val="auto"/>
          <w:sz w:val="24"/>
          <w:szCs w:val="24"/>
          <w:highlight w:val="none"/>
        </w:rPr>
        <w:t>装修改造和餐厨设施设备购置等投资费在合同签订前必须全额打入学校指定账户，成交供应商根据学校认可的装修改造和餐厨设施设备购置安装等进度情况，分2次按5:5的比例从学校领回投资款。若成交供应商未在规定时间将食堂装修改造和餐厨设施设备购置等中标投资费打入学校指定账户和完成合同签订，则视为成交供应商自动弃权，且不退成交供应商的</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保证金，将被纳入采购方失信企业名单中</w:t>
      </w:r>
      <w:r>
        <w:rPr>
          <w:rFonts w:hint="eastAsia" w:ascii="仿宋" w:hAnsi="仿宋" w:eastAsia="仿宋" w:cs="仿宋"/>
          <w:color w:val="auto"/>
          <w:sz w:val="24"/>
          <w:szCs w:val="24"/>
          <w:highlight w:val="none"/>
          <w:lang w:eastAsia="zh-CN"/>
        </w:rPr>
        <w:t>。</w:t>
      </w:r>
    </w:p>
    <w:p w14:paraId="3EFDE989">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户  名：重庆第二师范学院</w:t>
      </w:r>
    </w:p>
    <w:p w14:paraId="5A716145">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开户行：中行重庆南岸支行</w:t>
      </w:r>
    </w:p>
    <w:p w14:paraId="7A3BF9FD">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  号： 113000765454</w:t>
      </w:r>
    </w:p>
    <w:p w14:paraId="5F394076">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验收方式：</w:t>
      </w:r>
      <w:bookmarkStart w:id="51" w:name="_Toc344475121"/>
      <w:bookmarkStart w:id="52" w:name="_Toc522724246"/>
    </w:p>
    <w:p w14:paraId="1BE77A47">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环保和消防安全验收</w:t>
      </w:r>
    </w:p>
    <w:p w14:paraId="1CE476BD">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成交供应商必须通过环保和消防（食堂必须安装消防喷淋、火灾自动报警系统）验收合格后，向重庆第二师范学院申报食堂装修改造和餐厨设施设备等验收，重庆第二师范学院会同学校所在地的</w:t>
      </w:r>
      <w:r>
        <w:rPr>
          <w:rFonts w:hint="eastAsia" w:ascii="仿宋" w:hAnsi="仿宋" w:eastAsia="仿宋" w:cs="仿宋"/>
          <w:color w:val="auto"/>
          <w:sz w:val="24"/>
          <w:szCs w:val="24"/>
          <w:highlight w:val="none"/>
          <w:lang w:eastAsia="zh-CN"/>
        </w:rPr>
        <w:t>市场</w:t>
      </w:r>
      <w:r>
        <w:rPr>
          <w:rFonts w:hint="eastAsia" w:ascii="仿宋" w:hAnsi="仿宋" w:eastAsia="仿宋" w:cs="仿宋"/>
          <w:color w:val="auto"/>
          <w:sz w:val="24"/>
          <w:szCs w:val="24"/>
          <w:highlight w:val="none"/>
        </w:rPr>
        <w:t>监督管理部门按审定通过的装修改造和餐厨设施设备等方案进行合格验收。</w:t>
      </w:r>
    </w:p>
    <w:p w14:paraId="7731E3D1">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食堂装修改造和餐厨设施设备等验收</w:t>
      </w:r>
    </w:p>
    <w:p w14:paraId="62B303E1">
      <w:pPr>
        <w:kinsoku/>
        <w:wordWrap/>
        <w:overflowPunct/>
        <w:topLinePunct w:val="0"/>
        <w:autoSpaceDE/>
        <w:autoSpaceDN/>
        <w:bidi w:val="0"/>
        <w:spacing w:line="500" w:lineRule="exact"/>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2.2.1</w:t>
      </w:r>
      <w:r>
        <w:rPr>
          <w:rFonts w:hint="eastAsia" w:ascii="仿宋" w:hAnsi="仿宋" w:eastAsia="仿宋" w:cs="仿宋"/>
          <w:color w:val="auto"/>
          <w:sz w:val="24"/>
          <w:szCs w:val="24"/>
          <w:highlight w:val="none"/>
        </w:rPr>
        <w:t>食堂装修要求餐厅整洁明亮，文明优雅。</w:t>
      </w:r>
    </w:p>
    <w:p w14:paraId="163E59E2">
      <w:pPr>
        <w:kinsoku/>
        <w:wordWrap/>
        <w:overflowPunct/>
        <w:topLinePunct w:val="0"/>
        <w:autoSpaceDE/>
        <w:autoSpaceDN/>
        <w:bidi w:val="0"/>
        <w:spacing w:line="500" w:lineRule="exact"/>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2.2.2</w:t>
      </w:r>
      <w:r>
        <w:rPr>
          <w:rFonts w:hint="eastAsia" w:ascii="仿宋" w:hAnsi="仿宋" w:eastAsia="仿宋" w:cs="仿宋"/>
          <w:color w:val="auto"/>
          <w:sz w:val="24"/>
          <w:szCs w:val="24"/>
          <w:highlight w:val="none"/>
        </w:rPr>
        <w:t>环保和消防验收合格后，成交供应商必须向重庆第二师范学院申报食堂装修改造和餐厨设施设备等验收，重庆第二师范学院会同学校所在地的食品药品监督管理部门按审定通过的装修改造和餐厨设施设备等方案进行合格验收。</w:t>
      </w:r>
    </w:p>
    <w:p w14:paraId="4AF78B28">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2.2.3</w:t>
      </w:r>
      <w:r>
        <w:rPr>
          <w:rFonts w:hint="eastAsia" w:ascii="仿宋" w:hAnsi="仿宋" w:eastAsia="仿宋" w:cs="仿宋"/>
          <w:color w:val="auto"/>
          <w:sz w:val="24"/>
          <w:szCs w:val="24"/>
          <w:highlight w:val="none"/>
        </w:rPr>
        <w:t>投资审计</w:t>
      </w:r>
    </w:p>
    <w:p w14:paraId="04DC0682">
      <w:pPr>
        <w:kinsoku/>
        <w:wordWrap/>
        <w:overflowPunct/>
        <w:topLinePunct w:val="0"/>
        <w:autoSpaceDE/>
        <w:autoSpaceDN/>
        <w:bidi w:val="0"/>
        <w:spacing w:line="500" w:lineRule="exact"/>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由采购方与中标方共同委托在重庆市教委备案的审计单位按重庆市装饰工程计价定额及配套文件（2008）进行审计，其材料价格和人工价格按施工期间造价信息平均值执行，信息价没有的由审计公司核定，审计费由成交供应商支付。若审计发现实际投资金额未达到成交供应商的中标金额，则视为成交供应商违约，按违约处理，同时，成交供应商必须将差额部分无偿打入学校指定账户，成交供应商还必须再次将履约保证金打入学校指定账户，方可进场经营。</w:t>
      </w:r>
    </w:p>
    <w:p w14:paraId="2FB622B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资产处置</w:t>
      </w:r>
    </w:p>
    <w:p w14:paraId="1561D081">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期满或经营期内成交供应商解除合同时，装修装饰产权归学校所有，成交供应商在撤离时如数返还甲方原有设施、设备(按移交固定资产清单）并自行处置自己投入的食堂餐厨设施设备，学校不负责回收及处理，同时，完成食堂内的清洁工作。成交供应商逾期未撤离，重庆第二师范学院有权单方处置成交供应商投入的食堂餐厨设施设备，由此造成的一切后果与损失由成交供应商承担。</w:t>
      </w:r>
    </w:p>
    <w:p w14:paraId="38307D40">
      <w:pPr>
        <w:pStyle w:val="4"/>
        <w:kinsoku/>
        <w:wordWrap/>
        <w:overflowPunct/>
        <w:topLinePunct w:val="0"/>
        <w:autoSpaceDE/>
        <w:autoSpaceDN/>
        <w:bidi w:val="0"/>
        <w:spacing w:line="500" w:lineRule="exact"/>
        <w:ind w:firstLine="562" w:firstLineChars="200"/>
        <w:rPr>
          <w:b/>
          <w:color w:val="auto"/>
          <w:sz w:val="24"/>
          <w:highlight w:val="none"/>
        </w:rPr>
      </w:pPr>
      <w:bookmarkStart w:id="53" w:name="_Toc16125"/>
      <w:bookmarkStart w:id="54" w:name="_Toc21266"/>
      <w:r>
        <w:rPr>
          <w:rFonts w:hint="eastAsia" w:ascii="仿宋" w:hAnsi="仿宋" w:eastAsia="仿宋" w:cs="仿宋"/>
          <w:b/>
          <w:bCs/>
          <w:color w:val="auto"/>
          <w:highlight w:val="none"/>
          <w:lang w:eastAsia="zh-CN"/>
        </w:rPr>
        <w:t>二</w:t>
      </w:r>
      <w:r>
        <w:rPr>
          <w:rFonts w:hint="eastAsia" w:ascii="仿宋" w:hAnsi="仿宋" w:eastAsia="仿宋" w:cs="仿宋"/>
          <w:b/>
          <w:bCs/>
          <w:color w:val="auto"/>
          <w:highlight w:val="none"/>
        </w:rPr>
        <w:t>、</w:t>
      </w:r>
      <w:bookmarkEnd w:id="53"/>
      <w:r>
        <w:rPr>
          <w:rFonts w:hint="eastAsia"/>
          <w:b/>
          <w:color w:val="auto"/>
          <w:sz w:val="24"/>
          <w:highlight w:val="none"/>
        </w:rPr>
        <w:t>结算及营业收入提取方式</w:t>
      </w:r>
      <w:bookmarkEnd w:id="54"/>
    </w:p>
    <w:p w14:paraId="66BF31A5">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与采购人师生通过“校园一卡通”方式进行消费结算，确保所有营业收入归结于采购人账户。</w:t>
      </w:r>
    </w:p>
    <w:p w14:paraId="072FEB75">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采购人与</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之间通过银行转账方式进行对公财务结算营业收入，严禁现金交易或其他结算方式，如有特殊需求，</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须在采购人同意后，在采购人财务部门指导下进行消费结算。</w:t>
      </w:r>
    </w:p>
    <w:p w14:paraId="7E813783">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2.水电气</w:t>
      </w:r>
      <w:r>
        <w:rPr>
          <w:rFonts w:hint="eastAsia" w:ascii="仿宋" w:hAnsi="仿宋" w:eastAsia="仿宋" w:cs="仿宋"/>
          <w:color w:val="auto"/>
          <w:sz w:val="24"/>
          <w:szCs w:val="24"/>
          <w:highlight w:val="none"/>
          <w:lang w:eastAsia="zh-CN"/>
        </w:rPr>
        <w:t>及消防维保费</w:t>
      </w:r>
    </w:p>
    <w:p w14:paraId="1D38CA8A">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实际水、电、天然气用量</w:t>
      </w:r>
      <w:r>
        <w:rPr>
          <w:rFonts w:hint="eastAsia" w:ascii="仿宋" w:hAnsi="仿宋" w:eastAsia="仿宋" w:cs="仿宋"/>
          <w:color w:val="auto"/>
          <w:sz w:val="24"/>
          <w:szCs w:val="24"/>
          <w:highlight w:val="none"/>
          <w:lang w:eastAsia="zh-CN"/>
        </w:rPr>
        <w:t>和食堂燃气等消防维保经费，</w:t>
      </w:r>
      <w:r>
        <w:rPr>
          <w:rFonts w:hint="eastAsia" w:ascii="仿宋" w:hAnsi="仿宋" w:eastAsia="仿宋" w:cs="仿宋"/>
          <w:color w:val="auto"/>
          <w:sz w:val="24"/>
          <w:szCs w:val="24"/>
          <w:highlight w:val="none"/>
        </w:rPr>
        <w:t>采购人在</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营业收入中扣除</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上月水、电、气</w:t>
      </w:r>
      <w:r>
        <w:rPr>
          <w:rFonts w:hint="eastAsia" w:ascii="仿宋" w:hAnsi="仿宋" w:eastAsia="仿宋" w:cs="仿宋"/>
          <w:color w:val="auto"/>
          <w:sz w:val="24"/>
          <w:szCs w:val="24"/>
          <w:highlight w:val="none"/>
          <w:lang w:eastAsia="zh-CN"/>
        </w:rPr>
        <w:t>及维保费</w:t>
      </w:r>
      <w:r>
        <w:rPr>
          <w:rFonts w:hint="eastAsia" w:ascii="仿宋" w:hAnsi="仿宋" w:eastAsia="仿宋" w:cs="仿宋"/>
          <w:color w:val="auto"/>
          <w:sz w:val="24"/>
          <w:szCs w:val="24"/>
          <w:highlight w:val="none"/>
        </w:rPr>
        <w:t>等费用。</w:t>
      </w:r>
    </w:p>
    <w:p w14:paraId="62817609">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月营业收入提取方式</w:t>
      </w:r>
    </w:p>
    <w:p w14:paraId="5E18A7C5">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采购人根据学校出具的“校园一卡通”月营业报表，在扣除一卡通设备维护费（月营业收入的1%）、月实际发生水电气费、</w:t>
      </w:r>
      <w:r>
        <w:rPr>
          <w:rFonts w:hint="eastAsia" w:ascii="仿宋" w:hAnsi="仿宋" w:eastAsia="仿宋" w:cs="仿宋"/>
          <w:color w:val="auto"/>
          <w:sz w:val="24"/>
          <w:szCs w:val="24"/>
          <w:highlight w:val="none"/>
          <w:lang w:eastAsia="zh-CN"/>
        </w:rPr>
        <w:t>日常履约保证金</w:t>
      </w:r>
      <w:r>
        <w:rPr>
          <w:rFonts w:hint="eastAsia" w:ascii="仿宋" w:hAnsi="仿宋" w:eastAsia="仿宋" w:cs="仿宋"/>
          <w:color w:val="auto"/>
          <w:sz w:val="24"/>
          <w:szCs w:val="24"/>
          <w:highlight w:val="none"/>
        </w:rPr>
        <w:t>（月营业收入</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、燃气维保费</w:t>
      </w:r>
      <w:r>
        <w:rPr>
          <w:rFonts w:hint="eastAsia" w:ascii="仿宋" w:hAnsi="仿宋" w:eastAsia="仿宋" w:cs="仿宋"/>
          <w:color w:val="auto"/>
          <w:sz w:val="24"/>
          <w:szCs w:val="24"/>
          <w:highlight w:val="none"/>
        </w:rPr>
        <w:t>等相关费用后，履行相关签字程序，将</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月营业收入的剩余部分（不计利息）转入</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的银行账户中。</w:t>
      </w:r>
    </w:p>
    <w:p w14:paraId="25FF37A0">
      <w:pPr>
        <w:pStyle w:val="4"/>
        <w:kinsoku/>
        <w:wordWrap/>
        <w:overflowPunct/>
        <w:topLinePunct w:val="0"/>
        <w:autoSpaceDE/>
        <w:autoSpaceDN/>
        <w:bidi w:val="0"/>
        <w:spacing w:line="500" w:lineRule="exact"/>
        <w:ind w:firstLine="480" w:firstLineChars="200"/>
        <w:rPr>
          <w:b/>
          <w:color w:val="auto"/>
          <w:sz w:val="24"/>
          <w:highlight w:val="none"/>
        </w:rPr>
      </w:pPr>
      <w:bookmarkStart w:id="55" w:name="_Toc2972"/>
      <w:r>
        <w:rPr>
          <w:rFonts w:hint="eastAsia" w:ascii="仿宋" w:hAnsi="仿宋" w:eastAsia="仿宋" w:cs="仿宋"/>
          <w:color w:val="auto"/>
          <w:sz w:val="24"/>
          <w:szCs w:val="24"/>
          <w:highlight w:val="none"/>
          <w:lang w:eastAsia="zh-CN"/>
        </w:rPr>
        <w:t>三、</w:t>
      </w:r>
      <w:r>
        <w:rPr>
          <w:rFonts w:hint="eastAsia"/>
          <w:b/>
          <w:color w:val="auto"/>
          <w:sz w:val="24"/>
          <w:highlight w:val="none"/>
        </w:rPr>
        <w:t>履约保证金</w:t>
      </w:r>
      <w:bookmarkEnd w:id="55"/>
    </w:p>
    <w:p w14:paraId="31F85D2C">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须在结果公告之日（不含）起5个工作日内向采购人缴纳履约保证金，</w:t>
      </w:r>
      <w:r>
        <w:rPr>
          <w:rFonts w:hint="eastAsia" w:ascii="仿宋" w:hAnsi="仿宋" w:eastAsia="仿宋" w:cs="仿宋"/>
          <w:color w:val="auto"/>
          <w:sz w:val="24"/>
          <w:szCs w:val="24"/>
          <w:highlight w:val="none"/>
          <w:lang w:eastAsia="zh-CN"/>
        </w:rPr>
        <w:t>包</w:t>
      </w:r>
      <w:r>
        <w:rPr>
          <w:rFonts w:hint="eastAsia" w:ascii="仿宋" w:hAnsi="仿宋" w:eastAsia="仿宋" w:cs="仿宋"/>
          <w:color w:val="auto"/>
          <w:sz w:val="24"/>
          <w:szCs w:val="24"/>
          <w:highlight w:val="none"/>
          <w:lang w:val="en-US" w:eastAsia="zh-CN"/>
        </w:rPr>
        <w:t>1为100万元，包2为50万元，</w:t>
      </w:r>
      <w:r>
        <w:rPr>
          <w:rFonts w:hint="eastAsia" w:ascii="仿宋" w:hAnsi="仿宋" w:eastAsia="仿宋" w:cs="仿宋"/>
          <w:color w:val="auto"/>
          <w:sz w:val="24"/>
          <w:szCs w:val="24"/>
          <w:highlight w:val="none"/>
        </w:rPr>
        <w:t>以确保项目按期、按质进行。</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按照</w:t>
      </w:r>
      <w:r>
        <w:rPr>
          <w:rFonts w:hint="eastAsia" w:ascii="仿宋" w:hAnsi="仿宋" w:eastAsia="仿宋" w:cs="仿宋"/>
          <w:color w:val="auto"/>
          <w:sz w:val="24"/>
          <w:szCs w:val="24"/>
          <w:highlight w:val="none"/>
          <w:lang w:eastAsia="zh-CN"/>
        </w:rPr>
        <w:t>公开遴选文件</w:t>
      </w:r>
      <w:r>
        <w:rPr>
          <w:rFonts w:hint="eastAsia" w:ascii="仿宋" w:hAnsi="仿宋" w:eastAsia="仿宋" w:cs="仿宋"/>
          <w:color w:val="auto"/>
          <w:sz w:val="24"/>
          <w:szCs w:val="24"/>
          <w:highlight w:val="none"/>
        </w:rPr>
        <w:t>相关规定缴纳履约保证金，是合同生效的必要前提（合同生效条件包含但不限于履约保证金缴纳的时间、金额及方式等），反之视为放弃中标，合同无效。</w:t>
      </w:r>
    </w:p>
    <w:p w14:paraId="56337D4A">
      <w:pPr>
        <w:kinsoku/>
        <w:wordWrap/>
        <w:overflowPunct/>
        <w:topLinePunct w:val="0"/>
        <w:autoSpaceDE/>
        <w:autoSpaceDN/>
        <w:bidi w:val="0"/>
        <w:spacing w:line="50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以银行转账、电汇等方式缴纳至采购人指定的银行账户，不得以现金或其他方式划入任何个人账户，否则由此产生的所有损失由</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自行承担。</w:t>
      </w:r>
    </w:p>
    <w:p w14:paraId="00EA2D33">
      <w:pPr>
        <w:kinsoku/>
        <w:wordWrap/>
        <w:overflowPunct/>
        <w:topLinePunct w:val="0"/>
        <w:autoSpaceDE/>
        <w:autoSpaceDN/>
        <w:bidi w:val="0"/>
        <w:spacing w:line="50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3.履约保证金指定账户：</w:t>
      </w:r>
    </w:p>
    <w:p w14:paraId="4E3B04AB">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户  名：重庆第二师范学院</w:t>
      </w:r>
    </w:p>
    <w:p w14:paraId="01CCD1E5">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开户行：中行重庆南岸支行</w:t>
      </w:r>
    </w:p>
    <w:p w14:paraId="52272832">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  号： 113000765454</w:t>
      </w:r>
    </w:p>
    <w:p w14:paraId="37204907">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4.履约保证金补交</w:t>
      </w:r>
    </w:p>
    <w:p w14:paraId="3B96769A">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履约保证金不足的，</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应在扣罚之日起5个工作日内补足履约保证金，若未</w:t>
      </w:r>
      <w:bookmarkStart w:id="56" w:name="OLE_LINK38"/>
      <w:bookmarkStart w:id="57" w:name="OLE_LINK39"/>
      <w:r>
        <w:rPr>
          <w:rFonts w:hint="eastAsia" w:ascii="仿宋" w:hAnsi="仿宋" w:eastAsia="仿宋" w:cs="仿宋"/>
          <w:color w:val="auto"/>
          <w:sz w:val="24"/>
          <w:szCs w:val="24"/>
          <w:highlight w:val="none"/>
        </w:rPr>
        <w:t>按时补足的，</w:t>
      </w:r>
      <w:bookmarkEnd w:id="56"/>
      <w:bookmarkEnd w:id="57"/>
      <w:r>
        <w:rPr>
          <w:rFonts w:hint="eastAsia" w:ascii="仿宋" w:hAnsi="仿宋" w:eastAsia="仿宋" w:cs="仿宋"/>
          <w:color w:val="auto"/>
          <w:sz w:val="24"/>
          <w:szCs w:val="24"/>
          <w:highlight w:val="none"/>
        </w:rPr>
        <w:t>每逾期1个日历日，采购人有权要求</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支付履约保证金总额1%的违约金；逾期超过15个日历日，采购人有权终止合同，并没收剩余的履约保证金。</w:t>
      </w:r>
    </w:p>
    <w:p w14:paraId="6A1A3CBB">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5.履约保证金退还方式</w:t>
      </w:r>
    </w:p>
    <w:p w14:paraId="58B4E531">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服务期满，经采购人考核合格，双方结清所有费用并办理场地移交手续后且无遗留问题的情况下，</w:t>
      </w:r>
      <w:bookmarkStart w:id="58" w:name="OLE_LINK43"/>
      <w:r>
        <w:rPr>
          <w:rFonts w:hint="eastAsia" w:ascii="仿宋" w:hAnsi="仿宋" w:eastAsia="仿宋" w:cs="仿宋"/>
          <w:color w:val="auto"/>
          <w:sz w:val="24"/>
          <w:szCs w:val="24"/>
          <w:highlight w:val="none"/>
        </w:rPr>
        <w:t>采购人退还全额履约保证金（不计利息）。</w:t>
      </w:r>
      <w:bookmarkEnd w:id="58"/>
    </w:p>
    <w:bookmarkEnd w:id="51"/>
    <w:bookmarkEnd w:id="52"/>
    <w:p w14:paraId="14CFB392">
      <w:pPr>
        <w:kinsoku/>
        <w:wordWrap/>
        <w:overflowPunct/>
        <w:topLinePunct w:val="0"/>
        <w:autoSpaceDE/>
        <w:autoSpaceDN/>
        <w:bidi w:val="0"/>
        <w:spacing w:line="500" w:lineRule="exact"/>
        <w:rPr>
          <w:rFonts w:ascii="仿宋" w:hAnsi="仿宋" w:eastAsia="仿宋" w:cs="仿宋"/>
          <w:color w:val="auto"/>
          <w:highlight w:val="none"/>
        </w:rPr>
      </w:pPr>
    </w:p>
    <w:p w14:paraId="2D567E1F">
      <w:pPr>
        <w:pStyle w:val="3"/>
        <w:kinsoku/>
        <w:wordWrap/>
        <w:overflowPunct/>
        <w:topLinePunct w:val="0"/>
        <w:autoSpaceDE/>
        <w:autoSpaceDN/>
        <w:bidi w:val="0"/>
        <w:spacing w:beforeLines="0" w:afterLines="0" w:line="500" w:lineRule="exact"/>
        <w:ind w:firstLine="3092" w:firstLineChars="700"/>
        <w:jc w:val="both"/>
        <w:rPr>
          <w:rFonts w:ascii="仿宋" w:hAnsi="仿宋" w:eastAsia="仿宋" w:cs="仿宋"/>
          <w:b/>
          <w:color w:val="auto"/>
          <w:highlight w:val="none"/>
        </w:rPr>
      </w:pPr>
    </w:p>
    <w:p w14:paraId="600BF9C3">
      <w:pPr>
        <w:kinsoku/>
        <w:wordWrap/>
        <w:overflowPunct/>
        <w:topLinePunct w:val="0"/>
        <w:autoSpaceDE/>
        <w:autoSpaceDN/>
        <w:bidi w:val="0"/>
        <w:spacing w:line="500" w:lineRule="exact"/>
        <w:rPr>
          <w:rFonts w:ascii="仿宋" w:hAnsi="仿宋" w:eastAsia="仿宋" w:cs="仿宋"/>
          <w:color w:val="auto"/>
          <w:highlight w:val="none"/>
        </w:rPr>
      </w:pPr>
    </w:p>
    <w:p w14:paraId="40AF1E55">
      <w:pPr>
        <w:pStyle w:val="3"/>
        <w:kinsoku/>
        <w:wordWrap/>
        <w:overflowPunct/>
        <w:topLinePunct w:val="0"/>
        <w:autoSpaceDE/>
        <w:autoSpaceDN/>
        <w:bidi w:val="0"/>
        <w:spacing w:beforeLines="0" w:afterLines="0" w:line="500" w:lineRule="exact"/>
        <w:ind w:firstLine="3092" w:firstLineChars="700"/>
        <w:jc w:val="both"/>
        <w:rPr>
          <w:rFonts w:ascii="仿宋" w:hAnsi="仿宋" w:eastAsia="仿宋" w:cs="仿宋"/>
          <w:b/>
          <w:color w:val="auto"/>
          <w:highlight w:val="none"/>
        </w:rPr>
      </w:pPr>
    </w:p>
    <w:p w14:paraId="78050052">
      <w:pPr>
        <w:kinsoku/>
        <w:wordWrap/>
        <w:overflowPunct/>
        <w:topLinePunct w:val="0"/>
        <w:autoSpaceDE/>
        <w:autoSpaceDN/>
        <w:bidi w:val="0"/>
        <w:spacing w:line="500" w:lineRule="exact"/>
        <w:rPr>
          <w:rFonts w:ascii="仿宋" w:hAnsi="仿宋" w:eastAsia="仿宋" w:cs="仿宋"/>
          <w:b/>
          <w:color w:val="auto"/>
          <w:highlight w:val="none"/>
        </w:rPr>
      </w:pPr>
    </w:p>
    <w:p w14:paraId="3F4B3492">
      <w:pPr>
        <w:kinsoku/>
        <w:wordWrap/>
        <w:overflowPunct/>
        <w:topLinePunct w:val="0"/>
        <w:autoSpaceDE/>
        <w:autoSpaceDN/>
        <w:bidi w:val="0"/>
        <w:spacing w:line="500" w:lineRule="exact"/>
        <w:rPr>
          <w:rFonts w:ascii="仿宋" w:hAnsi="仿宋" w:eastAsia="仿宋" w:cs="仿宋"/>
          <w:b/>
          <w:color w:val="auto"/>
          <w:highlight w:val="none"/>
        </w:rPr>
      </w:pPr>
    </w:p>
    <w:p w14:paraId="4209D335">
      <w:pPr>
        <w:pStyle w:val="3"/>
        <w:kinsoku/>
        <w:wordWrap/>
        <w:overflowPunct/>
        <w:topLinePunct w:val="0"/>
        <w:autoSpaceDE/>
        <w:autoSpaceDN/>
        <w:bidi w:val="0"/>
        <w:spacing w:beforeLines="0" w:afterLines="0" w:line="500" w:lineRule="exact"/>
        <w:ind w:firstLine="3092" w:firstLineChars="700"/>
        <w:jc w:val="both"/>
        <w:rPr>
          <w:rFonts w:ascii="仿宋" w:hAnsi="仿宋" w:eastAsia="仿宋" w:cs="仿宋"/>
          <w:b/>
          <w:color w:val="auto"/>
          <w:highlight w:val="none"/>
        </w:rPr>
      </w:pPr>
    </w:p>
    <w:p w14:paraId="1B20CE42">
      <w:pPr>
        <w:kinsoku/>
        <w:wordWrap/>
        <w:overflowPunct/>
        <w:topLinePunct w:val="0"/>
        <w:autoSpaceDE/>
        <w:autoSpaceDN/>
        <w:bidi w:val="0"/>
        <w:spacing w:line="500" w:lineRule="exact"/>
        <w:rPr>
          <w:rFonts w:ascii="仿宋" w:hAnsi="仿宋" w:eastAsia="仿宋" w:cs="仿宋"/>
          <w:color w:val="auto"/>
          <w:highlight w:val="none"/>
        </w:rPr>
      </w:pPr>
      <w:r>
        <w:rPr>
          <w:rFonts w:ascii="仿宋" w:hAnsi="仿宋" w:eastAsia="仿宋" w:cs="仿宋"/>
          <w:color w:val="auto"/>
          <w:highlight w:val="none"/>
        </w:rPr>
        <w:br w:type="page"/>
      </w:r>
    </w:p>
    <w:p w14:paraId="3CFE70E7">
      <w:pPr>
        <w:pStyle w:val="2"/>
        <w:kinsoku/>
        <w:wordWrap/>
        <w:overflowPunct/>
        <w:topLinePunct w:val="0"/>
        <w:autoSpaceDE/>
        <w:autoSpaceDN/>
        <w:bidi w:val="0"/>
        <w:spacing w:line="500" w:lineRule="exact"/>
      </w:pPr>
    </w:p>
    <w:p w14:paraId="019EE4C5">
      <w:pPr>
        <w:pStyle w:val="3"/>
        <w:kinsoku/>
        <w:wordWrap/>
        <w:overflowPunct/>
        <w:topLinePunct w:val="0"/>
        <w:autoSpaceDE/>
        <w:autoSpaceDN/>
        <w:bidi w:val="0"/>
        <w:spacing w:before="240" w:after="120" w:line="500" w:lineRule="exact"/>
        <w:rPr>
          <w:rFonts w:ascii="仿宋" w:hAnsi="仿宋" w:eastAsia="仿宋" w:cs="仿宋"/>
          <w:b/>
          <w:bCs/>
          <w:color w:val="auto"/>
          <w:highlight w:val="none"/>
        </w:rPr>
      </w:pPr>
      <w:bookmarkStart w:id="59" w:name="_Toc8271"/>
      <w:bookmarkStart w:id="60" w:name="_Toc22350"/>
      <w:r>
        <w:rPr>
          <w:rFonts w:hint="eastAsia" w:ascii="仿宋" w:hAnsi="仿宋" w:eastAsia="仿宋" w:cs="仿宋"/>
          <w:b/>
          <w:bCs/>
          <w:color w:val="auto"/>
          <w:highlight w:val="none"/>
        </w:rPr>
        <w:t>第四篇  评审标准</w:t>
      </w:r>
      <w:bookmarkEnd w:id="59"/>
      <w:bookmarkEnd w:id="60"/>
    </w:p>
    <w:p w14:paraId="74E95D8C">
      <w:pPr>
        <w:pStyle w:val="4"/>
        <w:kinsoku/>
        <w:wordWrap/>
        <w:overflowPunct/>
        <w:topLinePunct w:val="0"/>
        <w:autoSpaceDE/>
        <w:autoSpaceDN/>
        <w:bidi w:val="0"/>
        <w:spacing w:line="500" w:lineRule="exact"/>
        <w:ind w:firstLine="562" w:firstLineChars="200"/>
        <w:rPr>
          <w:rFonts w:ascii="仿宋" w:hAnsi="仿宋" w:eastAsia="仿宋" w:cs="仿宋"/>
          <w:b/>
          <w:bCs/>
          <w:color w:val="auto"/>
          <w:highlight w:val="none"/>
        </w:rPr>
      </w:pPr>
      <w:bookmarkStart w:id="61" w:name="_Toc24138"/>
      <w:bookmarkStart w:id="62" w:name="_Toc6200"/>
      <w:bookmarkStart w:id="63" w:name="_Toc522724252"/>
      <w:r>
        <w:rPr>
          <w:rFonts w:hint="eastAsia" w:ascii="仿宋" w:hAnsi="仿宋" w:eastAsia="仿宋" w:cs="仿宋"/>
          <w:b/>
          <w:bCs/>
          <w:color w:val="auto"/>
          <w:highlight w:val="none"/>
        </w:rPr>
        <w:t>一、</w:t>
      </w:r>
      <w:r>
        <w:rPr>
          <w:rFonts w:hint="eastAsia" w:ascii="仿宋" w:hAnsi="仿宋" w:eastAsia="仿宋" w:cs="仿宋"/>
          <w:b/>
          <w:bCs/>
          <w:color w:val="auto"/>
          <w:highlight w:val="none"/>
          <w:lang w:eastAsia="zh-CN"/>
        </w:rPr>
        <w:t>遴选</w:t>
      </w:r>
      <w:r>
        <w:rPr>
          <w:rFonts w:hint="eastAsia" w:ascii="仿宋" w:hAnsi="仿宋" w:eastAsia="仿宋" w:cs="仿宋"/>
          <w:b/>
          <w:bCs/>
          <w:color w:val="auto"/>
          <w:highlight w:val="none"/>
        </w:rPr>
        <w:t>程序及方法</w:t>
      </w:r>
      <w:bookmarkEnd w:id="61"/>
      <w:bookmarkEnd w:id="62"/>
      <w:bookmarkEnd w:id="63"/>
    </w:p>
    <w:p w14:paraId="0D3A4AA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文件规定的时间和地点进行，供应商须有法定代表人或其授权代表参加并签到。</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以抽签的形式确定</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顺序，由本项目依法组建的</w:t>
      </w: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分别与各供应商进行</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w:t>
      </w:r>
    </w:p>
    <w:p w14:paraId="1E330F68">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对各供应商的资格条件、响应文件的有效性、完整性和响应程度进行审查。各供应商只有在完全符合要求的前提下，才能参与正式</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w:t>
      </w:r>
    </w:p>
    <w:p w14:paraId="482CF1AC">
      <w:pPr>
        <w:kinsoku/>
        <w:wordWrap/>
        <w:overflowPunct/>
        <w:topLinePunct w:val="0"/>
        <w:autoSpaceDE/>
        <w:autoSpaceDN/>
        <w:bidi w:val="0"/>
        <w:snapToGrid w:val="0"/>
        <w:spacing w:line="50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kern w:val="0"/>
          <w:sz w:val="24"/>
          <w:szCs w:val="24"/>
          <w:highlight w:val="none"/>
        </w:rPr>
        <w:t>资格性检查。依据法律法规和</w:t>
      </w:r>
      <w:r>
        <w:rPr>
          <w:rFonts w:hint="eastAsia" w:ascii="仿宋" w:hAnsi="仿宋" w:eastAsia="仿宋" w:cs="仿宋"/>
          <w:color w:val="auto"/>
          <w:kern w:val="0"/>
          <w:sz w:val="24"/>
          <w:szCs w:val="24"/>
          <w:highlight w:val="none"/>
          <w:lang w:eastAsia="zh-CN"/>
        </w:rPr>
        <w:t>公开遴选</w:t>
      </w:r>
      <w:r>
        <w:rPr>
          <w:rFonts w:hint="eastAsia" w:ascii="仿宋" w:hAnsi="仿宋" w:eastAsia="仿宋" w:cs="仿宋"/>
          <w:color w:val="auto"/>
          <w:kern w:val="0"/>
          <w:sz w:val="24"/>
          <w:szCs w:val="24"/>
          <w:highlight w:val="none"/>
        </w:rPr>
        <w:t>文件的规定，对响应文件中的资格证明、</w:t>
      </w:r>
      <w:r>
        <w:rPr>
          <w:rFonts w:hint="eastAsia" w:ascii="仿宋" w:hAnsi="仿宋" w:eastAsia="仿宋" w:cs="仿宋"/>
          <w:color w:val="auto"/>
          <w:kern w:val="0"/>
          <w:sz w:val="24"/>
          <w:szCs w:val="24"/>
          <w:highlight w:val="none"/>
          <w:lang w:eastAsia="zh-CN"/>
        </w:rPr>
        <w:t>遴选</w:t>
      </w:r>
      <w:r>
        <w:rPr>
          <w:rFonts w:hint="eastAsia" w:ascii="仿宋" w:hAnsi="仿宋" w:eastAsia="仿宋" w:cs="仿宋"/>
          <w:color w:val="auto"/>
          <w:kern w:val="0"/>
          <w:sz w:val="24"/>
          <w:szCs w:val="24"/>
          <w:highlight w:val="none"/>
        </w:rPr>
        <w:t>保证金等进行审查，以确定供应商是否具备</w:t>
      </w:r>
      <w:r>
        <w:rPr>
          <w:rFonts w:hint="eastAsia" w:ascii="仿宋" w:hAnsi="仿宋" w:eastAsia="仿宋" w:cs="仿宋"/>
          <w:color w:val="auto"/>
          <w:kern w:val="0"/>
          <w:sz w:val="24"/>
          <w:szCs w:val="24"/>
          <w:highlight w:val="none"/>
          <w:lang w:eastAsia="zh-CN"/>
        </w:rPr>
        <w:t>遴选</w:t>
      </w:r>
      <w:r>
        <w:rPr>
          <w:rFonts w:hint="eastAsia" w:ascii="仿宋" w:hAnsi="仿宋" w:eastAsia="仿宋" w:cs="仿宋"/>
          <w:color w:val="auto"/>
          <w:kern w:val="0"/>
          <w:sz w:val="24"/>
          <w:szCs w:val="24"/>
          <w:highlight w:val="none"/>
        </w:rPr>
        <w:t>资格。资格性检查资料表如下：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9"/>
        <w:gridCol w:w="4679"/>
        <w:gridCol w:w="3564"/>
      </w:tblGrid>
      <w:tr w14:paraId="7D06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76" w:type="dxa"/>
            <w:vAlign w:val="center"/>
          </w:tcPr>
          <w:p w14:paraId="1913332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序号</w:t>
            </w:r>
          </w:p>
        </w:tc>
        <w:tc>
          <w:tcPr>
            <w:tcW w:w="5388" w:type="dxa"/>
            <w:gridSpan w:val="2"/>
            <w:vAlign w:val="center"/>
          </w:tcPr>
          <w:p w14:paraId="77474CB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检查因素</w:t>
            </w:r>
          </w:p>
        </w:tc>
        <w:tc>
          <w:tcPr>
            <w:tcW w:w="3564" w:type="dxa"/>
            <w:vAlign w:val="center"/>
          </w:tcPr>
          <w:p w14:paraId="3C1F1559">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检查内容</w:t>
            </w:r>
          </w:p>
        </w:tc>
      </w:tr>
      <w:tr w14:paraId="7649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trPr>
        <w:tc>
          <w:tcPr>
            <w:tcW w:w="676" w:type="dxa"/>
            <w:vMerge w:val="restart"/>
            <w:vAlign w:val="center"/>
          </w:tcPr>
          <w:p w14:paraId="5029282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09" w:type="dxa"/>
            <w:vMerge w:val="restart"/>
            <w:vAlign w:val="center"/>
          </w:tcPr>
          <w:p w14:paraId="54C6C401">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供应商</w:t>
            </w:r>
            <w:r>
              <w:rPr>
                <w:rFonts w:hint="eastAsia" w:ascii="仿宋" w:hAnsi="仿宋" w:eastAsia="仿宋" w:cs="仿宋"/>
                <w:color w:val="auto"/>
                <w:sz w:val="21"/>
                <w:szCs w:val="21"/>
                <w:highlight w:val="none"/>
                <w:lang w:val="zh-CN"/>
              </w:rPr>
              <w:t>应符合的基本资格条件</w:t>
            </w:r>
          </w:p>
        </w:tc>
        <w:tc>
          <w:tcPr>
            <w:tcW w:w="4679" w:type="dxa"/>
            <w:vAlign w:val="center"/>
          </w:tcPr>
          <w:p w14:paraId="10E1B65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（1）具有独立承担民事责任的能力</w:t>
            </w:r>
          </w:p>
        </w:tc>
        <w:tc>
          <w:tcPr>
            <w:tcW w:w="3564" w:type="dxa"/>
            <w:vAlign w:val="center"/>
          </w:tcPr>
          <w:p w14:paraId="5735CD87">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1.供应商法人营业执照（副本）或事业单位法人证书（副本）或个体工商户营业执照或有效的自然人身份证明或社会团体法人登记证书（提供复印件）。 </w:t>
            </w:r>
          </w:p>
          <w:p w14:paraId="0FE147A7">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2.供应商法定代表人身份证明和法定代表人授权代表委托书。</w:t>
            </w:r>
          </w:p>
        </w:tc>
      </w:tr>
      <w:tr w14:paraId="189E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676" w:type="dxa"/>
            <w:vMerge w:val="continue"/>
            <w:vAlign w:val="center"/>
          </w:tcPr>
          <w:p w14:paraId="055071A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1"/>
                <w:szCs w:val="21"/>
                <w:highlight w:val="none"/>
              </w:rPr>
            </w:pPr>
          </w:p>
        </w:tc>
        <w:tc>
          <w:tcPr>
            <w:tcW w:w="709" w:type="dxa"/>
            <w:vMerge w:val="continue"/>
            <w:vAlign w:val="center"/>
          </w:tcPr>
          <w:p w14:paraId="77F7C8BF">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p>
        </w:tc>
        <w:tc>
          <w:tcPr>
            <w:tcW w:w="4679" w:type="dxa"/>
            <w:vAlign w:val="center"/>
          </w:tcPr>
          <w:p w14:paraId="15BF068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（2）</w:t>
            </w:r>
            <w:r>
              <w:rPr>
                <w:rFonts w:hint="eastAsia" w:ascii="仿宋" w:hAnsi="仿宋" w:eastAsia="仿宋" w:cs="仿宋"/>
                <w:color w:val="auto"/>
                <w:sz w:val="21"/>
                <w:szCs w:val="21"/>
                <w:highlight w:val="none"/>
              </w:rPr>
              <w:t>具有良好的商业信誉和健全的财务会计制度</w:t>
            </w:r>
          </w:p>
        </w:tc>
        <w:tc>
          <w:tcPr>
            <w:tcW w:w="3564" w:type="dxa"/>
            <w:vMerge w:val="restart"/>
            <w:vAlign w:val="center"/>
          </w:tcPr>
          <w:p w14:paraId="46BA79E3">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b/>
                <w:color w:val="auto"/>
                <w:sz w:val="21"/>
                <w:szCs w:val="21"/>
                <w:highlight w:val="none"/>
              </w:rPr>
              <w:t>供应商提供《基本资格条件承诺函》（见格式文件）</w:t>
            </w:r>
          </w:p>
        </w:tc>
      </w:tr>
      <w:tr w14:paraId="215D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676" w:type="dxa"/>
            <w:vMerge w:val="continue"/>
            <w:vAlign w:val="center"/>
          </w:tcPr>
          <w:p w14:paraId="12C8DAB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1"/>
                <w:szCs w:val="21"/>
                <w:highlight w:val="none"/>
              </w:rPr>
            </w:pPr>
          </w:p>
        </w:tc>
        <w:tc>
          <w:tcPr>
            <w:tcW w:w="709" w:type="dxa"/>
            <w:vMerge w:val="continue"/>
            <w:vAlign w:val="center"/>
          </w:tcPr>
          <w:p w14:paraId="535480EA">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p>
        </w:tc>
        <w:tc>
          <w:tcPr>
            <w:tcW w:w="4679" w:type="dxa"/>
            <w:vAlign w:val="center"/>
          </w:tcPr>
          <w:p w14:paraId="4937BD1D">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（3）具有履行合同所必需的设备和专业技术能力</w:t>
            </w:r>
          </w:p>
        </w:tc>
        <w:tc>
          <w:tcPr>
            <w:tcW w:w="3564" w:type="dxa"/>
            <w:vMerge w:val="continue"/>
            <w:vAlign w:val="center"/>
          </w:tcPr>
          <w:p w14:paraId="20CF3AA7">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70B3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676" w:type="dxa"/>
            <w:vMerge w:val="continue"/>
            <w:vAlign w:val="center"/>
          </w:tcPr>
          <w:p w14:paraId="4613988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1"/>
                <w:szCs w:val="21"/>
                <w:highlight w:val="none"/>
              </w:rPr>
            </w:pPr>
          </w:p>
        </w:tc>
        <w:tc>
          <w:tcPr>
            <w:tcW w:w="709" w:type="dxa"/>
            <w:vMerge w:val="continue"/>
            <w:vAlign w:val="center"/>
          </w:tcPr>
          <w:p w14:paraId="0C268BDF">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p>
        </w:tc>
        <w:tc>
          <w:tcPr>
            <w:tcW w:w="4679" w:type="dxa"/>
            <w:vAlign w:val="center"/>
          </w:tcPr>
          <w:p w14:paraId="16FF686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（4）有依法缴纳税收和社会保障金的良好记录</w:t>
            </w:r>
          </w:p>
        </w:tc>
        <w:tc>
          <w:tcPr>
            <w:tcW w:w="3564" w:type="dxa"/>
            <w:vMerge w:val="continue"/>
            <w:vAlign w:val="center"/>
          </w:tcPr>
          <w:p w14:paraId="118CF25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1377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676" w:type="dxa"/>
            <w:vMerge w:val="continue"/>
            <w:vAlign w:val="center"/>
          </w:tcPr>
          <w:p w14:paraId="732FAF59">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1"/>
                <w:szCs w:val="21"/>
                <w:highlight w:val="none"/>
              </w:rPr>
            </w:pPr>
          </w:p>
        </w:tc>
        <w:tc>
          <w:tcPr>
            <w:tcW w:w="709" w:type="dxa"/>
            <w:vMerge w:val="continue"/>
            <w:vAlign w:val="center"/>
          </w:tcPr>
          <w:p w14:paraId="091FC65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p>
        </w:tc>
        <w:tc>
          <w:tcPr>
            <w:tcW w:w="4679" w:type="dxa"/>
            <w:vAlign w:val="center"/>
          </w:tcPr>
          <w:p w14:paraId="6F2C4533">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（5）参加政府采购活动前三年内，在经营活动中没有重大违法记录</w:t>
            </w:r>
          </w:p>
        </w:tc>
        <w:tc>
          <w:tcPr>
            <w:tcW w:w="3564" w:type="dxa"/>
            <w:vMerge w:val="continue"/>
            <w:vAlign w:val="center"/>
          </w:tcPr>
          <w:p w14:paraId="7754E2D6">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51A0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676" w:type="dxa"/>
            <w:vMerge w:val="continue"/>
            <w:vAlign w:val="center"/>
          </w:tcPr>
          <w:p w14:paraId="1CE7BE3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1"/>
                <w:szCs w:val="21"/>
                <w:highlight w:val="none"/>
              </w:rPr>
            </w:pPr>
          </w:p>
        </w:tc>
        <w:tc>
          <w:tcPr>
            <w:tcW w:w="709" w:type="dxa"/>
            <w:vMerge w:val="continue"/>
            <w:vAlign w:val="center"/>
          </w:tcPr>
          <w:p w14:paraId="051249E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p>
        </w:tc>
        <w:tc>
          <w:tcPr>
            <w:tcW w:w="4679" w:type="dxa"/>
            <w:vAlign w:val="center"/>
          </w:tcPr>
          <w:p w14:paraId="6FDD2D57">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（6）法律、行政法规规定的其他条件</w:t>
            </w:r>
          </w:p>
        </w:tc>
        <w:tc>
          <w:tcPr>
            <w:tcW w:w="3564" w:type="dxa"/>
            <w:vAlign w:val="center"/>
          </w:tcPr>
          <w:p w14:paraId="4B6840E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6B5C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676" w:type="dxa"/>
            <w:vAlign w:val="center"/>
          </w:tcPr>
          <w:p w14:paraId="24384D3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388" w:type="dxa"/>
            <w:gridSpan w:val="2"/>
            <w:vAlign w:val="center"/>
          </w:tcPr>
          <w:p w14:paraId="54481C5E">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特定资格条件</w:t>
            </w:r>
          </w:p>
        </w:tc>
        <w:tc>
          <w:tcPr>
            <w:tcW w:w="3564" w:type="dxa"/>
            <w:vAlign w:val="center"/>
          </w:tcPr>
          <w:p w14:paraId="25CB157F">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提供证书复印件并加盖鲜章，现场查验原件</w:t>
            </w:r>
          </w:p>
        </w:tc>
      </w:tr>
      <w:tr w14:paraId="4DA4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676" w:type="dxa"/>
            <w:vAlign w:val="center"/>
          </w:tcPr>
          <w:p w14:paraId="6127853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5388" w:type="dxa"/>
            <w:gridSpan w:val="2"/>
            <w:vAlign w:val="center"/>
          </w:tcPr>
          <w:p w14:paraId="7AE3CB9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遴选</w:t>
            </w:r>
            <w:r>
              <w:rPr>
                <w:rFonts w:hint="eastAsia" w:ascii="仿宋" w:hAnsi="仿宋" w:eastAsia="仿宋" w:cs="仿宋"/>
                <w:color w:val="auto"/>
                <w:sz w:val="21"/>
                <w:szCs w:val="21"/>
                <w:highlight w:val="none"/>
              </w:rPr>
              <w:t>保证金</w:t>
            </w:r>
          </w:p>
        </w:tc>
        <w:tc>
          <w:tcPr>
            <w:tcW w:w="3564" w:type="dxa"/>
            <w:vAlign w:val="center"/>
          </w:tcPr>
          <w:p w14:paraId="1067E3F8">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是否按</w:t>
            </w:r>
            <w:r>
              <w:rPr>
                <w:rFonts w:hint="eastAsia" w:ascii="仿宋" w:hAnsi="仿宋" w:eastAsia="仿宋" w:cs="仿宋"/>
                <w:color w:val="auto"/>
                <w:sz w:val="21"/>
                <w:szCs w:val="21"/>
                <w:highlight w:val="none"/>
                <w:lang w:eastAsia="zh-CN"/>
              </w:rPr>
              <w:t>遴选</w:t>
            </w:r>
            <w:r>
              <w:rPr>
                <w:rFonts w:hint="eastAsia" w:ascii="仿宋" w:hAnsi="仿宋" w:eastAsia="仿宋" w:cs="仿宋"/>
                <w:color w:val="auto"/>
                <w:sz w:val="21"/>
                <w:szCs w:val="21"/>
                <w:highlight w:val="none"/>
              </w:rPr>
              <w:t>文件要求缴纳保证金</w:t>
            </w:r>
          </w:p>
        </w:tc>
      </w:tr>
    </w:tbl>
    <w:p w14:paraId="6AECA0F8">
      <w:pPr>
        <w:kinsoku/>
        <w:wordWrap/>
        <w:overflowPunct/>
        <w:topLinePunct w:val="0"/>
        <w:autoSpaceDE/>
        <w:autoSpaceDN/>
        <w:bidi w:val="0"/>
        <w:snapToGrid w:val="0"/>
        <w:spacing w:line="500" w:lineRule="exact"/>
        <w:ind w:firstLine="420" w:firstLineChars="200"/>
        <w:rPr>
          <w:rFonts w:ascii="仿宋" w:hAnsi="仿宋" w:eastAsia="仿宋" w:cs="仿宋"/>
          <w:color w:val="auto"/>
          <w:kern w:val="0"/>
          <w:sz w:val="24"/>
          <w:szCs w:val="24"/>
          <w:highlight w:val="none"/>
        </w:rPr>
      </w:pPr>
      <w:r>
        <w:rPr>
          <w:rFonts w:hint="eastAsia" w:ascii="仿宋" w:hAnsi="仿宋" w:eastAsia="仿宋" w:cs="仿宋"/>
          <w:color w:val="auto"/>
          <w:sz w:val="21"/>
          <w:szCs w:val="21"/>
          <w:highlight w:val="none"/>
        </w:rPr>
        <w:t>说明：</w:t>
      </w:r>
      <w:r>
        <w:rPr>
          <w:rFonts w:hint="eastAsia" w:ascii="仿宋" w:hAnsi="仿宋" w:eastAsia="仿宋" w:cs="仿宋"/>
          <w:color w:val="auto"/>
          <w:kern w:val="0"/>
          <w:sz w:val="24"/>
          <w:szCs w:val="24"/>
          <w:highlight w:val="none"/>
        </w:rPr>
        <w:t>供应商按“多证合一”登记制度办理营业执照的，组织机构代码证和税务登记证（副本）以供应商所提供的营业执照（副本）复印件为准。</w:t>
      </w:r>
    </w:p>
    <w:p w14:paraId="1AC816E0">
      <w:pPr>
        <w:kinsoku/>
        <w:wordWrap/>
        <w:overflowPunct/>
        <w:topLinePunct w:val="0"/>
        <w:autoSpaceDE/>
        <w:autoSpaceDN/>
        <w:bidi w:val="0"/>
        <w:snapToGrid w:val="0"/>
        <w:spacing w:line="50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2、符合性检查。依据</w:t>
      </w:r>
      <w:r>
        <w:rPr>
          <w:rFonts w:hint="eastAsia" w:ascii="仿宋" w:hAnsi="仿宋" w:eastAsia="仿宋" w:cs="仿宋"/>
          <w:color w:val="auto"/>
          <w:kern w:val="0"/>
          <w:sz w:val="24"/>
          <w:szCs w:val="24"/>
          <w:highlight w:val="none"/>
          <w:lang w:eastAsia="zh-CN"/>
        </w:rPr>
        <w:t>公开遴选</w:t>
      </w:r>
      <w:r>
        <w:rPr>
          <w:rFonts w:hint="eastAsia" w:ascii="仿宋" w:hAnsi="仿宋" w:eastAsia="仿宋" w:cs="仿宋"/>
          <w:color w:val="auto"/>
          <w:kern w:val="0"/>
          <w:sz w:val="24"/>
          <w:szCs w:val="24"/>
          <w:highlight w:val="none"/>
        </w:rPr>
        <w:t>文件的规定，从响应文件的有效性、完整性和对</w:t>
      </w:r>
      <w:r>
        <w:rPr>
          <w:rFonts w:hint="eastAsia" w:ascii="仿宋" w:hAnsi="仿宋" w:eastAsia="仿宋" w:cs="仿宋"/>
          <w:color w:val="auto"/>
          <w:kern w:val="0"/>
          <w:sz w:val="24"/>
          <w:szCs w:val="24"/>
          <w:highlight w:val="none"/>
          <w:lang w:eastAsia="zh-CN"/>
        </w:rPr>
        <w:t>公开遴选</w:t>
      </w:r>
      <w:r>
        <w:rPr>
          <w:rFonts w:hint="eastAsia" w:ascii="仿宋" w:hAnsi="仿宋" w:eastAsia="仿宋" w:cs="仿宋"/>
          <w:color w:val="auto"/>
          <w:kern w:val="0"/>
          <w:sz w:val="24"/>
          <w:szCs w:val="24"/>
          <w:highlight w:val="none"/>
        </w:rPr>
        <w:t>文件的响应程度进行审查，以确定是否对</w:t>
      </w:r>
      <w:r>
        <w:rPr>
          <w:rFonts w:hint="eastAsia" w:ascii="仿宋" w:hAnsi="仿宋" w:eastAsia="仿宋" w:cs="仿宋"/>
          <w:color w:val="auto"/>
          <w:kern w:val="0"/>
          <w:sz w:val="24"/>
          <w:szCs w:val="24"/>
          <w:highlight w:val="none"/>
          <w:lang w:eastAsia="zh-CN"/>
        </w:rPr>
        <w:t>公开遴选</w:t>
      </w:r>
      <w:r>
        <w:rPr>
          <w:rFonts w:hint="eastAsia" w:ascii="仿宋" w:hAnsi="仿宋" w:eastAsia="仿宋" w:cs="仿宋"/>
          <w:color w:val="auto"/>
          <w:kern w:val="0"/>
          <w:sz w:val="24"/>
          <w:szCs w:val="24"/>
          <w:highlight w:val="none"/>
        </w:rPr>
        <w:t>文件的实质性要求作出响应。符合性检查资料表如下：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47C7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7078B54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序号</w:t>
            </w:r>
          </w:p>
        </w:tc>
        <w:tc>
          <w:tcPr>
            <w:tcW w:w="3544" w:type="dxa"/>
            <w:gridSpan w:val="2"/>
            <w:vAlign w:val="center"/>
          </w:tcPr>
          <w:p w14:paraId="5615A07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评审因素</w:t>
            </w:r>
          </w:p>
        </w:tc>
        <w:tc>
          <w:tcPr>
            <w:tcW w:w="5409" w:type="dxa"/>
            <w:vAlign w:val="center"/>
          </w:tcPr>
          <w:p w14:paraId="568D4BA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评审标准</w:t>
            </w:r>
          </w:p>
        </w:tc>
      </w:tr>
      <w:tr w14:paraId="7C1F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675" w:type="dxa"/>
            <w:vMerge w:val="restart"/>
            <w:vAlign w:val="center"/>
          </w:tcPr>
          <w:p w14:paraId="797F86B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1560" w:type="dxa"/>
            <w:vMerge w:val="restart"/>
            <w:vAlign w:val="center"/>
          </w:tcPr>
          <w:p w14:paraId="0AE1C778">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有效性审查</w:t>
            </w:r>
          </w:p>
        </w:tc>
        <w:tc>
          <w:tcPr>
            <w:tcW w:w="1984" w:type="dxa"/>
            <w:vAlign w:val="center"/>
          </w:tcPr>
          <w:p w14:paraId="6FCB9C2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响应文件签署</w:t>
            </w:r>
          </w:p>
        </w:tc>
        <w:tc>
          <w:tcPr>
            <w:tcW w:w="5409" w:type="dxa"/>
            <w:vAlign w:val="center"/>
          </w:tcPr>
          <w:p w14:paraId="5FE8F4CE">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响应文件上法定代表人或其授权代表人的签字齐全。</w:t>
            </w:r>
          </w:p>
        </w:tc>
      </w:tr>
      <w:tr w14:paraId="0E7E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675" w:type="dxa"/>
            <w:vMerge w:val="continue"/>
            <w:vAlign w:val="center"/>
          </w:tcPr>
          <w:p w14:paraId="197B5BD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kern w:val="0"/>
                <w:sz w:val="21"/>
                <w:szCs w:val="21"/>
                <w:highlight w:val="none"/>
              </w:rPr>
            </w:pPr>
          </w:p>
        </w:tc>
        <w:tc>
          <w:tcPr>
            <w:tcW w:w="1560" w:type="dxa"/>
            <w:vMerge w:val="continue"/>
            <w:vAlign w:val="center"/>
          </w:tcPr>
          <w:p w14:paraId="27CD414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p>
        </w:tc>
        <w:tc>
          <w:tcPr>
            <w:tcW w:w="1984" w:type="dxa"/>
            <w:vAlign w:val="center"/>
          </w:tcPr>
          <w:p w14:paraId="660D48B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w:t>
            </w:r>
          </w:p>
        </w:tc>
        <w:tc>
          <w:tcPr>
            <w:tcW w:w="5409" w:type="dxa"/>
            <w:vAlign w:val="center"/>
          </w:tcPr>
          <w:p w14:paraId="39ED702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法定代表人身份证明及授权委托书有效，符合</w:t>
            </w:r>
            <w:r>
              <w:rPr>
                <w:rFonts w:hint="eastAsia" w:ascii="仿宋" w:hAnsi="仿宋" w:eastAsia="仿宋" w:cs="仿宋"/>
                <w:color w:val="auto"/>
                <w:sz w:val="21"/>
                <w:szCs w:val="21"/>
                <w:highlight w:val="none"/>
                <w:lang w:eastAsia="zh-CN"/>
              </w:rPr>
              <w:t>公开遴选</w:t>
            </w:r>
            <w:r>
              <w:rPr>
                <w:rFonts w:hint="eastAsia" w:ascii="仿宋" w:hAnsi="仿宋" w:eastAsia="仿宋" w:cs="仿宋"/>
                <w:color w:val="auto"/>
                <w:sz w:val="21"/>
                <w:szCs w:val="21"/>
                <w:highlight w:val="none"/>
              </w:rPr>
              <w:t>文件规定的格式，签字或盖章齐全。</w:t>
            </w:r>
          </w:p>
        </w:tc>
      </w:tr>
      <w:tr w14:paraId="3111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675" w:type="dxa"/>
            <w:vMerge w:val="continue"/>
            <w:vAlign w:val="center"/>
          </w:tcPr>
          <w:p w14:paraId="0F7485E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kern w:val="0"/>
                <w:sz w:val="21"/>
                <w:szCs w:val="21"/>
                <w:highlight w:val="none"/>
              </w:rPr>
            </w:pPr>
          </w:p>
        </w:tc>
        <w:tc>
          <w:tcPr>
            <w:tcW w:w="1560" w:type="dxa"/>
            <w:vMerge w:val="continue"/>
            <w:vAlign w:val="center"/>
          </w:tcPr>
          <w:p w14:paraId="59EAB0AF">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p>
        </w:tc>
        <w:tc>
          <w:tcPr>
            <w:tcW w:w="1984" w:type="dxa"/>
            <w:vAlign w:val="center"/>
          </w:tcPr>
          <w:p w14:paraId="70D978E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响应</w:t>
            </w:r>
            <w:r>
              <w:rPr>
                <w:rFonts w:hint="eastAsia" w:ascii="仿宋" w:hAnsi="仿宋" w:eastAsia="仿宋" w:cs="仿宋"/>
                <w:color w:val="auto"/>
                <w:sz w:val="21"/>
                <w:szCs w:val="21"/>
                <w:highlight w:val="none"/>
                <w:lang w:val="zh-CN"/>
              </w:rPr>
              <w:t>方案</w:t>
            </w:r>
          </w:p>
        </w:tc>
        <w:tc>
          <w:tcPr>
            <w:tcW w:w="5409" w:type="dxa"/>
            <w:vAlign w:val="center"/>
          </w:tcPr>
          <w:p w14:paraId="3DCA8FC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sz w:val="21"/>
                <w:szCs w:val="21"/>
                <w:highlight w:val="none"/>
                <w:lang w:val="zh-CN"/>
              </w:rPr>
              <w:t>只能有一个</w:t>
            </w:r>
            <w:r>
              <w:rPr>
                <w:rFonts w:hint="eastAsia" w:ascii="仿宋" w:hAnsi="仿宋" w:eastAsia="仿宋" w:cs="仿宋"/>
                <w:color w:val="auto"/>
                <w:sz w:val="21"/>
                <w:szCs w:val="21"/>
                <w:highlight w:val="none"/>
              </w:rPr>
              <w:t>响应</w:t>
            </w:r>
            <w:r>
              <w:rPr>
                <w:rFonts w:hint="eastAsia" w:ascii="仿宋" w:hAnsi="仿宋" w:eastAsia="仿宋" w:cs="仿宋"/>
                <w:color w:val="auto"/>
                <w:sz w:val="21"/>
                <w:szCs w:val="21"/>
                <w:highlight w:val="none"/>
                <w:lang w:val="zh-CN"/>
              </w:rPr>
              <w:t>方案。</w:t>
            </w:r>
          </w:p>
        </w:tc>
      </w:tr>
      <w:tr w14:paraId="16B3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675" w:type="dxa"/>
            <w:vMerge w:val="continue"/>
            <w:vAlign w:val="center"/>
          </w:tcPr>
          <w:p w14:paraId="573704E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kern w:val="0"/>
                <w:sz w:val="21"/>
                <w:szCs w:val="21"/>
                <w:highlight w:val="none"/>
              </w:rPr>
            </w:pPr>
          </w:p>
        </w:tc>
        <w:tc>
          <w:tcPr>
            <w:tcW w:w="1560" w:type="dxa"/>
            <w:vMerge w:val="continue"/>
            <w:vAlign w:val="center"/>
          </w:tcPr>
          <w:p w14:paraId="6E81149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p>
        </w:tc>
        <w:tc>
          <w:tcPr>
            <w:tcW w:w="1984" w:type="dxa"/>
            <w:vAlign w:val="center"/>
          </w:tcPr>
          <w:p w14:paraId="39ACDBF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报价唯一</w:t>
            </w:r>
          </w:p>
        </w:tc>
        <w:tc>
          <w:tcPr>
            <w:tcW w:w="5409" w:type="dxa"/>
            <w:vAlign w:val="center"/>
          </w:tcPr>
          <w:p w14:paraId="3B2FC1D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sz w:val="21"/>
                <w:szCs w:val="21"/>
                <w:highlight w:val="none"/>
                <w:lang w:val="zh-CN"/>
              </w:rPr>
              <w:t>只能在采购预算范围内报价，</w:t>
            </w:r>
            <w:r>
              <w:rPr>
                <w:rFonts w:hint="eastAsia" w:ascii="仿宋" w:hAnsi="仿宋" w:eastAsia="仿宋" w:cs="仿宋"/>
                <w:color w:val="auto"/>
                <w:sz w:val="21"/>
                <w:szCs w:val="21"/>
                <w:highlight w:val="none"/>
              </w:rPr>
              <w:t>只能有一个有效报价，不得提交选择性报价。</w:t>
            </w:r>
          </w:p>
        </w:tc>
      </w:tr>
      <w:tr w14:paraId="6A5D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675" w:type="dxa"/>
            <w:vMerge w:val="restart"/>
            <w:vAlign w:val="center"/>
          </w:tcPr>
          <w:p w14:paraId="48654A2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1560" w:type="dxa"/>
            <w:vMerge w:val="restart"/>
            <w:vAlign w:val="center"/>
          </w:tcPr>
          <w:p w14:paraId="35675971">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完整性审查</w:t>
            </w:r>
          </w:p>
        </w:tc>
        <w:tc>
          <w:tcPr>
            <w:tcW w:w="1984" w:type="dxa"/>
            <w:vAlign w:val="center"/>
          </w:tcPr>
          <w:p w14:paraId="4A79D0D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响应</w:t>
            </w:r>
            <w:r>
              <w:rPr>
                <w:rFonts w:hint="eastAsia" w:ascii="仿宋" w:hAnsi="仿宋" w:eastAsia="仿宋" w:cs="仿宋"/>
                <w:color w:val="auto"/>
                <w:sz w:val="21"/>
                <w:szCs w:val="21"/>
                <w:highlight w:val="none"/>
                <w:lang w:val="zh-CN"/>
              </w:rPr>
              <w:t>文件份数</w:t>
            </w:r>
          </w:p>
        </w:tc>
        <w:tc>
          <w:tcPr>
            <w:tcW w:w="5409" w:type="dxa"/>
            <w:vAlign w:val="center"/>
          </w:tcPr>
          <w:p w14:paraId="26DEE568">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响应</w:t>
            </w:r>
            <w:r>
              <w:rPr>
                <w:rFonts w:hint="eastAsia" w:ascii="仿宋" w:hAnsi="仿宋" w:eastAsia="仿宋" w:cs="仿宋"/>
                <w:color w:val="auto"/>
                <w:sz w:val="21"/>
                <w:szCs w:val="21"/>
                <w:highlight w:val="none"/>
                <w:lang w:val="zh-CN"/>
              </w:rPr>
              <w:t>文件正、副本数量符合</w:t>
            </w:r>
            <w:r>
              <w:rPr>
                <w:rFonts w:hint="eastAsia" w:ascii="仿宋" w:hAnsi="仿宋" w:eastAsia="仿宋" w:cs="仿宋"/>
                <w:color w:val="auto"/>
                <w:sz w:val="21"/>
                <w:szCs w:val="21"/>
                <w:highlight w:val="none"/>
                <w:lang w:eastAsia="zh-CN"/>
              </w:rPr>
              <w:t>公开遴选</w:t>
            </w:r>
            <w:r>
              <w:rPr>
                <w:rFonts w:hint="eastAsia" w:ascii="仿宋" w:hAnsi="仿宋" w:eastAsia="仿宋" w:cs="仿宋"/>
                <w:color w:val="auto"/>
                <w:sz w:val="21"/>
                <w:szCs w:val="21"/>
                <w:highlight w:val="none"/>
                <w:lang w:val="zh-CN"/>
              </w:rPr>
              <w:t>文件要求。</w:t>
            </w:r>
          </w:p>
        </w:tc>
      </w:tr>
      <w:tr w14:paraId="4049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75" w:type="dxa"/>
            <w:vMerge w:val="continue"/>
            <w:vAlign w:val="center"/>
          </w:tcPr>
          <w:p w14:paraId="641B70E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kern w:val="0"/>
                <w:sz w:val="21"/>
                <w:szCs w:val="21"/>
                <w:highlight w:val="none"/>
              </w:rPr>
            </w:pPr>
          </w:p>
        </w:tc>
        <w:tc>
          <w:tcPr>
            <w:tcW w:w="1560" w:type="dxa"/>
            <w:vMerge w:val="continue"/>
            <w:vAlign w:val="center"/>
          </w:tcPr>
          <w:p w14:paraId="5144F0F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p>
        </w:tc>
        <w:tc>
          <w:tcPr>
            <w:tcW w:w="1984" w:type="dxa"/>
            <w:vAlign w:val="center"/>
          </w:tcPr>
          <w:p w14:paraId="228C695E">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响应</w:t>
            </w:r>
            <w:r>
              <w:rPr>
                <w:rFonts w:hint="eastAsia" w:ascii="仿宋" w:hAnsi="仿宋" w:eastAsia="仿宋" w:cs="仿宋"/>
                <w:color w:val="auto"/>
                <w:sz w:val="21"/>
                <w:szCs w:val="21"/>
                <w:highlight w:val="none"/>
                <w:lang w:val="zh-CN"/>
              </w:rPr>
              <w:t>文件内容</w:t>
            </w:r>
          </w:p>
        </w:tc>
        <w:tc>
          <w:tcPr>
            <w:tcW w:w="5409" w:type="dxa"/>
            <w:vAlign w:val="center"/>
          </w:tcPr>
          <w:p w14:paraId="4A7AB2B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响应</w:t>
            </w:r>
            <w:r>
              <w:rPr>
                <w:rFonts w:hint="eastAsia" w:ascii="仿宋" w:hAnsi="仿宋" w:eastAsia="仿宋" w:cs="仿宋"/>
                <w:color w:val="auto"/>
                <w:sz w:val="21"/>
                <w:szCs w:val="21"/>
                <w:highlight w:val="none"/>
                <w:lang w:val="zh-CN"/>
              </w:rPr>
              <w:t>文件内容齐全、无遗漏。</w:t>
            </w:r>
          </w:p>
        </w:tc>
      </w:tr>
      <w:tr w14:paraId="31B5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75" w:type="dxa"/>
            <w:vMerge w:val="restart"/>
            <w:vAlign w:val="center"/>
          </w:tcPr>
          <w:p w14:paraId="5524094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1560" w:type="dxa"/>
            <w:vMerge w:val="restart"/>
            <w:vAlign w:val="center"/>
          </w:tcPr>
          <w:p w14:paraId="5188E281">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r>
              <w:rPr>
                <w:rFonts w:hint="eastAsia" w:ascii="仿宋" w:hAnsi="仿宋" w:eastAsia="仿宋" w:cs="仿宋"/>
                <w:color w:val="auto"/>
                <w:kern w:val="0"/>
                <w:sz w:val="21"/>
                <w:szCs w:val="21"/>
                <w:highlight w:val="none"/>
                <w:lang w:eastAsia="zh-CN"/>
              </w:rPr>
              <w:t>公开遴选</w:t>
            </w:r>
            <w:r>
              <w:rPr>
                <w:rFonts w:hint="eastAsia" w:ascii="仿宋" w:hAnsi="仿宋" w:eastAsia="仿宋" w:cs="仿宋"/>
                <w:color w:val="auto"/>
                <w:kern w:val="0"/>
                <w:sz w:val="21"/>
                <w:szCs w:val="21"/>
                <w:highlight w:val="none"/>
              </w:rPr>
              <w:t>文件的响应程度审查</w:t>
            </w:r>
          </w:p>
        </w:tc>
        <w:tc>
          <w:tcPr>
            <w:tcW w:w="1984" w:type="dxa"/>
            <w:vAlign w:val="center"/>
          </w:tcPr>
          <w:p w14:paraId="4594B77E">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响应文件内容</w:t>
            </w:r>
          </w:p>
        </w:tc>
        <w:tc>
          <w:tcPr>
            <w:tcW w:w="5409" w:type="dxa"/>
            <w:vAlign w:val="center"/>
          </w:tcPr>
          <w:p w14:paraId="38908EF8">
            <w:pPr>
              <w:pStyle w:val="10"/>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对</w:t>
            </w:r>
            <w:r>
              <w:rPr>
                <w:rFonts w:hint="eastAsia" w:ascii="仿宋" w:hAnsi="仿宋" w:eastAsia="仿宋" w:cs="仿宋"/>
                <w:color w:val="auto"/>
                <w:kern w:val="0"/>
                <w:sz w:val="21"/>
                <w:szCs w:val="21"/>
                <w:highlight w:val="none"/>
                <w:lang w:eastAsia="zh-CN"/>
              </w:rPr>
              <w:t>公开遴选</w:t>
            </w:r>
            <w:r>
              <w:rPr>
                <w:rFonts w:hint="eastAsia" w:ascii="仿宋" w:hAnsi="仿宋" w:eastAsia="仿宋" w:cs="仿宋"/>
                <w:color w:val="auto"/>
                <w:kern w:val="0"/>
                <w:sz w:val="21"/>
                <w:szCs w:val="21"/>
                <w:highlight w:val="none"/>
              </w:rPr>
              <w:t>文件第二、三篇规定的</w:t>
            </w:r>
            <w:r>
              <w:rPr>
                <w:rFonts w:hint="eastAsia" w:ascii="仿宋" w:hAnsi="仿宋" w:eastAsia="仿宋" w:cs="仿宋"/>
                <w:color w:val="auto"/>
                <w:kern w:val="0"/>
                <w:sz w:val="21"/>
                <w:szCs w:val="21"/>
                <w:highlight w:val="none"/>
                <w:lang w:eastAsia="zh-CN"/>
              </w:rPr>
              <w:t>遴选</w:t>
            </w:r>
            <w:r>
              <w:rPr>
                <w:rFonts w:hint="eastAsia" w:ascii="仿宋" w:hAnsi="仿宋" w:eastAsia="仿宋" w:cs="仿宋"/>
                <w:color w:val="auto"/>
                <w:kern w:val="0"/>
                <w:sz w:val="21"/>
                <w:szCs w:val="21"/>
                <w:highlight w:val="none"/>
              </w:rPr>
              <w:t>内容作出响应。</w:t>
            </w:r>
          </w:p>
        </w:tc>
      </w:tr>
      <w:tr w14:paraId="4BD7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675" w:type="dxa"/>
            <w:vMerge w:val="continue"/>
            <w:vAlign w:val="center"/>
          </w:tcPr>
          <w:p w14:paraId="1C19631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kern w:val="0"/>
                <w:sz w:val="21"/>
                <w:szCs w:val="21"/>
                <w:highlight w:val="none"/>
              </w:rPr>
            </w:pPr>
          </w:p>
        </w:tc>
        <w:tc>
          <w:tcPr>
            <w:tcW w:w="1560" w:type="dxa"/>
            <w:vMerge w:val="continue"/>
            <w:vAlign w:val="center"/>
          </w:tcPr>
          <w:p w14:paraId="48C54CF4">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lang w:val="zh-CN"/>
              </w:rPr>
            </w:pPr>
          </w:p>
        </w:tc>
        <w:tc>
          <w:tcPr>
            <w:tcW w:w="1984" w:type="dxa"/>
            <w:vAlign w:val="center"/>
          </w:tcPr>
          <w:p w14:paraId="61EE26D6">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遴选</w:t>
            </w:r>
            <w:r>
              <w:rPr>
                <w:rFonts w:hint="eastAsia" w:ascii="仿宋" w:hAnsi="仿宋" w:eastAsia="仿宋" w:cs="仿宋"/>
                <w:color w:val="auto"/>
                <w:kern w:val="0"/>
                <w:sz w:val="21"/>
                <w:szCs w:val="21"/>
                <w:highlight w:val="none"/>
              </w:rPr>
              <w:t>有效期</w:t>
            </w:r>
          </w:p>
        </w:tc>
        <w:tc>
          <w:tcPr>
            <w:tcW w:w="5409" w:type="dxa"/>
            <w:vAlign w:val="center"/>
          </w:tcPr>
          <w:p w14:paraId="4AA051D7">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满足</w:t>
            </w:r>
            <w:r>
              <w:rPr>
                <w:rFonts w:hint="eastAsia" w:ascii="仿宋" w:hAnsi="仿宋" w:eastAsia="仿宋" w:cs="仿宋"/>
                <w:color w:val="auto"/>
                <w:kern w:val="0"/>
                <w:sz w:val="21"/>
                <w:szCs w:val="21"/>
                <w:highlight w:val="none"/>
                <w:lang w:eastAsia="zh-CN"/>
              </w:rPr>
              <w:t>遴选</w:t>
            </w:r>
            <w:r>
              <w:rPr>
                <w:rFonts w:hint="eastAsia" w:ascii="仿宋" w:hAnsi="仿宋" w:eastAsia="仿宋" w:cs="仿宋"/>
                <w:color w:val="auto"/>
                <w:kern w:val="0"/>
                <w:sz w:val="21"/>
                <w:szCs w:val="21"/>
                <w:highlight w:val="none"/>
              </w:rPr>
              <w:t>文件</w:t>
            </w:r>
            <w:r>
              <w:rPr>
                <w:rFonts w:hint="eastAsia" w:ascii="仿宋" w:hAnsi="仿宋" w:eastAsia="仿宋" w:cs="仿宋"/>
                <w:color w:val="auto"/>
                <w:sz w:val="21"/>
                <w:szCs w:val="21"/>
                <w:highlight w:val="none"/>
                <w:lang w:val="zh-CN"/>
              </w:rPr>
              <w:t>规定。</w:t>
            </w:r>
          </w:p>
        </w:tc>
      </w:tr>
    </w:tbl>
    <w:p w14:paraId="4CB2D13D">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（三）澄清有关问题。</w:t>
      </w: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5E69DF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w:t>
      </w: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要求供应商澄清、说明或者更正响应文件应当以书面形式作出。供应商的澄清、说明或者更正应当由法定代表人或其授权代表签字或者加盖公章。由授权代表签字的，应当附法定代表人授权书。</w:t>
      </w:r>
    </w:p>
    <w:p w14:paraId="2D680170">
      <w:pPr>
        <w:kinsoku/>
        <w:wordWrap/>
        <w:overflowPunct/>
        <w:topLinePunct w:val="0"/>
        <w:autoSpaceDE/>
        <w:autoSpaceDN/>
        <w:bidi w:val="0"/>
        <w:spacing w:line="500" w:lineRule="exact"/>
        <w:ind w:firstLine="480" w:firstLineChars="200"/>
        <w:rPr>
          <w:rFonts w:hint="default" w:ascii="仿宋" w:hAnsi="仿宋" w:eastAsia="宋体" w:cs="仿宋"/>
          <w:strike/>
          <w:dstrike w:val="0"/>
          <w:color w:val="auto"/>
          <w:sz w:val="24"/>
          <w:szCs w:val="24"/>
          <w:highlight w:val="none"/>
          <w:lang w:val="en-US" w:eastAsia="zh-CN"/>
        </w:rPr>
      </w:pPr>
      <w:r>
        <w:rPr>
          <w:rFonts w:hint="eastAsia" w:ascii="仿宋" w:hAnsi="仿宋" w:eastAsia="仿宋" w:cs="仿宋"/>
          <w:color w:val="auto"/>
          <w:sz w:val="24"/>
          <w:szCs w:val="24"/>
          <w:highlight w:val="none"/>
        </w:rPr>
        <w:t>（五）在</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过程中</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的任何一方不得向他人透露与</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有关的技术资料、价格或其他信息。</w:t>
      </w:r>
    </w:p>
    <w:p w14:paraId="606FB56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采用综合评分法对供应商的响应文件和报价（含有效书面承诺）进行综合评分。</w:t>
      </w:r>
      <w:r>
        <w:rPr>
          <w:rFonts w:hint="eastAsia" w:ascii="仿宋" w:hAnsi="仿宋" w:eastAsia="仿宋" w:cs="仿宋"/>
          <w:color w:val="auto"/>
          <w:kern w:val="0"/>
          <w:sz w:val="24"/>
          <w:szCs w:val="24"/>
          <w:highlight w:val="none"/>
        </w:rPr>
        <w:t>综合评分法，是指响应文件满足</w:t>
      </w:r>
      <w:r>
        <w:rPr>
          <w:rFonts w:hint="eastAsia" w:ascii="仿宋" w:hAnsi="仿宋" w:eastAsia="仿宋" w:cs="仿宋"/>
          <w:color w:val="auto"/>
          <w:kern w:val="0"/>
          <w:sz w:val="24"/>
          <w:szCs w:val="24"/>
          <w:highlight w:val="none"/>
          <w:lang w:eastAsia="zh-CN"/>
        </w:rPr>
        <w:t>公开遴选</w:t>
      </w:r>
      <w:r>
        <w:rPr>
          <w:rFonts w:hint="eastAsia" w:ascii="仿宋" w:hAnsi="仿宋" w:eastAsia="仿宋" w:cs="仿宋"/>
          <w:color w:val="auto"/>
          <w:kern w:val="0"/>
          <w:sz w:val="24"/>
          <w:szCs w:val="24"/>
          <w:highlight w:val="none"/>
        </w:rPr>
        <w:t>文件全部实质性要求且按照评审因素的量化指标评审得分最高的供应商为成交候选供应商的评审方法。供应商总得分为价格、服务、商务等评定因素分别按照相应权重值计算分项得分后相加，满分为100分</w:t>
      </w:r>
      <w:r>
        <w:rPr>
          <w:rFonts w:hint="eastAsia" w:ascii="仿宋" w:hAnsi="仿宋" w:eastAsia="仿宋" w:cs="仿宋"/>
          <w:color w:val="auto"/>
          <w:sz w:val="24"/>
          <w:szCs w:val="24"/>
          <w:highlight w:val="none"/>
        </w:rPr>
        <w:t>。（详见评审标准）。</w:t>
      </w:r>
    </w:p>
    <w:p w14:paraId="3A84F31A">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各成员独立对每个</w:t>
      </w:r>
      <w:r>
        <w:rPr>
          <w:rFonts w:hint="eastAsia" w:ascii="仿宋" w:hAnsi="仿宋" w:eastAsia="仿宋" w:cs="仿宋"/>
          <w:color w:val="auto"/>
          <w:kern w:val="0"/>
          <w:sz w:val="24"/>
          <w:szCs w:val="24"/>
          <w:highlight w:val="none"/>
        </w:rPr>
        <w:t>实质性响应</w:t>
      </w:r>
      <w:r>
        <w:rPr>
          <w:rFonts w:hint="eastAsia" w:ascii="仿宋" w:hAnsi="仿宋" w:eastAsia="仿宋" w:cs="仿宋"/>
          <w:color w:val="auto"/>
          <w:sz w:val="24"/>
          <w:szCs w:val="24"/>
          <w:highlight w:val="none"/>
        </w:rPr>
        <w:t>文件进行评价、打分，然后汇总每个供应商每项评分因素的得分，并根据综合评分情况按照评审得分由高到低顺序推荐3名以上成交候选供应商，并编写评审报告。若供应商的评审得分相同的，按照最后报价由</w:t>
      </w:r>
      <w:r>
        <w:rPr>
          <w:rFonts w:hint="eastAsia" w:ascii="仿宋" w:hAnsi="仿宋" w:eastAsia="仿宋" w:cs="仿宋"/>
          <w:color w:val="auto"/>
          <w:sz w:val="24"/>
          <w:szCs w:val="24"/>
          <w:highlight w:val="none"/>
          <w:lang w:val="en-US" w:eastAsia="zh-CN"/>
        </w:rPr>
        <w:t>高</w:t>
      </w:r>
      <w:r>
        <w:rPr>
          <w:rFonts w:hint="eastAsia" w:ascii="仿宋" w:hAnsi="仿宋" w:eastAsia="仿宋" w:cs="仿宋"/>
          <w:color w:val="auto"/>
          <w:sz w:val="24"/>
          <w:szCs w:val="24"/>
          <w:highlight w:val="none"/>
        </w:rPr>
        <w:t>到</w:t>
      </w:r>
      <w:r>
        <w:rPr>
          <w:rFonts w:hint="eastAsia" w:ascii="仿宋" w:hAnsi="仿宋" w:eastAsia="仿宋" w:cs="仿宋"/>
          <w:color w:val="auto"/>
          <w:sz w:val="24"/>
          <w:szCs w:val="24"/>
          <w:highlight w:val="none"/>
          <w:lang w:val="en-US" w:eastAsia="zh-CN"/>
        </w:rPr>
        <w:t>低</w:t>
      </w:r>
      <w:r>
        <w:rPr>
          <w:rFonts w:hint="eastAsia" w:ascii="仿宋" w:hAnsi="仿宋" w:eastAsia="仿宋" w:cs="仿宋"/>
          <w:color w:val="auto"/>
          <w:sz w:val="24"/>
          <w:szCs w:val="24"/>
          <w:highlight w:val="none"/>
        </w:rPr>
        <w:t>的顺序排列推荐。评审得分且最后报价相同的，按照服务指标优劣顺序排列推荐。若所推荐的成交供应商的服务部分为0分，将失去成为成交候选供应商的资格。</w:t>
      </w:r>
    </w:p>
    <w:p w14:paraId="42E56F35">
      <w:pPr>
        <w:kinsoku/>
        <w:wordWrap/>
        <w:overflowPunct/>
        <w:topLinePunct w:val="0"/>
        <w:autoSpaceDE/>
        <w:autoSpaceDN/>
        <w:bidi w:val="0"/>
        <w:spacing w:line="500" w:lineRule="exact"/>
        <w:rPr>
          <w:rFonts w:ascii="仿宋" w:hAnsi="仿宋" w:eastAsia="仿宋" w:cs="仿宋"/>
          <w:color w:val="auto"/>
          <w:highlight w:val="none"/>
        </w:rPr>
      </w:pPr>
      <w:bookmarkStart w:id="64" w:name="_Toc522724253"/>
      <w:r>
        <w:rPr>
          <w:rFonts w:hint="eastAsia" w:ascii="仿宋" w:hAnsi="仿宋" w:eastAsia="仿宋" w:cs="仿宋"/>
          <w:color w:val="auto"/>
          <w:highlight w:val="none"/>
        </w:rPr>
        <w:t>二、</w:t>
      </w:r>
      <w:bookmarkStart w:id="65" w:name="_Toc342913394"/>
      <w:bookmarkStart w:id="66" w:name="_Toc102227320"/>
      <w:r>
        <w:rPr>
          <w:rFonts w:hint="eastAsia" w:ascii="仿宋" w:hAnsi="仿宋" w:eastAsia="仿宋" w:cs="仿宋"/>
          <w:color w:val="auto"/>
          <w:highlight w:val="none"/>
        </w:rPr>
        <w:t>评审标准</w:t>
      </w:r>
      <w:bookmarkEnd w:id="64"/>
    </w:p>
    <w:tbl>
      <w:tblPr>
        <w:tblStyle w:val="18"/>
        <w:tblW w:w="9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81"/>
        <w:gridCol w:w="5848"/>
        <w:gridCol w:w="1906"/>
      </w:tblGrid>
      <w:tr w14:paraId="52D2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98E6550">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center"/>
              <w:rPr>
                <w:rFonts w:hint="eastAsia" w:ascii="方正仿宋_GBK" w:hAnsi="方正仿宋_GBK" w:eastAsia="方正仿宋_GBK" w:cs="方正仿宋_GBK"/>
                <w:color w:val="auto"/>
                <w:sz w:val="24"/>
                <w:szCs w:val="24"/>
                <w:highlight w:val="none"/>
              </w:rPr>
            </w:pPr>
            <w:bookmarkStart w:id="67" w:name="_Toc522724254"/>
            <w:r>
              <w:rPr>
                <w:rFonts w:hint="eastAsia" w:ascii="方正仿宋_GBK" w:hAnsi="方正仿宋_GBK" w:eastAsia="方正仿宋_GBK" w:cs="方正仿宋_GBK"/>
                <w:b/>
                <w:bCs/>
                <w:color w:val="auto"/>
                <w:kern w:val="0"/>
                <w:sz w:val="24"/>
                <w:szCs w:val="24"/>
                <w:highlight w:val="none"/>
              </w:rPr>
              <w:t>评分项目及权值</w:t>
            </w:r>
          </w:p>
        </w:tc>
        <w:tc>
          <w:tcPr>
            <w:tcW w:w="1381" w:type="dxa"/>
            <w:tcBorders>
              <w:top w:val="single" w:color="auto" w:sz="4" w:space="0"/>
              <w:left w:val="nil"/>
              <w:bottom w:val="single" w:color="auto" w:sz="4" w:space="0"/>
              <w:right w:val="single" w:color="auto" w:sz="4" w:space="0"/>
            </w:tcBorders>
            <w:vAlign w:val="center"/>
          </w:tcPr>
          <w:p w14:paraId="5E6DA989">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
                <w:bCs/>
                <w:color w:val="auto"/>
                <w:kern w:val="0"/>
                <w:sz w:val="24"/>
                <w:szCs w:val="24"/>
                <w:highlight w:val="none"/>
              </w:rPr>
              <w:t>分值</w:t>
            </w:r>
          </w:p>
        </w:tc>
        <w:tc>
          <w:tcPr>
            <w:tcW w:w="5848" w:type="dxa"/>
            <w:tcBorders>
              <w:top w:val="single" w:color="auto" w:sz="4" w:space="0"/>
              <w:left w:val="nil"/>
              <w:bottom w:val="single" w:color="auto" w:sz="4" w:space="0"/>
              <w:right w:val="single" w:color="auto" w:sz="4" w:space="0"/>
            </w:tcBorders>
            <w:vAlign w:val="center"/>
          </w:tcPr>
          <w:p w14:paraId="1833CA1E">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center"/>
              <w:rPr>
                <w:rFonts w:hint="eastAsia" w:ascii="方正仿宋_GBK" w:hAnsi="方正仿宋_GBK" w:eastAsia="方正仿宋_GBK" w:cs="方正仿宋_GBK"/>
                <w:b/>
                <w:bCs/>
                <w:color w:val="auto"/>
                <w:kern w:val="0"/>
                <w:sz w:val="24"/>
                <w:szCs w:val="24"/>
                <w:highlight w:val="none"/>
              </w:rPr>
            </w:pPr>
            <w:r>
              <w:rPr>
                <w:rFonts w:hint="eastAsia" w:ascii="方正仿宋_GBK" w:hAnsi="方正仿宋_GBK" w:eastAsia="方正仿宋_GBK" w:cs="方正仿宋_GBK"/>
                <w:b/>
                <w:bCs/>
                <w:color w:val="auto"/>
                <w:kern w:val="0"/>
                <w:sz w:val="24"/>
                <w:szCs w:val="24"/>
                <w:highlight w:val="none"/>
              </w:rPr>
              <w:t>评分标准</w:t>
            </w:r>
          </w:p>
        </w:tc>
        <w:tc>
          <w:tcPr>
            <w:tcW w:w="1906" w:type="dxa"/>
            <w:tcBorders>
              <w:top w:val="single" w:color="auto" w:sz="4" w:space="0"/>
              <w:left w:val="nil"/>
              <w:bottom w:val="single" w:color="auto" w:sz="4" w:space="0"/>
              <w:right w:val="single" w:color="auto" w:sz="4" w:space="0"/>
            </w:tcBorders>
            <w:vAlign w:val="center"/>
          </w:tcPr>
          <w:p w14:paraId="6516C61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
                <w:bCs/>
                <w:color w:val="auto"/>
                <w:kern w:val="0"/>
                <w:sz w:val="24"/>
                <w:szCs w:val="24"/>
                <w:highlight w:val="none"/>
              </w:rPr>
              <w:t>说明</w:t>
            </w:r>
          </w:p>
        </w:tc>
      </w:tr>
      <w:tr w14:paraId="0FA6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jc w:val="center"/>
        </w:trPr>
        <w:tc>
          <w:tcPr>
            <w:tcW w:w="704" w:type="dxa"/>
            <w:vMerge w:val="restart"/>
            <w:tcBorders>
              <w:top w:val="nil"/>
              <w:left w:val="single" w:color="auto" w:sz="4" w:space="0"/>
              <w:bottom w:val="single" w:color="auto" w:sz="4" w:space="0"/>
              <w:right w:val="single" w:color="auto" w:sz="4" w:space="0"/>
            </w:tcBorders>
            <w:vAlign w:val="center"/>
          </w:tcPr>
          <w:p w14:paraId="71C2F81C">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报价部分</w:t>
            </w:r>
          </w:p>
          <w:p w14:paraId="24426165">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val="en-US" w:eastAsia="zh-CN"/>
              </w:rPr>
              <w:t>30分</w:t>
            </w:r>
            <w:r>
              <w:rPr>
                <w:rFonts w:hint="eastAsia" w:ascii="方正仿宋_GBK" w:hAnsi="方正仿宋_GBK" w:eastAsia="方正仿宋_GBK" w:cs="方正仿宋_GBK"/>
                <w:color w:val="auto"/>
                <w:sz w:val="24"/>
                <w:szCs w:val="24"/>
                <w:highlight w:val="none"/>
              </w:rPr>
              <w:t>）</w:t>
            </w:r>
          </w:p>
        </w:tc>
        <w:tc>
          <w:tcPr>
            <w:tcW w:w="1381" w:type="dxa"/>
            <w:tcBorders>
              <w:top w:val="single" w:color="auto" w:sz="4" w:space="0"/>
              <w:left w:val="nil"/>
              <w:bottom w:val="single" w:color="auto" w:sz="4" w:space="0"/>
              <w:right w:val="single" w:color="auto" w:sz="4" w:space="0"/>
            </w:tcBorders>
            <w:vAlign w:val="center"/>
          </w:tcPr>
          <w:p w14:paraId="0B0EC6E7">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环境改善报价</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val="en-US" w:eastAsia="zh-CN"/>
              </w:rPr>
              <w:t>20</w:t>
            </w:r>
            <w:r>
              <w:rPr>
                <w:rFonts w:hint="eastAsia" w:ascii="方正仿宋_GBK" w:hAnsi="方正仿宋_GBK" w:eastAsia="方正仿宋_GBK" w:cs="方正仿宋_GBK"/>
                <w:color w:val="auto"/>
                <w:sz w:val="24"/>
                <w:szCs w:val="24"/>
                <w:highlight w:val="none"/>
              </w:rPr>
              <w:t>分）</w:t>
            </w:r>
          </w:p>
          <w:p w14:paraId="2E55746F">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center"/>
              <w:rPr>
                <w:rFonts w:hint="eastAsia" w:ascii="方正仿宋_GBK" w:hAnsi="方正仿宋_GBK" w:eastAsia="方正仿宋_GBK" w:cs="方正仿宋_GBK"/>
                <w:color w:val="auto"/>
                <w:sz w:val="24"/>
                <w:szCs w:val="24"/>
                <w:highlight w:val="none"/>
              </w:rPr>
            </w:pPr>
          </w:p>
        </w:tc>
        <w:tc>
          <w:tcPr>
            <w:tcW w:w="5848" w:type="dxa"/>
            <w:tcBorders>
              <w:top w:val="single" w:color="auto" w:sz="4" w:space="0"/>
              <w:left w:val="nil"/>
              <w:bottom w:val="single" w:color="auto" w:sz="4" w:space="0"/>
              <w:right w:val="single" w:color="auto" w:sz="4" w:space="0"/>
            </w:tcBorders>
            <w:vAlign w:val="center"/>
          </w:tcPr>
          <w:p w14:paraId="5EF117C7">
            <w:pPr>
              <w:keepNext w:val="0"/>
              <w:keepLines w:val="0"/>
              <w:numPr>
                <w:ilvl w:val="0"/>
                <w:numId w:val="4"/>
              </w:numPr>
              <w:suppressLineNumbers w:val="0"/>
              <w:kinsoku/>
              <w:wordWrap/>
              <w:overflowPunct/>
              <w:topLinePunct w:val="0"/>
              <w:autoSpaceDE/>
              <w:autoSpaceDN/>
              <w:bidi w:val="0"/>
              <w:spacing w:before="0" w:beforeAutospacing="0" w:after="0" w:afterAutospacing="0" w:line="500" w:lineRule="exact"/>
              <w:ind w:right="0"/>
              <w:jc w:val="left"/>
              <w:rPr>
                <w:rFonts w:ascii="方正仿宋_GBK" w:hAnsi="Times New Roman" w:eastAsia="方正仿宋_GBK" w:cs="Times New Roman"/>
                <w:color w:val="auto"/>
                <w:sz w:val="24"/>
                <w:szCs w:val="24"/>
                <w:highlight w:val="none"/>
              </w:rPr>
            </w:pPr>
            <w:r>
              <w:rPr>
                <w:rFonts w:hint="eastAsia" w:ascii="方正仿宋_GBK" w:eastAsia="方正仿宋_GBK"/>
                <w:color w:val="auto"/>
                <w:sz w:val="24"/>
                <w:szCs w:val="24"/>
                <w:highlight w:val="none"/>
              </w:rPr>
              <w:t>评标基准价：</w:t>
            </w:r>
            <w:r>
              <w:rPr>
                <w:rFonts w:hint="eastAsia" w:ascii="方正仿宋_GBK" w:eastAsia="方正仿宋_GBK"/>
                <w:color w:val="auto"/>
                <w:sz w:val="24"/>
                <w:szCs w:val="24"/>
                <w:highlight w:val="yellow"/>
              </w:rPr>
              <w:t>通过资格和符合性审查的单位</w:t>
            </w:r>
            <w:r>
              <w:rPr>
                <w:rFonts w:hint="eastAsia" w:ascii="方正仿宋_GBK" w:eastAsia="方正仿宋_GBK"/>
                <w:color w:val="auto"/>
                <w:sz w:val="24"/>
                <w:szCs w:val="24"/>
                <w:highlight w:val="none"/>
              </w:rPr>
              <w:t>6家及以上，去掉参选单位六分之一的最高报价和最低报价（取整数）的平均价为平均基准价，不足6家则无需去掉最高报价和最低报价直接取平均价为基准价。</w:t>
            </w:r>
          </w:p>
          <w:p w14:paraId="7AB930D2">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eastAsia="方正仿宋_GBK"/>
                <w:color w:val="auto"/>
                <w:sz w:val="24"/>
                <w:szCs w:val="24"/>
                <w:highlight w:val="none"/>
              </w:rPr>
              <w:t>2、</w:t>
            </w:r>
            <w:r>
              <w:rPr>
                <w:rFonts w:hint="eastAsia" w:ascii="方正仿宋_GBK" w:eastAsia="方正仿宋_GBK"/>
                <w:color w:val="auto"/>
                <w:sz w:val="24"/>
                <w:szCs w:val="24"/>
                <w:highlight w:val="yellow"/>
              </w:rPr>
              <w:t>评标基准价为价格分满分</w:t>
            </w:r>
            <w:r>
              <w:rPr>
                <w:rFonts w:hint="eastAsia" w:ascii="方正仿宋_GBK" w:eastAsia="方正仿宋_GBK"/>
                <w:color w:val="auto"/>
                <w:sz w:val="24"/>
                <w:szCs w:val="24"/>
                <w:highlight w:val="yellow"/>
                <w:lang w:val="en-US" w:eastAsia="zh-CN"/>
              </w:rPr>
              <w:t>20</w:t>
            </w:r>
            <w:r>
              <w:rPr>
                <w:rFonts w:hint="eastAsia" w:ascii="方正仿宋_GBK" w:eastAsia="方正仿宋_GBK"/>
                <w:color w:val="auto"/>
                <w:sz w:val="24"/>
                <w:szCs w:val="24"/>
                <w:highlight w:val="yellow"/>
              </w:rPr>
              <w:t>分</w:t>
            </w:r>
            <w:r>
              <w:rPr>
                <w:rFonts w:hint="eastAsia" w:ascii="方正仿宋_GBK" w:eastAsia="方正仿宋_GBK"/>
                <w:color w:val="auto"/>
                <w:sz w:val="24"/>
                <w:szCs w:val="24"/>
                <w:highlight w:val="none"/>
              </w:rPr>
              <w:t>，参选单位报价与基准价比较。每高过基准值一个百分点扣</w:t>
            </w:r>
            <w:r>
              <w:rPr>
                <w:rFonts w:hint="eastAsia" w:ascii="方正仿宋_GBK" w:eastAsia="方正仿宋_GBK"/>
                <w:color w:val="auto"/>
                <w:sz w:val="24"/>
                <w:szCs w:val="24"/>
                <w:highlight w:val="none"/>
                <w:lang w:val="en-US" w:eastAsia="zh-CN"/>
              </w:rPr>
              <w:t>0.5</w:t>
            </w:r>
            <w:r>
              <w:rPr>
                <w:rFonts w:hint="eastAsia" w:ascii="方正仿宋_GBK" w:eastAsia="方正仿宋_GBK"/>
                <w:color w:val="auto"/>
                <w:sz w:val="24"/>
                <w:szCs w:val="24"/>
                <w:highlight w:val="none"/>
              </w:rPr>
              <w:t>分，每低过基准值一个百分点扣</w:t>
            </w:r>
            <w:r>
              <w:rPr>
                <w:rFonts w:hint="eastAsia" w:ascii="方正仿宋_GBK" w:eastAsia="方正仿宋_GBK"/>
                <w:color w:val="auto"/>
                <w:sz w:val="24"/>
                <w:szCs w:val="24"/>
                <w:highlight w:val="none"/>
                <w:lang w:val="en-US" w:eastAsia="zh-CN"/>
              </w:rPr>
              <w:t>1</w:t>
            </w:r>
            <w:r>
              <w:rPr>
                <w:rFonts w:hint="eastAsia" w:ascii="方正仿宋_GBK" w:eastAsia="方正仿宋_GBK"/>
                <w:color w:val="auto"/>
                <w:sz w:val="24"/>
                <w:szCs w:val="24"/>
                <w:highlight w:val="none"/>
              </w:rPr>
              <w:t>分，扣完为止。</w:t>
            </w:r>
            <w:r>
              <w:rPr>
                <w:rFonts w:hint="eastAsia" w:ascii="方正仿宋_GBK" w:eastAsia="方正仿宋_GBK"/>
                <w:color w:val="auto"/>
                <w:sz w:val="24"/>
                <w:szCs w:val="24"/>
                <w:highlight w:val="yellow"/>
                <w:lang w:val="en-US" w:eastAsia="zh-CN"/>
              </w:rPr>
              <w:t>不足一个百分点按插入法计算</w:t>
            </w:r>
          </w:p>
        </w:tc>
        <w:tc>
          <w:tcPr>
            <w:tcW w:w="1906" w:type="dxa"/>
            <w:tcBorders>
              <w:top w:val="single" w:color="auto" w:sz="4" w:space="0"/>
              <w:left w:val="nil"/>
              <w:bottom w:val="single" w:color="auto" w:sz="4" w:space="0"/>
              <w:right w:val="single" w:color="auto" w:sz="4" w:space="0"/>
            </w:tcBorders>
            <w:vAlign w:val="center"/>
          </w:tcPr>
          <w:p w14:paraId="7743E8BD">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包</w:t>
            </w:r>
            <w:r>
              <w:rPr>
                <w:rFonts w:hint="eastAsia" w:ascii="方正仿宋_GBK" w:hAnsi="方正仿宋_GBK" w:eastAsia="方正仿宋_GBK" w:cs="方正仿宋_GBK"/>
                <w:color w:val="auto"/>
                <w:sz w:val="24"/>
                <w:szCs w:val="24"/>
                <w:highlight w:val="none"/>
                <w:lang w:val="en-US" w:eastAsia="zh-CN"/>
              </w:rPr>
              <w:t>1不低于500万元；包2不低于350万元。</w:t>
            </w:r>
          </w:p>
        </w:tc>
      </w:tr>
      <w:tr w14:paraId="485A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246D948D">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c>
          <w:tcPr>
            <w:tcW w:w="1381" w:type="dxa"/>
            <w:tcBorders>
              <w:top w:val="single" w:color="auto" w:sz="4" w:space="0"/>
              <w:left w:val="nil"/>
              <w:bottom w:val="single" w:color="auto" w:sz="4" w:space="0"/>
              <w:right w:val="single" w:color="auto" w:sz="4" w:space="0"/>
            </w:tcBorders>
            <w:vAlign w:val="center"/>
          </w:tcPr>
          <w:p w14:paraId="23A78D6B">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智慧食堂改善报价（</w:t>
            </w:r>
            <w:r>
              <w:rPr>
                <w:rFonts w:hint="eastAsia" w:ascii="方正仿宋_GBK" w:hAnsi="方正仿宋_GBK" w:eastAsia="方正仿宋_GBK" w:cs="方正仿宋_GBK"/>
                <w:color w:val="auto"/>
                <w:sz w:val="24"/>
                <w:szCs w:val="24"/>
                <w:highlight w:val="none"/>
                <w:lang w:val="en-US" w:eastAsia="zh-CN"/>
              </w:rPr>
              <w:t>10分</w:t>
            </w:r>
            <w:r>
              <w:rPr>
                <w:rFonts w:hint="eastAsia" w:ascii="方正仿宋_GBK" w:hAnsi="方正仿宋_GBK" w:eastAsia="方正仿宋_GBK" w:cs="方正仿宋_GBK"/>
                <w:color w:val="auto"/>
                <w:sz w:val="24"/>
                <w:szCs w:val="24"/>
                <w:highlight w:val="none"/>
                <w:lang w:eastAsia="zh-CN"/>
              </w:rPr>
              <w:t>）</w:t>
            </w:r>
          </w:p>
        </w:tc>
        <w:tc>
          <w:tcPr>
            <w:tcW w:w="5848" w:type="dxa"/>
            <w:tcBorders>
              <w:top w:val="single" w:color="auto" w:sz="4" w:space="0"/>
              <w:left w:val="nil"/>
              <w:bottom w:val="single" w:color="auto" w:sz="4" w:space="0"/>
              <w:right w:val="single" w:color="auto" w:sz="4" w:space="0"/>
            </w:tcBorders>
            <w:vAlign w:val="center"/>
          </w:tcPr>
          <w:p w14:paraId="45D9DCD4">
            <w:pPr>
              <w:keepNext w:val="0"/>
              <w:keepLines w:val="0"/>
              <w:numPr>
                <w:ilvl w:val="-1"/>
                <w:numId w:val="0"/>
              </w:numPr>
              <w:suppressLineNumbers w:val="0"/>
              <w:kinsoku/>
              <w:wordWrap/>
              <w:overflowPunct/>
              <w:topLinePunct w:val="0"/>
              <w:autoSpaceDE/>
              <w:autoSpaceDN/>
              <w:bidi w:val="0"/>
              <w:spacing w:before="0" w:beforeAutospacing="0" w:after="0" w:afterAutospacing="0" w:line="500" w:lineRule="exact"/>
              <w:ind w:left="0" w:right="0"/>
              <w:jc w:val="left"/>
              <w:rPr>
                <w:rFonts w:ascii="方正仿宋_GBK" w:hAnsi="Times New Roman" w:eastAsia="方正仿宋_GBK" w:cs="Times New Roman"/>
                <w:color w:val="auto"/>
                <w:sz w:val="24"/>
                <w:szCs w:val="24"/>
                <w:highlight w:val="none"/>
              </w:rPr>
            </w:pPr>
            <w:r>
              <w:rPr>
                <w:rFonts w:hint="eastAsia" w:ascii="方正仿宋_GBK" w:eastAsia="方正仿宋_GBK"/>
                <w:color w:val="auto"/>
                <w:sz w:val="24"/>
                <w:szCs w:val="24"/>
                <w:highlight w:val="none"/>
                <w:lang w:val="en-US" w:eastAsia="zh-CN"/>
              </w:rPr>
              <w:t>1.</w:t>
            </w:r>
            <w:r>
              <w:rPr>
                <w:rFonts w:hint="eastAsia" w:ascii="方正仿宋_GBK" w:eastAsia="方正仿宋_GBK"/>
                <w:color w:val="auto"/>
                <w:sz w:val="24"/>
                <w:szCs w:val="24"/>
                <w:highlight w:val="none"/>
              </w:rPr>
              <w:t>评标基准价：</w:t>
            </w:r>
            <w:r>
              <w:rPr>
                <w:rFonts w:hint="eastAsia" w:ascii="方正仿宋_GBK" w:eastAsia="方正仿宋_GBK"/>
                <w:color w:val="auto"/>
                <w:sz w:val="24"/>
                <w:szCs w:val="24"/>
                <w:highlight w:val="yellow"/>
              </w:rPr>
              <w:t>通过资格和符合性审查的单位</w:t>
            </w:r>
            <w:r>
              <w:rPr>
                <w:rFonts w:hint="eastAsia" w:ascii="方正仿宋_GBK" w:eastAsia="方正仿宋_GBK"/>
                <w:color w:val="auto"/>
                <w:sz w:val="24"/>
                <w:szCs w:val="24"/>
                <w:highlight w:val="none"/>
              </w:rPr>
              <w:t>6家及以上，去掉参选单位六分之一的最高报价和最低报价（取整数）的平均价为平均基准价，不足6家则无需去掉最高报价和最低报价直接取平均价为基准价。</w:t>
            </w:r>
          </w:p>
          <w:p w14:paraId="621F04B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hint="eastAsia" w:ascii="方正仿宋_GBK" w:hAnsi="方正仿宋_GBK" w:eastAsia="方正仿宋_GBK" w:cs="方正仿宋_GBK"/>
                <w:color w:val="auto"/>
                <w:sz w:val="24"/>
                <w:szCs w:val="24"/>
                <w:highlight w:val="none"/>
              </w:rPr>
            </w:pPr>
            <w:r>
              <w:rPr>
                <w:rFonts w:hint="eastAsia" w:ascii="方正仿宋_GBK" w:eastAsia="方正仿宋_GBK"/>
                <w:color w:val="auto"/>
                <w:sz w:val="24"/>
                <w:szCs w:val="24"/>
                <w:highlight w:val="none"/>
              </w:rPr>
              <w:t>2、评标基准价为价格分满分</w:t>
            </w:r>
            <w:r>
              <w:rPr>
                <w:rFonts w:hint="eastAsia" w:ascii="方正仿宋_GBK" w:eastAsia="方正仿宋_GBK"/>
                <w:color w:val="auto"/>
                <w:sz w:val="24"/>
                <w:szCs w:val="24"/>
                <w:highlight w:val="none"/>
                <w:lang w:val="en-US" w:eastAsia="zh-CN"/>
              </w:rPr>
              <w:t>10</w:t>
            </w:r>
            <w:r>
              <w:rPr>
                <w:rFonts w:hint="eastAsia" w:ascii="方正仿宋_GBK" w:eastAsia="方正仿宋_GBK"/>
                <w:color w:val="auto"/>
                <w:sz w:val="24"/>
                <w:szCs w:val="24"/>
                <w:highlight w:val="none"/>
              </w:rPr>
              <w:t>分，参选单位报价与基准价比较。每高过基准值一个百分点扣</w:t>
            </w:r>
            <w:r>
              <w:rPr>
                <w:rFonts w:hint="eastAsia" w:ascii="方正仿宋_GBK" w:eastAsia="方正仿宋_GBK"/>
                <w:color w:val="auto"/>
                <w:sz w:val="24"/>
                <w:szCs w:val="24"/>
                <w:highlight w:val="none"/>
                <w:lang w:val="en-US" w:eastAsia="zh-CN"/>
              </w:rPr>
              <w:t>0.5</w:t>
            </w:r>
            <w:r>
              <w:rPr>
                <w:rFonts w:hint="eastAsia" w:ascii="方正仿宋_GBK" w:eastAsia="方正仿宋_GBK"/>
                <w:color w:val="auto"/>
                <w:sz w:val="24"/>
                <w:szCs w:val="24"/>
                <w:highlight w:val="none"/>
              </w:rPr>
              <w:t>分，每低过基准值一个百分点扣</w:t>
            </w:r>
            <w:r>
              <w:rPr>
                <w:rFonts w:hint="eastAsia" w:ascii="方正仿宋_GBK" w:eastAsia="方正仿宋_GBK"/>
                <w:color w:val="auto"/>
                <w:sz w:val="24"/>
                <w:szCs w:val="24"/>
                <w:highlight w:val="none"/>
                <w:lang w:val="en-US" w:eastAsia="zh-CN"/>
              </w:rPr>
              <w:t>1</w:t>
            </w:r>
            <w:r>
              <w:rPr>
                <w:rFonts w:hint="eastAsia" w:ascii="方正仿宋_GBK" w:eastAsia="方正仿宋_GBK"/>
                <w:color w:val="auto"/>
                <w:sz w:val="24"/>
                <w:szCs w:val="24"/>
                <w:highlight w:val="none"/>
              </w:rPr>
              <w:t>分，</w:t>
            </w:r>
            <w:r>
              <w:rPr>
                <w:rFonts w:hint="eastAsia" w:ascii="方正仿宋_GBK" w:eastAsia="方正仿宋_GBK"/>
                <w:color w:val="auto"/>
                <w:sz w:val="24"/>
                <w:szCs w:val="24"/>
                <w:highlight w:val="yellow"/>
                <w:lang w:val="en-US" w:eastAsia="zh-CN"/>
              </w:rPr>
              <w:t>不足一个百分点按插入法计算，</w:t>
            </w:r>
            <w:r>
              <w:rPr>
                <w:rFonts w:hint="eastAsia" w:ascii="方正仿宋_GBK" w:eastAsia="方正仿宋_GBK"/>
                <w:color w:val="auto"/>
                <w:sz w:val="24"/>
                <w:szCs w:val="24"/>
                <w:highlight w:val="yellow"/>
              </w:rPr>
              <w:t>扣完为止。</w:t>
            </w:r>
          </w:p>
        </w:tc>
        <w:tc>
          <w:tcPr>
            <w:tcW w:w="1906" w:type="dxa"/>
            <w:tcBorders>
              <w:top w:val="single" w:color="auto" w:sz="4" w:space="0"/>
              <w:left w:val="nil"/>
              <w:bottom w:val="single" w:color="auto" w:sz="4" w:space="0"/>
              <w:right w:val="single" w:color="auto" w:sz="4" w:space="0"/>
            </w:tcBorders>
            <w:vAlign w:val="center"/>
          </w:tcPr>
          <w:p w14:paraId="6BC981AF">
            <w:pPr>
              <w:keepNext w:val="0"/>
              <w:keepLines w:val="0"/>
              <w:suppressLineNumbers w:val="0"/>
              <w:kinsoku/>
              <w:wordWrap/>
              <w:overflowPunct/>
              <w:topLinePunct w:val="0"/>
              <w:autoSpaceDE/>
              <w:autoSpaceDN/>
              <w:bidi w:val="0"/>
              <w:spacing w:before="0" w:beforeAutospacing="0" w:after="0" w:afterAutospacing="0" w:line="500" w:lineRule="exact"/>
              <w:ind w:left="0" w:right="0"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该报价包含在环境改善费中，此为单项评价。</w:t>
            </w:r>
          </w:p>
        </w:tc>
      </w:tr>
      <w:tr w14:paraId="555E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704" w:type="dxa"/>
            <w:vMerge w:val="restart"/>
            <w:tcBorders>
              <w:top w:val="nil"/>
              <w:left w:val="single" w:color="auto" w:sz="4" w:space="0"/>
              <w:bottom w:val="single" w:color="auto" w:sz="4" w:space="0"/>
              <w:right w:val="single" w:color="auto" w:sz="4" w:space="0"/>
            </w:tcBorders>
            <w:vAlign w:val="center"/>
          </w:tcPr>
          <w:p w14:paraId="27FB59C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技术要求（</w:t>
            </w:r>
            <w:r>
              <w:rPr>
                <w:rFonts w:hint="eastAsia" w:ascii="方正仿宋_GBK" w:hAnsi="方正仿宋_GBK" w:eastAsia="方正仿宋_GBK" w:cs="方正仿宋_GBK"/>
                <w:color w:val="auto"/>
                <w:sz w:val="24"/>
                <w:szCs w:val="24"/>
                <w:highlight w:val="none"/>
                <w:lang w:val="en-US" w:eastAsia="zh-CN"/>
              </w:rPr>
              <w:t>25</w:t>
            </w:r>
            <w:r>
              <w:rPr>
                <w:rFonts w:hint="eastAsia" w:ascii="方正仿宋_GBK" w:hAnsi="方正仿宋_GBK" w:eastAsia="方正仿宋_GBK" w:cs="方正仿宋_GBK"/>
                <w:color w:val="auto"/>
                <w:sz w:val="24"/>
                <w:szCs w:val="24"/>
                <w:highlight w:val="none"/>
              </w:rPr>
              <w:t>分）</w:t>
            </w:r>
          </w:p>
        </w:tc>
        <w:tc>
          <w:tcPr>
            <w:tcW w:w="1381" w:type="dxa"/>
            <w:tcBorders>
              <w:top w:val="single" w:color="auto" w:sz="4" w:space="0"/>
              <w:left w:val="nil"/>
              <w:bottom w:val="single" w:color="auto" w:sz="4" w:space="0"/>
              <w:right w:val="single" w:color="auto" w:sz="4" w:space="0"/>
            </w:tcBorders>
            <w:vAlign w:val="center"/>
          </w:tcPr>
          <w:p w14:paraId="0B5364B2">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人员配备方案8分）</w:t>
            </w:r>
          </w:p>
          <w:p w14:paraId="1B58BE9C">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center"/>
              <w:rPr>
                <w:rFonts w:hint="eastAsia" w:ascii="方正仿宋_GBK" w:hAnsi="方正仿宋_GBK" w:eastAsia="方正仿宋_GBK" w:cs="方正仿宋_GBK"/>
                <w:color w:val="auto"/>
                <w:sz w:val="24"/>
                <w:szCs w:val="24"/>
                <w:highlight w:val="none"/>
              </w:rPr>
            </w:pPr>
          </w:p>
        </w:tc>
        <w:tc>
          <w:tcPr>
            <w:tcW w:w="5848" w:type="dxa"/>
            <w:tcBorders>
              <w:top w:val="single" w:color="auto" w:sz="4" w:space="0"/>
              <w:left w:val="nil"/>
              <w:bottom w:val="single" w:color="auto" w:sz="4" w:space="0"/>
              <w:right w:val="single" w:color="auto" w:sz="4" w:space="0"/>
            </w:tcBorders>
            <w:vAlign w:val="center"/>
          </w:tcPr>
          <w:p w14:paraId="684ADF21">
            <w:pPr>
              <w:keepNext w:val="0"/>
              <w:keepLines w:val="0"/>
              <w:suppressLineNumbers w:val="0"/>
              <w:kinsoku/>
              <w:wordWrap/>
              <w:overflowPunct/>
              <w:topLinePunct w:val="0"/>
              <w:autoSpaceDE/>
              <w:autoSpaceDN/>
              <w:bidi w:val="0"/>
              <w:spacing w:before="0" w:beforeAutospacing="0" w:after="0" w:afterAutospacing="0" w:line="500" w:lineRule="exact"/>
              <w:ind w:left="0" w:right="0" w:firstLine="480" w:firstLineChars="200"/>
              <w:jc w:val="left"/>
              <w:rPr>
                <w:rFonts w:hint="default" w:ascii="方正仿宋_GBK" w:hAnsi="方正仿宋_GBK" w:eastAsia="方正仿宋_GBK" w:cs="方正仿宋_GBK"/>
                <w:color w:val="auto"/>
                <w:sz w:val="24"/>
                <w:szCs w:val="24"/>
                <w:highlight w:val="yellow"/>
                <w:lang w:val="en-US" w:eastAsia="zh-CN"/>
              </w:rPr>
            </w:pPr>
            <w:r>
              <w:rPr>
                <w:rFonts w:hint="eastAsia" w:ascii="方正仿宋_GBK" w:hAnsi="方正仿宋_GBK" w:eastAsia="方正仿宋_GBK" w:cs="方正仿宋_GBK"/>
                <w:color w:val="auto"/>
                <w:sz w:val="24"/>
                <w:szCs w:val="24"/>
                <w:highlight w:val="none"/>
              </w:rPr>
              <w:t>1.拟任本项目经理：具有全日制普通专科（高职）以上学历和高校类似项目五年及以上餐饮管理与服务经验，得2分；具有全日制专科普通（高职）以上学历和高校类似项目三年及以上五年以下餐饮管理与服务经验，得1分；学历低于专科层次但具有高校类似项目五年及以上餐饮管理与服务经验得1分；学历低于专科层次但高校类似项目三年及以上五年以下餐饮管理与服务经验，得0.5分。</w:t>
            </w:r>
            <w:r>
              <w:rPr>
                <w:rFonts w:hint="eastAsia" w:ascii="方正仿宋_GBK" w:hAnsi="方正仿宋_GBK" w:eastAsia="方正仿宋_GBK" w:cs="方正仿宋_GBK"/>
                <w:color w:val="auto"/>
                <w:sz w:val="24"/>
                <w:szCs w:val="24"/>
                <w:highlight w:val="yellow"/>
                <w:lang w:val="en-US" w:eastAsia="zh-CN"/>
              </w:rPr>
              <w:t>其他情况均不得分，本项最多得2分。</w:t>
            </w:r>
          </w:p>
          <w:p w14:paraId="0004A785">
            <w:pPr>
              <w:keepNext w:val="0"/>
              <w:keepLines w:val="0"/>
              <w:suppressLineNumbers w:val="0"/>
              <w:kinsoku/>
              <w:wordWrap/>
              <w:overflowPunct/>
              <w:topLinePunct w:val="0"/>
              <w:autoSpaceDE/>
              <w:autoSpaceDN/>
              <w:bidi w:val="0"/>
              <w:spacing w:before="0" w:beforeAutospacing="0" w:after="0" w:afterAutospacing="0" w:line="500" w:lineRule="exact"/>
              <w:ind w:left="0" w:right="0" w:firstLine="480" w:firstLineChars="200"/>
              <w:jc w:val="left"/>
              <w:rPr>
                <w:rFonts w:hint="eastAsia" w:ascii="方正仿宋_GBK" w:hAnsi="方正仿宋_GBK" w:eastAsia="方正仿宋_GBK" w:cs="方正仿宋_GBK"/>
                <w:color w:val="auto"/>
                <w:sz w:val="24"/>
                <w:szCs w:val="24"/>
                <w:highlight w:val="yellow"/>
              </w:rPr>
            </w:pPr>
            <w:r>
              <w:rPr>
                <w:rFonts w:hint="eastAsia" w:ascii="方正仿宋_GBK" w:hAnsi="方正仿宋_GBK" w:eastAsia="方正仿宋_GBK" w:cs="方正仿宋_GBK"/>
                <w:color w:val="auto"/>
                <w:sz w:val="24"/>
                <w:szCs w:val="24"/>
                <w:highlight w:val="none"/>
              </w:rPr>
              <w:t>2.厨师团队：（1）总厨：具有人力资源与社会保障局颁发的（一级）技师的中式烹调师或中式面点师资格。有得2分；（二级）技师的中式烹调师或中式面点师资格，得1分。（2）库房管理员：具有营养师资格且从事高校餐饮3年以上工作经历的库房管理员，得2分；</w:t>
            </w:r>
            <w:r>
              <w:rPr>
                <w:rFonts w:hint="eastAsia" w:ascii="方正仿宋_GBK" w:hAnsi="方正仿宋_GBK" w:eastAsia="方正仿宋_GBK" w:cs="方正仿宋_GBK"/>
                <w:color w:val="auto"/>
                <w:sz w:val="24"/>
                <w:szCs w:val="24"/>
                <w:highlight w:val="yellow"/>
              </w:rPr>
              <w:t>不具有营养师资格，</w:t>
            </w:r>
            <w:r>
              <w:rPr>
                <w:rFonts w:hint="eastAsia" w:ascii="方正仿宋_GBK" w:hAnsi="方正仿宋_GBK" w:eastAsia="方正仿宋_GBK" w:cs="方正仿宋_GBK"/>
                <w:color w:val="auto"/>
                <w:sz w:val="24"/>
                <w:szCs w:val="24"/>
                <w:highlight w:val="yellow"/>
                <w:lang w:val="en-US" w:eastAsia="zh-CN"/>
              </w:rPr>
              <w:t>但</w:t>
            </w:r>
            <w:r>
              <w:rPr>
                <w:rFonts w:hint="eastAsia" w:ascii="方正仿宋_GBK" w:hAnsi="方正仿宋_GBK" w:eastAsia="方正仿宋_GBK" w:cs="方正仿宋_GBK"/>
                <w:color w:val="auto"/>
                <w:sz w:val="24"/>
                <w:szCs w:val="24"/>
                <w:highlight w:val="yellow"/>
              </w:rPr>
              <w:t>从事高校餐饮3年以上工作经历的库房管理员得1分。</w:t>
            </w:r>
            <w:r>
              <w:rPr>
                <w:rFonts w:hint="eastAsia" w:ascii="方正仿宋_GBK" w:hAnsi="方正仿宋_GBK" w:eastAsia="方正仿宋_GBK" w:cs="方正仿宋_GBK"/>
                <w:color w:val="auto"/>
                <w:sz w:val="24"/>
                <w:szCs w:val="24"/>
                <w:highlight w:val="yellow"/>
                <w:lang w:val="en-US" w:eastAsia="zh-CN"/>
              </w:rPr>
              <w:t>其他情</w:t>
            </w:r>
            <w:bookmarkStart w:id="194" w:name="_GoBack"/>
            <w:bookmarkEnd w:id="194"/>
            <w:r>
              <w:rPr>
                <w:rFonts w:hint="eastAsia" w:ascii="方正仿宋_GBK" w:hAnsi="方正仿宋_GBK" w:eastAsia="方正仿宋_GBK" w:cs="方正仿宋_GBK"/>
                <w:color w:val="auto"/>
                <w:sz w:val="24"/>
                <w:szCs w:val="24"/>
                <w:highlight w:val="yellow"/>
                <w:lang w:val="en-US" w:eastAsia="zh-CN"/>
              </w:rPr>
              <w:t>况均不得分，本项最多得4分。</w:t>
            </w:r>
          </w:p>
          <w:p w14:paraId="50292F8B">
            <w:pPr>
              <w:keepNext w:val="0"/>
              <w:keepLines w:val="0"/>
              <w:suppressLineNumbers w:val="0"/>
              <w:kinsoku/>
              <w:wordWrap/>
              <w:overflowPunct/>
              <w:topLinePunct w:val="0"/>
              <w:autoSpaceDE/>
              <w:autoSpaceDN/>
              <w:bidi w:val="0"/>
              <w:spacing w:before="0" w:beforeAutospacing="0" w:after="0" w:afterAutospacing="0" w:line="500" w:lineRule="exact"/>
              <w:ind w:left="0" w:right="0" w:firstLine="480" w:firstLineChars="20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食品安全管理团队：项目配备的食品安全管理人员具有专科及以上学历，具备五年及以上的校园餐饮管理经验的，得2分；具有专科及以上学历，具备3年以上5年以下的校园餐饮管理经验的，得1分；学历低于专科层次但具有高校类似项目五年及以上餐饮管理与服务经验得1分；学历低于专科层次但高校类似项目三年及以上五年以下餐饮管理与服务经验，得0.5分。</w:t>
            </w:r>
            <w:r>
              <w:rPr>
                <w:rFonts w:hint="eastAsia" w:ascii="方正仿宋_GBK" w:hAnsi="方正仿宋_GBK" w:eastAsia="方正仿宋_GBK" w:cs="方正仿宋_GBK"/>
                <w:color w:val="auto"/>
                <w:sz w:val="24"/>
                <w:szCs w:val="24"/>
                <w:highlight w:val="yellow"/>
                <w:lang w:val="en-US" w:eastAsia="zh-CN"/>
              </w:rPr>
              <w:t>其他情况均不得分，本项最多得2分。</w:t>
            </w:r>
          </w:p>
        </w:tc>
        <w:tc>
          <w:tcPr>
            <w:tcW w:w="1906" w:type="dxa"/>
            <w:tcBorders>
              <w:top w:val="single" w:color="auto" w:sz="4" w:space="0"/>
              <w:left w:val="nil"/>
              <w:bottom w:val="single" w:color="auto" w:sz="4" w:space="0"/>
              <w:right w:val="single" w:color="auto" w:sz="4" w:space="0"/>
            </w:tcBorders>
            <w:vAlign w:val="center"/>
          </w:tcPr>
          <w:p w14:paraId="5008DB9F">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1.学历证书需提供https://www.chsi.com.cn/中国高等教育学生信息网查询截图（或毕业证复印件）</w:t>
            </w:r>
          </w:p>
          <w:p w14:paraId="760A2EDA">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2.工作经历需提供服务单位对工作经验的证明文件的盖章扫描件（原件备查。）同时提供</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为其缴纳的至少最近连续6个月社保证明材料复印件</w:t>
            </w:r>
          </w:p>
          <w:p w14:paraId="184A2B92">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3.职业认证需提供技能人员证书原件盖章扫描件及人社局网站（http://jndj.osta.org.cn/）查询截图，原件备查。</w:t>
            </w:r>
          </w:p>
        </w:tc>
      </w:tr>
      <w:tr w14:paraId="1832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454BE98D">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c>
          <w:tcPr>
            <w:tcW w:w="1381" w:type="dxa"/>
            <w:tcBorders>
              <w:top w:val="single" w:color="auto" w:sz="4" w:space="0"/>
              <w:left w:val="nil"/>
              <w:bottom w:val="single" w:color="auto" w:sz="4" w:space="0"/>
              <w:right w:val="single" w:color="auto" w:sz="4" w:space="0"/>
            </w:tcBorders>
            <w:vAlign w:val="center"/>
          </w:tcPr>
          <w:p w14:paraId="1B4F9934">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餐饮服务与膳食规划方案（</w:t>
            </w:r>
            <w:r>
              <w:rPr>
                <w:rFonts w:hint="eastAsia" w:ascii="方正仿宋_GBK" w:hAnsi="方正仿宋_GBK" w:eastAsia="方正仿宋_GBK" w:cs="方正仿宋_GBK"/>
                <w:color w:val="auto"/>
                <w:sz w:val="24"/>
                <w:szCs w:val="24"/>
                <w:highlight w:val="none"/>
                <w:lang w:val="en-US" w:eastAsia="zh-CN"/>
              </w:rPr>
              <w:t>8</w:t>
            </w:r>
            <w:r>
              <w:rPr>
                <w:rFonts w:hint="eastAsia" w:ascii="方正仿宋_GBK" w:hAnsi="方正仿宋_GBK" w:eastAsia="方正仿宋_GBK" w:cs="方正仿宋_GBK"/>
                <w:color w:val="auto"/>
                <w:sz w:val="24"/>
                <w:szCs w:val="24"/>
                <w:highlight w:val="none"/>
              </w:rPr>
              <w:t>分）</w:t>
            </w:r>
          </w:p>
        </w:tc>
        <w:tc>
          <w:tcPr>
            <w:tcW w:w="5848" w:type="dxa"/>
            <w:tcBorders>
              <w:top w:val="single" w:color="auto" w:sz="4" w:space="0"/>
              <w:left w:val="nil"/>
              <w:bottom w:val="single" w:color="auto" w:sz="4" w:space="0"/>
              <w:right w:val="single" w:color="auto" w:sz="4" w:space="0"/>
            </w:tcBorders>
            <w:vAlign w:val="center"/>
          </w:tcPr>
          <w:p w14:paraId="4B1FBA13">
            <w:pPr>
              <w:keepNext w:val="0"/>
              <w:keepLines w:val="0"/>
              <w:suppressLineNumbers w:val="0"/>
              <w:kinsoku/>
              <w:wordWrap/>
              <w:overflowPunct/>
              <w:topLinePunct w:val="0"/>
              <w:autoSpaceDE/>
              <w:autoSpaceDN/>
              <w:bidi w:val="0"/>
              <w:spacing w:before="0" w:beforeAutospacing="0" w:after="0" w:afterAutospacing="0" w:line="500" w:lineRule="exact"/>
              <w:ind w:left="0" w:right="0" w:firstLine="480" w:firstLineChars="20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（一）整体服务方案（总分</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分）</w:t>
            </w:r>
          </w:p>
          <w:p w14:paraId="3AA8EF03">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从下列四个方面对本项目重点难点进行分析，提出应对措施和合理化建议。</w:t>
            </w:r>
          </w:p>
          <w:p w14:paraId="75A6D2A9">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1.对本项目整体需求的理解分析、管理应对、经营业态的实施方案。</w:t>
            </w:r>
          </w:p>
          <w:p w14:paraId="09A1A5E3">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2.针对本项目的食堂现场管理方案。</w:t>
            </w:r>
          </w:p>
          <w:p w14:paraId="2B314FD4">
            <w:pPr>
              <w:keepNext w:val="0"/>
              <w:keepLines w:val="0"/>
              <w:suppressLineNumbers w:val="0"/>
              <w:kinsoku/>
              <w:wordWrap/>
              <w:overflowPunct/>
              <w:topLinePunct w:val="0"/>
              <w:autoSpaceDE/>
              <w:autoSpaceDN/>
              <w:bidi w:val="0"/>
              <w:spacing w:before="0" w:beforeAutospacing="0" w:after="0" w:afterAutospacing="0" w:line="500" w:lineRule="exact"/>
              <w:ind w:left="0" w:right="0" w:firstLine="480" w:firstLineChars="20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3.体现项目公益性的增值服务方案（包含但不限于劳动教育、文化育人、勤工助学等）。</w:t>
            </w:r>
          </w:p>
          <w:p w14:paraId="79BAF78F">
            <w:pPr>
              <w:keepNext w:val="0"/>
              <w:keepLines w:val="0"/>
              <w:suppressLineNumbers w:val="0"/>
              <w:kinsoku/>
              <w:wordWrap/>
              <w:overflowPunct/>
              <w:topLinePunct w:val="0"/>
              <w:autoSpaceDE/>
              <w:autoSpaceDN/>
              <w:bidi w:val="0"/>
              <w:spacing w:before="0" w:beforeAutospacing="0" w:after="0" w:afterAutospacing="0" w:line="500" w:lineRule="exact"/>
              <w:ind w:left="0" w:right="0" w:firstLine="240" w:firstLineChars="10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（二）膳食规划方案（总分</w:t>
            </w: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分）</w:t>
            </w:r>
          </w:p>
          <w:p w14:paraId="2118A7FA">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根据膳食搭配营养、科学、创新，以及菜价丰富合理等方面编制该方案。要求：1.档口及菜品设置规划方案（包1需包含少数民族窗口餐服方案；包2需包含早餐基本伙服务方案）。菜品管理方案（必须设置基本大伙餐档口、特色餐档口），根据菜式品种搭配，产品规划，价格及份量，成本分析进行评审，方案中需提供大伙食、特色风味价格标准，须包含品类、重量、价格清单等。</w:t>
            </w:r>
          </w:p>
          <w:p w14:paraId="0B9B7A3F">
            <w:pPr>
              <w:pStyle w:val="17"/>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jc w:val="both"/>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kern w:val="2"/>
                <w:sz w:val="24"/>
                <w:szCs w:val="24"/>
                <w:highlight w:val="none"/>
              </w:rPr>
              <w:t>2.菜品营养与科学搭配方案。</w:t>
            </w:r>
          </w:p>
          <w:p w14:paraId="36625F83">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3.菜品价格管控、轮换更新及菜品创新方案。</w:t>
            </w:r>
          </w:p>
          <w:p w14:paraId="14F60FE0">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4.特色品种菜报价要求：</w:t>
            </w:r>
          </w:p>
          <w:tbl>
            <w:tblPr>
              <w:tblStyle w:val="18"/>
              <w:tblW w:w="47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65"/>
              <w:gridCol w:w="750"/>
              <w:gridCol w:w="795"/>
              <w:gridCol w:w="780"/>
              <w:gridCol w:w="750"/>
              <w:gridCol w:w="825"/>
              <w:gridCol w:w="545"/>
            </w:tblGrid>
            <w:tr w14:paraId="4048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046FF7">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档口</w:t>
                  </w:r>
                </w:p>
              </w:tc>
              <w:tc>
                <w:tcPr>
                  <w:tcW w:w="46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737223F">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品名</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A0D69F">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主料：克</w:t>
                  </w:r>
                </w:p>
              </w:tc>
              <w:tc>
                <w:tcPr>
                  <w:tcW w:w="7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20D4DB">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辅料：克</w:t>
                  </w:r>
                </w:p>
              </w:tc>
              <w:tc>
                <w:tcPr>
                  <w:tcW w:w="78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EB5034">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调料：克</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63C7AA">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熟重：克</w:t>
                  </w:r>
                </w:p>
              </w:tc>
              <w:tc>
                <w:tcPr>
                  <w:tcW w:w="8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222F15B">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售价：元</w:t>
                  </w:r>
                </w:p>
              </w:tc>
              <w:tc>
                <w:tcPr>
                  <w:tcW w:w="54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488B308">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图片</w:t>
                  </w:r>
                </w:p>
              </w:tc>
            </w:tr>
            <w:tr w14:paraId="6538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BC69227">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p>
              </w:tc>
              <w:tc>
                <w:tcPr>
                  <w:tcW w:w="46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553648">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05600B8">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p>
              </w:tc>
              <w:tc>
                <w:tcPr>
                  <w:tcW w:w="7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32F50A7">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p>
              </w:tc>
              <w:tc>
                <w:tcPr>
                  <w:tcW w:w="78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ED6EA80">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55C4A8">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E9CDEF3">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p>
              </w:tc>
              <w:tc>
                <w:tcPr>
                  <w:tcW w:w="54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ACB0B50">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p>
              </w:tc>
            </w:tr>
          </w:tbl>
          <w:p w14:paraId="688ABB75">
            <w:pPr>
              <w:keepNext w:val="0"/>
              <w:keepLines w:val="0"/>
              <w:numPr>
                <w:ilvl w:val="0"/>
                <w:numId w:val="5"/>
              </w:numPr>
              <w:suppressLineNumbers w:val="0"/>
              <w:kinsoku/>
              <w:wordWrap/>
              <w:overflowPunct/>
              <w:topLinePunct w:val="0"/>
              <w:autoSpaceDE/>
              <w:autoSpaceDN/>
              <w:bidi w:val="0"/>
              <w:spacing w:before="0" w:beforeAutospacing="0" w:after="0" w:afterAutospacing="0" w:line="500" w:lineRule="exact"/>
              <w:ind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必须设置物料管理库房，库房管理方案和措施有序、合理。</w:t>
            </w:r>
          </w:p>
          <w:p w14:paraId="5E1AF855">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c>
          <w:tcPr>
            <w:tcW w:w="1906" w:type="dxa"/>
            <w:tcBorders>
              <w:top w:val="single" w:color="auto" w:sz="4" w:space="0"/>
              <w:left w:val="nil"/>
              <w:bottom w:val="single" w:color="auto" w:sz="4" w:space="0"/>
              <w:right w:val="single" w:color="auto" w:sz="4" w:space="0"/>
            </w:tcBorders>
            <w:vAlign w:val="center"/>
          </w:tcPr>
          <w:p w14:paraId="0890BACD">
            <w:pPr>
              <w:keepNext w:val="0"/>
              <w:keepLines w:val="0"/>
              <w:numPr>
                <w:ilvl w:val="0"/>
                <w:numId w:val="6"/>
              </w:numPr>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整体方案是否全面、科学合理、可行性强等方面综合</w:t>
            </w:r>
            <w:r>
              <w:rPr>
                <w:rFonts w:hint="eastAsia" w:ascii="方正仿宋_GBK" w:hAnsi="方正仿宋_GBK" w:eastAsia="方正仿宋_GBK" w:cs="方正仿宋_GBK"/>
                <w:color w:val="auto"/>
                <w:sz w:val="24"/>
                <w:szCs w:val="24"/>
                <w:highlight w:val="none"/>
                <w:lang w:val="en-US" w:eastAsia="zh-CN"/>
              </w:rPr>
              <w:t>按等级</w:t>
            </w:r>
            <w:r>
              <w:rPr>
                <w:rFonts w:hint="eastAsia" w:ascii="方正仿宋_GBK" w:hAnsi="方正仿宋_GBK" w:eastAsia="方正仿宋_GBK" w:cs="方正仿宋_GBK"/>
                <w:color w:val="auto"/>
                <w:sz w:val="24"/>
                <w:szCs w:val="24"/>
                <w:highlight w:val="none"/>
              </w:rPr>
              <w:t>评判，</w:t>
            </w:r>
          </w:p>
          <w:p w14:paraId="2321D836">
            <w:pPr>
              <w:keepNext w:val="0"/>
              <w:keepLines w:val="0"/>
              <w:numPr>
                <w:ilvl w:val="-1"/>
                <w:numId w:val="0"/>
              </w:numPr>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优：5分</w:t>
            </w:r>
            <w:r>
              <w:rPr>
                <w:rFonts w:hint="eastAsia" w:ascii="方正仿宋_GBK" w:hAnsi="方正仿宋_GBK" w:eastAsia="方正仿宋_GBK" w:cs="方正仿宋_GBK"/>
                <w:color w:val="auto"/>
                <w:sz w:val="24"/>
                <w:szCs w:val="24"/>
                <w:highlight w:val="none"/>
              </w:rPr>
              <w:t>，</w:t>
            </w:r>
          </w:p>
          <w:p w14:paraId="47563D5D">
            <w:pPr>
              <w:keepNext w:val="0"/>
              <w:keepLines w:val="0"/>
              <w:numPr>
                <w:ilvl w:val="-1"/>
                <w:numId w:val="0"/>
              </w:numPr>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良：3分，</w:t>
            </w:r>
          </w:p>
          <w:p w14:paraId="2AF507FD">
            <w:pPr>
              <w:keepNext w:val="0"/>
              <w:keepLines w:val="0"/>
              <w:numPr>
                <w:ilvl w:val="-1"/>
                <w:numId w:val="0"/>
              </w:numPr>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中：2</w:t>
            </w:r>
          </w:p>
          <w:p w14:paraId="6E4F40C6">
            <w:pPr>
              <w:keepNext w:val="0"/>
              <w:keepLines w:val="0"/>
              <w:numPr>
                <w:ilvl w:val="-1"/>
                <w:numId w:val="0"/>
              </w:numPr>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差：1分。</w:t>
            </w:r>
          </w:p>
          <w:p w14:paraId="61B1D625">
            <w:pPr>
              <w:keepNext w:val="0"/>
              <w:keepLines w:val="0"/>
              <w:numPr>
                <w:ilvl w:val="-1"/>
                <w:numId w:val="0"/>
              </w:numPr>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未提供方案者0分</w:t>
            </w:r>
          </w:p>
          <w:p w14:paraId="77E9366E">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p w14:paraId="5DD85508">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2.膳食规划方案从总体完整性、合理性、菜品轮换创新度高、菜品搭配营养科学性、成本分析以及价格管控措施实用性、库房管理措施内容完整性评分.。</w:t>
            </w:r>
          </w:p>
          <w:p w14:paraId="078FF311">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优：</w:t>
            </w: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分</w:t>
            </w:r>
          </w:p>
          <w:p w14:paraId="7CEEF717">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良：</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分</w:t>
            </w:r>
          </w:p>
          <w:p w14:paraId="2FFD072D">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中：</w:t>
            </w:r>
            <w:r>
              <w:rPr>
                <w:rFonts w:hint="eastAsia" w:ascii="方正仿宋_GBK" w:hAnsi="方正仿宋_GBK" w:eastAsia="方正仿宋_GBK" w:cs="方正仿宋_GBK"/>
                <w:color w:val="auto"/>
                <w:sz w:val="24"/>
                <w:szCs w:val="24"/>
                <w:highlight w:val="none"/>
                <w:lang w:val="en-US" w:eastAsia="zh-CN"/>
              </w:rPr>
              <w:t>1.5</w:t>
            </w:r>
            <w:r>
              <w:rPr>
                <w:rFonts w:hint="eastAsia" w:ascii="方正仿宋_GBK" w:hAnsi="方正仿宋_GBK" w:eastAsia="方正仿宋_GBK" w:cs="方正仿宋_GBK"/>
                <w:color w:val="auto"/>
                <w:sz w:val="24"/>
                <w:szCs w:val="24"/>
                <w:highlight w:val="none"/>
              </w:rPr>
              <w:t>分</w:t>
            </w:r>
          </w:p>
          <w:p w14:paraId="44DBB647">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差：1分</w:t>
            </w:r>
          </w:p>
          <w:p w14:paraId="5EBC4394">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未提供方案得0分。</w:t>
            </w:r>
          </w:p>
        </w:tc>
      </w:tr>
      <w:tr w14:paraId="75D6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0FF1C5C2">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c>
          <w:tcPr>
            <w:tcW w:w="1381" w:type="dxa"/>
            <w:tcBorders>
              <w:top w:val="single" w:color="auto" w:sz="4" w:space="0"/>
              <w:left w:val="nil"/>
              <w:bottom w:val="single" w:color="auto" w:sz="4" w:space="0"/>
              <w:right w:val="single" w:color="auto" w:sz="4" w:space="0"/>
            </w:tcBorders>
            <w:vAlign w:val="center"/>
          </w:tcPr>
          <w:p w14:paraId="78EE74E1">
            <w:pPr>
              <w:keepNext w:val="0"/>
              <w:keepLines w:val="0"/>
              <w:suppressLineNumbers w:val="0"/>
              <w:kinsoku/>
              <w:wordWrap/>
              <w:overflowPunct/>
              <w:topLinePunct w:val="0"/>
              <w:autoSpaceDE/>
              <w:autoSpaceDN/>
              <w:bidi w:val="0"/>
              <w:spacing w:before="0" w:beforeAutospacing="0" w:after="0" w:afterAutospacing="0" w:line="500" w:lineRule="exact"/>
              <w:ind w:left="0" w:right="0" w:firstLine="28"/>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环境</w:t>
            </w:r>
            <w:r>
              <w:rPr>
                <w:rFonts w:hint="eastAsia" w:ascii="方正仿宋_GBK" w:hAnsi="方正仿宋_GBK" w:eastAsia="方正仿宋_GBK" w:cs="方正仿宋_GBK"/>
                <w:color w:val="auto"/>
                <w:sz w:val="24"/>
                <w:szCs w:val="24"/>
                <w:highlight w:val="none"/>
                <w:lang w:eastAsia="zh-CN"/>
              </w:rPr>
              <w:t>改善</w:t>
            </w:r>
            <w:r>
              <w:rPr>
                <w:rFonts w:hint="eastAsia" w:ascii="方正仿宋_GBK" w:hAnsi="方正仿宋_GBK" w:eastAsia="方正仿宋_GBK" w:cs="方正仿宋_GBK"/>
                <w:color w:val="auto"/>
                <w:sz w:val="24"/>
                <w:szCs w:val="24"/>
                <w:highlight w:val="none"/>
              </w:rPr>
              <w:t>方案</w:t>
            </w:r>
          </w:p>
          <w:p w14:paraId="76016366">
            <w:pPr>
              <w:keepNext w:val="0"/>
              <w:keepLines w:val="0"/>
              <w:suppressLineNumbers w:val="0"/>
              <w:kinsoku/>
              <w:wordWrap/>
              <w:overflowPunct/>
              <w:topLinePunct w:val="0"/>
              <w:autoSpaceDE/>
              <w:autoSpaceDN/>
              <w:bidi w:val="0"/>
              <w:spacing w:before="0" w:beforeAutospacing="0" w:after="0" w:afterAutospacing="0" w:line="500" w:lineRule="exact"/>
              <w:ind w:left="0" w:right="0" w:firstLine="28"/>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分）</w:t>
            </w:r>
          </w:p>
        </w:tc>
        <w:tc>
          <w:tcPr>
            <w:tcW w:w="5848" w:type="dxa"/>
            <w:tcBorders>
              <w:top w:val="single" w:color="auto" w:sz="4" w:space="0"/>
              <w:left w:val="nil"/>
              <w:bottom w:val="single" w:color="auto" w:sz="4" w:space="0"/>
              <w:right w:val="single" w:color="auto" w:sz="4" w:space="0"/>
            </w:tcBorders>
            <w:vAlign w:val="center"/>
          </w:tcPr>
          <w:p w14:paraId="282FCD50">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不低于重庆市高校标准化食堂建设要求，合理的设备布局和工艺流程。根据装修要求，结合平面功能设计，室内装修设计，环境改造设计、设施设备规划设计，项目校园文化打造等.1.食堂平面区域比例规划合理，室内装饰、烟道改造、冻库与库房、给排水、售卖台保温工作台等功能完善，设计合理，符合食品安全加工制作和售卖流程等。</w:t>
            </w:r>
          </w:p>
          <w:p w14:paraId="7B01F6F7">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2.装修设计方案符合学校校园文化，具有“重庆二师”元素，风格新颖，打造满足餐饮、休闲、交流于一体的多场景空间场所，环境优雅舒适，设计合理。</w:t>
            </w:r>
          </w:p>
          <w:p w14:paraId="076CD917">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3.食堂周边环境改造方案。</w:t>
            </w:r>
          </w:p>
          <w:p w14:paraId="79A39D7E">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4.食堂消防燃气系统、视频监控、空调抽排系统、后厨设施设备、餐桌椅等家具、智慧设备及系统等方案。</w:t>
            </w:r>
          </w:p>
        </w:tc>
        <w:tc>
          <w:tcPr>
            <w:tcW w:w="1906" w:type="dxa"/>
            <w:tcBorders>
              <w:top w:val="single" w:color="auto" w:sz="4" w:space="0"/>
              <w:left w:val="nil"/>
              <w:bottom w:val="single" w:color="auto" w:sz="4" w:space="0"/>
              <w:right w:val="single" w:color="auto" w:sz="4" w:space="0"/>
            </w:tcBorders>
            <w:vAlign w:val="center"/>
          </w:tcPr>
          <w:p w14:paraId="1EFAC354">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1.装修方案及投资预算表必须单独装订成册，否则视为无效响应。</w:t>
            </w:r>
          </w:p>
          <w:p w14:paraId="203C1FA4">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2.按照招商文件的需求和响应情况</w:t>
            </w:r>
            <w:r>
              <w:rPr>
                <w:rFonts w:hint="eastAsia" w:ascii="方正仿宋_GBK" w:hAnsi="方正仿宋_GBK" w:eastAsia="方正仿宋_GBK" w:cs="方正仿宋_GBK"/>
                <w:color w:val="auto"/>
                <w:sz w:val="24"/>
                <w:szCs w:val="24"/>
                <w:highlight w:val="none"/>
                <w:lang w:val="en-US" w:eastAsia="zh-CN"/>
              </w:rPr>
              <w:t>按等级</w:t>
            </w:r>
            <w:r>
              <w:rPr>
                <w:rFonts w:hint="eastAsia" w:ascii="方正仿宋_GBK" w:hAnsi="方正仿宋_GBK" w:eastAsia="方正仿宋_GBK" w:cs="方正仿宋_GBK"/>
                <w:color w:val="auto"/>
                <w:sz w:val="24"/>
                <w:szCs w:val="24"/>
                <w:highlight w:val="none"/>
              </w:rPr>
              <w:t>进行综合评判，</w:t>
            </w:r>
          </w:p>
          <w:p w14:paraId="7FB68D95">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优：</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分</w:t>
            </w:r>
          </w:p>
          <w:p w14:paraId="5E3B8DAA">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良：</w:t>
            </w: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分</w:t>
            </w:r>
          </w:p>
          <w:p w14:paraId="245DF30E">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中：</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分</w:t>
            </w:r>
          </w:p>
          <w:p w14:paraId="6BA29884">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差：1分</w:t>
            </w:r>
          </w:p>
          <w:p w14:paraId="25276B2D">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未提供方案不得分</w:t>
            </w:r>
          </w:p>
          <w:p w14:paraId="5D5FE0C0">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p>
        </w:tc>
      </w:tr>
      <w:tr w14:paraId="45A2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6"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4502ACD1">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c>
          <w:tcPr>
            <w:tcW w:w="1381" w:type="dxa"/>
            <w:tcBorders>
              <w:top w:val="single" w:color="auto" w:sz="4" w:space="0"/>
              <w:left w:val="nil"/>
              <w:bottom w:val="single" w:color="auto" w:sz="4" w:space="0"/>
              <w:right w:val="single" w:color="auto" w:sz="4" w:space="0"/>
            </w:tcBorders>
            <w:vAlign w:val="center"/>
          </w:tcPr>
          <w:p w14:paraId="2249BFE2">
            <w:pPr>
              <w:keepNext w:val="0"/>
              <w:keepLines w:val="0"/>
              <w:suppressLineNumbers w:val="0"/>
              <w:kinsoku/>
              <w:wordWrap/>
              <w:overflowPunct/>
              <w:topLinePunct w:val="0"/>
              <w:autoSpaceDE/>
              <w:autoSpaceDN/>
              <w:bidi w:val="0"/>
              <w:spacing w:before="0" w:beforeAutospacing="0" w:after="0" w:afterAutospacing="0" w:line="500" w:lineRule="exact"/>
              <w:ind w:left="0" w:right="0" w:firstLine="28"/>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食安智慧管理系统建设方案（</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分）</w:t>
            </w:r>
          </w:p>
        </w:tc>
        <w:tc>
          <w:tcPr>
            <w:tcW w:w="5848" w:type="dxa"/>
            <w:tcBorders>
              <w:top w:val="single" w:color="auto" w:sz="4" w:space="0"/>
              <w:left w:val="nil"/>
              <w:bottom w:val="single" w:color="auto" w:sz="4" w:space="0"/>
              <w:right w:val="single" w:color="auto" w:sz="4" w:space="0"/>
            </w:tcBorders>
            <w:vAlign w:val="center"/>
          </w:tcPr>
          <w:p w14:paraId="77EDAA85">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制定结合物联网、人工智能、大数据等技术，实现从食材溯源到加工制作、风险预警的全流程智能化管理方案。方案涵盖：</w:t>
            </w:r>
          </w:p>
          <w:p w14:paraId="608B7F60">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1.实现从食材采购到餐桌的全链条可追溯管理、确保问题可溯源，责任可追究。</w:t>
            </w:r>
          </w:p>
          <w:p w14:paraId="4544831A">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2.利用AI识别、物联网传感技术、实时监测食品安全风险。</w:t>
            </w:r>
          </w:p>
          <w:p w14:paraId="6C6A5316">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3.建立快速投诉处理机制，确保问题“即收即办，当日反馈”。</w:t>
            </w:r>
          </w:p>
          <w:p w14:paraId="26ACFC8D">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4.其他关联性智慧管理方案措施。（每添1项得1分，最多得</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分。）</w:t>
            </w:r>
          </w:p>
        </w:tc>
        <w:tc>
          <w:tcPr>
            <w:tcW w:w="1906" w:type="dxa"/>
            <w:tcBorders>
              <w:top w:val="single" w:color="auto" w:sz="4" w:space="0"/>
              <w:left w:val="nil"/>
              <w:bottom w:val="single" w:color="auto" w:sz="4" w:space="0"/>
              <w:right w:val="single" w:color="auto" w:sz="4" w:space="0"/>
            </w:tcBorders>
            <w:vAlign w:val="center"/>
          </w:tcPr>
          <w:p w14:paraId="26071F66">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1.建设方案及投资预算表必须单独装订成册，否则视为无效响应。</w:t>
            </w:r>
          </w:p>
          <w:p w14:paraId="02EF82B4">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2.按等级综合评分</w:t>
            </w:r>
          </w:p>
          <w:p w14:paraId="327805A8">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优：</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分</w:t>
            </w:r>
          </w:p>
          <w:p w14:paraId="19A359E8">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良：</w:t>
            </w: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分</w:t>
            </w:r>
          </w:p>
          <w:p w14:paraId="2CA090DB">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中：</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分</w:t>
            </w:r>
          </w:p>
          <w:p w14:paraId="604B9907">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差：1分</w:t>
            </w:r>
          </w:p>
          <w:p w14:paraId="54AB7CCA">
            <w:pPr>
              <w:keepNext w:val="0"/>
              <w:keepLines w:val="0"/>
              <w:suppressLineNumbers w:val="0"/>
              <w:kinsoku/>
              <w:wordWrap/>
              <w:overflowPunct/>
              <w:topLinePunct w:val="0"/>
              <w:autoSpaceDE/>
              <w:autoSpaceDN/>
              <w:bidi w:val="0"/>
              <w:spacing w:before="0" w:beforeAutospacing="0" w:after="0" w:afterAutospacing="0" w:line="500" w:lineRule="exact"/>
              <w:ind w:left="0" w:right="0"/>
              <w:rPr>
                <w:color w:val="auto"/>
                <w:szCs w:val="22"/>
                <w:highlight w:val="none"/>
              </w:rPr>
            </w:pPr>
            <w:r>
              <w:rPr>
                <w:rFonts w:hint="eastAsia" w:ascii="方正仿宋_GBK" w:hAnsi="方正仿宋_GBK" w:eastAsia="方正仿宋_GBK" w:cs="方正仿宋_GBK"/>
                <w:color w:val="auto"/>
                <w:sz w:val="24"/>
                <w:szCs w:val="24"/>
                <w:highlight w:val="none"/>
                <w:lang w:val="en-US" w:eastAsia="zh-CN"/>
              </w:rPr>
              <w:t>3.未提供方案不得分</w:t>
            </w:r>
          </w:p>
          <w:p w14:paraId="75D6BB21">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r>
      <w:tr w14:paraId="07D6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704" w:type="dxa"/>
            <w:vMerge w:val="restart"/>
            <w:tcBorders>
              <w:top w:val="nil"/>
              <w:left w:val="single" w:color="auto" w:sz="4" w:space="0"/>
              <w:bottom w:val="single" w:color="auto" w:sz="4" w:space="0"/>
              <w:right w:val="single" w:color="auto" w:sz="4" w:space="0"/>
            </w:tcBorders>
            <w:vAlign w:val="center"/>
          </w:tcPr>
          <w:p w14:paraId="2617B57A">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商务要求</w:t>
            </w:r>
          </w:p>
          <w:p w14:paraId="358CA560">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w:t>
            </w:r>
          </w:p>
        </w:tc>
        <w:tc>
          <w:tcPr>
            <w:tcW w:w="1381" w:type="dxa"/>
            <w:tcBorders>
              <w:top w:val="single" w:color="auto" w:sz="4" w:space="0"/>
              <w:left w:val="nil"/>
              <w:bottom w:val="single" w:color="auto" w:sz="4" w:space="0"/>
              <w:right w:val="single" w:color="auto" w:sz="4" w:space="0"/>
            </w:tcBorders>
            <w:vAlign w:val="center"/>
          </w:tcPr>
          <w:p w14:paraId="677C2919">
            <w:pPr>
              <w:keepNext w:val="0"/>
              <w:keepLines w:val="0"/>
              <w:suppressLineNumbers w:val="0"/>
              <w:kinsoku/>
              <w:wordWrap/>
              <w:overflowPunct/>
              <w:topLinePunct w:val="0"/>
              <w:autoSpaceDE/>
              <w:autoSpaceDN/>
              <w:bidi w:val="0"/>
              <w:spacing w:before="0" w:beforeAutospacing="0" w:after="0" w:afterAutospacing="0" w:line="500" w:lineRule="exact"/>
              <w:ind w:left="-106" w:leftChars="-38"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经营业绩</w:t>
            </w:r>
          </w:p>
          <w:p w14:paraId="7748B7BF">
            <w:pPr>
              <w:keepNext w:val="0"/>
              <w:keepLines w:val="0"/>
              <w:suppressLineNumbers w:val="0"/>
              <w:kinsoku/>
              <w:wordWrap/>
              <w:overflowPunct/>
              <w:topLinePunct w:val="0"/>
              <w:autoSpaceDE/>
              <w:autoSpaceDN/>
              <w:bidi w:val="0"/>
              <w:spacing w:before="0" w:beforeAutospacing="0" w:after="0" w:afterAutospacing="0" w:line="500" w:lineRule="exact"/>
              <w:ind w:left="-106" w:leftChars="-38"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（10分）</w:t>
            </w:r>
          </w:p>
        </w:tc>
        <w:tc>
          <w:tcPr>
            <w:tcW w:w="5848" w:type="dxa"/>
            <w:tcBorders>
              <w:top w:val="single" w:color="auto" w:sz="4" w:space="0"/>
              <w:left w:val="nil"/>
              <w:bottom w:val="single" w:color="auto" w:sz="4" w:space="0"/>
              <w:right w:val="single" w:color="auto" w:sz="4" w:space="0"/>
            </w:tcBorders>
            <w:vAlign w:val="center"/>
          </w:tcPr>
          <w:p w14:paraId="09510AA6">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2"/>
                <w:highlight w:val="none"/>
              </w:rPr>
            </w:pPr>
            <w:r>
              <w:rPr>
                <w:rFonts w:hint="eastAsia" w:ascii="方正仿宋_GBK" w:hAnsi="方正仿宋_GBK" w:eastAsia="方正仿宋_GBK" w:cs="方正仿宋_GBK"/>
                <w:color w:val="auto"/>
                <w:sz w:val="24"/>
                <w:szCs w:val="24"/>
                <w:highlight w:val="none"/>
                <w:lang w:val="en-US" w:eastAsia="zh-CN"/>
              </w:rPr>
              <w:t>供应商提供</w:t>
            </w:r>
            <w:r>
              <w:rPr>
                <w:rFonts w:hint="eastAsia" w:ascii="方正仿宋_GBK" w:hAnsi="方正仿宋_GBK" w:eastAsia="方正仿宋_GBK" w:cs="方正仿宋_GBK"/>
                <w:color w:val="auto"/>
                <w:sz w:val="24"/>
                <w:szCs w:val="24"/>
                <w:highlight w:val="none"/>
              </w:rPr>
              <w:t>自</w:t>
            </w:r>
            <w:r>
              <w:rPr>
                <w:rFonts w:hint="eastAsia" w:ascii="方正仿宋_GBK" w:hAnsi="方正仿宋_GBK" w:eastAsia="方正仿宋_GBK" w:cs="方正仿宋_GBK"/>
                <w:color w:val="auto"/>
                <w:sz w:val="24"/>
                <w:szCs w:val="24"/>
                <w:highlight w:val="yellow"/>
              </w:rPr>
              <w:t>20</w:t>
            </w:r>
            <w:r>
              <w:rPr>
                <w:rFonts w:hint="eastAsia" w:ascii="方正仿宋_GBK" w:hAnsi="方正仿宋_GBK" w:eastAsia="方正仿宋_GBK" w:cs="方正仿宋_GBK"/>
                <w:color w:val="auto"/>
                <w:sz w:val="24"/>
                <w:szCs w:val="24"/>
                <w:highlight w:val="yellow"/>
                <w:lang w:val="en-US" w:eastAsia="zh-CN"/>
              </w:rPr>
              <w:t>20</w:t>
            </w:r>
            <w:r>
              <w:rPr>
                <w:rFonts w:hint="eastAsia" w:ascii="方正仿宋_GBK" w:hAnsi="方正仿宋_GBK" w:eastAsia="方正仿宋_GBK" w:cs="方正仿宋_GBK"/>
                <w:color w:val="auto"/>
                <w:sz w:val="24"/>
                <w:szCs w:val="24"/>
                <w:highlight w:val="yellow"/>
              </w:rPr>
              <w:t>年</w:t>
            </w:r>
            <w:r>
              <w:rPr>
                <w:rFonts w:hint="eastAsia" w:ascii="方正仿宋_GBK" w:hAnsi="方正仿宋_GBK" w:eastAsia="方正仿宋_GBK" w:cs="方正仿宋_GBK"/>
                <w:color w:val="auto"/>
                <w:sz w:val="24"/>
                <w:szCs w:val="24"/>
                <w:highlight w:val="yellow"/>
                <w:lang w:val="en-US" w:eastAsia="zh-CN"/>
              </w:rPr>
              <w:t>1月1日</w:t>
            </w:r>
            <w:r>
              <w:rPr>
                <w:rFonts w:hint="eastAsia" w:ascii="方正仿宋_GBK" w:hAnsi="方正仿宋_GBK" w:eastAsia="方正仿宋_GBK" w:cs="方正仿宋_GBK"/>
                <w:color w:val="auto"/>
                <w:sz w:val="24"/>
                <w:szCs w:val="24"/>
                <w:highlight w:val="none"/>
              </w:rPr>
              <w:t>以来经营</w:t>
            </w:r>
            <w:r>
              <w:rPr>
                <w:rFonts w:hint="eastAsia" w:ascii="方正仿宋_GBK" w:hAnsi="方正仿宋_GBK" w:eastAsia="方正仿宋_GBK" w:cs="方正仿宋_GBK"/>
                <w:color w:val="auto"/>
                <w:sz w:val="24"/>
                <w:szCs w:val="24"/>
                <w:highlight w:val="none"/>
                <w:lang w:eastAsia="zh-CN"/>
              </w:rPr>
              <w:t>学校、医院</w:t>
            </w:r>
            <w:r>
              <w:rPr>
                <w:rFonts w:hint="eastAsia" w:ascii="方正仿宋_GBK" w:hAnsi="方正仿宋_GBK" w:eastAsia="方正仿宋_GBK" w:cs="方正仿宋_GBK"/>
                <w:color w:val="auto"/>
                <w:sz w:val="24"/>
                <w:szCs w:val="24"/>
                <w:highlight w:val="none"/>
                <w:lang w:val="en-US" w:eastAsia="zh-CN"/>
              </w:rPr>
              <w:t>等政府机关、</w:t>
            </w:r>
            <w:r>
              <w:rPr>
                <w:rFonts w:hint="eastAsia" w:ascii="方正仿宋_GBK" w:hAnsi="方正仿宋_GBK" w:eastAsia="方正仿宋_GBK" w:cs="方正仿宋_GBK"/>
                <w:color w:val="auto"/>
                <w:sz w:val="24"/>
                <w:szCs w:val="24"/>
                <w:highlight w:val="none"/>
                <w:lang w:eastAsia="zh-CN"/>
              </w:rPr>
              <w:t>事业单位</w:t>
            </w:r>
            <w:r>
              <w:rPr>
                <w:rFonts w:hint="eastAsia" w:ascii="方正仿宋_GBK" w:hAnsi="方正仿宋_GBK" w:eastAsia="方正仿宋_GBK" w:cs="方正仿宋_GBK"/>
                <w:color w:val="auto"/>
                <w:sz w:val="24"/>
                <w:szCs w:val="24"/>
                <w:highlight w:val="none"/>
              </w:rPr>
              <w:t>食堂（服务合同三年及以上）或</w:t>
            </w:r>
            <w:r>
              <w:rPr>
                <w:rFonts w:hint="eastAsia" w:ascii="方正仿宋_GBK" w:hAnsi="方正仿宋_GBK" w:eastAsia="方正仿宋_GBK" w:cs="方正仿宋_GBK"/>
                <w:color w:val="auto"/>
                <w:sz w:val="24"/>
                <w:szCs w:val="24"/>
                <w:highlight w:val="yellow"/>
              </w:rPr>
              <w:t>20</w:t>
            </w:r>
            <w:r>
              <w:rPr>
                <w:rFonts w:hint="eastAsia" w:ascii="方正仿宋_GBK" w:hAnsi="方正仿宋_GBK" w:eastAsia="方正仿宋_GBK" w:cs="方正仿宋_GBK"/>
                <w:color w:val="auto"/>
                <w:sz w:val="24"/>
                <w:szCs w:val="24"/>
                <w:highlight w:val="yellow"/>
                <w:lang w:val="en-US" w:eastAsia="zh-CN"/>
              </w:rPr>
              <w:t>20</w:t>
            </w:r>
            <w:r>
              <w:rPr>
                <w:rFonts w:hint="eastAsia" w:ascii="方正仿宋_GBK" w:hAnsi="方正仿宋_GBK" w:eastAsia="方正仿宋_GBK" w:cs="方正仿宋_GBK"/>
                <w:color w:val="auto"/>
                <w:sz w:val="24"/>
                <w:szCs w:val="24"/>
                <w:highlight w:val="yellow"/>
              </w:rPr>
              <w:t>年</w:t>
            </w:r>
            <w:r>
              <w:rPr>
                <w:rFonts w:hint="eastAsia" w:ascii="方正仿宋_GBK" w:hAnsi="方正仿宋_GBK" w:eastAsia="方正仿宋_GBK" w:cs="方正仿宋_GBK"/>
                <w:color w:val="auto"/>
                <w:sz w:val="24"/>
                <w:szCs w:val="24"/>
                <w:highlight w:val="yellow"/>
                <w:lang w:val="en-US" w:eastAsia="zh-CN"/>
              </w:rPr>
              <w:t>1月1日</w:t>
            </w:r>
            <w:r>
              <w:rPr>
                <w:rFonts w:hint="eastAsia" w:ascii="方正仿宋_GBK" w:hAnsi="方正仿宋_GBK" w:eastAsia="方正仿宋_GBK" w:cs="方正仿宋_GBK"/>
                <w:color w:val="auto"/>
                <w:sz w:val="24"/>
                <w:szCs w:val="24"/>
                <w:highlight w:val="none"/>
              </w:rPr>
              <w:t>以前签订合同且截至投标日仍在经营的</w:t>
            </w:r>
            <w:r>
              <w:rPr>
                <w:rFonts w:hint="eastAsia" w:ascii="方正仿宋_GBK" w:hAnsi="方正仿宋_GBK" w:eastAsia="方正仿宋_GBK" w:cs="方正仿宋_GBK"/>
                <w:color w:val="auto"/>
                <w:sz w:val="24"/>
                <w:szCs w:val="24"/>
                <w:highlight w:val="none"/>
                <w:lang w:eastAsia="zh-CN"/>
              </w:rPr>
              <w:t>学校、医院、</w:t>
            </w:r>
            <w:r>
              <w:rPr>
                <w:rFonts w:hint="eastAsia" w:ascii="方正仿宋_GBK" w:hAnsi="方正仿宋_GBK" w:eastAsia="方正仿宋_GBK" w:cs="方正仿宋_GBK"/>
                <w:color w:val="auto"/>
                <w:sz w:val="24"/>
                <w:szCs w:val="24"/>
                <w:highlight w:val="none"/>
                <w:lang w:val="en-US" w:eastAsia="zh-CN"/>
              </w:rPr>
              <w:t>等政府机关或</w:t>
            </w:r>
            <w:r>
              <w:rPr>
                <w:rFonts w:hint="eastAsia" w:ascii="方正仿宋_GBK" w:hAnsi="方正仿宋_GBK" w:eastAsia="方正仿宋_GBK" w:cs="方正仿宋_GBK"/>
                <w:color w:val="auto"/>
                <w:sz w:val="24"/>
                <w:szCs w:val="24"/>
                <w:highlight w:val="none"/>
                <w:lang w:eastAsia="zh-CN"/>
              </w:rPr>
              <w:t>事业单位</w:t>
            </w:r>
            <w:r>
              <w:rPr>
                <w:rFonts w:hint="eastAsia" w:ascii="方正仿宋_GBK" w:hAnsi="方正仿宋_GBK" w:eastAsia="方正仿宋_GBK" w:cs="方正仿宋_GBK"/>
                <w:color w:val="auto"/>
                <w:sz w:val="24"/>
                <w:szCs w:val="24"/>
                <w:highlight w:val="none"/>
              </w:rPr>
              <w:t>食堂</w:t>
            </w:r>
            <w:r>
              <w:rPr>
                <w:rFonts w:hint="eastAsia" w:ascii="方正仿宋_GBK" w:hAnsi="方正仿宋_GBK" w:eastAsia="方正仿宋_GBK" w:cs="方正仿宋_GBK"/>
                <w:color w:val="auto"/>
                <w:sz w:val="24"/>
                <w:szCs w:val="24"/>
                <w:highlight w:val="none"/>
                <w:lang w:val="en-US" w:eastAsia="zh-CN"/>
              </w:rPr>
              <w:t>业绩</w:t>
            </w:r>
          </w:p>
          <w:p w14:paraId="07DEEF3D">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2"/>
                <w:highlight w:val="none"/>
              </w:rPr>
            </w:pPr>
          </w:p>
          <w:p w14:paraId="3FF01530">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default" w:ascii="方正仿宋_GBK" w:hAnsi="方正仿宋_GBK" w:eastAsia="仿宋" w:cs="方正仿宋_GBK"/>
                <w:color w:val="auto"/>
                <w:sz w:val="24"/>
                <w:szCs w:val="24"/>
                <w:highlight w:val="yellow"/>
                <w:lang w:val="en-US" w:eastAsia="zh-CN"/>
              </w:rPr>
            </w:pPr>
            <w:r>
              <w:rPr>
                <w:rFonts w:hint="eastAsia" w:ascii="方正仿宋_GBK" w:hAnsi="方正仿宋_GBK" w:eastAsia="方正仿宋_GBK" w:cs="方正仿宋_GBK"/>
                <w:color w:val="auto"/>
                <w:sz w:val="24"/>
                <w:szCs w:val="24"/>
                <w:highlight w:val="none"/>
              </w:rPr>
              <w:t>包1、包2经营面积在3000平方米（含）及以上的，每提供一份合同得2分，最多得10分。</w:t>
            </w:r>
            <w:r>
              <w:rPr>
                <w:rFonts w:hint="eastAsia" w:ascii="仿宋" w:hAnsi="仿宋" w:eastAsia="仿宋" w:cs="仿宋"/>
                <w:color w:val="auto"/>
                <w:sz w:val="24"/>
                <w:szCs w:val="24"/>
                <w:highlight w:val="yellow"/>
              </w:rPr>
              <w:t>本项目特定资格</w:t>
            </w:r>
            <w:r>
              <w:rPr>
                <w:rFonts w:hint="eastAsia" w:ascii="仿宋" w:hAnsi="仿宋" w:eastAsia="仿宋" w:cs="仿宋"/>
                <w:color w:val="auto"/>
                <w:sz w:val="24"/>
                <w:szCs w:val="24"/>
                <w:highlight w:val="yellow"/>
                <w:lang w:val="en-US" w:eastAsia="zh-CN"/>
              </w:rPr>
              <w:t>提供的合同不计入本项计分。</w:t>
            </w:r>
          </w:p>
          <w:p w14:paraId="34216D88">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p>
        </w:tc>
        <w:tc>
          <w:tcPr>
            <w:tcW w:w="1906" w:type="dxa"/>
            <w:tcBorders>
              <w:top w:val="single" w:color="auto" w:sz="4" w:space="0"/>
              <w:left w:val="nil"/>
              <w:bottom w:val="single" w:color="auto" w:sz="4" w:space="0"/>
              <w:right w:val="single" w:color="auto" w:sz="4" w:space="0"/>
            </w:tcBorders>
            <w:vAlign w:val="center"/>
          </w:tcPr>
          <w:p w14:paraId="075E066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提供合同复印件并加盖</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公章。（合同不能反映经营面积的，截取该合同竞标公告上反映食堂面积的截图；或提供业主单位出具的经营面积证明并加盖出具单位公章）</w:t>
            </w:r>
          </w:p>
        </w:tc>
      </w:tr>
      <w:tr w14:paraId="7E76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3A7BD5D0">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c>
          <w:tcPr>
            <w:tcW w:w="1381" w:type="dxa"/>
            <w:tcBorders>
              <w:top w:val="single" w:color="auto" w:sz="4" w:space="0"/>
              <w:left w:val="nil"/>
              <w:bottom w:val="single" w:color="auto" w:sz="4" w:space="0"/>
              <w:right w:val="single" w:color="auto" w:sz="4" w:space="0"/>
            </w:tcBorders>
            <w:vAlign w:val="center"/>
          </w:tcPr>
          <w:p w14:paraId="4F62F123">
            <w:pPr>
              <w:keepNext w:val="0"/>
              <w:keepLines w:val="0"/>
              <w:suppressLineNumbers w:val="0"/>
              <w:kinsoku/>
              <w:wordWrap/>
              <w:overflowPunct/>
              <w:topLinePunct w:val="0"/>
              <w:autoSpaceDE/>
              <w:autoSpaceDN/>
              <w:bidi w:val="0"/>
              <w:spacing w:before="0" w:beforeAutospacing="0" w:after="0" w:afterAutospacing="0" w:line="500" w:lineRule="exact"/>
              <w:ind w:left="-106" w:leftChars="-38"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荣誉（</w:t>
            </w:r>
            <w:r>
              <w:rPr>
                <w:rFonts w:hint="eastAsia" w:ascii="方正仿宋_GBK" w:hAnsi="方正仿宋_GBK" w:eastAsia="方正仿宋_GBK" w:cs="方正仿宋_GBK"/>
                <w:color w:val="auto"/>
                <w:sz w:val="24"/>
                <w:szCs w:val="24"/>
                <w:highlight w:val="none"/>
                <w:lang w:val="en-US" w:eastAsia="zh-CN"/>
              </w:rPr>
              <w:t>25</w:t>
            </w:r>
            <w:r>
              <w:rPr>
                <w:rFonts w:hint="eastAsia" w:ascii="方正仿宋_GBK" w:hAnsi="方正仿宋_GBK" w:eastAsia="方正仿宋_GBK" w:cs="方正仿宋_GBK"/>
                <w:color w:val="auto"/>
                <w:sz w:val="24"/>
                <w:szCs w:val="24"/>
                <w:highlight w:val="none"/>
              </w:rPr>
              <w:t>分）</w:t>
            </w:r>
          </w:p>
        </w:tc>
        <w:tc>
          <w:tcPr>
            <w:tcW w:w="5848" w:type="dxa"/>
            <w:tcBorders>
              <w:top w:val="single" w:color="auto" w:sz="4" w:space="0"/>
              <w:left w:val="nil"/>
              <w:bottom w:val="single" w:color="auto" w:sz="4" w:space="0"/>
              <w:right w:val="single" w:color="auto" w:sz="4" w:space="0"/>
            </w:tcBorders>
            <w:vAlign w:val="center"/>
          </w:tcPr>
          <w:p w14:paraId="45D94E5E">
            <w:pPr>
              <w:keepNext w:val="0"/>
              <w:keepLines w:val="0"/>
              <w:numPr>
                <w:ilvl w:val="0"/>
                <w:numId w:val="7"/>
              </w:numPr>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eastAsia="方正仿宋_GBK"/>
                <w:color w:val="auto"/>
                <w:sz w:val="24"/>
                <w:szCs w:val="24"/>
                <w:highlight w:val="none"/>
              </w:rPr>
            </w:pPr>
            <w:r>
              <w:rPr>
                <w:rFonts w:hint="eastAsia" w:ascii="方正仿宋_GBK" w:eastAsia="方正仿宋_GBK"/>
                <w:color w:val="auto"/>
                <w:sz w:val="24"/>
                <w:szCs w:val="24"/>
                <w:highlight w:val="none"/>
              </w:rPr>
              <w:t>参与遴选的供应商自20</w:t>
            </w:r>
            <w:r>
              <w:rPr>
                <w:rFonts w:hint="eastAsia" w:ascii="方正仿宋_GBK" w:eastAsia="方正仿宋_GBK"/>
                <w:color w:val="auto"/>
                <w:sz w:val="24"/>
                <w:szCs w:val="24"/>
                <w:highlight w:val="yellow"/>
              </w:rPr>
              <w:t>20年</w:t>
            </w:r>
            <w:r>
              <w:rPr>
                <w:rFonts w:hint="eastAsia" w:ascii="方正仿宋_GBK" w:eastAsia="方正仿宋_GBK"/>
                <w:color w:val="auto"/>
                <w:sz w:val="24"/>
                <w:szCs w:val="24"/>
                <w:highlight w:val="yellow"/>
                <w:lang w:val="en-US" w:eastAsia="zh-CN"/>
              </w:rPr>
              <w:t>1月1日</w:t>
            </w:r>
            <w:r>
              <w:rPr>
                <w:rFonts w:hint="eastAsia" w:ascii="方正仿宋_GBK" w:eastAsia="方正仿宋_GBK"/>
                <w:color w:val="auto"/>
                <w:sz w:val="24"/>
                <w:szCs w:val="24"/>
                <w:highlight w:val="none"/>
              </w:rPr>
              <w:t>起获得过国家级（如教育部、国家市场监管总局、国家税务总局等）行政部门</w:t>
            </w:r>
            <w:r>
              <w:rPr>
                <w:rFonts w:hint="eastAsia" w:ascii="方正仿宋_GBK" w:eastAsia="方正仿宋_GBK"/>
                <w:color w:val="auto"/>
                <w:sz w:val="24"/>
                <w:szCs w:val="24"/>
                <w:highlight w:val="yellow"/>
                <w:lang w:val="en-US" w:eastAsia="zh-CN"/>
              </w:rPr>
              <w:t>或国家级协会（如中国教育后勤协会、中国烹饪协会、中国饭店协会等同级协会）的</w:t>
            </w:r>
            <w:r>
              <w:rPr>
                <w:rFonts w:hint="eastAsia" w:ascii="方正仿宋_GBK" w:eastAsia="方正仿宋_GBK"/>
                <w:color w:val="auto"/>
                <w:sz w:val="24"/>
                <w:szCs w:val="24"/>
                <w:highlight w:val="yellow"/>
              </w:rPr>
              <w:t>有关奖励、</w:t>
            </w:r>
            <w:r>
              <w:rPr>
                <w:rFonts w:hint="eastAsia" w:ascii="方正仿宋_GBK" w:eastAsia="方正仿宋_GBK"/>
                <w:color w:val="auto"/>
                <w:sz w:val="24"/>
                <w:szCs w:val="24"/>
                <w:highlight w:val="none"/>
              </w:rPr>
              <w:t>每一个得3分，最多得6分。获得过省级行政单位（如教育厅、省级市场监管局、省级税务局等）有关奖励，每一个得2分，最多得6分。</w:t>
            </w:r>
          </w:p>
          <w:p w14:paraId="4F7B51ED">
            <w:pPr>
              <w:keepNext w:val="0"/>
              <w:keepLines w:val="0"/>
              <w:numPr>
                <w:numId w:val="0"/>
              </w:numPr>
              <w:suppressLineNumbers w:val="0"/>
              <w:kinsoku/>
              <w:wordWrap/>
              <w:overflowPunct/>
              <w:topLinePunct w:val="0"/>
              <w:autoSpaceDE/>
              <w:autoSpaceDN/>
              <w:bidi w:val="0"/>
              <w:spacing w:before="0" w:beforeAutospacing="0" w:after="0" w:afterAutospacing="0" w:line="500" w:lineRule="exact"/>
              <w:ind w:right="0" w:rightChars="0"/>
              <w:jc w:val="left"/>
              <w:rPr>
                <w:rFonts w:hint="eastAsia" w:ascii="方正仿宋_GBK" w:eastAsia="方正仿宋_GBK"/>
                <w:color w:val="auto"/>
                <w:sz w:val="24"/>
                <w:szCs w:val="24"/>
                <w:highlight w:val="yellow"/>
              </w:rPr>
            </w:pPr>
            <w:r>
              <w:rPr>
                <w:rFonts w:hint="eastAsia" w:ascii="方正仿宋_GBK" w:eastAsia="方正仿宋_GBK"/>
                <w:color w:val="auto"/>
                <w:sz w:val="24"/>
                <w:szCs w:val="24"/>
                <w:highlight w:val="yellow"/>
              </w:rPr>
              <w:t>2.参与遴选的供应商自2020年</w:t>
            </w:r>
            <w:r>
              <w:rPr>
                <w:rFonts w:hint="eastAsia" w:ascii="方正仿宋_GBK" w:eastAsia="方正仿宋_GBK"/>
                <w:color w:val="auto"/>
                <w:sz w:val="24"/>
                <w:szCs w:val="24"/>
                <w:highlight w:val="yellow"/>
                <w:lang w:val="en-US" w:eastAsia="zh-CN"/>
              </w:rPr>
              <w:t>1月1日</w:t>
            </w:r>
            <w:r>
              <w:rPr>
                <w:rFonts w:hint="eastAsia" w:ascii="方正仿宋_GBK" w:eastAsia="方正仿宋_GBK"/>
                <w:color w:val="auto"/>
                <w:sz w:val="24"/>
                <w:szCs w:val="24"/>
                <w:highlight w:val="yellow"/>
              </w:rPr>
              <w:t>起，经营的高校食堂，获得过</w:t>
            </w:r>
            <w:r>
              <w:rPr>
                <w:rFonts w:hint="eastAsia" w:ascii="方正仿宋_GBK" w:eastAsia="方正仿宋_GBK"/>
                <w:color w:val="auto"/>
                <w:sz w:val="24"/>
                <w:szCs w:val="24"/>
                <w:highlight w:val="yellow"/>
                <w:lang w:val="en-US" w:eastAsia="zh-CN"/>
              </w:rPr>
              <w:t>所属地，省级教育主管部门（直辖市为省级）下发的</w:t>
            </w:r>
            <w:r>
              <w:rPr>
                <w:rFonts w:hint="eastAsia" w:ascii="方正仿宋_GBK" w:eastAsia="方正仿宋_GBK"/>
                <w:color w:val="auto"/>
                <w:sz w:val="24"/>
                <w:szCs w:val="24"/>
                <w:highlight w:val="yellow"/>
              </w:rPr>
              <w:t>“标准化食堂”或“满意食堂”创建成功者</w:t>
            </w:r>
            <w:r>
              <w:rPr>
                <w:rFonts w:hint="eastAsia" w:ascii="方正仿宋_GBK" w:eastAsia="方正仿宋_GBK"/>
                <w:color w:val="auto"/>
                <w:sz w:val="24"/>
                <w:szCs w:val="24"/>
                <w:highlight w:val="yellow"/>
                <w:lang w:eastAsia="zh-CN"/>
              </w:rPr>
              <w:t>（</w:t>
            </w:r>
            <w:r>
              <w:rPr>
                <w:rFonts w:hint="eastAsia" w:ascii="方正仿宋_GBK" w:eastAsia="方正仿宋_GBK"/>
                <w:color w:val="auto"/>
                <w:sz w:val="24"/>
                <w:szCs w:val="24"/>
                <w:highlight w:val="yellow"/>
                <w:lang w:val="en-US" w:eastAsia="zh-CN"/>
              </w:rPr>
              <w:t>或所属地，省级教育主管部门（直辖市为省级）下发其他同等级荣誉</w:t>
            </w:r>
            <w:r>
              <w:rPr>
                <w:rFonts w:hint="eastAsia" w:ascii="方正仿宋_GBK" w:eastAsia="方正仿宋_GBK"/>
                <w:color w:val="auto"/>
                <w:sz w:val="24"/>
                <w:szCs w:val="24"/>
                <w:highlight w:val="yellow"/>
                <w:lang w:eastAsia="zh-CN"/>
              </w:rPr>
              <w:t>）</w:t>
            </w:r>
            <w:r>
              <w:rPr>
                <w:rFonts w:hint="eastAsia" w:ascii="方正仿宋_GBK" w:eastAsia="方正仿宋_GBK"/>
                <w:color w:val="auto"/>
                <w:sz w:val="24"/>
                <w:szCs w:val="24"/>
                <w:highlight w:val="yellow"/>
              </w:rPr>
              <w:t>，每提供1个得2分，最多得8分。（</w:t>
            </w:r>
            <w:r>
              <w:rPr>
                <w:rFonts w:hint="eastAsia" w:ascii="方正仿宋_GBK" w:eastAsia="方正仿宋_GBK"/>
                <w:color w:val="auto"/>
                <w:sz w:val="24"/>
                <w:szCs w:val="24"/>
                <w:highlight w:val="yellow"/>
                <w:lang w:val="en-US" w:eastAsia="zh-CN"/>
              </w:rPr>
              <w:t>提供所属地，省级教育主管部门（直辖市为省级）</w:t>
            </w:r>
            <w:r>
              <w:rPr>
                <w:rFonts w:hint="eastAsia" w:ascii="方正仿宋_GBK" w:eastAsia="方正仿宋_GBK"/>
                <w:color w:val="auto"/>
                <w:sz w:val="24"/>
                <w:szCs w:val="24"/>
                <w:highlight w:val="yellow"/>
              </w:rPr>
              <w:t>下发文件中本食堂获奖信息，并证明该食堂为本企业经营）</w:t>
            </w:r>
          </w:p>
          <w:p w14:paraId="5C4741F8">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eastAsia="方正仿宋_GBK"/>
                <w:color w:val="auto"/>
                <w:sz w:val="24"/>
                <w:szCs w:val="24"/>
                <w:highlight w:val="none"/>
              </w:rPr>
            </w:pPr>
            <w:r>
              <w:rPr>
                <w:rFonts w:hint="eastAsia" w:ascii="方正仿宋_GBK" w:eastAsia="方正仿宋_GBK"/>
                <w:color w:val="auto"/>
                <w:sz w:val="24"/>
                <w:szCs w:val="24"/>
                <w:highlight w:val="none"/>
              </w:rPr>
              <w:t>3.</w:t>
            </w:r>
            <w:r>
              <w:rPr>
                <w:rFonts w:hint="eastAsia" w:ascii="方正仿宋_GBK" w:eastAsia="方正仿宋_GBK"/>
                <w:color w:val="auto"/>
                <w:sz w:val="24"/>
                <w:szCs w:val="24"/>
                <w:highlight w:val="yellow"/>
              </w:rPr>
              <w:t>遴选的供应商经营的食堂，自2020年</w:t>
            </w:r>
            <w:r>
              <w:rPr>
                <w:rFonts w:hint="eastAsia" w:ascii="方正仿宋_GBK" w:eastAsia="方正仿宋_GBK"/>
                <w:color w:val="auto"/>
                <w:sz w:val="24"/>
                <w:szCs w:val="24"/>
                <w:highlight w:val="yellow"/>
                <w:lang w:val="en-US" w:eastAsia="zh-CN"/>
              </w:rPr>
              <w:t>1月1日</w:t>
            </w:r>
            <w:r>
              <w:rPr>
                <w:rFonts w:hint="eastAsia" w:ascii="方正仿宋_GBK" w:eastAsia="方正仿宋_GBK"/>
                <w:color w:val="auto"/>
                <w:sz w:val="24"/>
                <w:szCs w:val="24"/>
                <w:highlight w:val="yellow"/>
              </w:rPr>
              <w:t>起</w:t>
            </w:r>
            <w:r>
              <w:rPr>
                <w:rFonts w:hint="eastAsia" w:ascii="方正仿宋_GBK" w:eastAsia="方正仿宋_GBK"/>
                <w:color w:val="auto"/>
                <w:sz w:val="24"/>
                <w:szCs w:val="24"/>
                <w:highlight w:val="none"/>
              </w:rPr>
              <w:t>，获得属地市场监管局A级评定（一个食堂只能认定一次），每提供1个，得1分，最多3分。</w:t>
            </w:r>
          </w:p>
          <w:p w14:paraId="737722EB">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yellow"/>
              </w:rPr>
            </w:pPr>
            <w:r>
              <w:rPr>
                <w:rFonts w:hint="eastAsia" w:ascii="方正仿宋_GBK" w:eastAsia="方正仿宋_GBK"/>
                <w:color w:val="auto"/>
                <w:sz w:val="24"/>
                <w:szCs w:val="24"/>
                <w:highlight w:val="none"/>
              </w:rPr>
              <w:t>4.</w:t>
            </w:r>
            <w:r>
              <w:rPr>
                <w:rFonts w:hint="eastAsia" w:ascii="方正仿宋_GBK" w:eastAsia="方正仿宋_GBK"/>
                <w:color w:val="auto"/>
                <w:sz w:val="24"/>
                <w:szCs w:val="24"/>
                <w:highlight w:val="yellow"/>
              </w:rPr>
              <w:t>遴选的供应商自</w:t>
            </w:r>
            <w:r>
              <w:rPr>
                <w:rFonts w:hint="eastAsia" w:ascii="方正仿宋_GBK" w:eastAsia="方正仿宋_GBK"/>
                <w:color w:val="auto"/>
                <w:sz w:val="24"/>
                <w:szCs w:val="24"/>
                <w:highlight w:val="yellow"/>
              </w:rPr>
              <w:t>2020年</w:t>
            </w:r>
            <w:r>
              <w:rPr>
                <w:rFonts w:hint="eastAsia" w:ascii="方正仿宋_GBK" w:eastAsia="方正仿宋_GBK"/>
                <w:color w:val="auto"/>
                <w:sz w:val="24"/>
                <w:szCs w:val="24"/>
                <w:highlight w:val="yellow"/>
                <w:lang w:val="en-US" w:eastAsia="zh-CN"/>
              </w:rPr>
              <w:t>1月1日</w:t>
            </w:r>
            <w:r>
              <w:rPr>
                <w:rFonts w:hint="eastAsia" w:ascii="方正仿宋_GBK" w:eastAsia="方正仿宋_GBK"/>
                <w:color w:val="auto"/>
                <w:sz w:val="24"/>
                <w:szCs w:val="24"/>
                <w:highlight w:val="yellow"/>
              </w:rPr>
              <w:t>起</w:t>
            </w:r>
            <w:r>
              <w:rPr>
                <w:rFonts w:hint="eastAsia" w:ascii="方正仿宋_GBK" w:eastAsia="方正仿宋_GBK"/>
                <w:color w:val="auto"/>
                <w:sz w:val="24"/>
                <w:szCs w:val="24"/>
                <w:highlight w:val="none"/>
              </w:rPr>
              <w:t>在年度纳税信用等级评定中获得A级纳税企业称号的，每提供1个得1分，本项最多得2分。</w:t>
            </w:r>
          </w:p>
        </w:tc>
        <w:tc>
          <w:tcPr>
            <w:tcW w:w="1906" w:type="dxa"/>
            <w:tcBorders>
              <w:top w:val="single" w:color="auto" w:sz="4" w:space="0"/>
              <w:left w:val="nil"/>
              <w:bottom w:val="single" w:color="auto" w:sz="4" w:space="0"/>
              <w:right w:val="single" w:color="auto" w:sz="4" w:space="0"/>
            </w:tcBorders>
            <w:vAlign w:val="center"/>
          </w:tcPr>
          <w:p w14:paraId="381D8114">
            <w:pPr>
              <w:keepNext w:val="0"/>
              <w:keepLines w:val="0"/>
              <w:numPr>
                <w:ilvl w:val="0"/>
                <w:numId w:val="8"/>
              </w:numPr>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需提供荣誉奖项的扫描件并加盖</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公章，原件备查。未提供的该项不得分。</w:t>
            </w:r>
          </w:p>
          <w:p w14:paraId="762116D7">
            <w:pPr>
              <w:keepNext w:val="0"/>
              <w:keepLines w:val="0"/>
              <w:numPr>
                <w:ilvl w:val="0"/>
                <w:numId w:val="8"/>
              </w:numPr>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列表中所有可能获得的荣誉，在评审中，只能得一次分，不得重复计算。</w:t>
            </w:r>
          </w:p>
        </w:tc>
      </w:tr>
      <w:tr w14:paraId="58CD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1350AB6B">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c>
          <w:tcPr>
            <w:tcW w:w="1381" w:type="dxa"/>
            <w:tcBorders>
              <w:top w:val="single" w:color="auto" w:sz="4" w:space="0"/>
              <w:left w:val="nil"/>
              <w:bottom w:val="single" w:color="auto" w:sz="4" w:space="0"/>
              <w:right w:val="single" w:color="auto" w:sz="4" w:space="0"/>
            </w:tcBorders>
            <w:vAlign w:val="center"/>
          </w:tcPr>
          <w:p w14:paraId="2321FA6D">
            <w:pPr>
              <w:keepNext w:val="0"/>
              <w:keepLines w:val="0"/>
              <w:suppressLineNumbers w:val="0"/>
              <w:kinsoku/>
              <w:wordWrap/>
              <w:overflowPunct/>
              <w:topLinePunct w:val="0"/>
              <w:autoSpaceDE/>
              <w:autoSpaceDN/>
              <w:bidi w:val="0"/>
              <w:spacing w:before="0" w:beforeAutospacing="0" w:after="0" w:afterAutospacing="0" w:line="500" w:lineRule="exact"/>
              <w:ind w:left="0" w:leftChars="0" w:right="0" w:firstLine="0" w:firstLineChars="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用户满意度（</w:t>
            </w: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分）</w:t>
            </w:r>
          </w:p>
        </w:tc>
        <w:tc>
          <w:tcPr>
            <w:tcW w:w="5848" w:type="dxa"/>
            <w:tcBorders>
              <w:top w:val="single" w:color="auto" w:sz="4" w:space="0"/>
              <w:left w:val="nil"/>
              <w:bottom w:val="single" w:color="auto" w:sz="4" w:space="0"/>
              <w:right w:val="single" w:color="auto" w:sz="4" w:space="0"/>
            </w:tcBorders>
            <w:vAlign w:val="center"/>
          </w:tcPr>
          <w:p w14:paraId="5E567AB8">
            <w:pPr>
              <w:keepNext w:val="0"/>
              <w:keepLines w:val="0"/>
              <w:suppressLineNumbers w:val="0"/>
              <w:kinsoku/>
              <w:wordWrap/>
              <w:overflowPunct/>
              <w:topLinePunct w:val="0"/>
              <w:autoSpaceDE/>
              <w:autoSpaceDN/>
              <w:bidi w:val="0"/>
              <w:spacing w:before="0" w:beforeAutospacing="0" w:after="0" w:afterAutospacing="0" w:line="500" w:lineRule="exact"/>
              <w:ind w:left="0" w:right="0" w:firstLine="0" w:firstLineChars="0"/>
              <w:jc w:val="left"/>
              <w:rPr>
                <w:rFonts w:hint="eastAsia" w:ascii="方正仿宋_GBK" w:hAnsi="方正仿宋_GBK" w:eastAsia="方正仿宋_GBK" w:cs="方正仿宋_GBK"/>
                <w:color w:val="auto"/>
                <w:sz w:val="24"/>
                <w:szCs w:val="24"/>
                <w:highlight w:val="yellow"/>
                <w:lang w:val="en-US" w:eastAsia="zh-CN"/>
              </w:rPr>
            </w:pPr>
            <w:r>
              <w:rPr>
                <w:rFonts w:hint="eastAsia" w:ascii="方正仿宋_GBK" w:eastAsia="方正仿宋_GBK"/>
                <w:color w:val="auto"/>
                <w:sz w:val="24"/>
                <w:szCs w:val="24"/>
                <w:highlight w:val="yellow"/>
              </w:rPr>
              <w:t>2020年</w:t>
            </w:r>
            <w:r>
              <w:rPr>
                <w:rFonts w:hint="eastAsia" w:ascii="方正仿宋_GBK" w:eastAsia="方正仿宋_GBK"/>
                <w:color w:val="auto"/>
                <w:sz w:val="24"/>
                <w:szCs w:val="24"/>
                <w:highlight w:val="yellow"/>
                <w:lang w:val="en-US" w:eastAsia="zh-CN"/>
              </w:rPr>
              <w:t>1月1日</w:t>
            </w:r>
            <w:r>
              <w:rPr>
                <w:rFonts w:hint="eastAsia" w:ascii="方正仿宋_GBK" w:hAnsi="方正仿宋_GBK" w:eastAsia="方正仿宋_GBK" w:cs="方正仿宋_GBK"/>
                <w:color w:val="auto"/>
                <w:sz w:val="24"/>
                <w:szCs w:val="24"/>
                <w:highlight w:val="yellow"/>
              </w:rPr>
              <w:t>以来</w:t>
            </w:r>
            <w:r>
              <w:rPr>
                <w:rFonts w:hint="eastAsia" w:ascii="方正仿宋_GBK" w:hAnsi="方正仿宋_GBK" w:eastAsia="方正仿宋_GBK" w:cs="方正仿宋_GBK"/>
                <w:color w:val="auto"/>
                <w:sz w:val="24"/>
                <w:szCs w:val="24"/>
                <w:highlight w:val="none"/>
              </w:rPr>
              <w:t>经营面积不小于</w:t>
            </w:r>
            <w:r>
              <w:rPr>
                <w:rFonts w:hint="eastAsia" w:ascii="方正仿宋_GBK" w:hAnsi="方正仿宋_GBK" w:eastAsia="方正仿宋_GBK" w:cs="方正仿宋_GBK"/>
                <w:color w:val="auto"/>
                <w:sz w:val="24"/>
                <w:szCs w:val="24"/>
                <w:highlight w:val="none"/>
                <w:lang w:val="en-US" w:eastAsia="zh-CN"/>
              </w:rPr>
              <w:t>3000</w:t>
            </w:r>
            <w:r>
              <w:rPr>
                <w:rFonts w:hint="eastAsia" w:ascii="方正仿宋_GBK" w:hAnsi="方正仿宋_GBK" w:eastAsia="方正仿宋_GBK" w:cs="方正仿宋_GBK"/>
                <w:color w:val="auto"/>
                <w:sz w:val="24"/>
                <w:szCs w:val="24"/>
                <w:highlight w:val="none"/>
              </w:rPr>
              <w:t>平方米且截至投标日仍在经营的</w:t>
            </w:r>
            <w:r>
              <w:rPr>
                <w:rFonts w:hint="eastAsia" w:ascii="方正仿宋_GBK" w:hAnsi="方正仿宋_GBK" w:eastAsia="方正仿宋_GBK" w:cs="方正仿宋_GBK"/>
                <w:color w:val="auto"/>
                <w:sz w:val="24"/>
                <w:szCs w:val="24"/>
                <w:highlight w:val="none"/>
                <w:lang w:eastAsia="zh-CN"/>
              </w:rPr>
              <w:t>学校、医院、</w:t>
            </w:r>
            <w:r>
              <w:rPr>
                <w:rFonts w:hint="eastAsia" w:ascii="方正仿宋_GBK" w:hAnsi="方正仿宋_GBK" w:eastAsia="方正仿宋_GBK" w:cs="方正仿宋_GBK"/>
                <w:color w:val="auto"/>
                <w:sz w:val="24"/>
                <w:szCs w:val="24"/>
                <w:highlight w:val="none"/>
                <w:lang w:val="en-US" w:eastAsia="zh-CN"/>
              </w:rPr>
              <w:t>政府机关或</w:t>
            </w:r>
            <w:r>
              <w:rPr>
                <w:rFonts w:hint="eastAsia" w:ascii="方正仿宋_GBK" w:hAnsi="方正仿宋_GBK" w:eastAsia="方正仿宋_GBK" w:cs="方正仿宋_GBK"/>
                <w:color w:val="auto"/>
                <w:sz w:val="24"/>
                <w:szCs w:val="24"/>
                <w:highlight w:val="none"/>
                <w:lang w:eastAsia="zh-CN"/>
              </w:rPr>
              <w:t>事业单位</w:t>
            </w:r>
            <w:r>
              <w:rPr>
                <w:rFonts w:hint="eastAsia" w:ascii="方正仿宋_GBK" w:hAnsi="方正仿宋_GBK" w:eastAsia="方正仿宋_GBK" w:cs="方正仿宋_GBK"/>
                <w:color w:val="auto"/>
                <w:sz w:val="24"/>
                <w:szCs w:val="24"/>
                <w:highlight w:val="none"/>
              </w:rPr>
              <w:t>食堂，服务单位出具的用户满意证明文件综合考核为优秀，每个得1分</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最多得3分。</w:t>
            </w:r>
          </w:p>
        </w:tc>
        <w:tc>
          <w:tcPr>
            <w:tcW w:w="1906" w:type="dxa"/>
            <w:tcBorders>
              <w:top w:val="single" w:color="auto" w:sz="4" w:space="0"/>
              <w:left w:val="nil"/>
              <w:bottom w:val="single" w:color="auto" w:sz="4" w:space="0"/>
              <w:right w:val="single" w:color="auto" w:sz="4" w:space="0"/>
            </w:tcBorders>
            <w:vAlign w:val="center"/>
          </w:tcPr>
          <w:p w14:paraId="265B69EB">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提供证明材料复印件，盖投标人公章，原件备查</w:t>
            </w:r>
          </w:p>
        </w:tc>
      </w:tr>
      <w:tr w14:paraId="44AB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704" w:type="dxa"/>
            <w:vMerge w:val="continue"/>
            <w:tcBorders>
              <w:top w:val="nil"/>
              <w:left w:val="single" w:color="auto" w:sz="4" w:space="0"/>
              <w:bottom w:val="single" w:color="auto" w:sz="4" w:space="0"/>
              <w:right w:val="single" w:color="auto" w:sz="4" w:space="0"/>
            </w:tcBorders>
            <w:vAlign w:val="center"/>
          </w:tcPr>
          <w:p w14:paraId="606B5679">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c>
          <w:tcPr>
            <w:tcW w:w="1381" w:type="dxa"/>
            <w:tcBorders>
              <w:top w:val="single" w:color="auto" w:sz="4" w:space="0"/>
              <w:left w:val="nil"/>
              <w:bottom w:val="single" w:color="auto" w:sz="4" w:space="0"/>
              <w:right w:val="single" w:color="auto" w:sz="4" w:space="0"/>
            </w:tcBorders>
            <w:vAlign w:val="center"/>
          </w:tcPr>
          <w:p w14:paraId="276A4057">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认证</w:t>
            </w:r>
          </w:p>
          <w:p w14:paraId="4A54C47B">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（4分）</w:t>
            </w:r>
          </w:p>
        </w:tc>
        <w:tc>
          <w:tcPr>
            <w:tcW w:w="5848" w:type="dxa"/>
            <w:tcBorders>
              <w:top w:val="single" w:color="auto" w:sz="4" w:space="0"/>
              <w:left w:val="nil"/>
              <w:bottom w:val="single" w:color="auto" w:sz="4" w:space="0"/>
              <w:right w:val="single" w:color="auto" w:sz="4" w:space="0"/>
            </w:tcBorders>
            <w:vAlign w:val="center"/>
          </w:tcPr>
          <w:p w14:paraId="37D863F0">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1.通过ISO22000食品安全管理体系认证得1分。</w:t>
            </w:r>
          </w:p>
          <w:p w14:paraId="2023E36A">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2.通过ISO9001质量管理体系认证得1分。</w:t>
            </w:r>
          </w:p>
          <w:p w14:paraId="0F7FD4AB">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3.获得HACCP危害分析和关键控制点体系认证证书的得1分。</w:t>
            </w:r>
          </w:p>
          <w:p w14:paraId="5F3FDE5B">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4.通过GB/T28001或GB/T45001-2020职业健康安全管理体系认证得1分。</w:t>
            </w:r>
          </w:p>
          <w:p w14:paraId="7BFBF402">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p>
        </w:tc>
        <w:tc>
          <w:tcPr>
            <w:tcW w:w="1906" w:type="dxa"/>
            <w:tcBorders>
              <w:top w:val="single" w:color="auto" w:sz="4" w:space="0"/>
              <w:left w:val="nil"/>
              <w:bottom w:val="single" w:color="auto" w:sz="4" w:space="0"/>
              <w:right w:val="single" w:color="auto" w:sz="4" w:space="0"/>
            </w:tcBorders>
            <w:vAlign w:val="center"/>
          </w:tcPr>
          <w:p w14:paraId="29D5FFFC">
            <w:pPr>
              <w:keepNext w:val="0"/>
              <w:keepLines w:val="0"/>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yellow"/>
              </w:rPr>
              <w:t>提供国家认证认可监督管理委员会（http://www.cnca.gov.cn/）官方网站查询截图或认证证书复印件（取得相关认证日期应在公告发布日期之前），原件备查。</w:t>
            </w:r>
          </w:p>
        </w:tc>
      </w:tr>
      <w:tr w14:paraId="176E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04" w:type="dxa"/>
            <w:vMerge w:val="continue"/>
            <w:tcBorders>
              <w:top w:val="nil"/>
              <w:left w:val="single" w:color="auto" w:sz="4" w:space="0"/>
              <w:bottom w:val="nil"/>
              <w:right w:val="single" w:color="auto" w:sz="4" w:space="0"/>
            </w:tcBorders>
            <w:vAlign w:val="center"/>
          </w:tcPr>
          <w:p w14:paraId="55AD2ABD">
            <w:pPr>
              <w:keepNext w:val="0"/>
              <w:keepLines w:val="0"/>
              <w:widowControl/>
              <w:suppressLineNumbers w:val="0"/>
              <w:kinsoku/>
              <w:wordWrap/>
              <w:overflowPunct/>
              <w:topLinePunct w:val="0"/>
              <w:autoSpaceDE/>
              <w:autoSpaceDN/>
              <w:bidi w:val="0"/>
              <w:spacing w:before="0" w:beforeAutospacing="0" w:after="0" w:afterAutospacing="0" w:line="500" w:lineRule="exact"/>
              <w:ind w:left="0" w:right="0"/>
              <w:jc w:val="left"/>
              <w:rPr>
                <w:rFonts w:hint="eastAsia" w:ascii="方正仿宋_GBK" w:hAnsi="方正仿宋_GBK" w:eastAsia="方正仿宋_GBK" w:cs="方正仿宋_GBK"/>
                <w:color w:val="auto"/>
                <w:sz w:val="24"/>
                <w:szCs w:val="24"/>
                <w:highlight w:val="none"/>
              </w:rPr>
            </w:pPr>
          </w:p>
        </w:tc>
        <w:tc>
          <w:tcPr>
            <w:tcW w:w="1381" w:type="dxa"/>
            <w:tcBorders>
              <w:top w:val="single" w:color="auto" w:sz="4" w:space="0"/>
              <w:left w:val="nil"/>
              <w:bottom w:val="single" w:color="auto" w:sz="4" w:space="0"/>
              <w:right w:val="single" w:color="auto" w:sz="4" w:space="0"/>
            </w:tcBorders>
            <w:vAlign w:val="center"/>
          </w:tcPr>
          <w:p w14:paraId="43D8CD4F">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保险</w:t>
            </w:r>
          </w:p>
          <w:p w14:paraId="3047D763">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（3分）</w:t>
            </w:r>
          </w:p>
        </w:tc>
        <w:tc>
          <w:tcPr>
            <w:tcW w:w="5848" w:type="dxa"/>
            <w:tcBorders>
              <w:top w:val="single" w:color="auto" w:sz="4" w:space="0"/>
              <w:left w:val="nil"/>
              <w:bottom w:val="single" w:color="auto" w:sz="4" w:space="0"/>
              <w:right w:val="single" w:color="auto" w:sz="4" w:space="0"/>
            </w:tcBorders>
            <w:vAlign w:val="center"/>
          </w:tcPr>
          <w:p w14:paraId="639CA365">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承诺为本项目购买食品安全责任险，保险期间累计赔偿限额1000万元（含）及以上得1分.</w:t>
            </w:r>
          </w:p>
          <w:p w14:paraId="21F30D61">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承诺为本项目购买公众责任险，保险期间累计赔偿限额1000万元（含）及以上得1分.</w:t>
            </w:r>
          </w:p>
          <w:p w14:paraId="35A88FD0">
            <w:pPr>
              <w:keepNext w:val="0"/>
              <w:keepLines w:val="0"/>
              <w:suppressLineNumbers w:val="0"/>
              <w:kinsoku/>
              <w:wordWrap/>
              <w:overflowPunct/>
              <w:topLinePunct w:val="0"/>
              <w:autoSpaceDE/>
              <w:autoSpaceDN/>
              <w:bidi w:val="0"/>
              <w:spacing w:before="0" w:beforeAutospacing="0" w:after="0" w:afterAutospacing="0" w:line="500" w:lineRule="exact"/>
              <w:ind w:left="0" w:right="0"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 xml:space="preserve">承诺为本项目员工购买雇主责任险，保险期间累计赔偿限额300万元（含）及以上得1分 </w:t>
            </w:r>
          </w:p>
        </w:tc>
        <w:tc>
          <w:tcPr>
            <w:tcW w:w="1906" w:type="dxa"/>
            <w:tcBorders>
              <w:top w:val="single" w:color="auto" w:sz="4" w:space="0"/>
              <w:left w:val="nil"/>
              <w:bottom w:val="single" w:color="auto" w:sz="4" w:space="0"/>
              <w:right w:val="single" w:color="auto" w:sz="4" w:space="0"/>
            </w:tcBorders>
            <w:vAlign w:val="center"/>
          </w:tcPr>
          <w:p w14:paraId="707E23DD">
            <w:pPr>
              <w:keepNext w:val="0"/>
              <w:keepLines w:val="0"/>
              <w:suppressLineNumbers w:val="0"/>
              <w:kinsoku/>
              <w:wordWrap/>
              <w:overflowPunct/>
              <w:topLinePunct w:val="0"/>
              <w:autoSpaceDE/>
              <w:autoSpaceDN/>
              <w:bidi w:val="0"/>
              <w:spacing w:before="0" w:beforeAutospacing="0" w:after="0" w:afterAutospacing="0" w:line="500" w:lineRule="exact"/>
              <w:ind w:left="2" w:leftChars="-38" w:right="0" w:hanging="108" w:hangingChars="45"/>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响应文件予以承诺，将签订于中标企业合同中，中标商于食堂经营开张前将购买凭证复印件交学校管理部门存档。若未履行此项承诺，学校可终止合同。</w:t>
            </w:r>
          </w:p>
        </w:tc>
      </w:tr>
    </w:tbl>
    <w:p w14:paraId="09701CB6">
      <w:pPr>
        <w:pStyle w:val="4"/>
        <w:kinsoku/>
        <w:wordWrap/>
        <w:overflowPunct/>
        <w:topLinePunct w:val="0"/>
        <w:autoSpaceDE/>
        <w:autoSpaceDN/>
        <w:bidi w:val="0"/>
        <w:spacing w:line="500" w:lineRule="exact"/>
        <w:ind w:firstLine="562" w:firstLineChars="200"/>
        <w:rPr>
          <w:rFonts w:ascii="仿宋" w:hAnsi="仿宋" w:eastAsia="仿宋" w:cs="仿宋"/>
          <w:b/>
          <w:bCs/>
          <w:color w:val="auto"/>
          <w:highlight w:val="none"/>
        </w:rPr>
      </w:pPr>
      <w:bookmarkStart w:id="68" w:name="_Toc7594"/>
      <w:bookmarkStart w:id="69" w:name="_Toc23109"/>
      <w:r>
        <w:rPr>
          <w:rFonts w:hint="eastAsia" w:ascii="仿宋" w:hAnsi="仿宋" w:eastAsia="仿宋" w:cs="仿宋"/>
          <w:b/>
          <w:bCs/>
          <w:color w:val="auto"/>
          <w:highlight w:val="none"/>
        </w:rPr>
        <w:t>三、无效响应</w:t>
      </w:r>
      <w:bookmarkEnd w:id="67"/>
      <w:bookmarkEnd w:id="68"/>
      <w:bookmarkEnd w:id="69"/>
    </w:p>
    <w:p w14:paraId="02E2A8BE">
      <w:pPr>
        <w:kinsoku/>
        <w:wordWrap/>
        <w:overflowPunct/>
        <w:topLinePunct w:val="0"/>
        <w:autoSpaceDE/>
        <w:autoSpaceDN/>
        <w:bidi w:val="0"/>
        <w:spacing w:line="500" w:lineRule="exact"/>
        <w:ind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或其投标文件出现下列情况之一者，应为无效投标：</w:t>
      </w:r>
    </w:p>
    <w:p w14:paraId="244E820A">
      <w:pPr>
        <w:kinsoku/>
        <w:wordWrap/>
        <w:overflowPunct/>
        <w:topLinePunct w:val="0"/>
        <w:autoSpaceDE/>
        <w:autoSpaceDN/>
        <w:bidi w:val="0"/>
        <w:snapToGrid w:val="0"/>
        <w:spacing w:line="500" w:lineRule="exact"/>
        <w:ind w:firstLine="46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（一）供应商不符合规定的基本资格条件或特定资格条件的；</w:t>
      </w:r>
    </w:p>
    <w:p w14:paraId="3F3E2140">
      <w:pPr>
        <w:kinsoku/>
        <w:wordWrap/>
        <w:overflowPunct/>
        <w:topLinePunct w:val="0"/>
        <w:autoSpaceDE/>
        <w:autoSpaceDN/>
        <w:bidi w:val="0"/>
        <w:snapToGrid w:val="0"/>
        <w:spacing w:line="500" w:lineRule="exact"/>
        <w:ind w:firstLine="46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（二）供应商的法定代表人或其授权代表未参加</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w:t>
      </w:r>
    </w:p>
    <w:p w14:paraId="5E5C8EEC">
      <w:pPr>
        <w:kinsoku/>
        <w:wordWrap/>
        <w:overflowPunct/>
        <w:topLinePunct w:val="0"/>
        <w:autoSpaceDE/>
        <w:autoSpaceDN/>
        <w:bidi w:val="0"/>
        <w:snapToGrid w:val="0"/>
        <w:spacing w:line="500" w:lineRule="exact"/>
        <w:ind w:firstLine="465"/>
        <w:rPr>
          <w:rFonts w:hint="eastAsia" w:ascii="方正仿宋_GBK" w:hAnsi="方正仿宋_GBK" w:eastAsia="方正仿宋_GBK" w:cs="方正仿宋_GBK"/>
          <w:color w:val="auto"/>
          <w:sz w:val="24"/>
          <w:szCs w:val="24"/>
          <w:highlight w:val="none"/>
        </w:rPr>
      </w:pPr>
      <w:r>
        <w:rPr>
          <w:rFonts w:hint="eastAsia" w:ascii="仿宋" w:hAnsi="仿宋" w:eastAsia="仿宋" w:cs="仿宋"/>
          <w:color w:val="auto"/>
          <w:sz w:val="24"/>
          <w:szCs w:val="24"/>
          <w:highlight w:val="none"/>
        </w:rPr>
        <w:t>（三）供应商未按照</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文件的要求缴纳</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保证金；</w:t>
      </w:r>
    </w:p>
    <w:p w14:paraId="386147FC">
      <w:pPr>
        <w:kinsoku/>
        <w:wordWrap/>
        <w:overflowPunct/>
        <w:topLinePunct w:val="0"/>
        <w:autoSpaceDE/>
        <w:autoSpaceDN/>
        <w:bidi w:val="0"/>
        <w:spacing w:line="500" w:lineRule="exact"/>
        <w:ind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四</w:t>
      </w:r>
      <w:r>
        <w:rPr>
          <w:rFonts w:hint="eastAsia" w:ascii="方正仿宋_GBK" w:hAnsi="方正仿宋_GBK" w:eastAsia="方正仿宋_GBK" w:cs="方正仿宋_GBK"/>
          <w:color w:val="auto"/>
          <w:sz w:val="24"/>
          <w:szCs w:val="24"/>
          <w:highlight w:val="none"/>
        </w:rPr>
        <w:t>）未按照</w:t>
      </w:r>
      <w:r>
        <w:rPr>
          <w:rFonts w:hint="eastAsia" w:ascii="方正仿宋_GBK" w:hAnsi="方正仿宋_GBK" w:eastAsia="方正仿宋_GBK" w:cs="方正仿宋_GBK"/>
          <w:color w:val="auto"/>
          <w:sz w:val="24"/>
          <w:szCs w:val="24"/>
          <w:highlight w:val="none"/>
          <w:lang w:eastAsia="zh-CN"/>
        </w:rPr>
        <w:t>公开遴选文件</w:t>
      </w:r>
      <w:r>
        <w:rPr>
          <w:rFonts w:hint="eastAsia" w:ascii="方正仿宋_GBK" w:hAnsi="方正仿宋_GBK" w:eastAsia="方正仿宋_GBK" w:cs="方正仿宋_GBK"/>
          <w:color w:val="auto"/>
          <w:sz w:val="24"/>
          <w:szCs w:val="24"/>
          <w:highlight w:val="none"/>
        </w:rPr>
        <w:t>的规定提交投标保证金的；</w:t>
      </w:r>
    </w:p>
    <w:p w14:paraId="688AEEE2">
      <w:pPr>
        <w:kinsoku/>
        <w:wordWrap/>
        <w:overflowPunct/>
        <w:topLinePunct w:val="0"/>
        <w:autoSpaceDE/>
        <w:autoSpaceDN/>
        <w:bidi w:val="0"/>
        <w:spacing w:line="500" w:lineRule="exact"/>
        <w:ind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五</w:t>
      </w:r>
      <w:r>
        <w:rPr>
          <w:rFonts w:hint="eastAsia" w:ascii="方正仿宋_GBK" w:hAnsi="方正仿宋_GBK" w:eastAsia="方正仿宋_GBK" w:cs="方正仿宋_GBK"/>
          <w:color w:val="auto"/>
          <w:sz w:val="24"/>
          <w:szCs w:val="24"/>
          <w:highlight w:val="none"/>
        </w:rPr>
        <w:t>）投标文件未按</w:t>
      </w:r>
      <w:r>
        <w:rPr>
          <w:rFonts w:hint="eastAsia" w:ascii="方正仿宋_GBK" w:hAnsi="方正仿宋_GBK" w:eastAsia="方正仿宋_GBK" w:cs="方正仿宋_GBK"/>
          <w:color w:val="auto"/>
          <w:sz w:val="24"/>
          <w:szCs w:val="24"/>
          <w:highlight w:val="none"/>
          <w:lang w:eastAsia="zh-CN"/>
        </w:rPr>
        <w:t>公开遴选文件</w:t>
      </w:r>
      <w:r>
        <w:rPr>
          <w:rFonts w:hint="eastAsia" w:ascii="方正仿宋_GBK" w:hAnsi="方正仿宋_GBK" w:eastAsia="方正仿宋_GBK" w:cs="方正仿宋_GBK"/>
          <w:color w:val="auto"/>
          <w:sz w:val="24"/>
          <w:szCs w:val="24"/>
          <w:highlight w:val="none"/>
        </w:rPr>
        <w:t>要求签署、盖章的；</w:t>
      </w:r>
    </w:p>
    <w:p w14:paraId="5F2FBECE">
      <w:pPr>
        <w:kinsoku/>
        <w:wordWrap/>
        <w:overflowPunct/>
        <w:topLinePunct w:val="0"/>
        <w:autoSpaceDE/>
        <w:autoSpaceDN/>
        <w:bidi w:val="0"/>
        <w:spacing w:line="500" w:lineRule="exact"/>
        <w:ind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六</w:t>
      </w:r>
      <w:r>
        <w:rPr>
          <w:rFonts w:hint="eastAsia" w:ascii="方正仿宋_GBK" w:hAnsi="方正仿宋_GBK" w:eastAsia="方正仿宋_GBK" w:cs="方正仿宋_GBK"/>
          <w:color w:val="auto"/>
          <w:sz w:val="24"/>
          <w:szCs w:val="24"/>
          <w:highlight w:val="none"/>
        </w:rPr>
        <w:t>）所报投料率低于50%的；</w:t>
      </w:r>
    </w:p>
    <w:p w14:paraId="346917FA">
      <w:pPr>
        <w:kinsoku/>
        <w:wordWrap/>
        <w:overflowPunct/>
        <w:topLinePunct w:val="0"/>
        <w:autoSpaceDE/>
        <w:autoSpaceDN/>
        <w:bidi w:val="0"/>
        <w:spacing w:line="500" w:lineRule="exact"/>
        <w:ind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七</w:t>
      </w:r>
      <w:r>
        <w:rPr>
          <w:rFonts w:hint="eastAsia" w:ascii="方正仿宋_GBK" w:hAnsi="方正仿宋_GBK" w:eastAsia="方正仿宋_GBK" w:cs="方正仿宋_GBK"/>
          <w:color w:val="auto"/>
          <w:sz w:val="24"/>
          <w:szCs w:val="24"/>
          <w:highlight w:val="none"/>
        </w:rPr>
        <w:t>）基本大伙档口占比低于30%的；</w:t>
      </w:r>
    </w:p>
    <w:p w14:paraId="0B0BA493">
      <w:pPr>
        <w:kinsoku/>
        <w:wordWrap/>
        <w:overflowPunct/>
        <w:topLinePunct w:val="0"/>
        <w:autoSpaceDE/>
        <w:autoSpaceDN/>
        <w:bidi w:val="0"/>
        <w:spacing w:line="500" w:lineRule="exact"/>
        <w:ind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八</w:t>
      </w:r>
      <w:r>
        <w:rPr>
          <w:rFonts w:hint="eastAsia" w:ascii="方正仿宋_GBK" w:hAnsi="方正仿宋_GBK" w:eastAsia="方正仿宋_GBK" w:cs="方正仿宋_GBK"/>
          <w:color w:val="auto"/>
          <w:sz w:val="24"/>
          <w:szCs w:val="24"/>
          <w:highlight w:val="none"/>
        </w:rPr>
        <w:t>）</w:t>
      </w:r>
      <w:bookmarkStart w:id="70" w:name="OLE_LINK31"/>
      <w:bookmarkStart w:id="71" w:name="OLE_LINK36"/>
      <w:r>
        <w:rPr>
          <w:rFonts w:hint="eastAsia" w:ascii="方正仿宋_GBK" w:hAnsi="方正仿宋_GBK" w:eastAsia="方正仿宋_GBK" w:cs="方正仿宋_GBK"/>
          <w:color w:val="auto"/>
          <w:sz w:val="24"/>
          <w:szCs w:val="24"/>
          <w:highlight w:val="none"/>
        </w:rPr>
        <w:t>环境改善投入</w:t>
      </w:r>
      <w:bookmarkEnd w:id="70"/>
      <w:bookmarkEnd w:id="71"/>
      <w:r>
        <w:rPr>
          <w:rFonts w:hint="eastAsia" w:ascii="方正仿宋_GBK" w:hAnsi="方正仿宋_GBK" w:eastAsia="方正仿宋_GBK" w:cs="方正仿宋_GBK"/>
          <w:color w:val="auto"/>
          <w:sz w:val="24"/>
          <w:szCs w:val="24"/>
          <w:highlight w:val="none"/>
        </w:rPr>
        <w:t>低于</w:t>
      </w:r>
      <w:r>
        <w:rPr>
          <w:rFonts w:hint="eastAsia" w:ascii="方正仿宋_GBK" w:hAnsi="方正仿宋_GBK" w:eastAsia="方正仿宋_GBK" w:cs="方正仿宋_GBK"/>
          <w:color w:val="auto"/>
          <w:sz w:val="24"/>
          <w:szCs w:val="24"/>
          <w:highlight w:val="none"/>
          <w:lang w:eastAsia="zh-CN"/>
        </w:rPr>
        <w:t>公开遴选文件</w:t>
      </w:r>
      <w:r>
        <w:rPr>
          <w:rFonts w:hint="eastAsia" w:ascii="方正仿宋_GBK" w:hAnsi="方正仿宋_GBK" w:eastAsia="方正仿宋_GBK" w:cs="方正仿宋_GBK"/>
          <w:color w:val="auto"/>
          <w:sz w:val="24"/>
          <w:szCs w:val="24"/>
          <w:highlight w:val="none"/>
        </w:rPr>
        <w:t>所规定的环境改善投入的；</w:t>
      </w:r>
    </w:p>
    <w:p w14:paraId="14AE65E6">
      <w:pPr>
        <w:kinsoku/>
        <w:wordWrap/>
        <w:overflowPunct/>
        <w:topLinePunct w:val="0"/>
        <w:autoSpaceDE/>
        <w:autoSpaceDN/>
        <w:bidi w:val="0"/>
        <w:spacing w:line="500" w:lineRule="exact"/>
        <w:ind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九</w:t>
      </w:r>
      <w:r>
        <w:rPr>
          <w:rFonts w:hint="eastAsia" w:ascii="方正仿宋_GBK" w:hAnsi="方正仿宋_GBK" w:eastAsia="方正仿宋_GBK" w:cs="方正仿宋_GBK"/>
          <w:color w:val="auto"/>
          <w:sz w:val="24"/>
          <w:szCs w:val="24"/>
          <w:highlight w:val="none"/>
        </w:rPr>
        <w:t>）投标文件含有采购人不能接受的附加条件的；</w:t>
      </w:r>
    </w:p>
    <w:p w14:paraId="27A77BAD">
      <w:pPr>
        <w:kinsoku/>
        <w:wordWrap/>
        <w:overflowPunct/>
        <w:topLinePunct w:val="0"/>
        <w:autoSpaceDE/>
        <w:autoSpaceDN/>
        <w:bidi w:val="0"/>
        <w:spacing w:line="500" w:lineRule="exact"/>
        <w:ind w:firstLine="501" w:firstLineChars="209"/>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十</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串通投标的；</w:t>
      </w:r>
    </w:p>
    <w:p w14:paraId="516803CB">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十一</w:t>
      </w:r>
      <w:r>
        <w:rPr>
          <w:rFonts w:hint="eastAsia" w:ascii="仿宋" w:hAnsi="仿宋" w:eastAsia="仿宋" w:cs="仿宋"/>
          <w:color w:val="auto"/>
          <w:sz w:val="24"/>
          <w:szCs w:val="24"/>
          <w:highlight w:val="none"/>
        </w:rPr>
        <w:t>）法定代表人为同一个人的两个及两个以上法人，母公司、全资子公司及其控股公司，在同一分包采购中同时参与</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w:t>
      </w:r>
    </w:p>
    <w:p w14:paraId="38CE79DD">
      <w:pPr>
        <w:kinsoku/>
        <w:wordWrap/>
        <w:overflowPunct/>
        <w:topLinePunct w:val="0"/>
        <w:autoSpaceDE/>
        <w:autoSpaceDN/>
        <w:bidi w:val="0"/>
        <w:snapToGrid w:val="0"/>
        <w:spacing w:line="500" w:lineRule="exact"/>
        <w:ind w:firstLine="465"/>
        <w:rPr>
          <w:rFonts w:ascii="仿宋" w:hAnsi="仿宋" w:eastAsia="仿宋" w:cs="仿宋"/>
          <w:color w:val="auto"/>
          <w:sz w:val="24"/>
          <w:szCs w:val="24"/>
          <w:highlight w:val="none"/>
        </w:rPr>
      </w:pPr>
      <w:bookmarkStart w:id="72" w:name="_Toc522724255"/>
      <w:r>
        <w:rPr>
          <w:rFonts w:hint="eastAsia" w:ascii="仿宋" w:hAnsi="仿宋" w:eastAsia="仿宋" w:cs="仿宋"/>
          <w:color w:val="auto"/>
          <w:sz w:val="24"/>
          <w:szCs w:val="24"/>
          <w:highlight w:val="none"/>
        </w:rPr>
        <w:t>（十</w:t>
      </w:r>
      <w:r>
        <w:rPr>
          <w:rFonts w:hint="eastAsia" w:ascii="仿宋" w:hAnsi="仿宋" w:eastAsia="仿宋" w:cs="仿宋"/>
          <w:color w:val="auto"/>
          <w:sz w:val="24"/>
          <w:szCs w:val="24"/>
          <w:highlight w:val="none"/>
          <w:lang w:eastAsia="zh-CN"/>
        </w:rPr>
        <w:t>二</w:t>
      </w:r>
      <w:r>
        <w:rPr>
          <w:rFonts w:hint="eastAsia" w:ascii="仿宋" w:hAnsi="仿宋" w:eastAsia="仿宋" w:cs="仿宋"/>
          <w:color w:val="auto"/>
          <w:sz w:val="24"/>
          <w:szCs w:val="24"/>
          <w:highlight w:val="none"/>
        </w:rPr>
        <w:t>）供应商以联合体形式参与</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或进行合同分包的；</w:t>
      </w:r>
    </w:p>
    <w:p w14:paraId="792E5AD8">
      <w:pPr>
        <w:kinsoku/>
        <w:wordWrap/>
        <w:overflowPunct/>
        <w:topLinePunct w:val="0"/>
        <w:autoSpaceDE/>
        <w:autoSpaceDN/>
        <w:bidi w:val="0"/>
        <w:snapToGrid w:val="0"/>
        <w:spacing w:line="500" w:lineRule="exact"/>
        <w:ind w:firstLine="46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w:t>
      </w:r>
      <w:r>
        <w:rPr>
          <w:rFonts w:hint="eastAsia" w:ascii="仿宋" w:hAnsi="仿宋" w:eastAsia="仿宋" w:cs="仿宋"/>
          <w:color w:val="auto"/>
          <w:sz w:val="24"/>
          <w:szCs w:val="24"/>
          <w:highlight w:val="none"/>
          <w:lang w:eastAsia="zh-CN"/>
        </w:rPr>
        <w:t>三</w:t>
      </w:r>
      <w:r>
        <w:rPr>
          <w:rFonts w:hint="eastAsia" w:ascii="仿宋" w:hAnsi="仿宋" w:eastAsia="仿宋" w:cs="仿宋"/>
          <w:color w:val="auto"/>
          <w:sz w:val="24"/>
          <w:szCs w:val="24"/>
          <w:highlight w:val="none"/>
        </w:rPr>
        <w:t>）供应商被列入失信被执行人、重大税收违法案件当事人名单、政府采购严重违法失信行为记录名单及其他不符合《中华人民共和国政府采购法》第二十二条规定条件的。</w:t>
      </w:r>
    </w:p>
    <w:p w14:paraId="01634919">
      <w:pPr>
        <w:kinsoku/>
        <w:wordWrap/>
        <w:overflowPunct/>
        <w:topLinePunct w:val="0"/>
        <w:autoSpaceDE/>
        <w:autoSpaceDN/>
        <w:bidi w:val="0"/>
        <w:spacing w:line="500" w:lineRule="exact"/>
        <w:ind w:firstLine="501" w:firstLineChars="209"/>
        <w:jc w:val="left"/>
        <w:rPr>
          <w:rFonts w:hint="eastAsia" w:ascii="仿宋" w:hAnsi="仿宋" w:eastAsia="仿宋" w:cs="仿宋"/>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十四</w:t>
      </w:r>
      <w:r>
        <w:rPr>
          <w:rFonts w:hint="eastAsia" w:ascii="方正仿宋_GBK" w:hAnsi="方正仿宋_GBK" w:eastAsia="方正仿宋_GBK" w:cs="方正仿宋_GBK"/>
          <w:color w:val="auto"/>
          <w:sz w:val="24"/>
          <w:szCs w:val="24"/>
          <w:highlight w:val="none"/>
        </w:rPr>
        <w:t>）法律、法规和</w:t>
      </w:r>
      <w:r>
        <w:rPr>
          <w:rFonts w:hint="eastAsia" w:ascii="方正仿宋_GBK" w:hAnsi="方正仿宋_GBK" w:eastAsia="方正仿宋_GBK" w:cs="方正仿宋_GBK"/>
          <w:color w:val="auto"/>
          <w:sz w:val="24"/>
          <w:szCs w:val="24"/>
          <w:highlight w:val="none"/>
          <w:lang w:eastAsia="zh-CN"/>
        </w:rPr>
        <w:t>公开遴选文件</w:t>
      </w:r>
      <w:r>
        <w:rPr>
          <w:rFonts w:hint="eastAsia" w:ascii="方正仿宋_GBK" w:hAnsi="方正仿宋_GBK" w:eastAsia="方正仿宋_GBK" w:cs="方正仿宋_GBK"/>
          <w:color w:val="auto"/>
          <w:sz w:val="24"/>
          <w:szCs w:val="24"/>
          <w:highlight w:val="none"/>
        </w:rPr>
        <w:t>规定的其他无效情形</w:t>
      </w:r>
    </w:p>
    <w:p w14:paraId="02A35A23">
      <w:pPr>
        <w:pStyle w:val="4"/>
        <w:kinsoku/>
        <w:wordWrap/>
        <w:overflowPunct/>
        <w:topLinePunct w:val="0"/>
        <w:autoSpaceDE/>
        <w:autoSpaceDN/>
        <w:bidi w:val="0"/>
        <w:spacing w:line="500" w:lineRule="exact"/>
        <w:ind w:firstLine="562" w:firstLineChars="200"/>
        <w:rPr>
          <w:rFonts w:ascii="仿宋" w:hAnsi="仿宋" w:eastAsia="仿宋" w:cs="仿宋"/>
          <w:color w:val="auto"/>
          <w:highlight w:val="none"/>
        </w:rPr>
      </w:pPr>
      <w:bookmarkStart w:id="73" w:name="_Toc24511"/>
      <w:bookmarkStart w:id="74" w:name="_Toc22575"/>
      <w:r>
        <w:rPr>
          <w:rFonts w:hint="eastAsia" w:ascii="仿宋" w:hAnsi="仿宋" w:eastAsia="仿宋" w:cs="仿宋"/>
          <w:b/>
          <w:bCs/>
          <w:color w:val="auto"/>
          <w:highlight w:val="none"/>
        </w:rPr>
        <w:t>四、</w:t>
      </w:r>
      <w:bookmarkEnd w:id="65"/>
      <w:bookmarkEnd w:id="66"/>
      <w:r>
        <w:rPr>
          <w:rFonts w:hint="eastAsia" w:ascii="仿宋" w:hAnsi="仿宋" w:eastAsia="仿宋" w:cs="仿宋"/>
          <w:b/>
          <w:bCs/>
          <w:color w:val="auto"/>
          <w:highlight w:val="none"/>
        </w:rPr>
        <w:t>采购终止</w:t>
      </w:r>
      <w:bookmarkEnd w:id="72"/>
      <w:bookmarkEnd w:id="73"/>
      <w:bookmarkEnd w:id="74"/>
    </w:p>
    <w:p w14:paraId="0B9C0300">
      <w:pPr>
        <w:kinsoku/>
        <w:wordWrap/>
        <w:overflowPunct/>
        <w:topLinePunct w:val="0"/>
        <w:autoSpaceDE/>
        <w:autoSpaceDN/>
        <w:bidi w:val="0"/>
        <w:snapToGrid w:val="0"/>
        <w:spacing w:line="500" w:lineRule="exact"/>
        <w:ind w:firstLine="46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出现下列情形之一的，采购人或者采购代理机构应当终止</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采购活动，发布项目终止公告并说明原因，重新开展采购活动：</w:t>
      </w:r>
    </w:p>
    <w:p w14:paraId="089ABC51">
      <w:pPr>
        <w:kinsoku/>
        <w:wordWrap/>
        <w:overflowPunct/>
        <w:topLinePunct w:val="0"/>
        <w:autoSpaceDE/>
        <w:autoSpaceDN/>
        <w:bidi w:val="0"/>
        <w:snapToGrid w:val="0"/>
        <w:spacing w:line="500" w:lineRule="exact"/>
        <w:ind w:firstLine="46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（一）因情况变化，不再符合规定的</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采购方式适用情形的；</w:t>
      </w:r>
    </w:p>
    <w:p w14:paraId="1B561058">
      <w:pPr>
        <w:kinsoku/>
        <w:wordWrap/>
        <w:overflowPunct/>
        <w:topLinePunct w:val="0"/>
        <w:autoSpaceDE/>
        <w:autoSpaceDN/>
        <w:bidi w:val="0"/>
        <w:snapToGrid w:val="0"/>
        <w:spacing w:line="500" w:lineRule="exact"/>
        <w:ind w:firstLine="46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（二）出现影响采购公正的违法、违规行为的；</w:t>
      </w:r>
    </w:p>
    <w:p w14:paraId="1A69C758">
      <w:pPr>
        <w:kinsoku/>
        <w:wordWrap/>
        <w:overflowPunct/>
        <w:topLinePunct w:val="0"/>
        <w:autoSpaceDE/>
        <w:autoSpaceDN/>
        <w:bidi w:val="0"/>
        <w:snapToGrid w:val="0"/>
        <w:spacing w:line="500" w:lineRule="exact"/>
        <w:ind w:firstLine="465"/>
        <w:rPr>
          <w:rFonts w:ascii="仿宋" w:hAnsi="仿宋" w:eastAsia="仿宋" w:cs="仿宋"/>
          <w:color w:val="auto"/>
          <w:sz w:val="24"/>
          <w:szCs w:val="24"/>
          <w:highlight w:val="none"/>
        </w:rPr>
      </w:pPr>
    </w:p>
    <w:p w14:paraId="506D6F94">
      <w:pPr>
        <w:kinsoku/>
        <w:wordWrap/>
        <w:overflowPunct/>
        <w:topLinePunct w:val="0"/>
        <w:autoSpaceDE/>
        <w:autoSpaceDN/>
        <w:bidi w:val="0"/>
        <w:spacing w:line="500" w:lineRule="exact"/>
        <w:rPr>
          <w:rFonts w:ascii="仿宋" w:hAnsi="仿宋" w:eastAsia="仿宋" w:cs="仿宋"/>
          <w:color w:val="auto"/>
          <w:sz w:val="32"/>
          <w:szCs w:val="32"/>
          <w:highlight w:val="none"/>
        </w:rPr>
      </w:pPr>
    </w:p>
    <w:p w14:paraId="153E8FA5">
      <w:pPr>
        <w:kinsoku/>
        <w:wordWrap/>
        <w:overflowPunct/>
        <w:topLinePunct w:val="0"/>
        <w:autoSpaceDE/>
        <w:autoSpaceDN/>
        <w:bidi w:val="0"/>
        <w:spacing w:line="500" w:lineRule="exact"/>
        <w:rPr>
          <w:rFonts w:ascii="仿宋" w:hAnsi="仿宋" w:eastAsia="仿宋" w:cs="仿宋"/>
          <w:color w:val="auto"/>
          <w:sz w:val="32"/>
          <w:szCs w:val="32"/>
          <w:highlight w:val="none"/>
        </w:rPr>
      </w:pPr>
    </w:p>
    <w:p w14:paraId="47B74762">
      <w:pPr>
        <w:kinsoku/>
        <w:wordWrap/>
        <w:overflowPunct/>
        <w:topLinePunct w:val="0"/>
        <w:autoSpaceDE/>
        <w:autoSpaceDN/>
        <w:bidi w:val="0"/>
        <w:spacing w:line="500" w:lineRule="exact"/>
        <w:rPr>
          <w:rFonts w:ascii="仿宋" w:hAnsi="仿宋" w:eastAsia="仿宋" w:cs="仿宋"/>
          <w:color w:val="auto"/>
          <w:sz w:val="32"/>
          <w:szCs w:val="32"/>
          <w:highlight w:val="none"/>
        </w:rPr>
      </w:pPr>
    </w:p>
    <w:p w14:paraId="45DD75B6">
      <w:pPr>
        <w:pStyle w:val="3"/>
        <w:kinsoku/>
        <w:wordWrap/>
        <w:overflowPunct/>
        <w:topLinePunct w:val="0"/>
        <w:autoSpaceDE/>
        <w:autoSpaceDN/>
        <w:bidi w:val="0"/>
        <w:spacing w:beforeLines="0" w:afterLines="0" w:line="500" w:lineRule="exact"/>
        <w:ind w:firstLine="2209" w:firstLineChars="500"/>
        <w:jc w:val="both"/>
        <w:rPr>
          <w:rFonts w:ascii="仿宋" w:hAnsi="仿宋" w:eastAsia="仿宋" w:cs="仿宋"/>
          <w:b/>
          <w:bCs/>
          <w:color w:val="auto"/>
          <w:highlight w:val="none"/>
        </w:rPr>
      </w:pPr>
      <w:bookmarkStart w:id="75" w:name="_Toc7620"/>
      <w:bookmarkStart w:id="76" w:name="_Toc20869"/>
      <w:bookmarkStart w:id="77" w:name="_Toc486322093"/>
      <w:r>
        <w:rPr>
          <w:rFonts w:hint="eastAsia" w:ascii="仿宋" w:hAnsi="仿宋" w:eastAsia="仿宋" w:cs="仿宋"/>
          <w:b/>
          <w:bCs/>
          <w:color w:val="auto"/>
          <w:highlight w:val="none"/>
        </w:rPr>
        <w:t>第五篇  供应商须知</w:t>
      </w:r>
      <w:bookmarkEnd w:id="75"/>
      <w:bookmarkEnd w:id="76"/>
    </w:p>
    <w:p w14:paraId="423E2313">
      <w:pPr>
        <w:pStyle w:val="2"/>
        <w:kinsoku/>
        <w:wordWrap/>
        <w:overflowPunct/>
        <w:topLinePunct w:val="0"/>
        <w:autoSpaceDE/>
        <w:autoSpaceDN/>
        <w:bidi w:val="0"/>
        <w:spacing w:before="0" w:after="0" w:line="500" w:lineRule="exact"/>
        <w:rPr>
          <w:rFonts w:ascii="仿宋" w:hAnsi="仿宋" w:eastAsia="仿宋" w:cs="仿宋"/>
          <w:color w:val="auto"/>
          <w:sz w:val="24"/>
          <w:szCs w:val="24"/>
          <w:highlight w:val="none"/>
        </w:rPr>
      </w:pPr>
      <w:bookmarkStart w:id="78" w:name="_Toc439685499"/>
      <w:bookmarkStart w:id="79" w:name="_Toc342913389"/>
      <w:bookmarkStart w:id="80" w:name="_Toc11403"/>
      <w:bookmarkStart w:id="81" w:name="_Toc27202"/>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费用</w:t>
      </w:r>
      <w:bookmarkEnd w:id="78"/>
      <w:bookmarkEnd w:id="79"/>
      <w:bookmarkEnd w:id="80"/>
      <w:bookmarkEnd w:id="81"/>
    </w:p>
    <w:p w14:paraId="1151942A">
      <w:pPr>
        <w:pStyle w:val="33"/>
        <w:kinsoku/>
        <w:wordWrap/>
        <w:overflowPunct/>
        <w:topLinePunct w:val="0"/>
        <w:autoSpaceDE/>
        <w:autoSpaceDN/>
        <w:bidi w:val="0"/>
        <w:spacing w:line="50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一</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参与</w:t>
      </w:r>
      <w:r>
        <w:rPr>
          <w:rFonts w:hint="eastAsia" w:ascii="仿宋" w:hAnsi="仿宋" w:eastAsia="仿宋" w:cs="仿宋"/>
          <w:color w:val="auto"/>
          <w:szCs w:val="24"/>
          <w:highlight w:val="none"/>
          <w:lang w:eastAsia="zh-CN"/>
        </w:rPr>
        <w:t>遴选</w:t>
      </w:r>
      <w:r>
        <w:rPr>
          <w:rFonts w:hint="eastAsia" w:ascii="仿宋" w:hAnsi="仿宋" w:eastAsia="仿宋" w:cs="仿宋"/>
          <w:color w:val="auto"/>
          <w:szCs w:val="24"/>
          <w:highlight w:val="none"/>
        </w:rPr>
        <w:t>的供应商应承担其编制响应文件与递交响应文件所涉及的一切费用，不论</w:t>
      </w:r>
      <w:r>
        <w:rPr>
          <w:rFonts w:hint="eastAsia" w:ascii="仿宋" w:hAnsi="仿宋" w:eastAsia="仿宋" w:cs="仿宋"/>
          <w:color w:val="auto"/>
          <w:szCs w:val="24"/>
          <w:highlight w:val="none"/>
          <w:lang w:eastAsia="zh-CN"/>
        </w:rPr>
        <w:t>遴选</w:t>
      </w:r>
      <w:r>
        <w:rPr>
          <w:rFonts w:hint="eastAsia" w:ascii="仿宋" w:hAnsi="仿宋" w:eastAsia="仿宋" w:cs="仿宋"/>
          <w:color w:val="auto"/>
          <w:szCs w:val="24"/>
          <w:highlight w:val="none"/>
        </w:rPr>
        <w:t>结果如何，采购人在任何情况下无义务也无责任承担这些费用。</w:t>
      </w:r>
    </w:p>
    <w:p w14:paraId="6A98463C">
      <w:pPr>
        <w:pStyle w:val="33"/>
        <w:kinsoku/>
        <w:wordWrap/>
        <w:overflowPunct/>
        <w:topLinePunct w:val="0"/>
        <w:autoSpaceDE/>
        <w:autoSpaceDN/>
        <w:bidi w:val="0"/>
        <w:spacing w:line="500" w:lineRule="exact"/>
        <w:ind w:firstLine="480" w:firstLineChars="200"/>
        <w:rPr>
          <w:rFonts w:hint="eastAsia" w:ascii="仿宋" w:hAnsi="仿宋" w:eastAsia="仿宋" w:cs="仿宋"/>
          <w:color w:val="auto"/>
          <w:szCs w:val="24"/>
          <w:highlight w:val="yellow"/>
          <w:lang w:val="en-US" w:eastAsia="zh-CN"/>
        </w:rPr>
      </w:pPr>
      <w:bookmarkStart w:id="82" w:name="_Toc25808"/>
      <w:bookmarkStart w:id="83" w:name="_Toc439685500"/>
      <w:bookmarkStart w:id="84" w:name="_Toc14285"/>
      <w:bookmarkStart w:id="85" w:name="_Toc342913391"/>
      <w:r>
        <w:rPr>
          <w:rFonts w:hint="eastAsia" w:ascii="仿宋" w:hAnsi="仿宋" w:eastAsia="仿宋" w:cs="仿宋"/>
          <w:color w:val="auto"/>
          <w:szCs w:val="24"/>
          <w:highlight w:val="yellow"/>
          <w:lang w:eastAsia="zh-CN"/>
        </w:rPr>
        <w:t>（</w:t>
      </w:r>
      <w:r>
        <w:rPr>
          <w:rFonts w:hint="eastAsia" w:ascii="仿宋" w:hAnsi="仿宋" w:eastAsia="仿宋" w:cs="仿宋"/>
          <w:color w:val="auto"/>
          <w:szCs w:val="24"/>
          <w:highlight w:val="yellow"/>
          <w:lang w:val="en-US" w:eastAsia="zh-CN"/>
        </w:rPr>
        <w:t>二</w:t>
      </w:r>
      <w:r>
        <w:rPr>
          <w:rFonts w:hint="eastAsia" w:ascii="仿宋" w:hAnsi="仿宋" w:eastAsia="仿宋" w:cs="仿宋"/>
          <w:color w:val="auto"/>
          <w:szCs w:val="24"/>
          <w:highlight w:val="yellow"/>
          <w:lang w:eastAsia="zh-CN"/>
        </w:rPr>
        <w:t>）</w:t>
      </w:r>
      <w:r>
        <w:rPr>
          <w:rFonts w:hint="eastAsia" w:ascii="仿宋" w:hAnsi="仿宋" w:eastAsia="仿宋" w:cs="仿宋"/>
          <w:color w:val="auto"/>
          <w:szCs w:val="24"/>
          <w:highlight w:val="yellow"/>
          <w:lang w:val="en-US" w:eastAsia="zh-CN"/>
        </w:rPr>
        <w:t>本项目遴选服务费人民币5000.00元（伍仟元整），由成交供应商在领取成交通知书时向采购人缴纳。</w:t>
      </w:r>
    </w:p>
    <w:p w14:paraId="4637A397">
      <w:pPr>
        <w:pStyle w:val="33"/>
        <w:kinsoku/>
        <w:wordWrap/>
        <w:overflowPunct/>
        <w:topLinePunct w:val="0"/>
        <w:autoSpaceDE/>
        <w:autoSpaceDN/>
        <w:bidi w:val="0"/>
        <w:spacing w:line="500" w:lineRule="exact"/>
        <w:ind w:firstLine="480" w:firstLineChars="200"/>
        <w:rPr>
          <w:rFonts w:hint="eastAsia" w:ascii="仿宋" w:hAnsi="仿宋" w:eastAsia="仿宋" w:cs="仿宋"/>
          <w:color w:val="auto"/>
          <w:szCs w:val="24"/>
          <w:highlight w:val="yellow"/>
          <w:lang w:eastAsia="zh-CN"/>
        </w:rPr>
      </w:pPr>
      <w:r>
        <w:rPr>
          <w:rFonts w:hint="eastAsia" w:ascii="仿宋" w:hAnsi="仿宋" w:eastAsia="仿宋" w:cs="仿宋"/>
          <w:color w:val="auto"/>
          <w:szCs w:val="24"/>
          <w:highlight w:val="yellow"/>
          <w:lang w:val="en-US" w:eastAsia="zh-CN"/>
        </w:rPr>
        <w:t>遴选服务费</w:t>
      </w:r>
      <w:r>
        <w:rPr>
          <w:rFonts w:hint="eastAsia" w:ascii="仿宋" w:hAnsi="仿宋" w:eastAsia="仿宋" w:cs="仿宋"/>
          <w:color w:val="auto"/>
          <w:szCs w:val="24"/>
          <w:highlight w:val="yellow"/>
          <w:lang w:eastAsia="zh-CN"/>
        </w:rPr>
        <w:t>缴纳账户：</w:t>
      </w:r>
    </w:p>
    <w:p w14:paraId="67531531">
      <w:pPr>
        <w:pStyle w:val="33"/>
        <w:kinsoku/>
        <w:wordWrap/>
        <w:overflowPunct/>
        <w:topLinePunct w:val="0"/>
        <w:autoSpaceDE/>
        <w:autoSpaceDN/>
        <w:bidi w:val="0"/>
        <w:spacing w:line="500" w:lineRule="exact"/>
        <w:ind w:firstLine="480" w:firstLineChars="200"/>
        <w:rPr>
          <w:rFonts w:hint="eastAsia" w:ascii="仿宋" w:hAnsi="仿宋" w:eastAsia="仿宋" w:cs="仿宋"/>
          <w:color w:val="auto"/>
          <w:szCs w:val="24"/>
          <w:highlight w:val="yellow"/>
          <w:lang w:eastAsia="zh-CN"/>
        </w:rPr>
      </w:pPr>
      <w:r>
        <w:rPr>
          <w:rFonts w:hint="eastAsia" w:ascii="仿宋" w:hAnsi="仿宋" w:eastAsia="仿宋" w:cs="仿宋"/>
          <w:color w:val="auto"/>
          <w:szCs w:val="24"/>
          <w:highlight w:val="yellow"/>
          <w:lang w:eastAsia="zh-CN"/>
        </w:rPr>
        <w:t>户  名：重庆第二师范学院</w:t>
      </w:r>
    </w:p>
    <w:p w14:paraId="36F35649">
      <w:pPr>
        <w:pStyle w:val="33"/>
        <w:kinsoku/>
        <w:wordWrap/>
        <w:overflowPunct/>
        <w:topLinePunct w:val="0"/>
        <w:autoSpaceDE/>
        <w:autoSpaceDN/>
        <w:bidi w:val="0"/>
        <w:spacing w:line="500" w:lineRule="exact"/>
        <w:ind w:firstLine="480" w:firstLineChars="200"/>
        <w:rPr>
          <w:rFonts w:hint="eastAsia" w:ascii="仿宋" w:hAnsi="仿宋" w:eastAsia="仿宋" w:cs="仿宋"/>
          <w:color w:val="auto"/>
          <w:szCs w:val="24"/>
          <w:highlight w:val="yellow"/>
          <w:lang w:eastAsia="zh-CN"/>
        </w:rPr>
      </w:pPr>
      <w:r>
        <w:rPr>
          <w:rFonts w:hint="eastAsia" w:ascii="仿宋" w:hAnsi="仿宋" w:eastAsia="仿宋" w:cs="仿宋"/>
          <w:color w:val="auto"/>
          <w:szCs w:val="24"/>
          <w:highlight w:val="yellow"/>
          <w:lang w:eastAsia="zh-CN"/>
        </w:rPr>
        <w:t>开户行：中行重庆南岸支行</w:t>
      </w:r>
    </w:p>
    <w:p w14:paraId="6FB581EA">
      <w:pPr>
        <w:pStyle w:val="33"/>
        <w:kinsoku/>
        <w:wordWrap/>
        <w:overflowPunct/>
        <w:topLinePunct w:val="0"/>
        <w:autoSpaceDE/>
        <w:autoSpaceDN/>
        <w:bidi w:val="0"/>
        <w:spacing w:line="500" w:lineRule="exact"/>
        <w:ind w:firstLine="480" w:firstLineChars="200"/>
        <w:rPr>
          <w:rFonts w:hint="eastAsia" w:ascii="仿宋" w:hAnsi="仿宋" w:eastAsia="仿宋" w:cs="仿宋"/>
          <w:color w:val="auto"/>
          <w:szCs w:val="24"/>
          <w:highlight w:val="yellow"/>
          <w:lang w:val="en-US" w:eastAsia="zh-CN"/>
        </w:rPr>
      </w:pPr>
      <w:r>
        <w:rPr>
          <w:rFonts w:hint="eastAsia" w:ascii="仿宋" w:hAnsi="仿宋" w:eastAsia="仿宋" w:cs="仿宋"/>
          <w:color w:val="auto"/>
          <w:szCs w:val="24"/>
          <w:highlight w:val="yellow"/>
          <w:lang w:eastAsia="zh-CN"/>
        </w:rPr>
        <w:t>帐  号： 113000765454</w:t>
      </w:r>
    </w:p>
    <w:p w14:paraId="5FDADA8E">
      <w:pPr>
        <w:pStyle w:val="2"/>
        <w:tabs>
          <w:tab w:val="left" w:pos="2640"/>
        </w:tabs>
        <w:kinsoku/>
        <w:wordWrap/>
        <w:overflowPunct/>
        <w:topLinePunct w:val="0"/>
        <w:autoSpaceDE/>
        <w:autoSpaceDN/>
        <w:bidi w:val="0"/>
        <w:spacing w:before="0" w:after="0" w:line="5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w:t>
      </w:r>
      <w:bookmarkEnd w:id="82"/>
      <w:bookmarkEnd w:id="83"/>
      <w:bookmarkEnd w:id="84"/>
      <w:bookmarkEnd w:id="85"/>
    </w:p>
    <w:p w14:paraId="08F6D727">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文件由采购邀请书、项目服务需求、项目商务需求、</w:t>
      </w:r>
      <w:r>
        <w:rPr>
          <w:rFonts w:hint="eastAsia" w:ascii="仿宋" w:hAnsi="仿宋" w:eastAsia="仿宋" w:cs="仿宋"/>
          <w:strike w:val="0"/>
          <w:dstrike w:val="0"/>
          <w:color w:val="auto"/>
          <w:sz w:val="24"/>
          <w:szCs w:val="24"/>
          <w:highlight w:val="none"/>
        </w:rPr>
        <w:t>评审标准</w:t>
      </w:r>
      <w:r>
        <w:rPr>
          <w:rFonts w:hint="eastAsia" w:ascii="仿宋" w:hAnsi="仿宋" w:eastAsia="仿宋" w:cs="仿宋"/>
          <w:strike w:val="0"/>
          <w:dstrike w:val="0"/>
          <w:color w:val="auto"/>
          <w:sz w:val="24"/>
          <w:szCs w:val="24"/>
          <w:highlight w:val="none"/>
          <w:lang w:eastAsia="zh-CN"/>
        </w:rPr>
        <w:t>、</w:t>
      </w:r>
      <w:r>
        <w:rPr>
          <w:rFonts w:hint="eastAsia" w:ascii="仿宋" w:hAnsi="仿宋" w:eastAsia="仿宋" w:cs="仿宋"/>
          <w:color w:val="auto"/>
          <w:sz w:val="24"/>
          <w:szCs w:val="24"/>
          <w:highlight w:val="none"/>
        </w:rPr>
        <w:t>供应商须知、合同草案条款、响应文件编制要求</w:t>
      </w:r>
      <w:r>
        <w:rPr>
          <w:rFonts w:hint="eastAsia" w:ascii="仿宋" w:hAnsi="仿宋" w:eastAsia="仿宋" w:cs="仿宋"/>
          <w:strike w:val="0"/>
          <w:dstrike w:val="0"/>
          <w:color w:val="auto"/>
          <w:sz w:val="24"/>
          <w:szCs w:val="24"/>
          <w:highlight w:val="none"/>
          <w:lang w:val="en-US" w:eastAsia="zh-CN"/>
        </w:rPr>
        <w:t>七</w:t>
      </w:r>
      <w:r>
        <w:rPr>
          <w:rFonts w:hint="eastAsia" w:ascii="仿宋" w:hAnsi="仿宋" w:eastAsia="仿宋" w:cs="仿宋"/>
          <w:color w:val="auto"/>
          <w:sz w:val="24"/>
          <w:szCs w:val="24"/>
          <w:highlight w:val="none"/>
        </w:rPr>
        <w:t>部分组成。</w:t>
      </w:r>
    </w:p>
    <w:p w14:paraId="01DBC9D7">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（二）采购人所作的一切有效的书面通知、修改及补充，都是</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文件不可分割的部分。</w:t>
      </w:r>
    </w:p>
    <w:p w14:paraId="723CAD39">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文件的解释</w:t>
      </w:r>
    </w:p>
    <w:p w14:paraId="1A8BDB61">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供应商如对</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文件有疑问，必须以书面形式在提交响应文件截止时间3个工作日前向采购人要求澄清，采购人可视具体情况做出处理或答复。如供应商未提出疑问，视为完全理解并同意本</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文件。一经进入</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程序，即视为供应商已详细阅读全部文件资料，完全理解</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文件所有条款内容并同意放弃对这方面有不明白及误解的权利。</w:t>
      </w:r>
      <w:bookmarkStart w:id="86" w:name="_Toc318159160"/>
      <w:bookmarkStart w:id="87" w:name="_Toc318159349"/>
      <w:bookmarkStart w:id="88" w:name="_Toc318159780"/>
      <w:bookmarkStart w:id="89" w:name="_Toc318166429"/>
    </w:p>
    <w:p w14:paraId="04A9989B">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）评审的依据为</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文件和响应文件（含有效的书面承诺）。</w:t>
      </w: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判断响应文件对</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文件的响应，仅基于响应文件本身而不靠外部证据。</w:t>
      </w:r>
    </w:p>
    <w:bookmarkEnd w:id="86"/>
    <w:bookmarkEnd w:id="87"/>
    <w:bookmarkEnd w:id="88"/>
    <w:bookmarkEnd w:id="89"/>
    <w:p w14:paraId="4E909B12">
      <w:pPr>
        <w:pStyle w:val="2"/>
        <w:kinsoku/>
        <w:wordWrap/>
        <w:overflowPunct/>
        <w:topLinePunct w:val="0"/>
        <w:autoSpaceDE/>
        <w:autoSpaceDN/>
        <w:bidi w:val="0"/>
        <w:spacing w:before="0" w:after="0" w:line="500" w:lineRule="exact"/>
        <w:rPr>
          <w:rFonts w:ascii="仿宋" w:hAnsi="仿宋" w:eastAsia="仿宋" w:cs="仿宋"/>
          <w:color w:val="auto"/>
          <w:sz w:val="24"/>
          <w:szCs w:val="24"/>
          <w:highlight w:val="none"/>
        </w:rPr>
      </w:pPr>
      <w:bookmarkStart w:id="90" w:name="_Toc17569"/>
      <w:bookmarkStart w:id="91" w:name="_Toc8729"/>
      <w:bookmarkStart w:id="92" w:name="_Toc102227318"/>
      <w:bookmarkStart w:id="93" w:name="_Toc179714297"/>
      <w:bookmarkStart w:id="94" w:name="_Toc439685501"/>
      <w:bookmarkStart w:id="95" w:name="_Toc342913392"/>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要求</w:t>
      </w:r>
      <w:bookmarkEnd w:id="90"/>
      <w:bookmarkEnd w:id="91"/>
      <w:bookmarkEnd w:id="92"/>
      <w:bookmarkEnd w:id="93"/>
      <w:bookmarkEnd w:id="94"/>
      <w:bookmarkEnd w:id="95"/>
    </w:p>
    <w:p w14:paraId="776F0CB9">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（一）响应文件</w:t>
      </w:r>
    </w:p>
    <w:p w14:paraId="7E0380D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1、供应商应当按照</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文件的要求编制响应文件，并对</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文件提出的要求和条件作出实质性响应，响应文件原则上采用软面订本，同时应编制完整的页码、目录。</w:t>
      </w:r>
    </w:p>
    <w:p w14:paraId="35834CAC">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2、响应文件组成</w:t>
      </w:r>
    </w:p>
    <w:p w14:paraId="31070949">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响应文件由第</w:t>
      </w: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rPr>
        <w:t>篇“响应文件编制要求”规定的部分和供应商所作的一切有效补充、修改和承诺等文件组成，供应商应按照第</w:t>
      </w: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rPr>
        <w:t>篇“响应文件编制要求”规定的目录顺序组织编写和装订，也可在基本格式基础上对表格进行扩展，未规定格式的由供应商自定格式。</w:t>
      </w:r>
    </w:p>
    <w:p w14:paraId="0D7A55A4">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有效期：响应文件及有关承诺文件有效期为提交响应文件截止时间起90天。</w:t>
      </w:r>
    </w:p>
    <w:p w14:paraId="3554D7AD">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保证金：</w:t>
      </w:r>
    </w:p>
    <w:p w14:paraId="2A4901A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1、供应商提交保证金金额和方式详见“</w:t>
      </w:r>
      <w:r>
        <w:rPr>
          <w:rFonts w:hint="eastAsia" w:ascii="仿宋" w:hAnsi="仿宋" w:eastAsia="仿宋" w:cs="仿宋"/>
          <w:b/>
          <w:color w:val="auto"/>
          <w:sz w:val="24"/>
          <w:szCs w:val="24"/>
          <w:highlight w:val="none"/>
          <w:u w:val="single"/>
        </w:rPr>
        <w:t>第一篇  五、</w:t>
      </w:r>
      <w:r>
        <w:rPr>
          <w:rFonts w:hint="eastAsia" w:ascii="仿宋" w:hAnsi="仿宋" w:eastAsia="仿宋" w:cs="仿宋"/>
          <w:b/>
          <w:color w:val="auto"/>
          <w:sz w:val="24"/>
          <w:szCs w:val="24"/>
          <w:highlight w:val="none"/>
          <w:u w:val="single"/>
          <w:lang w:eastAsia="zh-CN"/>
        </w:rPr>
        <w:t>遴选</w:t>
      </w:r>
      <w:r>
        <w:rPr>
          <w:rFonts w:hint="eastAsia" w:ascii="仿宋" w:hAnsi="仿宋" w:eastAsia="仿宋" w:cs="仿宋"/>
          <w:b/>
          <w:color w:val="auto"/>
          <w:sz w:val="24"/>
          <w:szCs w:val="24"/>
          <w:highlight w:val="none"/>
          <w:u w:val="single"/>
        </w:rPr>
        <w:t>保证金”</w:t>
      </w:r>
      <w:r>
        <w:rPr>
          <w:rFonts w:hint="eastAsia" w:ascii="仿宋" w:hAnsi="仿宋" w:eastAsia="仿宋" w:cs="仿宋"/>
          <w:color w:val="auto"/>
          <w:sz w:val="24"/>
          <w:szCs w:val="24"/>
          <w:highlight w:val="none"/>
        </w:rPr>
        <w:t>；</w:t>
      </w:r>
    </w:p>
    <w:p w14:paraId="392491ED">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2、发生以下情况之一者，</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保证金不予退还：</w:t>
      </w:r>
    </w:p>
    <w:p w14:paraId="51BCFFCE">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2.1供应商在提交响应文件截止时间后撤回响应文件的；</w:t>
      </w:r>
    </w:p>
    <w:p w14:paraId="692DDD6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2.2供应商在响应文件中提供虚假材料的；</w:t>
      </w:r>
    </w:p>
    <w:p w14:paraId="45787D4D">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2.3除因不可抗力或</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文件认可的情形以外，成交供应商不与采购人签订合同的；</w:t>
      </w:r>
    </w:p>
    <w:p w14:paraId="7DA85339">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2.4供应商与采购人、其他供应商恶意串通的；</w:t>
      </w:r>
    </w:p>
    <w:p w14:paraId="6425392E">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2.5成交供应商不按规定的时间或拒绝按成交状态签订合同（即不按照采购文件确定的合同文本以及采购标的、采购金额、采购数量、技术和服务要求等事项签订政府采购合同的。）。</w:t>
      </w:r>
    </w:p>
    <w:p w14:paraId="3E10F8F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（四）修正错误</w:t>
      </w:r>
    </w:p>
    <w:p w14:paraId="5CF98CD5">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1、若供应商所递交的响应文件或报价中的价格出现大写金额和小写金额不一致的错误，以大写金额修正为准。</w:t>
      </w:r>
    </w:p>
    <w:p w14:paraId="4D951D88">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按上述修正错误的原则及方法修正供应商的报价，供应商同意并签字确认后，修正后的报价对供应商具有约束作用。如果供应商不接受修正后的价格，将失去成为成交供应商的资格。</w:t>
      </w:r>
    </w:p>
    <w:p w14:paraId="4DCA3E9A">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（五）提交响应文件的份数和签署</w:t>
      </w:r>
    </w:p>
    <w:p w14:paraId="6B2C4FC8">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1、响应文件一式四份，其中正本一份，副本二份，电子档一份；副本可为正本的复印件，应与正本一致，如出现不一致情况以正本为准。</w:t>
      </w:r>
    </w:p>
    <w:p w14:paraId="77DD3307">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highlight w:val="none"/>
        </w:rPr>
        <w:t>在响应文件正本中，</w:t>
      </w:r>
      <w:r>
        <w:rPr>
          <w:rFonts w:hint="eastAsia" w:ascii="仿宋" w:hAnsi="仿宋" w:eastAsia="仿宋" w:cs="仿宋"/>
          <w:color w:val="auto"/>
          <w:sz w:val="24"/>
          <w:highlight w:val="none"/>
          <w:lang w:eastAsia="zh-CN"/>
        </w:rPr>
        <w:t>公开遴选</w:t>
      </w:r>
      <w:r>
        <w:rPr>
          <w:rFonts w:hint="eastAsia" w:ascii="仿宋" w:hAnsi="仿宋" w:eastAsia="仿宋" w:cs="仿宋"/>
          <w:color w:val="auto"/>
          <w:sz w:val="24"/>
          <w:highlight w:val="none"/>
        </w:rPr>
        <w:t>文件第</w:t>
      </w:r>
      <w:r>
        <w:rPr>
          <w:rFonts w:hint="eastAsia" w:ascii="仿宋" w:hAnsi="仿宋" w:eastAsia="仿宋" w:cs="仿宋"/>
          <w:color w:val="auto"/>
          <w:sz w:val="24"/>
          <w:highlight w:val="none"/>
          <w:lang w:val="en-US" w:eastAsia="zh-CN"/>
        </w:rPr>
        <w:t>七</w:t>
      </w:r>
      <w:r>
        <w:rPr>
          <w:rFonts w:hint="eastAsia" w:ascii="仿宋" w:hAnsi="仿宋" w:eastAsia="仿宋" w:cs="仿宋"/>
          <w:color w:val="auto"/>
          <w:sz w:val="24"/>
          <w:highlight w:val="none"/>
        </w:rPr>
        <w:t>篇响应文件编制要求中规定签字、盖章的地方必须按其规定签字、盖章。</w:t>
      </w:r>
    </w:p>
    <w:p w14:paraId="1D1BC611">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（六）响应文件的递交</w:t>
      </w:r>
    </w:p>
    <w:p w14:paraId="5A49C8FD">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1、响应文件的密封与标记</w:t>
      </w:r>
    </w:p>
    <w:p w14:paraId="5B7D08BC">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响应文件的正本、副本均采用信封分别密封。信封上注明项目名称、供应商名称、“正本”、“副本”字样。信封的封口应加盖供应商公章或法人授权代表签字。</w:t>
      </w:r>
    </w:p>
    <w:p w14:paraId="0FA32574">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2、响应文件递交截止时间：参阅采购邀请书。</w:t>
      </w:r>
    </w:p>
    <w:p w14:paraId="73EAA7BD">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3、响应文件语言：简体中文</w:t>
      </w:r>
    </w:p>
    <w:p w14:paraId="53B20836">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（七）供应商参与人员</w:t>
      </w:r>
    </w:p>
    <w:p w14:paraId="4F44402A">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各个供应商可派1-2名代表参与</w:t>
      </w:r>
      <w:r>
        <w:rPr>
          <w:rFonts w:hint="eastAsia" w:ascii="仿宋" w:hAnsi="仿宋" w:eastAsia="仿宋" w:cs="仿宋"/>
          <w:color w:val="auto"/>
          <w:sz w:val="24"/>
          <w:szCs w:val="24"/>
          <w:highlight w:val="none"/>
          <w:lang w:eastAsia="zh-CN"/>
        </w:rPr>
        <w:t>遴选</w:t>
      </w:r>
      <w:r>
        <w:rPr>
          <w:rFonts w:hint="eastAsia" w:ascii="仿宋" w:hAnsi="仿宋" w:eastAsia="仿宋" w:cs="仿宋"/>
          <w:color w:val="auto"/>
          <w:sz w:val="24"/>
          <w:szCs w:val="24"/>
          <w:highlight w:val="none"/>
        </w:rPr>
        <w:t>，至少1人应为法定代表人或具有法定代表人授权委托书的授权代表。</w:t>
      </w:r>
    </w:p>
    <w:p w14:paraId="3DD50E17">
      <w:pPr>
        <w:pStyle w:val="2"/>
        <w:kinsoku/>
        <w:wordWrap/>
        <w:overflowPunct/>
        <w:topLinePunct w:val="0"/>
        <w:autoSpaceDE/>
        <w:autoSpaceDN/>
        <w:bidi w:val="0"/>
        <w:spacing w:before="0" w:after="0" w:line="500" w:lineRule="exact"/>
        <w:rPr>
          <w:rFonts w:ascii="仿宋" w:hAnsi="仿宋" w:eastAsia="仿宋" w:cs="仿宋"/>
          <w:color w:val="auto"/>
          <w:sz w:val="24"/>
          <w:szCs w:val="24"/>
          <w:highlight w:val="none"/>
        </w:rPr>
      </w:pPr>
      <w:bookmarkStart w:id="96" w:name="_Toc10241"/>
      <w:bookmarkStart w:id="97" w:name="_Toc439685502"/>
      <w:bookmarkStart w:id="98" w:name="_Toc23517"/>
      <w:r>
        <w:rPr>
          <w:rFonts w:hint="eastAsia" w:ascii="仿宋" w:hAnsi="仿宋" w:eastAsia="仿宋" w:cs="仿宋"/>
          <w:color w:val="auto"/>
          <w:sz w:val="24"/>
          <w:szCs w:val="24"/>
          <w:highlight w:val="none"/>
        </w:rPr>
        <w:t>四、成交供应商的确认和变更</w:t>
      </w:r>
      <w:bookmarkEnd w:id="96"/>
      <w:bookmarkEnd w:id="97"/>
      <w:bookmarkEnd w:id="98"/>
    </w:p>
    <w:p w14:paraId="57941F21">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（一）成交供应商的确认</w:t>
      </w:r>
    </w:p>
    <w:p w14:paraId="33DF8E0A">
      <w:pPr>
        <w:kinsoku/>
        <w:wordWrap/>
        <w:overflowPunct/>
        <w:topLinePunct w:val="0"/>
        <w:autoSpaceDE/>
        <w:autoSpaceDN/>
        <w:bidi w:val="0"/>
        <w:snapToGrid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采购人应当在评审报告后5个工作日内，从评审报告提出的成交候选供应商中，按照排序由高到低的原则确定成交供应商，也可以书面授权</w:t>
      </w: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直接确定成交供应商。采购人逾期未确定成交供应商且不提出异议的，视为确定评审报告提出的排序第一的供应商为成交供应商。</w:t>
      </w:r>
    </w:p>
    <w:p w14:paraId="417966CF">
      <w:pPr>
        <w:kinsoku/>
        <w:wordWrap/>
        <w:overflowPunct/>
        <w:topLinePunct w:val="0"/>
        <w:autoSpaceDE/>
        <w:autoSpaceDN/>
        <w:bidi w:val="0"/>
        <w:snapToGrid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（二）成交供应商的变更</w:t>
      </w:r>
    </w:p>
    <w:p w14:paraId="7A95C900">
      <w:pPr>
        <w:kinsoku/>
        <w:wordWrap/>
        <w:overflowPunct/>
        <w:topLinePunct w:val="0"/>
        <w:autoSpaceDE/>
        <w:autoSpaceDN/>
        <w:bidi w:val="0"/>
        <w:snapToGrid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成交供应商拒绝与采购人签订合同的，采购人可以按照评标报告推荐的成交候选供应商顺序，确定排名下一位的候选人为成交供应商，也可以重新开展</w:t>
      </w:r>
      <w:r>
        <w:rPr>
          <w:rFonts w:hint="eastAsia" w:ascii="仿宋" w:hAnsi="仿宋" w:eastAsia="仿宋" w:cs="仿宋"/>
          <w:color w:val="auto"/>
          <w:sz w:val="24"/>
          <w:szCs w:val="24"/>
          <w:highlight w:val="none"/>
          <w:lang w:val="en-US" w:eastAsia="zh-CN"/>
        </w:rPr>
        <w:t>遴选</w:t>
      </w:r>
      <w:r>
        <w:rPr>
          <w:rFonts w:hint="eastAsia" w:ascii="仿宋" w:hAnsi="仿宋" w:eastAsia="仿宋" w:cs="仿宋"/>
          <w:color w:val="auto"/>
          <w:sz w:val="24"/>
          <w:szCs w:val="24"/>
          <w:highlight w:val="none"/>
        </w:rPr>
        <w:t>活动。</w:t>
      </w:r>
    </w:p>
    <w:p w14:paraId="52AFA712">
      <w:pPr>
        <w:pStyle w:val="2"/>
        <w:kinsoku/>
        <w:wordWrap/>
        <w:overflowPunct/>
        <w:topLinePunct w:val="0"/>
        <w:autoSpaceDE/>
        <w:autoSpaceDN/>
        <w:bidi w:val="0"/>
        <w:spacing w:before="0" w:after="0" w:line="500" w:lineRule="exact"/>
        <w:rPr>
          <w:rFonts w:ascii="仿宋" w:hAnsi="仿宋" w:eastAsia="仿宋" w:cs="仿宋"/>
          <w:color w:val="auto"/>
          <w:sz w:val="24"/>
          <w:szCs w:val="24"/>
          <w:highlight w:val="none"/>
        </w:rPr>
      </w:pPr>
      <w:bookmarkStart w:id="99" w:name="_Toc24412"/>
      <w:bookmarkStart w:id="100" w:name="_Toc439685503"/>
      <w:bookmarkStart w:id="101" w:name="_Toc102227321"/>
      <w:bookmarkStart w:id="102" w:name="_Toc342913395"/>
      <w:bookmarkStart w:id="103" w:name="_Toc12364"/>
      <w:r>
        <w:rPr>
          <w:rFonts w:hint="eastAsia" w:ascii="仿宋" w:hAnsi="仿宋" w:eastAsia="仿宋" w:cs="仿宋"/>
          <w:color w:val="auto"/>
          <w:sz w:val="24"/>
          <w:szCs w:val="24"/>
          <w:highlight w:val="none"/>
        </w:rPr>
        <w:t>五、成交通知</w:t>
      </w:r>
      <w:bookmarkEnd w:id="99"/>
      <w:bookmarkEnd w:id="100"/>
      <w:bookmarkEnd w:id="101"/>
      <w:bookmarkEnd w:id="102"/>
      <w:bookmarkEnd w:id="103"/>
    </w:p>
    <w:p w14:paraId="6D3C9F0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（一）成交供应商确定后，采购人将在重庆第二师范学院网（http://www.cque.edu.cn）、行采家（https://www.gec123.com/）上发布成交结果预公示。</w:t>
      </w:r>
    </w:p>
    <w:p w14:paraId="6EAF281E">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（二）结果公告发出同时，采购人将以书面形式发出《成交通知书》。《成交通知书》一经发出即发生法律效力。</w:t>
      </w:r>
    </w:p>
    <w:p w14:paraId="681D51B5">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（三）《成交通知书》将作为签订合同的依据。</w:t>
      </w:r>
    </w:p>
    <w:p w14:paraId="4C9AD8AA">
      <w:pPr>
        <w:kinsoku/>
        <w:wordWrap/>
        <w:overflowPunct/>
        <w:topLinePunct w:val="0"/>
        <w:autoSpaceDE/>
        <w:autoSpaceDN/>
        <w:bidi w:val="0"/>
        <w:spacing w:line="500" w:lineRule="exact"/>
        <w:ind w:firstLine="480" w:firstLineChars="200"/>
        <w:rPr>
          <w:rFonts w:ascii="仿宋" w:hAnsi="仿宋" w:eastAsia="仿宋" w:cs="仿宋"/>
          <w:color w:val="auto"/>
          <w:highlight w:val="none"/>
        </w:rPr>
      </w:pPr>
      <w:r>
        <w:rPr>
          <w:rFonts w:hint="eastAsia" w:ascii="仿宋" w:hAnsi="仿宋" w:eastAsia="仿宋" w:cs="仿宋"/>
          <w:color w:val="auto"/>
          <w:sz w:val="24"/>
          <w:szCs w:val="24"/>
          <w:highlight w:val="none"/>
        </w:rPr>
        <w:t>（四）如有供应商对成交结果提出质疑的，在质疑处理完毕后发出成交通知书。</w:t>
      </w:r>
    </w:p>
    <w:p w14:paraId="4B11129B">
      <w:pPr>
        <w:pStyle w:val="2"/>
        <w:kinsoku/>
        <w:wordWrap/>
        <w:overflowPunct/>
        <w:topLinePunct w:val="0"/>
        <w:autoSpaceDE/>
        <w:autoSpaceDN/>
        <w:bidi w:val="0"/>
        <w:spacing w:before="0" w:after="0" w:line="500" w:lineRule="exact"/>
        <w:rPr>
          <w:rFonts w:ascii="仿宋" w:hAnsi="仿宋" w:eastAsia="仿宋" w:cs="仿宋"/>
          <w:color w:val="auto"/>
          <w:sz w:val="24"/>
          <w:szCs w:val="24"/>
          <w:highlight w:val="none"/>
        </w:rPr>
      </w:pPr>
      <w:bookmarkStart w:id="104" w:name="_Toc439685504"/>
      <w:bookmarkStart w:id="105" w:name="_Toc5896"/>
      <w:bookmarkStart w:id="106" w:name="_Toc10943"/>
      <w:r>
        <w:rPr>
          <w:rFonts w:hint="eastAsia" w:ascii="仿宋" w:hAnsi="仿宋" w:eastAsia="仿宋" w:cs="仿宋"/>
          <w:color w:val="auto"/>
          <w:sz w:val="24"/>
          <w:szCs w:val="24"/>
          <w:highlight w:val="none"/>
        </w:rPr>
        <w:t>六、关于质疑和投诉</w:t>
      </w:r>
      <w:bookmarkEnd w:id="104"/>
      <w:bookmarkEnd w:id="105"/>
      <w:bookmarkEnd w:id="106"/>
    </w:p>
    <w:p w14:paraId="218FFCEC">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（一）质疑内容、时限</w:t>
      </w:r>
    </w:p>
    <w:p w14:paraId="4E950697">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1、供应商对成交结果有异议的，应当在结果预公示发布之日起七个工作日内以书面形式向采购人提出质疑，并附相关证明材料。</w:t>
      </w:r>
    </w:p>
    <w:p w14:paraId="5FDD57F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2、供应商对采购文件中供应商特定资格条件、技术质量和商务要求、评审标准及评审细则有异议的，应主要向采购人提出质疑。</w:t>
      </w:r>
    </w:p>
    <w:p w14:paraId="3886731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（二）质疑答复</w:t>
      </w:r>
    </w:p>
    <w:p w14:paraId="46E13E4C">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采购人将按照《重庆市政府采购供应商质疑投诉处理暂行规定》的相关规定对质疑内容作出答复和处理。</w:t>
      </w:r>
    </w:p>
    <w:p w14:paraId="20B7CA66">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（三）投诉</w:t>
      </w:r>
    </w:p>
    <w:p w14:paraId="70B0A00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1、供应商对采购人的答复不满意或者采购人未在规定时间内答复的，可在答复期满后十五个工作日内按有关规定，向同级财政部门投诉。</w:t>
      </w:r>
    </w:p>
    <w:p w14:paraId="4CA20DEB">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2、在提出投诉时，应附送相关证明材料。投诉书及证明材料为外文的，应同时提供其中文译本；中文与外文意思不一致的，以中文为准。</w:t>
      </w:r>
    </w:p>
    <w:p w14:paraId="3591C25E">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在确定受理投诉后，财政部门自受理投诉之日起三十个工作日内对投诉事项做出处理决定，并将投诉处理决定书送达投诉人、被投诉人和其他与投诉处理决定有利害关系的政府采购相关当事人，同时在重庆第二师范学院校园网（http://www.cque.edu.cn）、重庆行采家（https://www.gec123.com/）公告投诉处理决定书。</w:t>
      </w:r>
    </w:p>
    <w:p w14:paraId="1B35AC28">
      <w:pPr>
        <w:pStyle w:val="2"/>
        <w:kinsoku/>
        <w:wordWrap/>
        <w:overflowPunct/>
        <w:topLinePunct w:val="0"/>
        <w:autoSpaceDE/>
        <w:autoSpaceDN/>
        <w:bidi w:val="0"/>
        <w:spacing w:before="0" w:after="0" w:line="500" w:lineRule="exact"/>
        <w:rPr>
          <w:rFonts w:ascii="仿宋" w:hAnsi="仿宋" w:eastAsia="仿宋" w:cs="仿宋"/>
          <w:color w:val="auto"/>
          <w:sz w:val="24"/>
          <w:szCs w:val="24"/>
          <w:highlight w:val="none"/>
        </w:rPr>
      </w:pPr>
      <w:bookmarkStart w:id="107" w:name="_Toc102227322"/>
      <w:bookmarkStart w:id="108" w:name="_Toc342913396"/>
      <w:bookmarkStart w:id="109" w:name="_Toc7507"/>
      <w:bookmarkStart w:id="110" w:name="_Toc4149"/>
      <w:bookmarkStart w:id="111" w:name="_Toc439685507"/>
      <w:r>
        <w:rPr>
          <w:rFonts w:hint="eastAsia" w:ascii="仿宋" w:hAnsi="仿宋" w:eastAsia="仿宋" w:cs="仿宋"/>
          <w:color w:val="auto"/>
          <w:sz w:val="24"/>
          <w:szCs w:val="24"/>
          <w:highlight w:val="none"/>
        </w:rPr>
        <w:t>七、签订</w:t>
      </w:r>
      <w:bookmarkEnd w:id="107"/>
      <w:r>
        <w:rPr>
          <w:rFonts w:hint="eastAsia" w:ascii="仿宋" w:hAnsi="仿宋" w:eastAsia="仿宋" w:cs="仿宋"/>
          <w:color w:val="auto"/>
          <w:sz w:val="24"/>
          <w:szCs w:val="24"/>
          <w:highlight w:val="none"/>
        </w:rPr>
        <w:t>合同</w:t>
      </w:r>
      <w:bookmarkEnd w:id="108"/>
      <w:bookmarkEnd w:id="109"/>
      <w:bookmarkEnd w:id="110"/>
      <w:bookmarkEnd w:id="111"/>
    </w:p>
    <w:p w14:paraId="2DA3AFC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（一）采购人与成交供应商应当在成交通知书发出之日起30日内，按照采购文件确定的合同文本以及采购标的、采购金额、采购数量、技术和服务要求等事项签订政府采购合同。</w:t>
      </w:r>
    </w:p>
    <w:p w14:paraId="3FB59DC9">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文件、成交供应商的响应文件及有效承诺文件等，均为签订合同的依据。</w:t>
      </w:r>
    </w:p>
    <w:p w14:paraId="00A4057B">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（三）如成交供应商放弃成交项目或在签订合同时擅自改变成交状态的，采购人将按照相关法律法规处理。</w:t>
      </w:r>
    </w:p>
    <w:p w14:paraId="7382D6A7">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（四）采购人不得向成交供应商提出超出</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文件以外的任何要求作为签订合同的条件，不得与成交供应商订立背离</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确定的合同文本以及采购标的、规格型号、采购金额、采购数量、技术和服务要求等实质性内容的协议。</w:t>
      </w:r>
    </w:p>
    <w:p w14:paraId="480A6DF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（五）除不可抗力等因素外，成交通知书发出后，采购人改变成交结果，或者成交供应商拒绝签订政府采购合同的，应当承担相应的法律责任。</w:t>
      </w:r>
    </w:p>
    <w:p w14:paraId="10B1338A">
      <w:pPr>
        <w:pStyle w:val="3"/>
        <w:kinsoku/>
        <w:wordWrap/>
        <w:overflowPunct/>
        <w:topLinePunct w:val="0"/>
        <w:autoSpaceDE/>
        <w:autoSpaceDN/>
        <w:bidi w:val="0"/>
        <w:spacing w:beforeLines="0" w:afterLines="0" w:line="500" w:lineRule="exact"/>
        <w:rPr>
          <w:rFonts w:ascii="仿宋" w:hAnsi="仿宋" w:eastAsia="仿宋" w:cs="仿宋"/>
          <w:b/>
          <w:color w:val="auto"/>
          <w:highlight w:val="none"/>
        </w:rPr>
      </w:pPr>
    </w:p>
    <w:p w14:paraId="6EE35A45">
      <w:pPr>
        <w:kinsoku/>
        <w:wordWrap/>
        <w:overflowPunct/>
        <w:topLinePunct w:val="0"/>
        <w:autoSpaceDE/>
        <w:autoSpaceDN/>
        <w:bidi w:val="0"/>
        <w:spacing w:line="500" w:lineRule="exact"/>
        <w:rPr>
          <w:color w:val="auto"/>
          <w:highlight w:val="none"/>
        </w:rPr>
      </w:pPr>
    </w:p>
    <w:p w14:paraId="4042B5B2">
      <w:pPr>
        <w:rPr>
          <w:rFonts w:hint="eastAsia" w:ascii="仿宋" w:hAnsi="仿宋" w:eastAsia="仿宋" w:cs="仿宋"/>
          <w:b/>
          <w:bCs/>
          <w:color w:val="auto"/>
          <w:highlight w:val="none"/>
        </w:rPr>
      </w:pPr>
      <w:bookmarkStart w:id="112" w:name="_Toc1085"/>
      <w:bookmarkStart w:id="113" w:name="_Toc22475"/>
      <w:r>
        <w:rPr>
          <w:rFonts w:hint="eastAsia" w:ascii="仿宋" w:hAnsi="仿宋" w:eastAsia="仿宋" w:cs="仿宋"/>
          <w:b/>
          <w:bCs/>
          <w:color w:val="auto"/>
          <w:highlight w:val="none"/>
        </w:rPr>
        <w:br w:type="page"/>
      </w:r>
    </w:p>
    <w:p w14:paraId="3228FCB4">
      <w:pPr>
        <w:pStyle w:val="3"/>
        <w:kinsoku/>
        <w:wordWrap/>
        <w:overflowPunct/>
        <w:topLinePunct w:val="0"/>
        <w:autoSpaceDE/>
        <w:autoSpaceDN/>
        <w:bidi w:val="0"/>
        <w:spacing w:before="240" w:after="120" w:line="500" w:lineRule="exact"/>
        <w:rPr>
          <w:rFonts w:ascii="仿宋" w:hAnsi="仿宋" w:eastAsia="仿宋" w:cs="仿宋"/>
          <w:b/>
          <w:bCs/>
          <w:color w:val="auto"/>
          <w:highlight w:val="none"/>
        </w:rPr>
      </w:pPr>
      <w:r>
        <w:rPr>
          <w:rFonts w:hint="eastAsia" w:ascii="仿宋" w:hAnsi="仿宋" w:eastAsia="仿宋" w:cs="仿宋"/>
          <w:b/>
          <w:bCs/>
          <w:color w:val="auto"/>
          <w:highlight w:val="none"/>
        </w:rPr>
        <w:t>第六篇  合同草案条款</w:t>
      </w:r>
      <w:bookmarkEnd w:id="77"/>
      <w:bookmarkEnd w:id="112"/>
      <w:bookmarkEnd w:id="113"/>
    </w:p>
    <w:p w14:paraId="29464D46">
      <w:pPr>
        <w:kinsoku/>
        <w:wordWrap/>
        <w:overflowPunct/>
        <w:topLinePunct w:val="0"/>
        <w:autoSpaceDE/>
        <w:autoSpaceDN/>
        <w:bidi w:val="0"/>
        <w:spacing w:line="500" w:lineRule="exact"/>
        <w:jc w:val="center"/>
        <w:rPr>
          <w:rFonts w:ascii="仿宋" w:hAnsi="仿宋" w:eastAsia="仿宋" w:cs="仿宋"/>
          <w:b/>
          <w:bCs/>
          <w:color w:val="auto"/>
          <w:szCs w:val="30"/>
          <w:highlight w:val="none"/>
        </w:rPr>
      </w:pPr>
      <w:r>
        <w:rPr>
          <w:rFonts w:hint="eastAsia" w:ascii="仿宋" w:hAnsi="仿宋" w:eastAsia="仿宋" w:cs="仿宋"/>
          <w:b/>
          <w:bCs/>
          <w:color w:val="auto"/>
          <w:sz w:val="30"/>
          <w:szCs w:val="30"/>
          <w:highlight w:val="none"/>
        </w:rPr>
        <w:t>重庆第二师范学院两校区学生食堂联合运营项目管理合同</w:t>
      </w:r>
    </w:p>
    <w:p w14:paraId="3D35F763">
      <w:pPr>
        <w:kinsoku/>
        <w:wordWrap/>
        <w:overflowPunct/>
        <w:topLinePunct w:val="0"/>
        <w:autoSpaceDE/>
        <w:autoSpaceDN/>
        <w:bidi w:val="0"/>
        <w:spacing w:line="500" w:lineRule="exact"/>
        <w:rPr>
          <w:rFonts w:ascii="仿宋" w:hAnsi="仿宋" w:eastAsia="仿宋" w:cs="仿宋"/>
          <w:b/>
          <w:bCs/>
          <w:color w:val="auto"/>
          <w:sz w:val="24"/>
          <w:szCs w:val="24"/>
          <w:highlight w:val="none"/>
        </w:rPr>
      </w:pPr>
    </w:p>
    <w:p w14:paraId="2E5888C7">
      <w:pPr>
        <w:kinsoku/>
        <w:wordWrap/>
        <w:overflowPunct/>
        <w:topLinePunct w:val="0"/>
        <w:autoSpaceDE/>
        <w:autoSpaceDN/>
        <w:bidi w:val="0"/>
        <w:spacing w:line="500" w:lineRule="exac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甲方：</w:t>
      </w:r>
    </w:p>
    <w:p w14:paraId="49B8E34F">
      <w:pPr>
        <w:kinsoku/>
        <w:wordWrap/>
        <w:overflowPunct/>
        <w:topLinePunct w:val="0"/>
        <w:autoSpaceDE/>
        <w:autoSpaceDN/>
        <w:bidi w:val="0"/>
        <w:spacing w:line="500" w:lineRule="exact"/>
        <w:rPr>
          <w:rFonts w:ascii="仿宋" w:hAnsi="仿宋" w:eastAsia="仿宋" w:cs="仿宋"/>
          <w:bCs/>
          <w:color w:val="auto"/>
          <w:kern w:val="0"/>
          <w:sz w:val="24"/>
          <w:szCs w:val="24"/>
          <w:highlight w:val="none"/>
        </w:rPr>
      </w:pPr>
      <w:r>
        <w:rPr>
          <w:rFonts w:hint="eastAsia" w:ascii="仿宋" w:hAnsi="仿宋" w:eastAsia="仿宋" w:cs="仿宋"/>
          <w:bCs/>
          <w:color w:val="auto"/>
          <w:sz w:val="24"/>
          <w:szCs w:val="24"/>
          <w:highlight w:val="none"/>
        </w:rPr>
        <w:t>甲</w:t>
      </w:r>
      <w:r>
        <w:rPr>
          <w:rFonts w:hint="eastAsia" w:ascii="仿宋" w:hAnsi="仿宋" w:eastAsia="仿宋" w:cs="仿宋"/>
          <w:bCs/>
          <w:color w:val="auto"/>
          <w:kern w:val="0"/>
          <w:sz w:val="24"/>
          <w:szCs w:val="24"/>
          <w:highlight w:val="none"/>
        </w:rPr>
        <w:t>方组织机构代码证编号：</w:t>
      </w:r>
    </w:p>
    <w:p w14:paraId="541EFF82">
      <w:pPr>
        <w:kinsoku/>
        <w:wordWrap/>
        <w:overflowPunct/>
        <w:topLinePunct w:val="0"/>
        <w:autoSpaceDE/>
        <w:autoSpaceDN/>
        <w:bidi w:val="0"/>
        <w:spacing w:line="500" w:lineRule="exact"/>
        <w:rPr>
          <w:rFonts w:ascii="仿宋" w:hAnsi="仿宋" w:eastAsia="仿宋" w:cs="仿宋"/>
          <w:bCs/>
          <w:color w:val="auto"/>
          <w:kern w:val="0"/>
          <w:sz w:val="24"/>
          <w:szCs w:val="24"/>
          <w:highlight w:val="none"/>
        </w:rPr>
      </w:pPr>
      <w:r>
        <w:rPr>
          <w:rFonts w:hint="eastAsia" w:ascii="仿宋" w:hAnsi="仿宋" w:eastAsia="仿宋" w:cs="仿宋"/>
          <w:bCs/>
          <w:color w:val="auto"/>
          <w:sz w:val="24"/>
          <w:szCs w:val="24"/>
          <w:highlight w:val="none"/>
        </w:rPr>
        <w:t>甲</w:t>
      </w:r>
      <w:r>
        <w:rPr>
          <w:rFonts w:hint="eastAsia" w:ascii="仿宋" w:hAnsi="仿宋" w:eastAsia="仿宋" w:cs="仿宋"/>
          <w:bCs/>
          <w:color w:val="auto"/>
          <w:kern w:val="0"/>
          <w:sz w:val="24"/>
          <w:szCs w:val="24"/>
          <w:highlight w:val="none"/>
        </w:rPr>
        <w:t>方法定代表人：身份证号码：</w:t>
      </w:r>
    </w:p>
    <w:p w14:paraId="6FBD083D">
      <w:pPr>
        <w:kinsoku/>
        <w:wordWrap/>
        <w:overflowPunct/>
        <w:topLinePunct w:val="0"/>
        <w:autoSpaceDE/>
        <w:autoSpaceDN/>
        <w:bidi w:val="0"/>
        <w:spacing w:line="500" w:lineRule="exact"/>
        <w:rPr>
          <w:rFonts w:ascii="仿宋" w:hAnsi="仿宋" w:eastAsia="仿宋" w:cs="仿宋"/>
          <w:bCs/>
          <w:color w:val="auto"/>
          <w:kern w:val="0"/>
          <w:sz w:val="24"/>
          <w:szCs w:val="24"/>
          <w:highlight w:val="none"/>
        </w:rPr>
      </w:pPr>
      <w:r>
        <w:rPr>
          <w:rFonts w:hint="eastAsia" w:ascii="仿宋" w:hAnsi="仿宋" w:eastAsia="仿宋" w:cs="仿宋"/>
          <w:bCs/>
          <w:color w:val="auto"/>
          <w:sz w:val="24"/>
          <w:szCs w:val="24"/>
          <w:highlight w:val="none"/>
        </w:rPr>
        <w:t>甲</w:t>
      </w:r>
      <w:r>
        <w:rPr>
          <w:rFonts w:hint="eastAsia" w:ascii="仿宋" w:hAnsi="仿宋" w:eastAsia="仿宋" w:cs="仿宋"/>
          <w:bCs/>
          <w:color w:val="auto"/>
          <w:kern w:val="0"/>
          <w:sz w:val="24"/>
          <w:szCs w:val="24"/>
          <w:highlight w:val="none"/>
        </w:rPr>
        <w:t>方法定代表人授权委托人：身份证号码：</w:t>
      </w:r>
    </w:p>
    <w:p w14:paraId="235A711C">
      <w:pPr>
        <w:kinsoku/>
        <w:wordWrap/>
        <w:overflowPunct/>
        <w:topLinePunct w:val="0"/>
        <w:autoSpaceDE/>
        <w:autoSpaceDN/>
        <w:bidi w:val="0"/>
        <w:spacing w:line="500" w:lineRule="exact"/>
        <w:jc w:val="left"/>
        <w:rPr>
          <w:rFonts w:ascii="仿宋" w:hAnsi="仿宋" w:eastAsia="仿宋" w:cs="仿宋"/>
          <w:b/>
          <w:bCs/>
          <w:color w:val="auto"/>
          <w:sz w:val="24"/>
          <w:szCs w:val="24"/>
          <w:highlight w:val="none"/>
        </w:rPr>
      </w:pPr>
    </w:p>
    <w:p w14:paraId="29FC089E">
      <w:pPr>
        <w:kinsoku/>
        <w:wordWrap/>
        <w:overflowPunct/>
        <w:topLinePunct w:val="0"/>
        <w:autoSpaceDE/>
        <w:autoSpaceDN/>
        <w:bidi w:val="0"/>
        <w:spacing w:line="500" w:lineRule="exact"/>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乙方：</w:t>
      </w:r>
    </w:p>
    <w:p w14:paraId="3734FD50">
      <w:pPr>
        <w:kinsoku/>
        <w:wordWrap/>
        <w:overflowPunct/>
        <w:topLinePunct w:val="0"/>
        <w:autoSpaceDE/>
        <w:autoSpaceDN/>
        <w:bidi w:val="0"/>
        <w:spacing w:line="500" w:lineRule="exact"/>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乙方营业执照编号：组织机构代码证编号：</w:t>
      </w:r>
    </w:p>
    <w:p w14:paraId="0D301D33">
      <w:pPr>
        <w:kinsoku/>
        <w:wordWrap/>
        <w:overflowPunct/>
        <w:topLinePunct w:val="0"/>
        <w:autoSpaceDE/>
        <w:autoSpaceDN/>
        <w:bidi w:val="0"/>
        <w:spacing w:line="500" w:lineRule="exact"/>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乙方法定代表人：身份证号码：</w:t>
      </w:r>
    </w:p>
    <w:p w14:paraId="1FBD41D8">
      <w:pPr>
        <w:kinsoku/>
        <w:wordWrap/>
        <w:overflowPunct/>
        <w:topLinePunct w:val="0"/>
        <w:autoSpaceDE/>
        <w:autoSpaceDN/>
        <w:bidi w:val="0"/>
        <w:spacing w:line="500" w:lineRule="exact"/>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乙方法定代表人授权委托人：身份证号码：</w:t>
      </w:r>
    </w:p>
    <w:p w14:paraId="61962CE7">
      <w:pPr>
        <w:kinsoku/>
        <w:wordWrap/>
        <w:overflowPunct/>
        <w:topLinePunct w:val="0"/>
        <w:autoSpaceDE/>
        <w:autoSpaceDN/>
        <w:bidi w:val="0"/>
        <w:spacing w:line="5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p>
    <w:p w14:paraId="4095E552">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甲、乙双方根据《中华人民共和国合同法》及有关法律法规规定，就重庆第二师范学院校区学生食堂联合运营项目（以下简称食堂）联合运营管理的有关事宜达成如下合同并共同遵守。</w:t>
      </w:r>
    </w:p>
    <w:p w14:paraId="2187426A">
      <w:pPr>
        <w:kinsoku/>
        <w:wordWrap/>
        <w:overflowPunct/>
        <w:topLinePunct w:val="0"/>
        <w:autoSpaceDE/>
        <w:autoSpaceDN/>
        <w:bidi w:val="0"/>
        <w:spacing w:line="500" w:lineRule="exact"/>
        <w:ind w:firstLine="482" w:firstLineChars="20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第一部分基本内容</w:t>
      </w:r>
    </w:p>
    <w:p w14:paraId="71899764">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第一条本合同约定联合运营地点为：</w:t>
      </w:r>
    </w:p>
    <w:p w14:paraId="0372452A">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第二条合同期限为年，即从202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 月 日起至 202X年  月 日止。乙方承诺按照经学校审批通过的</w:t>
      </w:r>
      <w:r>
        <w:rPr>
          <w:rFonts w:hint="eastAsia" w:ascii="仿宋" w:hAnsi="仿宋" w:eastAsia="仿宋" w:cs="仿宋"/>
          <w:color w:val="auto"/>
          <w:sz w:val="24"/>
          <w:szCs w:val="24"/>
          <w:highlight w:val="none"/>
          <w:lang w:eastAsia="zh-CN"/>
        </w:rPr>
        <w:t>环境改善</w:t>
      </w:r>
      <w:r>
        <w:rPr>
          <w:rFonts w:hint="eastAsia" w:ascii="仿宋" w:hAnsi="仿宋" w:eastAsia="仿宋" w:cs="仿宋"/>
          <w:color w:val="auto"/>
          <w:sz w:val="24"/>
          <w:szCs w:val="24"/>
          <w:highlight w:val="none"/>
        </w:rPr>
        <w:t>方案（包括消防改造，下同）和投资总金额对联合运营食堂进行</w:t>
      </w:r>
      <w:r>
        <w:rPr>
          <w:rFonts w:hint="eastAsia" w:ascii="仿宋" w:hAnsi="仿宋" w:eastAsia="仿宋" w:cs="仿宋"/>
          <w:color w:val="auto"/>
          <w:sz w:val="24"/>
          <w:szCs w:val="24"/>
          <w:highlight w:val="none"/>
          <w:lang w:eastAsia="zh-CN"/>
        </w:rPr>
        <w:t>环境改善</w:t>
      </w:r>
      <w:r>
        <w:rPr>
          <w:rFonts w:hint="eastAsia" w:ascii="仿宋" w:hAnsi="仿宋" w:eastAsia="仿宋" w:cs="仿宋"/>
          <w:color w:val="auto"/>
          <w:sz w:val="24"/>
          <w:szCs w:val="24"/>
          <w:highlight w:val="none"/>
        </w:rPr>
        <w:t>，于 2022年  月 日前完成装修改造和设施设备安装、调试工作并投入使用。</w:t>
      </w:r>
    </w:p>
    <w:p w14:paraId="65C9B928">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第三条乙方使用甲方食堂原有设施设备清单见本合同附件。</w:t>
      </w:r>
    </w:p>
    <w:p w14:paraId="378CC135">
      <w:pPr>
        <w:kinsoku/>
        <w:wordWrap/>
        <w:overflowPunct/>
        <w:topLinePunct w:val="0"/>
        <w:autoSpaceDE/>
        <w:autoSpaceDN/>
        <w:bidi w:val="0"/>
        <w:spacing w:line="500" w:lineRule="exact"/>
        <w:ind w:firstLine="482" w:firstLineChars="20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第二部分相关费用</w:t>
      </w:r>
    </w:p>
    <w:p w14:paraId="67DB4A69">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四条乙方在甲方所有经营收入均纳入甲方财务总账（一卡通+现金），其中一卡通充值由学校负责收取现金并充值；现金收取必须经甲方审批通过的收银系统并由乙方专人、专处收款。甲方按乙方当月营业额总和（一卡通+现金）的%计提联合运营“日常考核履约保证金”，结算方式为按月结算。结算时，甲方在扣除联合运营“日常考核履约保证金”、一卡通设备维护费（当月营业额总和1%）、水电气费、</w:t>
      </w:r>
      <w:r>
        <w:rPr>
          <w:rFonts w:hint="eastAsia" w:ascii="仿宋" w:hAnsi="仿宋" w:eastAsia="仿宋" w:cs="仿宋"/>
          <w:color w:val="auto"/>
          <w:sz w:val="24"/>
          <w:szCs w:val="24"/>
          <w:highlight w:val="none"/>
          <w:lang w:eastAsia="zh-CN"/>
        </w:rPr>
        <w:t>燃气维保费、</w:t>
      </w:r>
      <w:r>
        <w:rPr>
          <w:rFonts w:hint="eastAsia" w:ascii="仿宋" w:hAnsi="仿宋" w:eastAsia="仿宋" w:cs="仿宋"/>
          <w:color w:val="auto"/>
          <w:sz w:val="24"/>
          <w:szCs w:val="24"/>
          <w:highlight w:val="none"/>
        </w:rPr>
        <w:t>垃圾清运费、物业综合管理费、罚款等所有款项后，再将当月营业额剩余款项划转至乙方提供的基本账户。</w:t>
      </w:r>
    </w:p>
    <w:p w14:paraId="1F081A31">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第五条乙方必须于202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 月 日前,一次性投入总金额为   万元（大写万元）用于联合运营食堂</w:t>
      </w:r>
      <w:r>
        <w:rPr>
          <w:rFonts w:hint="eastAsia" w:ascii="仿宋" w:hAnsi="仿宋" w:eastAsia="仿宋" w:cs="仿宋"/>
          <w:color w:val="auto"/>
          <w:sz w:val="24"/>
          <w:szCs w:val="24"/>
          <w:highlight w:val="none"/>
          <w:lang w:eastAsia="zh-CN"/>
        </w:rPr>
        <w:t>环境改善</w:t>
      </w:r>
      <w:r>
        <w:rPr>
          <w:rFonts w:hint="eastAsia" w:ascii="仿宋" w:hAnsi="仿宋" w:eastAsia="仿宋" w:cs="仿宋"/>
          <w:color w:val="auto"/>
          <w:sz w:val="24"/>
          <w:szCs w:val="24"/>
          <w:highlight w:val="none"/>
        </w:rPr>
        <w:t>和餐厨设施设备购置。签订合同时乙方必须将此费用转入学校账户管理，学校根据食堂装修进度和餐厨设施设备的采购进度，分期返还。</w:t>
      </w:r>
    </w:p>
    <w:p w14:paraId="3B546FED">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合运营食堂的装修改造和餐厨设施设备购置验收由学校组织相关职能部门，按学校审定通过的装修改造和餐厨设施设备购置方案验收；消防安全验收由乙方向学校所在地消防部门申请验收；装修改造环保验收由乙方向学校所在地环保部门申请验收；验收费用由乙方支付，乙方出具学校所在地消防部门的验收合格证明材料。投资审计由学校委托在重庆市教育委员会备案的审计公司进行审计，审计费由乙方支付。若乙方实际总投入低于招投标文件的报价金额，乙方须向甲方以现金的方式补足差额部分。</w:t>
      </w:r>
    </w:p>
    <w:p w14:paraId="3939498D">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六条乙方应当按照甲方或甲方委托的物业管理部门的收费标准、收费时间缴纳相应的水电气费、垃圾清运费、物业综合日常考核履约保证金等。其中水电气费按照重庆市规定的居民用水电气标准收取，其他费用按照上级主管部门和学校规定的标准收取。</w:t>
      </w:r>
    </w:p>
    <w:p w14:paraId="1E0004AB">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第七条在合同期内如乙方未能按时足额交清第四条、第五条、第六条中约定的相关费用，乙方应承担违约责任并从应付之日起，每日按欠费总金额的3‰向甲方支付滞纳金，直至乙方向甲方付清全部款项为止。</w:t>
      </w:r>
    </w:p>
    <w:p w14:paraId="1DE9CCE1">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第八条乙方在签订本合同时，应当向甲方一次性缴纳  万元（大写：  万元整）履约保证金，该履约保证金作为乙方不违反本合同约定的保证以及按时缴纳各项费用和房屋、设施设备完好的基本保证。合同期内，应由乙方缴纳的“日常考核履约保证金”、滞纳金、违约金及其它费用逾期未缴纳时，甲方有权从乙方的营业款中扣除，营业款不足时，甲方有权从履约保证金中扣除。</w:t>
      </w:r>
    </w:p>
    <w:p w14:paraId="49FC27E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乙方经营至合同期满前两个月的营业款暂不结算，如乙方未违反本合同约定且处理完合同期内所有遗留问题并按期撤场后，甲方再结算全部营业款余额并无息退还乙方履约保证金。</w:t>
      </w:r>
    </w:p>
    <w:p w14:paraId="19E86706">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第九条合同存续期间，乙方所经营食堂的照明灯具、桌椅、厨具、房屋、装修成品、水电气、消防以及食堂内的其他设施设备的日常维修费用由乙方自行承担。</w:t>
      </w:r>
    </w:p>
    <w:p w14:paraId="0A4BC179">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第十条乙方须以自己名义自行办理地方工商、税务、餐饮服务许可证、环保、消防合格验收等相关证照，所产生的费用由乙方自行承担。甲方应配合乙方自行办理高校食堂经营的相关手续。</w:t>
      </w:r>
    </w:p>
    <w:p w14:paraId="4880622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十一条乙方经营管理所聘用员工的所有费用均由乙方自行承担。甲方不为乙方提供员工宿舍，不提供办公用房（水电费及维修费用自理）。员工的劳动关系、社保缴纳等相关人力资源管理事宜均由乙方负责处理，甲方不与任何乙方聘用的员工签订劳动合同、缴纳社保。</w:t>
      </w:r>
    </w:p>
    <w:p w14:paraId="27B17B0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若乙方聘用的员工发生工伤或者人身伤害，乙方应积极解决相关争议，如果乙方怠于解决纠纷，则甲方有权先行从乙方的履约保证金中扣除5万元支付给受损人员，且乙方应在扣款发生之日起7个工作日内补足履约保证金。</w:t>
      </w:r>
    </w:p>
    <w:p w14:paraId="44F6D5B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p>
    <w:p w14:paraId="14B2F86D">
      <w:pPr>
        <w:kinsoku/>
        <w:wordWrap/>
        <w:overflowPunct/>
        <w:topLinePunct w:val="0"/>
        <w:autoSpaceDE/>
        <w:autoSpaceDN/>
        <w:bidi w:val="0"/>
        <w:spacing w:line="500" w:lineRule="exact"/>
        <w:ind w:firstLine="482" w:firstLineChars="20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第三部分 考核管理及相关责任</w:t>
      </w:r>
    </w:p>
    <w:p w14:paraId="5E7FE9A2">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第十二条按照错位经营的原则，乙方的经营范围为基本大伙（占比</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%），其余为风味特色菜品，补充学校大众食堂的业态和菜品的不足，满足师生更高层次的餐饮需求。如达不到此标准，甲方每月有权给予乙方违约处罚。</w:t>
      </w:r>
    </w:p>
    <w:p w14:paraId="2725B6B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乙方不得从事餐饮以外的其它业务（如经营超市等），不得经营超出自身经营条件的餐饮项目（若没有凉菜制作条件，则不得经营凉菜项目）。乙方在规定范围内的经营必须符合相关部门规定的各项标准，否则甲方有权按照每次壹万元的标准给予乙方违约处罚。</w:t>
      </w:r>
    </w:p>
    <w:p w14:paraId="0AB39E6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十三条乙方的经营时间为全年营业，但在寒暑假期间，乙方可根据校内师生人数调整品类和经营时间，如需停业，必须提前七个工作日告知甲方同意。为保证师生员工正常用餐，乙方应当于早、中、晚三餐用餐人数较为集中时开足服务窗口，缩短师生等候时间。乙方必须按甲方规定的作息制度做好就餐保障工作，遇特殊情况（包括接待任务等）应予以配合供餐或延时供餐，保障师生员工就餐。同时，不但要保障法定节假日期间的饭菜供应，而且还要提供丰富的饭菜食品，营造喜庆祥和的节假日氛围。经营区域仅限于联合运营场地之内，不得外出售卖食品，不得外出送餐。</w:t>
      </w:r>
    </w:p>
    <w:p w14:paraId="1264449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十四条乙方应当保持菜品价格的稳定。乙方经营的特色餐饮菜品定价应略低于市场价，乙方经营大众菜品的价格不得超过重庆教育后勤协会确定的指导价上限，大众菜品的份量按照重庆教育后勤协会确定的标准执行。乙方的初次定价以及之后的任一菜品的价格调整均须书面征得甲方的同意，否则，甲方可以按照每一菜品每次伍仟元的标准给予违约处罚。</w:t>
      </w:r>
    </w:p>
    <w:p w14:paraId="4F46E75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第十五条乙方应当提高餐饮服务质量。做好菜品的花色品种齐全、营养搭配合理；采取保温措施，确保饭菜温度；提高员工的服务意识、增强服务技能，不断提升服务质量和师生满意度。</w:t>
      </w:r>
    </w:p>
    <w:p w14:paraId="6C5309E8">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十六条乙方必须遵守《食品安全法》等法律、法规以及上级主管部门和学校相关规章制度，如有违反，因此产生的责任和处罚等全部由乙方自行承担，甲方还可在此基础上给予相应的违约处罚。乙方必须认真执行本合同的相关要求和规定，对不服从甲方管理，不及时按照甲方的要求进行整改的，每次给予壹仟元至壹万元违约处罚。</w:t>
      </w:r>
    </w:p>
    <w:p w14:paraId="2F4E88C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乙方必须严格遵守食品卫生规定和要求，保证食品卫生，杜绝食物中毒发生。认真贯彻《中华人民共和国食品安全法》，须按照学校要求定期组织员工培训《中华人民共和国食品安全法》，把好饮食卫生“四关”、“三白”、“二消毒”、“—留样”。四关，即进货关、拣洗关、烹饪关和消毒关；三白，即窗口和加工操作人员要穿戴好帽子、口罩和工作服；二消毒，即洗手消毒和抹布消毒；一留样，即熟食留样记录。食品和环境卫生，必须达到国家食品药品监督管理总局和学校检查的标准和要求。乙方必须加强防火、防盗、防恐怖投毒、防霉变、防食物中毒、防过期食品、防疾病传染工作，承担“六防”工作不力的所有责任。认真落实天然气、电力、机械设备、食品采购进货、库房保管等的管理责任，扎扎实实地进行餐具消毒工作，杜绝偷盗、投毒和食物中毒事件的发生。尤其要落实操作间进出人员的管理，做好防恐工作。</w:t>
      </w:r>
    </w:p>
    <w:p w14:paraId="5D26AC4E">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十七条乙方必须以食品质量与安全管理为核心环节，确保食品质量和食品安全。乙方应从重庆教育后勤协会准入供货企业中选择供货商采购米、面、油、肉等主要原材料，坚持索证制度并建立健全台账，乙方全部进货食品必须有《质检报告》，建立《进出货登记册》，如实登记如下事项：品名、进货渠道（或生产厂商）、检疫证明、生产日期、质保期、进库日期、出库日期、出库量、库存余量等。在接受市区两级食药监局等有关职能部门以及市教委、高校后勤协会等各级各类检查时，承担安全、卫生、饭菜质量和价格等方面问题的责任，给学校造成不良影响的，视其情节每发生一次给予壹仟元及以上违约处罚；乙方提供霉烂变质食物（包括库存中有霉变货物）等，每发生一次给予壹万元处罚；发生投毒或食物中毒事件，甲方除扣除万元的履约保证金外，乙方还必须承担因此而造成的所有法律责任，甲方有权解除合同。</w:t>
      </w:r>
    </w:p>
    <w:p w14:paraId="2EBC495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十八条乙方须按照相关规定，执行并达到“门前三包责任制”的相关要求。乙方必须按“创建国家卫生城市的标准”，认真做好食堂内外的环境卫生和除四害工作，做到经常性灭蚊蝇工作，灭鼠工作要根据学校统一安排每学期开展二次以上（每次灭鼠工作必须向甲方报方案，并做好安全工作），环境卫生能够以优秀成绩通过教育行政部门、卫生执法部门的各种监督检查。乙方必须严格执行消防安全“四个能力”建设的要求，提高检查消除火灾隐患、组织扑救初起火灾、组织人员疏散逃生、消防宣传教育培训的能力，经营食堂所有烟道等排油烟系统每年至少清洗两次。</w:t>
      </w:r>
    </w:p>
    <w:p w14:paraId="005EEB3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十九条未经甲方书面同意，乙方不得将食堂全部或者部分转租、转借或其他任意形式转交给任何单位或个人进行经营，否则甲方有权按照每次伍万元的标准给予乙方违约处罚，且乙方应当根据本合同约定以及甲方的要求及时进行整改，整改完毕后甲方有权组织重新验收，且整改不免除乙方为实际经营第三方的所有行为承担连带赔偿责任，如涉及刑事责任和行政责任的，也由乙方和实际经营第三方自行承担。</w:t>
      </w:r>
    </w:p>
    <w:p w14:paraId="41F75EE7">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十条乙方必须使用一卡通消费刷卡系统和经甲方审批通过的现金收银系统进行交易，乙方不得以任何其它形式进行交易，否则经查实后甲方将按照每次壹万元标准给予乙方违约处罚，若当月发现三次以上违规交易的情况，则扣除当月营业额的20%作为违约金。</w:t>
      </w:r>
    </w:p>
    <w:p w14:paraId="1246FDC6">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卡通刷卡系统由甲方提供，并负责一卡通刷卡系统的充值、正常运行工作。乙方应妥善保管和使用一卡通刷卡系统，若使用过程中，因管理不善或人为破坏等原因造成一卡通设备损坏、遗失的，则由乙方负责维修或赔偿。乙方于次月15日（遇周末或节假日则顺延）前到甲方指定的管理部门结算上月的刷卡消费款项。结算前，甲方有权在乙方的刷卡消费款项中直接扣除本合同约定的、应当由乙方承担的事故赔偿金额或其他违约处罚金。如果乙方当月的刷卡消费款不足以支付当月应当承担的违约金时，甲方可以选择在乙方缴纳的履约保证金中扣取，也可以选择在乙方下一月或几月的刷卡消费款中扣取。乙方缴纳的履约保证金被扣取后不足约定金额时，甲方可以直接在乙方的刷卡消费款中扣取不足部分。乙方违约赔偿或事故责任赔偿事宜处理完善前不得结算。</w:t>
      </w:r>
    </w:p>
    <w:p w14:paraId="363F9EAC">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十一条合同期满或经营期内解除合同时，装修（可拆卸的食堂餐厨设施设备除外）的产权归学校所有，乙方在撤离时如数返还甲方原有设施设备，并自行处置自己投入的食堂餐厨设施设备，学校不负责回收及处理，同时，完成食堂内的清洁工作。乙方逾期未撤离，甲方有权单方处置乙方投入的食堂餐厨设施设备，由此造成的一切后果与损失由乙方承担。乙方在合同期内可以对食堂进行再次装修，其装修费用均由乙方自行承担，同时，乙方再次装修方案必须经甲方书面同意后方可进行，否则给予伍万元违约处罚，且甲方有权要求乙方进行整改。</w:t>
      </w:r>
    </w:p>
    <w:p w14:paraId="4D50B469">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十二条在合同期内或解除合同后，乙方均不得以甲方的名义对外进行任何形式的借贷等经济往来活动和其它性质的活动。如乙方在经营过程中发生质量事故、安全事故等问题时，由乙方全权负责对外赔偿。如因乙方原因产生法律纠纷而第三人请求甲方赔偿时，甲方承担赔偿责任后，甲方有权向乙方追偿。</w:t>
      </w:r>
    </w:p>
    <w:p w14:paraId="5990087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十三条乙方不得以甲方名义聘用员工，乙方因经营需要自行聘用员工时，应严格按照《劳动法》和《劳动合同法》的规定进行聘用和管理。在本合同期内及解除合同后，乙方聘用人员的劳动关系、劳动权益、工资福利、社会保险等全部责任和费用均由乙方负责，甲方均不承担乙方聘用员工的任何责任和费用。同时，乙方因劳务关系或其它原因导致甲方不能正常收回经营场地或不能正常经营的，乙方应按每日两万元的损失赔偿甲方。</w:t>
      </w:r>
    </w:p>
    <w:p w14:paraId="0FD3A85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乙方应制定完善的员工管理办法和制度，乙方必须做好内部员工管理，包括安全和稳定的管理。乙方应妥善处理与就餐人员之间的矛盾、冲突，且不得使冲突升级为打人事件，否则，乙方应承担由此所产生的所有责任；若因内部员工工伤、工资报酬、供货商、合作商、贷款纠纷等情况出现上访事件，每出现一次甲方将从履约保证金中扣除乙方不低于壹万元的违约金，造成重大不良影响者甲方有权单方面解合同，并不退还全部履约保证金。乙方或乙方工作人员应遵守甲方相关规章制度，因乙方或乙方工作人员原因给自身、甲方或第三方造成的一切人身、财产损害等后果由乙方承担。</w:t>
      </w:r>
    </w:p>
    <w:p w14:paraId="799E287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十四条乙方独立经营，自负盈亏，独立承担经营风险，甲方负责对乙方的联合运营进行考核，并从校园整体经营管理的角度对乙方的经营活动进行监督，配合乙方确认装修方案和营业收入的结算。甲方对乙方的联合运营考核按照《重庆第二师范学院学府大道校区学生食堂二楼、一楼（左侧）联合运营联合运营管理日常考核实施细则》、《重庆第二师范学院学府大道校区学生食堂二楼、一楼（左侧）联合运营联合运营管理与服务考核办法》和《重庆第二师范学院学府大道校区学生食堂二楼、一楼（左侧）联合运营联合运营合同期满专家组考核指标》及办法执行。</w:t>
      </w:r>
    </w:p>
    <w:p w14:paraId="287824FA">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甲方按月对乙方进行“日常考核”。乙方“日常考核”优秀（考核得分≥90分），甲方全额退还当月“日常考核履约保证金”；乙方“日常考核”良好（90&gt;考核得分≥80分），甲方按“日常考核履约保证金”收取比例下浮1个百分点退还乙方“日常考核履约保证金”；乙方达到“日常考核”合格（80&gt;考核得分≥70分），甲方按“日常考核履约保证金”收取比例下浮3个百分点（）退还乙方“日常考核履约保证金”；乙方“日常考核”不合格（70分&gt;考核得分），当月“日常考核履约保证金”不予退还；合同期内乙方“日常考核”不合格（70分&gt;考核得分）累计达到3次，则合同自动终止。</w:t>
      </w:r>
    </w:p>
    <w:p w14:paraId="34F2B736">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甲方除常规检查外，还将不定期地会同相关人员（学生代表、教师代表、家长代表、餐厅管理人员代表等）就乙方提供的菜品种类结构及价格、卫生、饭菜质量、服务态度等项目进行随机检查，若发现饭菜质量和服务态度问题，则每次给予伍佰元违约处罚，若随机抽查20人及其以上的满意度未达到70%，则每次给予壹仟元违约处罚。因饭菜质量、价格和卫生等问题造成学生集体（10人及其以上）上访或30人及其以上集体签名反映问题的，则每次给予壹万元违约处罚，情节严重者（包括但不限于发生人身损害；累计发生上访或反映问题3次）甲方有权扣除履约保证金直至解除联合运营合同。</w:t>
      </w:r>
    </w:p>
    <w:p w14:paraId="209ED398">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十五条乙方应当正确使用并妥善保管甲方提供的各类设施设备（详见设施设备清单），乙方应保证甲方提供的资产不流失，并做好相应的维修维护和保养工作，若有损坏或丢失，由乙方负责维修或赔偿。在经营过程中，食堂设施设备的维修维护由乙方自行负责并承担相应费用。</w:t>
      </w:r>
    </w:p>
    <w:p w14:paraId="5E056F73">
      <w:pPr>
        <w:kinsoku/>
        <w:wordWrap/>
        <w:overflowPunct/>
        <w:topLinePunct w:val="0"/>
        <w:autoSpaceDE/>
        <w:autoSpaceDN/>
        <w:bidi w:val="0"/>
        <w:spacing w:line="500" w:lineRule="exact"/>
        <w:ind w:firstLine="482" w:firstLineChars="20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第四部分  合同解除的条件</w:t>
      </w:r>
    </w:p>
    <w:p w14:paraId="5B1D8387">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第二十六条如果发生下列情形之一，甲方有权单方面解除本合同且不承担任何责任：</w:t>
      </w:r>
    </w:p>
    <w:p w14:paraId="026768B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1．乙方不交付或者不按约定交付食堂联合运营“日常考核履约保证金”逾期达十日以上；</w:t>
      </w:r>
    </w:p>
    <w:p w14:paraId="5C39A8CE">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2．乙方拖欠应向甲方缴纳的各项费用达壹万元以上；</w:t>
      </w:r>
    </w:p>
    <w:p w14:paraId="47819F3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3．乙方未经甲方书面同意，擅自改变经营用途、经营项目或超范围经营；</w:t>
      </w:r>
    </w:p>
    <w:p w14:paraId="13E099CC">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4．乙方违反本合同约定，不承担管理维护或维修责任致使食堂的设施设备严重损坏，而拒绝承担维修或赔偿责任的；</w:t>
      </w:r>
    </w:p>
    <w:p w14:paraId="7AF7D978">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5．乙方未经甲方书面同意，将食堂全部或者部分转租、转借或其他任意形式转交给任何单位或个人进行经营的；</w:t>
      </w:r>
    </w:p>
    <w:p w14:paraId="7CD51BC2">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 乙方在甲方校园内进行违法活动经查实的；</w:t>
      </w:r>
    </w:p>
    <w:p w14:paraId="4DF4C0C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 因教育主管部门或学校建设、发展需要等政策因素规定须解除合同的；</w:t>
      </w:r>
    </w:p>
    <w:p w14:paraId="7901D306">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 乙方违反甲方食堂经营和管理的规定，未在限期内整改或整改不达标的；</w:t>
      </w:r>
    </w:p>
    <w:p w14:paraId="3489EB47">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 乙方的履约保证金全部或者部分被扣取后未在七个工作日内补足的；</w:t>
      </w:r>
    </w:p>
    <w:p w14:paraId="40817224">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 在乙方经营的食堂内出现重大食品卫生安全责任事故、消防安全责任事故等事故的；</w:t>
      </w:r>
    </w:p>
    <w:p w14:paraId="30D44CE4">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 法律、法规规定的其它解除合同的情形。</w:t>
      </w:r>
    </w:p>
    <w:p w14:paraId="76AC9C0E">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第二十七条有下列情形之一，乙方有权解除本合同，且不承担任何责任：</w:t>
      </w:r>
    </w:p>
    <w:p w14:paraId="44F376D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1．甲方延迟交付联合运营食堂</w:t>
      </w:r>
      <w:r>
        <w:rPr>
          <w:rFonts w:hint="eastAsia" w:ascii="仿宋" w:hAnsi="仿宋" w:eastAsia="仿宋" w:cs="仿宋"/>
          <w:color w:val="auto"/>
          <w:sz w:val="24"/>
          <w:szCs w:val="24"/>
          <w:highlight w:val="none"/>
          <w:lang w:val="en-US" w:eastAsia="zh-CN"/>
        </w:rPr>
        <w:t>，影响学校安稳的。</w:t>
      </w:r>
    </w:p>
    <w:p w14:paraId="7273FB8F">
      <w:pPr>
        <w:kinsoku/>
        <w:wordWrap/>
        <w:overflowPunct/>
        <w:topLinePunct w:val="0"/>
        <w:autoSpaceDE/>
        <w:autoSpaceDN/>
        <w:bidi w:val="0"/>
        <w:spacing w:line="500" w:lineRule="exact"/>
        <w:ind w:firstLine="480" w:firstLineChars="200"/>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rPr>
        <w:t>2. 法律、法规规定的其它解除合同的情形。</w:t>
      </w:r>
    </w:p>
    <w:p w14:paraId="660FC916">
      <w:pPr>
        <w:kinsoku/>
        <w:wordWrap/>
        <w:overflowPunct/>
        <w:topLinePunct w:val="0"/>
        <w:autoSpaceDE/>
        <w:autoSpaceDN/>
        <w:bidi w:val="0"/>
        <w:spacing w:line="500" w:lineRule="exact"/>
        <w:ind w:firstLine="482" w:firstLineChars="20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第五部分  违约责任</w:t>
      </w:r>
    </w:p>
    <w:p w14:paraId="30DDA46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十八条乙方在合同期内（包括合同延展期，下同）如果没有向甲方进行书面申请并获得同意，而擅自关闭食堂的全部或部分经营窗口超过一天及以上时间，影响师生正常就餐的，每关闭一天给予伍仟元违约处罚。关闭三天及三天以上时间时，甲方可提前解除本合同，并且不用承担任何违约责任。</w:t>
      </w:r>
    </w:p>
    <w:p w14:paraId="6FF61009">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十九条乙方在合同期内提出提前解除本合同，放弃经营资格的，必须至少提前三个月书面告知甲方，征得甲方书面同意后方可解除本合同，并不承担违约责任。否则乙方必须按本合同总金额的10%向甲方承担违约责任并扣取履约保证金。</w:t>
      </w:r>
    </w:p>
    <w:p w14:paraId="40C1708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第三十条乙方在合同期内，存在违法行为或者较为严重的违规等行为，不再适宜继续经营的，甲方有权提前解除本合同，不用承担任何违约责任。</w:t>
      </w:r>
    </w:p>
    <w:p w14:paraId="52FB7599">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三十一条在本合同期内，甲方因不可抗力因素或政策因素等原因，提出提前解除本合同的，不承担违约责任。甲方因为其他原因提出提前解除本合同的，应当提前三个月书面告知乙方，征得乙方书面同意后可以不承担违约责任，否则甲方须承担乙方食堂装修改造和餐厨设施设备购置费（以审计结果为准）按照相关规定折旧后未使用年限的费用，同时，无息退还乙方履约保证金。</w:t>
      </w:r>
    </w:p>
    <w:p w14:paraId="6CB1D918">
      <w:pPr>
        <w:kinsoku/>
        <w:wordWrap/>
        <w:overflowPunct/>
        <w:topLinePunct w:val="0"/>
        <w:autoSpaceDE/>
        <w:autoSpaceDN/>
        <w:bidi w:val="0"/>
        <w:spacing w:line="500" w:lineRule="exact"/>
        <w:ind w:firstLine="482" w:firstLineChars="200"/>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第六部分  双方约定的其他事宜</w:t>
      </w:r>
    </w:p>
    <w:p w14:paraId="536146FC">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第三十二条当本合同在履行过程中发生争议时，由双方协商解决；也可由有关部门调解解决；协商或调解不成，任何一方均可向重庆市南岸区人民法院起诉。</w:t>
      </w:r>
    </w:p>
    <w:p w14:paraId="02508EE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第三十三条甲方</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文件和乙方投标文件及采购现场答疑等相关资料属于本合同组成部分，具有同等法律效力。</w:t>
      </w:r>
    </w:p>
    <w:p w14:paraId="1E5E92D7">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w:t>
      </w:r>
      <w:r>
        <w:rPr>
          <w:rFonts w:hint="eastAsia" w:ascii="仿宋" w:hAnsi="仿宋" w:eastAsia="仿宋" w:cs="仿宋"/>
          <w:color w:val="auto"/>
          <w:sz w:val="24"/>
          <w:szCs w:val="24"/>
          <w:highlight w:val="none"/>
          <w:lang w:eastAsia="zh-CN"/>
        </w:rPr>
        <w:t>公开遴选</w:t>
      </w:r>
      <w:r>
        <w:rPr>
          <w:rFonts w:hint="eastAsia" w:ascii="仿宋" w:hAnsi="仿宋" w:eastAsia="仿宋" w:cs="仿宋"/>
          <w:color w:val="auto"/>
          <w:sz w:val="24"/>
          <w:szCs w:val="24"/>
          <w:highlight w:val="none"/>
        </w:rPr>
        <w:t>文件或其他相关文件对于乙方的违约行为有不同处理方式时，或乙方的行为同时违反两项及以上的合同约定时，甲方有权选择其中一种或多种方式向乙方主张违约责任和赔偿损失。</w:t>
      </w:r>
    </w:p>
    <w:p w14:paraId="2D1F87BA">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第三十四条本合同一式六份，甲方执三份、乙方执三份，从甲乙双方签字并盖章之日起生效。</w:t>
      </w:r>
    </w:p>
    <w:p w14:paraId="38E8EA5A">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第三十五条　本合同未尽事宜，由双方协商确定后形成会议纪要或补充协议。会议纪要或补充协议作为本合同的组成部分。</w:t>
      </w:r>
    </w:p>
    <w:p w14:paraId="5A03B22D">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w:t>
      </w:r>
    </w:p>
    <w:p w14:paraId="074E605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1.《重庆第二师范学院学生食堂联合运营管理日常考核实施细则》</w:t>
      </w:r>
    </w:p>
    <w:p w14:paraId="24DE66B6">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2.《重庆第二师范学院学生食堂联合运营管理与服务考核办法》</w:t>
      </w:r>
    </w:p>
    <w:p w14:paraId="3C329695">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.《乙方使用甲方食堂原有设施设备清单》</w:t>
      </w:r>
    </w:p>
    <w:p w14:paraId="1C714565">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p>
    <w:p w14:paraId="48316FAF">
      <w:pPr>
        <w:kinsoku/>
        <w:wordWrap/>
        <w:overflowPunct/>
        <w:topLinePunct w:val="0"/>
        <w:autoSpaceDE/>
        <w:autoSpaceDN/>
        <w:bidi w:val="0"/>
        <w:spacing w:line="500" w:lineRule="exact"/>
        <w:ind w:firstLine="6240" w:firstLineChars="26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   月    日</w:t>
      </w:r>
    </w:p>
    <w:p w14:paraId="06E5AFE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p>
    <w:p w14:paraId="290784C9">
      <w:pPr>
        <w:rPr>
          <w:rFonts w:hint="eastAsia" w:ascii="仿宋" w:hAnsi="仿宋" w:eastAsia="仿宋" w:cs="仿宋"/>
          <w:b/>
          <w:bCs/>
          <w:color w:val="auto"/>
          <w:kern w:val="0"/>
          <w:sz w:val="24"/>
          <w:szCs w:val="24"/>
          <w:highlight w:val="none"/>
        </w:rPr>
      </w:pPr>
      <w:bookmarkStart w:id="114" w:name="_Toc422381011"/>
      <w:bookmarkStart w:id="115" w:name="_Toc30583"/>
      <w:r>
        <w:rPr>
          <w:rFonts w:hint="eastAsia" w:ascii="仿宋" w:hAnsi="仿宋" w:eastAsia="仿宋" w:cs="仿宋"/>
          <w:b/>
          <w:bCs/>
          <w:color w:val="auto"/>
          <w:kern w:val="0"/>
          <w:sz w:val="24"/>
          <w:szCs w:val="24"/>
          <w:highlight w:val="none"/>
        </w:rPr>
        <w:br w:type="page"/>
      </w:r>
    </w:p>
    <w:p w14:paraId="6C88E810">
      <w:pPr>
        <w:kinsoku/>
        <w:wordWrap/>
        <w:overflowPunct/>
        <w:topLinePunct w:val="0"/>
        <w:autoSpaceDE/>
        <w:autoSpaceDN/>
        <w:bidi w:val="0"/>
        <w:spacing w:line="500" w:lineRule="exact"/>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附件一</w:t>
      </w:r>
      <w:bookmarkEnd w:id="114"/>
      <w:bookmarkEnd w:id="115"/>
      <w:r>
        <w:rPr>
          <w:rFonts w:hint="eastAsia" w:ascii="仿宋" w:hAnsi="仿宋" w:eastAsia="仿宋" w:cs="仿宋"/>
          <w:b/>
          <w:bCs/>
          <w:color w:val="auto"/>
          <w:kern w:val="0"/>
          <w:sz w:val="24"/>
          <w:szCs w:val="24"/>
          <w:highlight w:val="none"/>
        </w:rPr>
        <w:t>：重庆第二师范学院两校区学生食堂联合运营管理</w:t>
      </w:r>
      <w:r>
        <w:rPr>
          <w:rFonts w:hint="eastAsia" w:ascii="仿宋" w:hAnsi="仿宋" w:eastAsia="仿宋" w:cs="仿宋"/>
          <w:b/>
          <w:bCs/>
          <w:color w:val="auto"/>
          <w:sz w:val="24"/>
          <w:szCs w:val="24"/>
          <w:highlight w:val="none"/>
        </w:rPr>
        <w:t>日常考核实施细则</w:t>
      </w:r>
    </w:p>
    <w:p w14:paraId="21603661">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为进一步加强我校引进社会企业联合运营校区学生食堂的管理，根据《重庆第二师范学校区学生食堂联合运营管理合同》相关规章制度及管理考核办法，结合我校实际，特制定本管理考核实施细则，请遵照执行。</w:t>
      </w:r>
    </w:p>
    <w:tbl>
      <w:tblPr>
        <w:tblStyle w:val="18"/>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760"/>
        <w:gridCol w:w="450"/>
        <w:gridCol w:w="3253"/>
        <w:gridCol w:w="709"/>
        <w:gridCol w:w="2693"/>
        <w:gridCol w:w="1559"/>
      </w:tblGrid>
      <w:tr w14:paraId="3490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Align w:val="center"/>
          </w:tcPr>
          <w:p w14:paraId="5BE3047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760" w:type="dxa"/>
            <w:vAlign w:val="center"/>
          </w:tcPr>
          <w:p w14:paraId="5D58A03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考核项目</w:t>
            </w:r>
          </w:p>
        </w:tc>
        <w:tc>
          <w:tcPr>
            <w:tcW w:w="3703" w:type="dxa"/>
            <w:gridSpan w:val="2"/>
            <w:vAlign w:val="center"/>
          </w:tcPr>
          <w:p w14:paraId="3486695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规范要求</w:t>
            </w:r>
          </w:p>
        </w:tc>
        <w:tc>
          <w:tcPr>
            <w:tcW w:w="709" w:type="dxa"/>
            <w:vAlign w:val="center"/>
          </w:tcPr>
          <w:p w14:paraId="778336B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考核方式</w:t>
            </w:r>
          </w:p>
        </w:tc>
        <w:tc>
          <w:tcPr>
            <w:tcW w:w="2693" w:type="dxa"/>
            <w:vAlign w:val="center"/>
          </w:tcPr>
          <w:p w14:paraId="678F128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扣款标准</w:t>
            </w:r>
          </w:p>
        </w:tc>
        <w:tc>
          <w:tcPr>
            <w:tcW w:w="1559" w:type="dxa"/>
            <w:vAlign w:val="center"/>
          </w:tcPr>
          <w:p w14:paraId="0303BE9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扣分标准</w:t>
            </w:r>
          </w:p>
        </w:tc>
      </w:tr>
      <w:tr w14:paraId="4899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restart"/>
            <w:vAlign w:val="center"/>
          </w:tcPr>
          <w:p w14:paraId="74DE0D2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一</w:t>
            </w:r>
          </w:p>
        </w:tc>
        <w:tc>
          <w:tcPr>
            <w:tcW w:w="760" w:type="dxa"/>
            <w:vMerge w:val="restart"/>
            <w:textDirection w:val="tbRlV"/>
            <w:vAlign w:val="center"/>
          </w:tcPr>
          <w:p w14:paraId="056F6A3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安全管理（30分）</w:t>
            </w:r>
          </w:p>
        </w:tc>
        <w:tc>
          <w:tcPr>
            <w:tcW w:w="450" w:type="dxa"/>
            <w:vMerge w:val="restart"/>
            <w:textDirection w:val="tbRlV"/>
            <w:vAlign w:val="center"/>
          </w:tcPr>
          <w:p w14:paraId="5F7AF6C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食品卫生安全</w:t>
            </w:r>
          </w:p>
        </w:tc>
        <w:tc>
          <w:tcPr>
            <w:tcW w:w="3253" w:type="dxa"/>
            <w:vAlign w:val="center"/>
          </w:tcPr>
          <w:p w14:paraId="2DACEE6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1、应建有各岗位职责及工作流程制度</w:t>
            </w:r>
          </w:p>
        </w:tc>
        <w:tc>
          <w:tcPr>
            <w:tcW w:w="709" w:type="dxa"/>
            <w:vAlign w:val="center"/>
          </w:tcPr>
          <w:p w14:paraId="0AB59E9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查看制度</w:t>
            </w:r>
          </w:p>
        </w:tc>
        <w:tc>
          <w:tcPr>
            <w:tcW w:w="2693" w:type="dxa"/>
            <w:vAlign w:val="center"/>
          </w:tcPr>
          <w:p w14:paraId="38E7509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缺一项制度每次扣款500元</w:t>
            </w:r>
          </w:p>
        </w:tc>
        <w:tc>
          <w:tcPr>
            <w:tcW w:w="1559" w:type="dxa"/>
            <w:vAlign w:val="center"/>
          </w:tcPr>
          <w:p w14:paraId="4716B12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r>
      <w:tr w14:paraId="43F5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51A0C17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7C4DEFB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491B543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1174756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2、应建有卫生与安全责任制度和责任追究制度</w:t>
            </w:r>
          </w:p>
        </w:tc>
        <w:tc>
          <w:tcPr>
            <w:tcW w:w="709" w:type="dxa"/>
            <w:vAlign w:val="center"/>
          </w:tcPr>
          <w:p w14:paraId="7B83535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查看制度</w:t>
            </w:r>
          </w:p>
        </w:tc>
        <w:tc>
          <w:tcPr>
            <w:tcW w:w="2693" w:type="dxa"/>
            <w:vAlign w:val="center"/>
          </w:tcPr>
          <w:p w14:paraId="0B70C15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缺一项制度每次扣款500元</w:t>
            </w:r>
          </w:p>
        </w:tc>
        <w:tc>
          <w:tcPr>
            <w:tcW w:w="1559" w:type="dxa"/>
            <w:vAlign w:val="center"/>
          </w:tcPr>
          <w:p w14:paraId="76D60F6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r>
      <w:tr w14:paraId="460B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99" w:type="dxa"/>
            <w:vMerge w:val="continue"/>
            <w:vAlign w:val="center"/>
          </w:tcPr>
          <w:p w14:paraId="3EF3A7E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777C970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09A192F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6388382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3、应持有效证件经营</w:t>
            </w:r>
          </w:p>
        </w:tc>
        <w:tc>
          <w:tcPr>
            <w:tcW w:w="709" w:type="dxa"/>
            <w:vAlign w:val="center"/>
          </w:tcPr>
          <w:p w14:paraId="63FC11D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165DF6D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无证经营或证件无效除由经营者支付卫生主管部门的扣款外，学校将按5000—50000元进行扣款直至解除经营管理合同</w:t>
            </w:r>
          </w:p>
        </w:tc>
        <w:tc>
          <w:tcPr>
            <w:tcW w:w="1559" w:type="dxa"/>
            <w:vAlign w:val="center"/>
          </w:tcPr>
          <w:p w14:paraId="362706F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r>
      <w:tr w14:paraId="1763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1985A25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25E775C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2019880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11ABE26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4、从业人员应持有有效健康证</w:t>
            </w:r>
          </w:p>
        </w:tc>
        <w:tc>
          <w:tcPr>
            <w:tcW w:w="709" w:type="dxa"/>
            <w:vAlign w:val="center"/>
          </w:tcPr>
          <w:p w14:paraId="6D2F233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501B8FD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缺证一人次扣款500元</w:t>
            </w:r>
          </w:p>
        </w:tc>
        <w:tc>
          <w:tcPr>
            <w:tcW w:w="1559" w:type="dxa"/>
            <w:vAlign w:val="center"/>
          </w:tcPr>
          <w:p w14:paraId="517E2E4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缺证一人次扣1分</w:t>
            </w:r>
          </w:p>
        </w:tc>
      </w:tr>
      <w:tr w14:paraId="2CC4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99" w:type="dxa"/>
            <w:vMerge w:val="continue"/>
            <w:vAlign w:val="center"/>
          </w:tcPr>
          <w:p w14:paraId="25C554A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5B1F059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6354F87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32CD28E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5、应严格执行食品卫生法律、法规，无食物中毒事故和肠道传染病发生</w:t>
            </w:r>
          </w:p>
        </w:tc>
        <w:tc>
          <w:tcPr>
            <w:tcW w:w="709" w:type="dxa"/>
            <w:vAlign w:val="center"/>
          </w:tcPr>
          <w:p w14:paraId="57C855E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2E6DADE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出现食物中毒事故扣款不低于5000元并追究相关责任人责任</w:t>
            </w:r>
          </w:p>
        </w:tc>
        <w:tc>
          <w:tcPr>
            <w:tcW w:w="1559" w:type="dxa"/>
            <w:vAlign w:val="center"/>
          </w:tcPr>
          <w:p w14:paraId="7F185AB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出现食物中毒事故该项为0分</w:t>
            </w:r>
          </w:p>
        </w:tc>
      </w:tr>
      <w:tr w14:paraId="2A20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693AC53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2D5A7EF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40A048B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2CFF6F9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6、应坚持《食品及食品原辅材料进货检查验收制度》</w:t>
            </w:r>
          </w:p>
        </w:tc>
        <w:tc>
          <w:tcPr>
            <w:tcW w:w="709" w:type="dxa"/>
            <w:vAlign w:val="center"/>
          </w:tcPr>
          <w:p w14:paraId="0F83582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3C5A52C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进货无台账每次扣款500元</w:t>
            </w:r>
          </w:p>
        </w:tc>
        <w:tc>
          <w:tcPr>
            <w:tcW w:w="1559" w:type="dxa"/>
            <w:vAlign w:val="center"/>
          </w:tcPr>
          <w:p w14:paraId="2858DAB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进货无台账或记录不全，每发现一次扣1分</w:t>
            </w:r>
          </w:p>
        </w:tc>
      </w:tr>
      <w:tr w14:paraId="1DC6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1A12381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23574C5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restart"/>
            <w:vAlign w:val="center"/>
          </w:tcPr>
          <w:p w14:paraId="2E574FB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消防安全</w:t>
            </w:r>
          </w:p>
        </w:tc>
        <w:tc>
          <w:tcPr>
            <w:tcW w:w="3253" w:type="dxa"/>
            <w:vAlign w:val="center"/>
          </w:tcPr>
          <w:p w14:paraId="19DF752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7、应保障食堂各项消防设施完好，进行定期检查并作好检查记录</w:t>
            </w:r>
          </w:p>
        </w:tc>
        <w:tc>
          <w:tcPr>
            <w:tcW w:w="709" w:type="dxa"/>
            <w:vAlign w:val="center"/>
          </w:tcPr>
          <w:p w14:paraId="26ACBC6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4725C28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设施损坏、无检查记录扣款500元</w:t>
            </w:r>
          </w:p>
        </w:tc>
        <w:tc>
          <w:tcPr>
            <w:tcW w:w="1559" w:type="dxa"/>
            <w:vAlign w:val="center"/>
          </w:tcPr>
          <w:p w14:paraId="3893BDA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记录不全一次扣1分</w:t>
            </w:r>
          </w:p>
        </w:tc>
      </w:tr>
      <w:tr w14:paraId="72EC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164622B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021E6E8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6720C5A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58C2822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8、应安全用电，严禁私拉电线</w:t>
            </w:r>
          </w:p>
        </w:tc>
        <w:tc>
          <w:tcPr>
            <w:tcW w:w="709" w:type="dxa"/>
            <w:vAlign w:val="center"/>
          </w:tcPr>
          <w:p w14:paraId="08D3298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5981AD1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私拉电线一次扣款1000元</w:t>
            </w:r>
          </w:p>
        </w:tc>
        <w:tc>
          <w:tcPr>
            <w:tcW w:w="1559" w:type="dxa"/>
            <w:vAlign w:val="center"/>
          </w:tcPr>
          <w:p w14:paraId="7FC39B0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私拉电线一次扣5分</w:t>
            </w:r>
          </w:p>
        </w:tc>
      </w:tr>
      <w:tr w14:paraId="5B99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99" w:type="dxa"/>
            <w:vMerge w:val="continue"/>
            <w:vAlign w:val="center"/>
          </w:tcPr>
          <w:p w14:paraId="379DCF1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36B0342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5ABE03A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7EFAAA4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9、应培训员工掌握正确使用天然气的方法，注意防漏、防爆、防火，使用后关好气阀，确保安全</w:t>
            </w:r>
          </w:p>
        </w:tc>
        <w:tc>
          <w:tcPr>
            <w:tcW w:w="709" w:type="dxa"/>
            <w:vAlign w:val="center"/>
          </w:tcPr>
          <w:p w14:paraId="6769692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39DF987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出现用气安全事故一次扣款不低于1000元</w:t>
            </w:r>
          </w:p>
        </w:tc>
        <w:tc>
          <w:tcPr>
            <w:tcW w:w="1559" w:type="dxa"/>
            <w:vAlign w:val="center"/>
          </w:tcPr>
          <w:p w14:paraId="0179BA3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出现用气安全事故一次扣5分</w:t>
            </w:r>
          </w:p>
        </w:tc>
      </w:tr>
      <w:tr w14:paraId="5D2D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5F5B185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27C2C0D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067603B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72C0D19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10、应组织员工培训消防自防自救常识和安全逃生技能</w:t>
            </w:r>
          </w:p>
        </w:tc>
        <w:tc>
          <w:tcPr>
            <w:tcW w:w="709" w:type="dxa"/>
            <w:vAlign w:val="center"/>
          </w:tcPr>
          <w:p w14:paraId="2EEF746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查看记录</w:t>
            </w:r>
          </w:p>
        </w:tc>
        <w:tc>
          <w:tcPr>
            <w:tcW w:w="2693" w:type="dxa"/>
            <w:vAlign w:val="center"/>
          </w:tcPr>
          <w:p w14:paraId="7599DC3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无培训记录的扣款500元</w:t>
            </w:r>
          </w:p>
        </w:tc>
        <w:tc>
          <w:tcPr>
            <w:tcW w:w="1559" w:type="dxa"/>
            <w:vAlign w:val="center"/>
          </w:tcPr>
          <w:p w14:paraId="375B737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无培训记录一次扣1分</w:t>
            </w:r>
          </w:p>
        </w:tc>
      </w:tr>
      <w:tr w14:paraId="324C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99" w:type="dxa"/>
            <w:vMerge w:val="continue"/>
            <w:vAlign w:val="center"/>
          </w:tcPr>
          <w:p w14:paraId="12E3F95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31E8A22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Align w:val="center"/>
          </w:tcPr>
          <w:p w14:paraId="0EA3B6E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其他安全</w:t>
            </w:r>
          </w:p>
        </w:tc>
        <w:tc>
          <w:tcPr>
            <w:tcW w:w="3253" w:type="dxa"/>
            <w:vAlign w:val="center"/>
          </w:tcPr>
          <w:p w14:paraId="42FE2F8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11、应安排专人管理和保护好学校固定资产的安全</w:t>
            </w:r>
          </w:p>
        </w:tc>
        <w:tc>
          <w:tcPr>
            <w:tcW w:w="709" w:type="dxa"/>
            <w:vAlign w:val="center"/>
          </w:tcPr>
          <w:p w14:paraId="18C0597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4C43DB2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按照学校有关固定资产的相关规定处理</w:t>
            </w:r>
          </w:p>
        </w:tc>
        <w:tc>
          <w:tcPr>
            <w:tcW w:w="1559" w:type="dxa"/>
            <w:vAlign w:val="center"/>
          </w:tcPr>
          <w:p w14:paraId="373F441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每遗失一件扣1分</w:t>
            </w:r>
          </w:p>
        </w:tc>
      </w:tr>
      <w:tr w14:paraId="63B4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370BDEE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66EB9AF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restart"/>
            <w:vAlign w:val="center"/>
          </w:tcPr>
          <w:p w14:paraId="749776A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事故预防制度</w:t>
            </w:r>
          </w:p>
        </w:tc>
        <w:tc>
          <w:tcPr>
            <w:tcW w:w="3253" w:type="dxa"/>
            <w:vAlign w:val="center"/>
          </w:tcPr>
          <w:p w14:paraId="329CBE0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12、应对从业人员进行卫生安全知识培训，建有预防食物中毒事故预案</w:t>
            </w:r>
          </w:p>
        </w:tc>
        <w:tc>
          <w:tcPr>
            <w:tcW w:w="709" w:type="dxa"/>
            <w:vAlign w:val="center"/>
          </w:tcPr>
          <w:p w14:paraId="49C1512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查看制度</w:t>
            </w:r>
          </w:p>
        </w:tc>
        <w:tc>
          <w:tcPr>
            <w:tcW w:w="2693" w:type="dxa"/>
            <w:vAlign w:val="center"/>
          </w:tcPr>
          <w:p w14:paraId="0DC69B4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缺一项预案制度扣款500元/次</w:t>
            </w:r>
          </w:p>
        </w:tc>
        <w:tc>
          <w:tcPr>
            <w:tcW w:w="1559" w:type="dxa"/>
            <w:vAlign w:val="center"/>
          </w:tcPr>
          <w:p w14:paraId="5A26778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缺一项预案制度扣1分</w:t>
            </w:r>
          </w:p>
        </w:tc>
      </w:tr>
      <w:tr w14:paraId="13EF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99" w:type="dxa"/>
            <w:vMerge w:val="continue"/>
            <w:vAlign w:val="center"/>
          </w:tcPr>
          <w:p w14:paraId="590D372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6CFC400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0A674DF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33E1E60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13、应对从业人员进行消防安全知识培训，建有因电气、燃气、油锅着火应急处理机制及预案</w:t>
            </w:r>
          </w:p>
        </w:tc>
        <w:tc>
          <w:tcPr>
            <w:tcW w:w="709" w:type="dxa"/>
            <w:vAlign w:val="center"/>
          </w:tcPr>
          <w:p w14:paraId="1B3EE74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查看制度</w:t>
            </w:r>
          </w:p>
        </w:tc>
        <w:tc>
          <w:tcPr>
            <w:tcW w:w="2693" w:type="dxa"/>
            <w:vAlign w:val="center"/>
          </w:tcPr>
          <w:p w14:paraId="617B5B7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缺一项预案扣款500元/次</w:t>
            </w:r>
          </w:p>
        </w:tc>
        <w:tc>
          <w:tcPr>
            <w:tcW w:w="1559" w:type="dxa"/>
            <w:vAlign w:val="center"/>
          </w:tcPr>
          <w:p w14:paraId="3D343F0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缺一项预案制度扣2分</w:t>
            </w:r>
          </w:p>
        </w:tc>
      </w:tr>
      <w:tr w14:paraId="40AB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99" w:type="dxa"/>
            <w:vMerge w:val="continue"/>
            <w:vAlign w:val="center"/>
          </w:tcPr>
          <w:p w14:paraId="509F549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62DABCA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25AA1B2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69C165F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14、应对从业人员进行设备使用培训，建有机械设备、用电、用气(汽)安全操作规程</w:t>
            </w:r>
          </w:p>
        </w:tc>
        <w:tc>
          <w:tcPr>
            <w:tcW w:w="709" w:type="dxa"/>
            <w:vAlign w:val="center"/>
          </w:tcPr>
          <w:p w14:paraId="5EB32CF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2198077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违规操作一次扣款500元/次</w:t>
            </w:r>
          </w:p>
        </w:tc>
        <w:tc>
          <w:tcPr>
            <w:tcW w:w="1559" w:type="dxa"/>
            <w:vAlign w:val="center"/>
          </w:tcPr>
          <w:p w14:paraId="3B78493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违规操作一次扣1分</w:t>
            </w:r>
          </w:p>
        </w:tc>
      </w:tr>
      <w:tr w14:paraId="3BBB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99" w:type="dxa"/>
            <w:vMerge w:val="restart"/>
            <w:vAlign w:val="center"/>
          </w:tcPr>
          <w:p w14:paraId="72F858F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二</w:t>
            </w:r>
          </w:p>
        </w:tc>
        <w:tc>
          <w:tcPr>
            <w:tcW w:w="760" w:type="dxa"/>
            <w:vMerge w:val="restart"/>
            <w:textDirection w:val="tbRlV"/>
            <w:vAlign w:val="center"/>
          </w:tcPr>
          <w:p w14:paraId="28BCD39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食品管理（40分）</w:t>
            </w:r>
          </w:p>
        </w:tc>
        <w:tc>
          <w:tcPr>
            <w:tcW w:w="450" w:type="dxa"/>
            <w:vMerge w:val="restart"/>
            <w:textDirection w:val="tbRlV"/>
            <w:vAlign w:val="center"/>
          </w:tcPr>
          <w:p w14:paraId="206EE51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采购</w:t>
            </w:r>
          </w:p>
        </w:tc>
        <w:tc>
          <w:tcPr>
            <w:tcW w:w="3253" w:type="dxa"/>
            <w:vAlign w:val="center"/>
          </w:tcPr>
          <w:p w14:paraId="2442FC8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15、主要原材料应建立定点供货单位及采购品种备案制度，供货单位必须持有营业执照、卫生许可证、动植物检疫合格证等相关证件并提交饮食中心备案</w:t>
            </w:r>
          </w:p>
        </w:tc>
        <w:tc>
          <w:tcPr>
            <w:tcW w:w="709" w:type="dxa"/>
            <w:vAlign w:val="center"/>
          </w:tcPr>
          <w:p w14:paraId="565C359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查看证件</w:t>
            </w:r>
          </w:p>
        </w:tc>
        <w:tc>
          <w:tcPr>
            <w:tcW w:w="2693" w:type="dxa"/>
            <w:vAlign w:val="center"/>
          </w:tcPr>
          <w:p w14:paraId="03D93C7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无相关证件的每缺一项扣款500元/次</w:t>
            </w:r>
          </w:p>
        </w:tc>
        <w:tc>
          <w:tcPr>
            <w:tcW w:w="1559" w:type="dxa"/>
            <w:vAlign w:val="center"/>
          </w:tcPr>
          <w:p w14:paraId="6956581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证件不齐，每缺一项扣2分</w:t>
            </w:r>
          </w:p>
        </w:tc>
      </w:tr>
      <w:tr w14:paraId="08C1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99" w:type="dxa"/>
            <w:vMerge w:val="continue"/>
            <w:vAlign w:val="center"/>
          </w:tcPr>
          <w:p w14:paraId="2845AE8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424E4C2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19F2300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2FB64A3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16、应建立采购登记台账制度和索证、索票、准入制度，每批次物质应有生产厂家、产地、生产日期、保质期及QS认证等标识</w:t>
            </w:r>
          </w:p>
        </w:tc>
        <w:tc>
          <w:tcPr>
            <w:tcW w:w="709" w:type="dxa"/>
            <w:vAlign w:val="center"/>
          </w:tcPr>
          <w:p w14:paraId="090B7BC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423FD66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每缺一项扣款500元/次</w:t>
            </w:r>
          </w:p>
        </w:tc>
        <w:tc>
          <w:tcPr>
            <w:tcW w:w="1559" w:type="dxa"/>
            <w:vAlign w:val="center"/>
          </w:tcPr>
          <w:p w14:paraId="76E8F37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每缺一项扣1分</w:t>
            </w:r>
          </w:p>
        </w:tc>
      </w:tr>
      <w:tr w14:paraId="7038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1D98804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10EDB60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01AAB58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36CACD1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17、采购的原材料应符合国家有关标准和规定</w:t>
            </w:r>
          </w:p>
        </w:tc>
        <w:tc>
          <w:tcPr>
            <w:tcW w:w="709" w:type="dxa"/>
            <w:vAlign w:val="center"/>
          </w:tcPr>
          <w:p w14:paraId="70EB57D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0E04EED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每违规采购一次给予扣款10000元</w:t>
            </w:r>
          </w:p>
        </w:tc>
        <w:tc>
          <w:tcPr>
            <w:tcW w:w="1559" w:type="dxa"/>
            <w:vAlign w:val="center"/>
          </w:tcPr>
          <w:p w14:paraId="328A183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每违规采购一次扣5分</w:t>
            </w:r>
          </w:p>
        </w:tc>
      </w:tr>
      <w:tr w14:paraId="1C2C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99" w:type="dxa"/>
            <w:vMerge w:val="continue"/>
            <w:vAlign w:val="center"/>
          </w:tcPr>
          <w:p w14:paraId="7FB6C91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5D4C8BF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restart"/>
            <w:textDirection w:val="tbRlV"/>
            <w:vAlign w:val="center"/>
          </w:tcPr>
          <w:p w14:paraId="5B66EE3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存储</w:t>
            </w:r>
          </w:p>
        </w:tc>
        <w:tc>
          <w:tcPr>
            <w:tcW w:w="3253" w:type="dxa"/>
            <w:vAlign w:val="center"/>
          </w:tcPr>
          <w:p w14:paraId="664D173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18、食品贮藏应做到原料、半成品、成品严格分开，做到生、熟分开，植物性食品、动物性食品和水产品分类摆放，冷藏柜(库)存放食品有标志</w:t>
            </w:r>
          </w:p>
        </w:tc>
        <w:tc>
          <w:tcPr>
            <w:tcW w:w="709" w:type="dxa"/>
            <w:vAlign w:val="center"/>
          </w:tcPr>
          <w:p w14:paraId="5356078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687DB68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不符合要求每次扣款500元</w:t>
            </w:r>
          </w:p>
        </w:tc>
        <w:tc>
          <w:tcPr>
            <w:tcW w:w="1559" w:type="dxa"/>
            <w:vAlign w:val="center"/>
          </w:tcPr>
          <w:p w14:paraId="1569F8C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3B8D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5BF63B2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08DA188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1C43D4D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48C8978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19、仓库管理规范，物资分类存放，食品库无过期、变质及非食品物资</w:t>
            </w:r>
          </w:p>
        </w:tc>
        <w:tc>
          <w:tcPr>
            <w:tcW w:w="709" w:type="dxa"/>
            <w:vAlign w:val="center"/>
          </w:tcPr>
          <w:p w14:paraId="6B92921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123FA61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不符合要求每次扣款500元</w:t>
            </w:r>
          </w:p>
        </w:tc>
        <w:tc>
          <w:tcPr>
            <w:tcW w:w="1559" w:type="dxa"/>
            <w:vAlign w:val="center"/>
          </w:tcPr>
          <w:p w14:paraId="43A724C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每发现过期或霉变食品，一次扣5分</w:t>
            </w:r>
          </w:p>
        </w:tc>
      </w:tr>
      <w:tr w14:paraId="1E14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1CE743E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4C2342D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restart"/>
            <w:textDirection w:val="tbRlV"/>
            <w:vAlign w:val="center"/>
          </w:tcPr>
          <w:p w14:paraId="7D1EEC6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加工</w:t>
            </w:r>
          </w:p>
        </w:tc>
        <w:tc>
          <w:tcPr>
            <w:tcW w:w="3253" w:type="dxa"/>
            <w:vAlign w:val="center"/>
          </w:tcPr>
          <w:p w14:paraId="21C8B24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20、食品加工应做到流程合理，操作规范</w:t>
            </w:r>
          </w:p>
        </w:tc>
        <w:tc>
          <w:tcPr>
            <w:tcW w:w="709" w:type="dxa"/>
            <w:vAlign w:val="center"/>
          </w:tcPr>
          <w:p w14:paraId="3145645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现场查看</w:t>
            </w:r>
          </w:p>
        </w:tc>
        <w:tc>
          <w:tcPr>
            <w:tcW w:w="2693" w:type="dxa"/>
            <w:vAlign w:val="center"/>
          </w:tcPr>
          <w:p w14:paraId="5243673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不符合要求的每次扣款500元</w:t>
            </w:r>
          </w:p>
        </w:tc>
        <w:tc>
          <w:tcPr>
            <w:tcW w:w="1559" w:type="dxa"/>
            <w:vAlign w:val="center"/>
          </w:tcPr>
          <w:p w14:paraId="545A6AF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27AA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99" w:type="dxa"/>
            <w:vMerge w:val="continue"/>
            <w:vAlign w:val="center"/>
          </w:tcPr>
          <w:p w14:paraId="1340894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5CC9979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53B8FA4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7782261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21、各类主副食应按照规范的配比标准加工（具体配比标准按照学校相关要求执行）</w:t>
            </w:r>
          </w:p>
        </w:tc>
        <w:tc>
          <w:tcPr>
            <w:tcW w:w="709" w:type="dxa"/>
            <w:vAlign w:val="center"/>
          </w:tcPr>
          <w:p w14:paraId="6E0C48F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现场抽检</w:t>
            </w:r>
          </w:p>
        </w:tc>
        <w:tc>
          <w:tcPr>
            <w:tcW w:w="2693" w:type="dxa"/>
            <w:vAlign w:val="center"/>
          </w:tcPr>
          <w:p w14:paraId="31F8227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不符合要求的每一品种扣款500元</w:t>
            </w:r>
          </w:p>
        </w:tc>
        <w:tc>
          <w:tcPr>
            <w:tcW w:w="1559" w:type="dxa"/>
            <w:vAlign w:val="center"/>
          </w:tcPr>
          <w:p w14:paraId="2824473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73C6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99" w:type="dxa"/>
            <w:vMerge w:val="continue"/>
            <w:vAlign w:val="center"/>
          </w:tcPr>
          <w:p w14:paraId="2BAB563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5E1CF61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1D8E672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4DF738B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22、凉菜应由专间、专人和专用设施设备加工，凉菜间应安装空调</w:t>
            </w:r>
          </w:p>
        </w:tc>
        <w:tc>
          <w:tcPr>
            <w:tcW w:w="709" w:type="dxa"/>
            <w:vAlign w:val="center"/>
          </w:tcPr>
          <w:p w14:paraId="0396F68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3BB6F8B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不符合要求的每项每次扣款500元</w:t>
            </w:r>
          </w:p>
        </w:tc>
        <w:tc>
          <w:tcPr>
            <w:tcW w:w="1559" w:type="dxa"/>
            <w:vAlign w:val="center"/>
          </w:tcPr>
          <w:p w14:paraId="2B19A4F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2177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499" w:type="dxa"/>
            <w:vMerge w:val="continue"/>
            <w:vAlign w:val="center"/>
          </w:tcPr>
          <w:p w14:paraId="1A5800D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33B5220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42657A7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36CDA90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23、加工生、熟、荤、素食品应做到用具分开、整洁、严格消毒、摆放整齐</w:t>
            </w:r>
          </w:p>
        </w:tc>
        <w:tc>
          <w:tcPr>
            <w:tcW w:w="709" w:type="dxa"/>
            <w:vAlign w:val="center"/>
          </w:tcPr>
          <w:p w14:paraId="24F813B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11EB19D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不符合要求的每次扣款500元</w:t>
            </w:r>
          </w:p>
        </w:tc>
        <w:tc>
          <w:tcPr>
            <w:tcW w:w="1559" w:type="dxa"/>
            <w:vAlign w:val="center"/>
          </w:tcPr>
          <w:p w14:paraId="07A6BFA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52A5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7FA5411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4FC66E5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13BE1D6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1FB49EB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24、餐饮具使用前应要规范消毒</w:t>
            </w:r>
          </w:p>
        </w:tc>
        <w:tc>
          <w:tcPr>
            <w:tcW w:w="709" w:type="dxa"/>
            <w:vAlign w:val="center"/>
          </w:tcPr>
          <w:p w14:paraId="01DBAD3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3E15018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不符合要求的每次扣款500元</w:t>
            </w:r>
          </w:p>
        </w:tc>
        <w:tc>
          <w:tcPr>
            <w:tcW w:w="1559" w:type="dxa"/>
            <w:vAlign w:val="center"/>
          </w:tcPr>
          <w:p w14:paraId="5FFC548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30A1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99" w:type="dxa"/>
            <w:vMerge w:val="continue"/>
            <w:vAlign w:val="center"/>
          </w:tcPr>
          <w:p w14:paraId="0E61151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50F52A2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21359F4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589A6B5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25、从业人员应养成良好卫生习惯，工作场所不吸烟，不随地吐痰，不戴首饰上岗，长发不外露；所有人员必须穿食堂标准工作服；工作服不得穿到食堂之外的区域</w:t>
            </w:r>
          </w:p>
        </w:tc>
        <w:tc>
          <w:tcPr>
            <w:tcW w:w="709" w:type="dxa"/>
            <w:vAlign w:val="center"/>
          </w:tcPr>
          <w:p w14:paraId="6F2F3A4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6E9E655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不符合要求的每人次扣款500元</w:t>
            </w:r>
          </w:p>
        </w:tc>
        <w:tc>
          <w:tcPr>
            <w:tcW w:w="1559" w:type="dxa"/>
            <w:vAlign w:val="center"/>
          </w:tcPr>
          <w:p w14:paraId="0458C04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045F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150D53A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7CA6B8B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38EEF91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4F257BD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26、按规定进行菜品留样</w:t>
            </w:r>
          </w:p>
        </w:tc>
        <w:tc>
          <w:tcPr>
            <w:tcW w:w="709" w:type="dxa"/>
            <w:vAlign w:val="center"/>
          </w:tcPr>
          <w:p w14:paraId="0A2D96D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5A88EFB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不符合要求的每次扣款500元</w:t>
            </w:r>
          </w:p>
        </w:tc>
        <w:tc>
          <w:tcPr>
            <w:tcW w:w="1559" w:type="dxa"/>
            <w:vAlign w:val="center"/>
          </w:tcPr>
          <w:p w14:paraId="10EF5F8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7730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4B82E91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7B2DFF6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4EB8A4D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0B1657C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27、食堂应有防鼠、防蚊蝇、防蟑螂及防尘措施并做到定期消毒</w:t>
            </w:r>
          </w:p>
        </w:tc>
        <w:tc>
          <w:tcPr>
            <w:tcW w:w="709" w:type="dxa"/>
            <w:vAlign w:val="center"/>
          </w:tcPr>
          <w:p w14:paraId="1EDDD30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61D9050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不符合要求的每次扣款500元</w:t>
            </w:r>
          </w:p>
        </w:tc>
        <w:tc>
          <w:tcPr>
            <w:tcW w:w="1559" w:type="dxa"/>
            <w:vAlign w:val="center"/>
          </w:tcPr>
          <w:p w14:paraId="60B19F9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7E30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4EF1252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558DAD1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restart"/>
            <w:textDirection w:val="tbRlV"/>
            <w:vAlign w:val="center"/>
          </w:tcPr>
          <w:p w14:paraId="28210AC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出售</w:t>
            </w:r>
          </w:p>
        </w:tc>
        <w:tc>
          <w:tcPr>
            <w:tcW w:w="3253" w:type="dxa"/>
            <w:vAlign w:val="center"/>
          </w:tcPr>
          <w:p w14:paraId="3166C6D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28、主要饭菜类应明码实价，菜牌齐全</w:t>
            </w:r>
          </w:p>
        </w:tc>
        <w:tc>
          <w:tcPr>
            <w:tcW w:w="709" w:type="dxa"/>
            <w:vAlign w:val="center"/>
          </w:tcPr>
          <w:p w14:paraId="3186662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66C9BB6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不符合要求的每项扣款500元</w:t>
            </w:r>
          </w:p>
        </w:tc>
        <w:tc>
          <w:tcPr>
            <w:tcW w:w="1559" w:type="dxa"/>
            <w:vAlign w:val="center"/>
          </w:tcPr>
          <w:p w14:paraId="51AB985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不符合要求每次扣2分</w:t>
            </w:r>
          </w:p>
        </w:tc>
      </w:tr>
      <w:tr w14:paraId="51EB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31B80A4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6327B7D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328367D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183A56C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29、在正常就餐时期，品种应按学校要求执行，荤素搭配合理</w:t>
            </w:r>
          </w:p>
        </w:tc>
        <w:tc>
          <w:tcPr>
            <w:tcW w:w="709" w:type="dxa"/>
            <w:vAlign w:val="center"/>
          </w:tcPr>
          <w:p w14:paraId="79BEEBA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64FDAB4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不符合要求的扣款（学校要求数-实际菜品数）*500元</w:t>
            </w:r>
          </w:p>
        </w:tc>
        <w:tc>
          <w:tcPr>
            <w:tcW w:w="1559" w:type="dxa"/>
            <w:vAlign w:val="center"/>
          </w:tcPr>
          <w:p w14:paraId="58DED95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74E3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1A89062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563F60D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7BA4B3D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1A5936F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30、不应出售夹生、未熟或变质食品，饭菜中应无泥沙、钢丝等杂物</w:t>
            </w:r>
          </w:p>
        </w:tc>
        <w:tc>
          <w:tcPr>
            <w:tcW w:w="709" w:type="dxa"/>
            <w:vAlign w:val="center"/>
          </w:tcPr>
          <w:p w14:paraId="4FF9E6D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投诉核实</w:t>
            </w:r>
          </w:p>
        </w:tc>
        <w:tc>
          <w:tcPr>
            <w:tcW w:w="2693" w:type="dxa"/>
            <w:vAlign w:val="center"/>
          </w:tcPr>
          <w:p w14:paraId="340A157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查实后每次扣款500元</w:t>
            </w:r>
          </w:p>
        </w:tc>
        <w:tc>
          <w:tcPr>
            <w:tcW w:w="1559" w:type="dxa"/>
            <w:vAlign w:val="center"/>
          </w:tcPr>
          <w:p w14:paraId="40B5623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4612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55E8CD9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54E5B47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2E72489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36293F4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31、餐厅内外、厨房、操作间、库房等场所应保持整洁</w:t>
            </w:r>
          </w:p>
        </w:tc>
        <w:tc>
          <w:tcPr>
            <w:tcW w:w="709" w:type="dxa"/>
            <w:vAlign w:val="center"/>
          </w:tcPr>
          <w:p w14:paraId="3F4F462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0C3F9BD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不符合要求的每项扣款500元</w:t>
            </w:r>
          </w:p>
        </w:tc>
        <w:tc>
          <w:tcPr>
            <w:tcW w:w="1559" w:type="dxa"/>
            <w:vAlign w:val="center"/>
          </w:tcPr>
          <w:p w14:paraId="47D8573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55B0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499" w:type="dxa"/>
            <w:vMerge w:val="continue"/>
            <w:vAlign w:val="center"/>
          </w:tcPr>
          <w:p w14:paraId="5CC5520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554D12C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60DEA76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1F107F3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32、食堂内外应设置带盖的垃圾桶，并及时按照相关规定进行规范处置垃圾，不得将餐厨垃圾私自处理</w:t>
            </w:r>
          </w:p>
        </w:tc>
        <w:tc>
          <w:tcPr>
            <w:tcW w:w="709" w:type="dxa"/>
            <w:vAlign w:val="center"/>
          </w:tcPr>
          <w:p w14:paraId="466E61F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789AAA7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不符合要求的每项扣款500元</w:t>
            </w:r>
          </w:p>
        </w:tc>
        <w:tc>
          <w:tcPr>
            <w:tcW w:w="1559" w:type="dxa"/>
            <w:vAlign w:val="center"/>
          </w:tcPr>
          <w:p w14:paraId="60AC9C2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27C7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499" w:type="dxa"/>
            <w:vMerge w:val="continue"/>
            <w:vAlign w:val="center"/>
          </w:tcPr>
          <w:p w14:paraId="1495EF6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4167778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450" w:type="dxa"/>
            <w:vMerge w:val="continue"/>
            <w:vAlign w:val="center"/>
          </w:tcPr>
          <w:p w14:paraId="185E331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253" w:type="dxa"/>
            <w:vAlign w:val="center"/>
          </w:tcPr>
          <w:p w14:paraId="7E2F229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33、</w:t>
            </w:r>
            <w:r>
              <w:rPr>
                <w:rFonts w:hint="eastAsia" w:ascii="仿宋" w:hAnsi="仿宋" w:eastAsia="仿宋" w:cs="仿宋"/>
                <w:b/>
                <w:bCs/>
                <w:color w:val="auto"/>
                <w:kern w:val="0"/>
                <w:sz w:val="24"/>
                <w:szCs w:val="24"/>
                <w:highlight w:val="none"/>
                <w:lang w:val="en-US" w:eastAsia="zh-CN"/>
              </w:rPr>
              <w:t>每月投料率核查</w:t>
            </w:r>
          </w:p>
        </w:tc>
        <w:tc>
          <w:tcPr>
            <w:tcW w:w="709" w:type="dxa"/>
            <w:vAlign w:val="center"/>
          </w:tcPr>
          <w:p w14:paraId="2E29935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现场检查</w:t>
            </w:r>
          </w:p>
        </w:tc>
        <w:tc>
          <w:tcPr>
            <w:tcW w:w="2693" w:type="dxa"/>
            <w:vAlign w:val="center"/>
          </w:tcPr>
          <w:p w14:paraId="5E9F741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hint="default"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eastAsia="zh-CN"/>
              </w:rPr>
              <w:t>不符合要求按营业额的</w:t>
            </w:r>
            <w:r>
              <w:rPr>
                <w:rFonts w:hint="eastAsia" w:ascii="仿宋" w:hAnsi="仿宋" w:eastAsia="仿宋" w:cs="仿宋"/>
                <w:b/>
                <w:bCs/>
                <w:color w:val="auto"/>
                <w:kern w:val="0"/>
                <w:sz w:val="24"/>
                <w:szCs w:val="24"/>
                <w:highlight w:val="none"/>
                <w:lang w:val="en-US" w:eastAsia="zh-CN"/>
              </w:rPr>
              <w:t>1%扣款</w:t>
            </w:r>
            <w:r>
              <w:rPr>
                <w:rFonts w:hint="eastAsia" w:ascii="仿宋" w:hAnsi="仿宋" w:eastAsia="仿宋" w:cs="仿宋"/>
                <w:color w:val="auto"/>
                <w:kern w:val="0"/>
                <w:sz w:val="24"/>
                <w:szCs w:val="24"/>
                <w:highlight w:val="none"/>
                <w:lang w:val="en-US" w:eastAsia="zh-CN"/>
              </w:rPr>
              <w:t>。</w:t>
            </w:r>
          </w:p>
        </w:tc>
        <w:tc>
          <w:tcPr>
            <w:tcW w:w="1559" w:type="dxa"/>
            <w:vAlign w:val="center"/>
          </w:tcPr>
          <w:p w14:paraId="372DA5B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hint="default"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eastAsia="zh-CN"/>
              </w:rPr>
              <w:t>不符合要求扣</w:t>
            </w:r>
            <w:r>
              <w:rPr>
                <w:rFonts w:hint="eastAsia" w:ascii="仿宋" w:hAnsi="仿宋" w:eastAsia="仿宋" w:cs="仿宋"/>
                <w:b/>
                <w:bCs/>
                <w:color w:val="auto"/>
                <w:kern w:val="0"/>
                <w:sz w:val="24"/>
                <w:szCs w:val="24"/>
                <w:highlight w:val="none"/>
                <w:lang w:val="en-US" w:eastAsia="zh-CN"/>
              </w:rPr>
              <w:t>5分</w:t>
            </w:r>
          </w:p>
        </w:tc>
      </w:tr>
      <w:tr w14:paraId="358F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499" w:type="dxa"/>
            <w:vMerge w:val="restart"/>
            <w:vAlign w:val="center"/>
          </w:tcPr>
          <w:p w14:paraId="0D2715A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三</w:t>
            </w:r>
          </w:p>
        </w:tc>
        <w:tc>
          <w:tcPr>
            <w:tcW w:w="760" w:type="dxa"/>
            <w:vMerge w:val="restart"/>
            <w:vAlign w:val="center"/>
          </w:tcPr>
          <w:p w14:paraId="07B392F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服务质量</w:t>
            </w:r>
          </w:p>
          <w:p w14:paraId="62CD5BD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（15分）</w:t>
            </w:r>
          </w:p>
        </w:tc>
        <w:tc>
          <w:tcPr>
            <w:tcW w:w="3703" w:type="dxa"/>
            <w:gridSpan w:val="2"/>
            <w:vAlign w:val="center"/>
          </w:tcPr>
          <w:p w14:paraId="676156B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33、应统一着装，仪表端庄，挂牌、戴口罩上岗</w:t>
            </w:r>
          </w:p>
        </w:tc>
        <w:tc>
          <w:tcPr>
            <w:tcW w:w="709" w:type="dxa"/>
            <w:vAlign w:val="center"/>
          </w:tcPr>
          <w:p w14:paraId="478F3B6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4F91933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不符合要求每人次扣款500元</w:t>
            </w:r>
          </w:p>
        </w:tc>
        <w:tc>
          <w:tcPr>
            <w:tcW w:w="1559" w:type="dxa"/>
            <w:vAlign w:val="center"/>
          </w:tcPr>
          <w:p w14:paraId="54CD37E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6A99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99" w:type="dxa"/>
            <w:vMerge w:val="continue"/>
            <w:vAlign w:val="center"/>
          </w:tcPr>
          <w:p w14:paraId="37314EE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22BF830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3703" w:type="dxa"/>
            <w:gridSpan w:val="2"/>
            <w:vAlign w:val="center"/>
          </w:tcPr>
          <w:p w14:paraId="13CBC1A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34、应做到服务及操作程序规范，态度端正，主动热情，文明用语，不和学生发生争吵及正面冲突</w:t>
            </w:r>
          </w:p>
        </w:tc>
        <w:tc>
          <w:tcPr>
            <w:tcW w:w="709" w:type="dxa"/>
            <w:vAlign w:val="bottom"/>
          </w:tcPr>
          <w:p w14:paraId="48F6661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核实投诉</w:t>
            </w:r>
          </w:p>
        </w:tc>
        <w:tc>
          <w:tcPr>
            <w:tcW w:w="2693" w:type="dxa"/>
            <w:vAlign w:val="center"/>
          </w:tcPr>
          <w:p w14:paraId="3BDD8CE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查实后每次扣款500元</w:t>
            </w:r>
          </w:p>
        </w:tc>
        <w:tc>
          <w:tcPr>
            <w:tcW w:w="1559" w:type="dxa"/>
            <w:vAlign w:val="center"/>
          </w:tcPr>
          <w:p w14:paraId="2E0E97D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不符合要求每次扣2分</w:t>
            </w:r>
          </w:p>
        </w:tc>
      </w:tr>
      <w:tr w14:paraId="56F9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99" w:type="dxa"/>
            <w:vMerge w:val="continue"/>
            <w:vAlign w:val="center"/>
          </w:tcPr>
          <w:p w14:paraId="1543556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6C492C6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3703" w:type="dxa"/>
            <w:gridSpan w:val="2"/>
            <w:vAlign w:val="center"/>
          </w:tcPr>
          <w:p w14:paraId="6D53EC2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35、应及时处理就餐者投诉意见、建议，过程有记录</w:t>
            </w:r>
          </w:p>
        </w:tc>
        <w:tc>
          <w:tcPr>
            <w:tcW w:w="709" w:type="dxa"/>
            <w:vAlign w:val="center"/>
          </w:tcPr>
          <w:p w14:paraId="36A0299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5F869F2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未处理投诉每次每件扣款500元</w:t>
            </w:r>
          </w:p>
        </w:tc>
        <w:tc>
          <w:tcPr>
            <w:tcW w:w="1559" w:type="dxa"/>
            <w:vAlign w:val="center"/>
          </w:tcPr>
          <w:p w14:paraId="43B281B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71D1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499" w:type="dxa"/>
            <w:vMerge w:val="continue"/>
            <w:vAlign w:val="center"/>
          </w:tcPr>
          <w:p w14:paraId="164CC40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0C0358F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3703" w:type="dxa"/>
            <w:gridSpan w:val="2"/>
            <w:vAlign w:val="center"/>
          </w:tcPr>
          <w:p w14:paraId="014FBD7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36、应在中、晚餐供应期间向就餐者提供免费汤，并派专人负责管理</w:t>
            </w:r>
          </w:p>
        </w:tc>
        <w:tc>
          <w:tcPr>
            <w:tcW w:w="709" w:type="dxa"/>
            <w:vAlign w:val="center"/>
          </w:tcPr>
          <w:p w14:paraId="7A558C3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44C048A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不符合要求的每项扣款500元</w:t>
            </w:r>
          </w:p>
        </w:tc>
        <w:tc>
          <w:tcPr>
            <w:tcW w:w="1559" w:type="dxa"/>
            <w:vAlign w:val="center"/>
          </w:tcPr>
          <w:p w14:paraId="7C22E463">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7838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99" w:type="dxa"/>
            <w:vMerge w:val="continue"/>
            <w:vAlign w:val="center"/>
          </w:tcPr>
          <w:p w14:paraId="514A539C">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6175EA3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3703" w:type="dxa"/>
            <w:gridSpan w:val="2"/>
            <w:vAlign w:val="center"/>
          </w:tcPr>
          <w:p w14:paraId="235CFFF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37、应在食堂明显位置设有就餐投诉台(或设立意见箱、意见薄)</w:t>
            </w:r>
          </w:p>
        </w:tc>
        <w:tc>
          <w:tcPr>
            <w:tcW w:w="709" w:type="dxa"/>
            <w:vAlign w:val="center"/>
          </w:tcPr>
          <w:p w14:paraId="5530036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2AC05AA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不符合要求的每项扣款500元</w:t>
            </w:r>
          </w:p>
        </w:tc>
        <w:tc>
          <w:tcPr>
            <w:tcW w:w="1559" w:type="dxa"/>
            <w:vAlign w:val="center"/>
          </w:tcPr>
          <w:p w14:paraId="1230589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3EF9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9" w:type="dxa"/>
            <w:vMerge w:val="continue"/>
            <w:vAlign w:val="center"/>
          </w:tcPr>
          <w:p w14:paraId="50496B0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61161FF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3703" w:type="dxa"/>
            <w:gridSpan w:val="2"/>
            <w:vAlign w:val="center"/>
          </w:tcPr>
          <w:p w14:paraId="5150FED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38、应实行学生刷卡消费，售卖窗口严禁使用现金</w:t>
            </w:r>
          </w:p>
        </w:tc>
        <w:tc>
          <w:tcPr>
            <w:tcW w:w="709" w:type="dxa"/>
            <w:vAlign w:val="center"/>
          </w:tcPr>
          <w:p w14:paraId="3526483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5C0B0D5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发现使用现金每人次扣款500元</w:t>
            </w:r>
          </w:p>
        </w:tc>
        <w:tc>
          <w:tcPr>
            <w:tcW w:w="1559" w:type="dxa"/>
            <w:vAlign w:val="center"/>
          </w:tcPr>
          <w:p w14:paraId="08993D9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1902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99" w:type="dxa"/>
            <w:vMerge w:val="restart"/>
            <w:vAlign w:val="center"/>
          </w:tcPr>
          <w:p w14:paraId="789851B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w:t>
            </w:r>
          </w:p>
        </w:tc>
        <w:tc>
          <w:tcPr>
            <w:tcW w:w="760" w:type="dxa"/>
            <w:vMerge w:val="restart"/>
            <w:vAlign w:val="center"/>
          </w:tcPr>
          <w:p w14:paraId="342F854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经营秩序（10分）</w:t>
            </w:r>
          </w:p>
        </w:tc>
        <w:tc>
          <w:tcPr>
            <w:tcW w:w="3703" w:type="dxa"/>
            <w:gridSpan w:val="2"/>
            <w:vAlign w:val="center"/>
          </w:tcPr>
          <w:p w14:paraId="27D3B56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39、未经学校书面同意，食堂经营企业不得将食堂全部或者部分转租、转借或其他任意形式转交给任何单位或个人进行经营</w:t>
            </w:r>
          </w:p>
        </w:tc>
        <w:tc>
          <w:tcPr>
            <w:tcW w:w="709" w:type="dxa"/>
            <w:vAlign w:val="center"/>
          </w:tcPr>
          <w:p w14:paraId="0B07A1A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依据合同</w:t>
            </w:r>
          </w:p>
        </w:tc>
        <w:tc>
          <w:tcPr>
            <w:tcW w:w="2693" w:type="dxa"/>
            <w:vAlign w:val="center"/>
          </w:tcPr>
          <w:p w14:paraId="1C8B077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每次扣款50000元</w:t>
            </w:r>
          </w:p>
        </w:tc>
        <w:tc>
          <w:tcPr>
            <w:tcW w:w="1559" w:type="dxa"/>
            <w:vAlign w:val="center"/>
          </w:tcPr>
          <w:p w14:paraId="18E5403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按照合同执行</w:t>
            </w:r>
          </w:p>
        </w:tc>
      </w:tr>
      <w:tr w14:paraId="5C0D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99" w:type="dxa"/>
            <w:vMerge w:val="continue"/>
            <w:vAlign w:val="center"/>
          </w:tcPr>
          <w:p w14:paraId="65A5F37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6E8AF55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3703" w:type="dxa"/>
            <w:gridSpan w:val="2"/>
            <w:vAlign w:val="center"/>
          </w:tcPr>
          <w:p w14:paraId="6D69BE3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40、应严格遵循学校统一制订的菜品价格，不得擅自修改</w:t>
            </w:r>
          </w:p>
        </w:tc>
        <w:tc>
          <w:tcPr>
            <w:tcW w:w="709" w:type="dxa"/>
            <w:vAlign w:val="center"/>
          </w:tcPr>
          <w:p w14:paraId="351B04B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现场检查</w:t>
            </w:r>
          </w:p>
        </w:tc>
        <w:tc>
          <w:tcPr>
            <w:tcW w:w="2693" w:type="dxa"/>
            <w:vAlign w:val="center"/>
          </w:tcPr>
          <w:p w14:paraId="4F0B0390">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若擅自改动价格，每一菜品扣款5000元</w:t>
            </w:r>
          </w:p>
        </w:tc>
        <w:tc>
          <w:tcPr>
            <w:tcW w:w="1559" w:type="dxa"/>
            <w:vAlign w:val="center"/>
          </w:tcPr>
          <w:p w14:paraId="68D6591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不符合要求每次扣2分</w:t>
            </w:r>
          </w:p>
        </w:tc>
      </w:tr>
      <w:tr w14:paraId="04A1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99" w:type="dxa"/>
            <w:vMerge w:val="continue"/>
            <w:vAlign w:val="center"/>
          </w:tcPr>
          <w:p w14:paraId="6486C78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76D2A49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3703" w:type="dxa"/>
            <w:gridSpan w:val="2"/>
            <w:vAlign w:val="center"/>
          </w:tcPr>
          <w:p w14:paraId="001CF07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41、应遵守合同约定，不得超范围进行经营</w:t>
            </w:r>
          </w:p>
        </w:tc>
        <w:tc>
          <w:tcPr>
            <w:tcW w:w="709" w:type="dxa"/>
            <w:vAlign w:val="center"/>
          </w:tcPr>
          <w:p w14:paraId="5C968DC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依据合同</w:t>
            </w:r>
          </w:p>
        </w:tc>
        <w:tc>
          <w:tcPr>
            <w:tcW w:w="2693" w:type="dxa"/>
            <w:vAlign w:val="center"/>
          </w:tcPr>
          <w:p w14:paraId="0ACEF9CB">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超范围经营每次扣款10000元</w:t>
            </w:r>
          </w:p>
        </w:tc>
        <w:tc>
          <w:tcPr>
            <w:tcW w:w="1559" w:type="dxa"/>
            <w:vAlign w:val="center"/>
          </w:tcPr>
          <w:p w14:paraId="5E8B6F2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不符合要求每次扣2分</w:t>
            </w:r>
          </w:p>
        </w:tc>
      </w:tr>
      <w:tr w14:paraId="097B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499" w:type="dxa"/>
            <w:vMerge w:val="continue"/>
            <w:vAlign w:val="center"/>
          </w:tcPr>
          <w:p w14:paraId="3B3472AD">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154E646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tc>
        <w:tc>
          <w:tcPr>
            <w:tcW w:w="3703" w:type="dxa"/>
            <w:gridSpan w:val="2"/>
            <w:vAlign w:val="center"/>
          </w:tcPr>
          <w:p w14:paraId="789487D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42、应按时向学生提供符合卫生要求的热菜热饭（早上6：30—9：00；中午11：00—14：00；晚上16：00—23：00）</w:t>
            </w:r>
          </w:p>
        </w:tc>
        <w:tc>
          <w:tcPr>
            <w:tcW w:w="709" w:type="dxa"/>
            <w:vAlign w:val="center"/>
          </w:tcPr>
          <w:p w14:paraId="156ACF5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依据合同</w:t>
            </w:r>
          </w:p>
        </w:tc>
        <w:tc>
          <w:tcPr>
            <w:tcW w:w="2693" w:type="dxa"/>
            <w:vAlign w:val="center"/>
          </w:tcPr>
          <w:p w14:paraId="415F647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未经同意擅自关闭食堂的全部或部分经营窗口，每关闭一天扣款10000元，学校保留解除合同、取消食堂经营者经营管理资格的权利。</w:t>
            </w:r>
          </w:p>
        </w:tc>
        <w:tc>
          <w:tcPr>
            <w:tcW w:w="1559" w:type="dxa"/>
            <w:vAlign w:val="center"/>
          </w:tcPr>
          <w:p w14:paraId="28EE67C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6B75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99" w:type="dxa"/>
            <w:vMerge w:val="restart"/>
            <w:vAlign w:val="center"/>
          </w:tcPr>
          <w:p w14:paraId="590EDB26">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p w14:paraId="013E86B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p w14:paraId="5B41745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五</w:t>
            </w:r>
          </w:p>
        </w:tc>
        <w:tc>
          <w:tcPr>
            <w:tcW w:w="760" w:type="dxa"/>
            <w:vMerge w:val="restart"/>
            <w:vAlign w:val="center"/>
          </w:tcPr>
          <w:p w14:paraId="6323D624">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p w14:paraId="654AE43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p>
          <w:p w14:paraId="363937BF">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其他（5分）</w:t>
            </w:r>
          </w:p>
        </w:tc>
        <w:tc>
          <w:tcPr>
            <w:tcW w:w="3703" w:type="dxa"/>
            <w:gridSpan w:val="2"/>
            <w:vAlign w:val="center"/>
          </w:tcPr>
          <w:p w14:paraId="5EB22EF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43、食堂经营者应做到“门前三包”，保持清洁卫生</w:t>
            </w:r>
          </w:p>
        </w:tc>
        <w:tc>
          <w:tcPr>
            <w:tcW w:w="709" w:type="dxa"/>
            <w:vAlign w:val="center"/>
          </w:tcPr>
          <w:p w14:paraId="78B88357">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依据合同</w:t>
            </w:r>
          </w:p>
        </w:tc>
        <w:tc>
          <w:tcPr>
            <w:tcW w:w="2693" w:type="dxa"/>
            <w:vAlign w:val="center"/>
          </w:tcPr>
          <w:p w14:paraId="25AA238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卫生出现脏、乱、差现象每次扣500元。</w:t>
            </w:r>
          </w:p>
        </w:tc>
        <w:tc>
          <w:tcPr>
            <w:tcW w:w="1559" w:type="dxa"/>
            <w:vAlign w:val="center"/>
          </w:tcPr>
          <w:p w14:paraId="2B7B813A">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w:t>
            </w:r>
          </w:p>
        </w:tc>
      </w:tr>
      <w:tr w14:paraId="5B92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99" w:type="dxa"/>
            <w:vMerge w:val="continue"/>
            <w:vAlign w:val="center"/>
          </w:tcPr>
          <w:p w14:paraId="0342E8C9">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760" w:type="dxa"/>
            <w:vMerge w:val="continue"/>
            <w:vAlign w:val="center"/>
          </w:tcPr>
          <w:p w14:paraId="021B0C22">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p>
        </w:tc>
        <w:tc>
          <w:tcPr>
            <w:tcW w:w="3703" w:type="dxa"/>
            <w:gridSpan w:val="2"/>
            <w:vAlign w:val="center"/>
          </w:tcPr>
          <w:p w14:paraId="4B89236E">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44、根据学校情况下达的具体工作</w:t>
            </w:r>
          </w:p>
        </w:tc>
        <w:tc>
          <w:tcPr>
            <w:tcW w:w="709" w:type="dxa"/>
            <w:vAlign w:val="center"/>
          </w:tcPr>
          <w:p w14:paraId="3BEE12C1">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依据工作</w:t>
            </w:r>
          </w:p>
        </w:tc>
        <w:tc>
          <w:tcPr>
            <w:tcW w:w="2693" w:type="dxa"/>
            <w:vAlign w:val="center"/>
          </w:tcPr>
          <w:p w14:paraId="2759EC58">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视工作未完成情况每项予以不低于500元的扣款。</w:t>
            </w:r>
          </w:p>
        </w:tc>
        <w:tc>
          <w:tcPr>
            <w:tcW w:w="1559" w:type="dxa"/>
            <w:vAlign w:val="center"/>
          </w:tcPr>
          <w:p w14:paraId="47653BC5">
            <w:pPr>
              <w:keepNext w:val="0"/>
              <w:keepLines w:val="0"/>
              <w:widowControl/>
              <w:suppressLineNumbers w:val="0"/>
              <w:kinsoku/>
              <w:wordWrap/>
              <w:overflowPunct/>
              <w:topLinePunct w:val="0"/>
              <w:autoSpaceDE/>
              <w:autoSpaceDN/>
              <w:bidi w:val="0"/>
              <w:snapToGrid w:val="0"/>
              <w:spacing w:before="0" w:beforeAutospacing="0" w:after="0" w:afterAutospacing="0" w:line="500" w:lineRule="exact"/>
              <w:ind w:left="0" w:right="0"/>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不符合要求每次扣1分及以上</w:t>
            </w:r>
          </w:p>
        </w:tc>
      </w:tr>
    </w:tbl>
    <w:p w14:paraId="50D909E8">
      <w:pPr>
        <w:widowControl/>
        <w:kinsoku/>
        <w:wordWrap/>
        <w:overflowPunct/>
        <w:topLinePunct w:val="0"/>
        <w:autoSpaceDE/>
        <w:autoSpaceDN/>
        <w:bidi w:val="0"/>
        <w:spacing w:line="5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备注：甲方可根据实际情况对本办法进行修订，乙方须按修订后的办法执行。</w:t>
      </w:r>
    </w:p>
    <w:p w14:paraId="3D83CF9F">
      <w:pPr>
        <w:kinsoku/>
        <w:wordWrap/>
        <w:overflowPunct/>
        <w:topLinePunct w:val="0"/>
        <w:autoSpaceDE/>
        <w:autoSpaceDN/>
        <w:bidi w:val="0"/>
        <w:spacing w:line="500" w:lineRule="exact"/>
        <w:ind w:left="-708" w:leftChars="-253" w:right="-1042" w:rightChars="-372"/>
        <w:jc w:val="center"/>
        <w:rPr>
          <w:rFonts w:ascii="仿宋" w:hAnsi="仿宋" w:eastAsia="仿宋" w:cs="仿宋"/>
          <w:color w:val="auto"/>
          <w:sz w:val="24"/>
          <w:szCs w:val="24"/>
          <w:highlight w:val="none"/>
        </w:rPr>
      </w:pPr>
    </w:p>
    <w:p w14:paraId="7FA73AEE">
      <w:pPr>
        <w:kinsoku/>
        <w:wordWrap/>
        <w:overflowPunct/>
        <w:topLinePunct w:val="0"/>
        <w:autoSpaceDE/>
        <w:autoSpaceDN/>
        <w:bidi w:val="0"/>
        <w:spacing w:line="500" w:lineRule="exact"/>
        <w:ind w:left="-708" w:leftChars="-253" w:right="-1042" w:rightChars="-372"/>
        <w:jc w:val="center"/>
        <w:rPr>
          <w:rFonts w:ascii="仿宋" w:hAnsi="仿宋" w:eastAsia="仿宋" w:cs="仿宋"/>
          <w:color w:val="auto"/>
          <w:sz w:val="24"/>
          <w:szCs w:val="24"/>
          <w:highlight w:val="none"/>
        </w:rPr>
      </w:pPr>
    </w:p>
    <w:p w14:paraId="79AA7CF2">
      <w:pPr>
        <w:kinsoku/>
        <w:wordWrap/>
        <w:overflowPunct/>
        <w:topLinePunct w:val="0"/>
        <w:autoSpaceDE/>
        <w:autoSpaceDN/>
        <w:bidi w:val="0"/>
        <w:spacing w:line="500" w:lineRule="exact"/>
        <w:ind w:left="-708" w:leftChars="-253" w:right="-1042" w:rightChars="-372"/>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重庆第二师范学院学生就餐满意度测评表（100分保留1位小数）</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1069"/>
        <w:gridCol w:w="1069"/>
        <w:gridCol w:w="1069"/>
        <w:gridCol w:w="1069"/>
        <w:gridCol w:w="1070"/>
        <w:gridCol w:w="1070"/>
      </w:tblGrid>
      <w:tr w14:paraId="3D42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069" w:type="dxa"/>
            <w:vMerge w:val="restart"/>
            <w:vAlign w:val="center"/>
          </w:tcPr>
          <w:p w14:paraId="342DA28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1069" w:type="dxa"/>
            <w:vAlign w:val="center"/>
          </w:tcPr>
          <w:p w14:paraId="5420755B">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食品安全卫生</w:t>
            </w:r>
          </w:p>
        </w:tc>
        <w:tc>
          <w:tcPr>
            <w:tcW w:w="1069" w:type="dxa"/>
            <w:vAlign w:val="center"/>
          </w:tcPr>
          <w:p w14:paraId="5C29E9B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服务态度</w:t>
            </w:r>
          </w:p>
        </w:tc>
        <w:tc>
          <w:tcPr>
            <w:tcW w:w="1069" w:type="dxa"/>
            <w:vAlign w:val="center"/>
          </w:tcPr>
          <w:p w14:paraId="7E18A84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品种变化</w:t>
            </w:r>
          </w:p>
        </w:tc>
        <w:tc>
          <w:tcPr>
            <w:tcW w:w="1069" w:type="dxa"/>
            <w:vAlign w:val="center"/>
          </w:tcPr>
          <w:p w14:paraId="39B9639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菜品质量</w:t>
            </w:r>
          </w:p>
        </w:tc>
        <w:tc>
          <w:tcPr>
            <w:tcW w:w="1069" w:type="dxa"/>
            <w:vAlign w:val="center"/>
          </w:tcPr>
          <w:p w14:paraId="6FDA96F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菜品价格</w:t>
            </w:r>
          </w:p>
        </w:tc>
        <w:tc>
          <w:tcPr>
            <w:tcW w:w="1070" w:type="dxa"/>
            <w:vAlign w:val="center"/>
          </w:tcPr>
          <w:p w14:paraId="7ABD73C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菜品份量</w:t>
            </w:r>
          </w:p>
        </w:tc>
        <w:tc>
          <w:tcPr>
            <w:tcW w:w="1070" w:type="dxa"/>
            <w:vAlign w:val="center"/>
          </w:tcPr>
          <w:p w14:paraId="7536249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总分</w:t>
            </w:r>
          </w:p>
        </w:tc>
      </w:tr>
      <w:tr w14:paraId="5774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9" w:type="dxa"/>
            <w:vMerge w:val="continue"/>
          </w:tcPr>
          <w:p w14:paraId="6341A77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069" w:type="dxa"/>
            <w:vAlign w:val="center"/>
          </w:tcPr>
          <w:p w14:paraId="257C9576">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c>
          <w:tcPr>
            <w:tcW w:w="1069" w:type="dxa"/>
            <w:vAlign w:val="center"/>
          </w:tcPr>
          <w:p w14:paraId="178CC4D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069" w:type="dxa"/>
            <w:vAlign w:val="center"/>
          </w:tcPr>
          <w:p w14:paraId="2F622F8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069" w:type="dxa"/>
            <w:vAlign w:val="center"/>
          </w:tcPr>
          <w:p w14:paraId="75EA4E9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069" w:type="dxa"/>
            <w:vAlign w:val="center"/>
          </w:tcPr>
          <w:p w14:paraId="373871A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070" w:type="dxa"/>
            <w:vAlign w:val="center"/>
          </w:tcPr>
          <w:p w14:paraId="141A20E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070" w:type="dxa"/>
            <w:vAlign w:val="center"/>
          </w:tcPr>
          <w:p w14:paraId="125BE63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r>
      <w:tr w14:paraId="1CD0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69" w:type="dxa"/>
          </w:tcPr>
          <w:p w14:paraId="21C8871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得分</w:t>
            </w:r>
          </w:p>
        </w:tc>
        <w:tc>
          <w:tcPr>
            <w:tcW w:w="1069" w:type="dxa"/>
            <w:vAlign w:val="center"/>
          </w:tcPr>
          <w:p w14:paraId="2935154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69" w:type="dxa"/>
            <w:vAlign w:val="center"/>
          </w:tcPr>
          <w:p w14:paraId="57A23E0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69" w:type="dxa"/>
            <w:vAlign w:val="center"/>
          </w:tcPr>
          <w:p w14:paraId="6E6388F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69" w:type="dxa"/>
            <w:vAlign w:val="center"/>
          </w:tcPr>
          <w:p w14:paraId="3E6A7B0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69" w:type="dxa"/>
            <w:vAlign w:val="center"/>
          </w:tcPr>
          <w:p w14:paraId="741D42FB">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70" w:type="dxa"/>
            <w:vAlign w:val="center"/>
          </w:tcPr>
          <w:p w14:paraId="1E67F65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70" w:type="dxa"/>
            <w:vAlign w:val="center"/>
          </w:tcPr>
          <w:p w14:paraId="5A82557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r>
      <w:tr w14:paraId="774A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69" w:type="dxa"/>
          </w:tcPr>
          <w:p w14:paraId="183C25D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1069" w:type="dxa"/>
            <w:vAlign w:val="center"/>
          </w:tcPr>
          <w:p w14:paraId="493158E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69" w:type="dxa"/>
            <w:vAlign w:val="center"/>
          </w:tcPr>
          <w:p w14:paraId="6D3DB1A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69" w:type="dxa"/>
            <w:vAlign w:val="center"/>
          </w:tcPr>
          <w:p w14:paraId="448AD6B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69" w:type="dxa"/>
            <w:vAlign w:val="center"/>
          </w:tcPr>
          <w:p w14:paraId="272EA73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69" w:type="dxa"/>
            <w:vAlign w:val="center"/>
          </w:tcPr>
          <w:p w14:paraId="4572830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70" w:type="dxa"/>
            <w:vAlign w:val="center"/>
          </w:tcPr>
          <w:p w14:paraId="4CD07CF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c>
          <w:tcPr>
            <w:tcW w:w="1070" w:type="dxa"/>
            <w:vAlign w:val="center"/>
          </w:tcPr>
          <w:p w14:paraId="0FFBDAF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p>
        </w:tc>
      </w:tr>
    </w:tbl>
    <w:p w14:paraId="7F5395CA">
      <w:pPr>
        <w:widowControl/>
        <w:kinsoku/>
        <w:wordWrap/>
        <w:overflowPunct/>
        <w:topLinePunct w:val="0"/>
        <w:autoSpaceDE/>
        <w:autoSpaceDN/>
        <w:bidi w:val="0"/>
        <w:spacing w:line="5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备注：甲方可根据实际情况对学生就餐满意度测评项进行修订，乙方须按修订后的办法执行。</w:t>
      </w:r>
    </w:p>
    <w:p w14:paraId="14DB0FE2">
      <w:pPr>
        <w:kinsoku/>
        <w:wordWrap/>
        <w:overflowPunct/>
        <w:topLinePunct w:val="0"/>
        <w:autoSpaceDE/>
        <w:autoSpaceDN/>
        <w:bidi w:val="0"/>
        <w:spacing w:line="500" w:lineRule="exact"/>
        <w:ind w:firstLine="482" w:firstLineChars="200"/>
        <w:jc w:val="both"/>
        <w:rPr>
          <w:rFonts w:ascii="仿宋" w:hAnsi="仿宋" w:eastAsia="仿宋" w:cs="仿宋"/>
          <w:b/>
          <w:bCs/>
          <w:color w:val="auto"/>
          <w:kern w:val="0"/>
          <w:sz w:val="24"/>
          <w:szCs w:val="24"/>
          <w:highlight w:val="none"/>
        </w:rPr>
      </w:pPr>
      <w:bookmarkStart w:id="116" w:name="_Toc422381012"/>
      <w:bookmarkStart w:id="117" w:name="_Toc30834"/>
      <w:r>
        <w:rPr>
          <w:rFonts w:hint="eastAsia" w:ascii="仿宋" w:hAnsi="仿宋" w:eastAsia="仿宋" w:cs="仿宋"/>
          <w:b/>
          <w:bCs/>
          <w:color w:val="auto"/>
          <w:kern w:val="0"/>
          <w:sz w:val="24"/>
          <w:szCs w:val="24"/>
          <w:highlight w:val="none"/>
        </w:rPr>
        <w:t>附件二</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重庆第二师范学院两校区学生食堂联合运营管理与服务考核办法</w:t>
      </w:r>
      <w:bookmarkEnd w:id="116"/>
      <w:bookmarkEnd w:id="117"/>
    </w:p>
    <w:p w14:paraId="78F6DD7F">
      <w:pPr>
        <w:kinsoku/>
        <w:wordWrap/>
        <w:overflowPunct/>
        <w:topLinePunct w:val="0"/>
        <w:autoSpaceDE/>
        <w:autoSpaceDN/>
        <w:bidi w:val="0"/>
        <w:spacing w:line="500" w:lineRule="exact"/>
        <w:ind w:firstLine="482" w:firstLineChars="200"/>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第一条</w:t>
      </w:r>
      <w:r>
        <w:rPr>
          <w:rFonts w:hint="eastAsia" w:ascii="仿宋" w:hAnsi="仿宋" w:eastAsia="仿宋" w:cs="仿宋"/>
          <w:color w:val="auto"/>
          <w:sz w:val="24"/>
          <w:szCs w:val="24"/>
          <w:highlight w:val="none"/>
        </w:rPr>
        <w:t>为提高重庆第二师范学院校区学生食堂联合运营联合运营管理和服务质量，逐步推进餐饮服务的“专业化、规范化、标准化”，确保正常的教学和生活秩序，加强对管理实施单位的监管，确保管护质量，特制定本办法。</w:t>
      </w:r>
    </w:p>
    <w:p w14:paraId="25B81DDA">
      <w:pPr>
        <w:kinsoku/>
        <w:wordWrap/>
        <w:overflowPunct/>
        <w:topLinePunct w:val="0"/>
        <w:autoSpaceDE/>
        <w:autoSpaceDN/>
        <w:bidi w:val="0"/>
        <w:spacing w:line="500" w:lineRule="exact"/>
        <w:ind w:firstLine="482" w:firstLineChars="200"/>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第二条</w:t>
      </w:r>
      <w:r>
        <w:rPr>
          <w:rFonts w:hint="eastAsia" w:ascii="仿宋" w:hAnsi="仿宋" w:eastAsia="仿宋" w:cs="仿宋"/>
          <w:color w:val="auto"/>
          <w:sz w:val="24"/>
          <w:szCs w:val="24"/>
          <w:highlight w:val="none"/>
        </w:rPr>
        <w:t>考核分为日常考核、年终考核和合同期满考核。</w:t>
      </w:r>
    </w:p>
    <w:p w14:paraId="1D03584E">
      <w:pPr>
        <w:kinsoku/>
        <w:wordWrap/>
        <w:overflowPunct/>
        <w:topLinePunct w:val="0"/>
        <w:autoSpaceDE/>
        <w:autoSpaceDN/>
        <w:bidi w:val="0"/>
        <w:spacing w:line="500" w:lineRule="exact"/>
        <w:ind w:firstLine="482" w:firstLineChars="200"/>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第三条</w:t>
      </w:r>
      <w:r>
        <w:rPr>
          <w:rFonts w:hint="eastAsia" w:ascii="仿宋" w:hAnsi="仿宋" w:eastAsia="仿宋" w:cs="仿宋"/>
          <w:color w:val="auto"/>
          <w:sz w:val="24"/>
          <w:szCs w:val="24"/>
          <w:highlight w:val="none"/>
        </w:rPr>
        <w:t>考核的组织及实施</w:t>
      </w:r>
    </w:p>
    <w:p w14:paraId="707483DE">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3.1  考核范围：合同约定的范围。</w:t>
      </w:r>
    </w:p>
    <w:p w14:paraId="6769120D">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  考核标准及依据：双方签订的合同、事实和《重庆第二师范学院校区学生食堂联合运营管理日常考核实施细则》、《重庆第二师范学院校区学生食堂联合运营合同期满专家组考核指标》等。</w:t>
      </w:r>
    </w:p>
    <w:p w14:paraId="7089C8BB">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  考核的方式</w:t>
      </w:r>
    </w:p>
    <w:p w14:paraId="063B4663">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3.3.1  日常考核</w:t>
      </w:r>
    </w:p>
    <w:p w14:paraId="7E1ED4FF">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3.3.1.1  由重庆第二师范学院基建后勤处饮食服务中心牵头每月进行考核。</w:t>
      </w:r>
    </w:p>
    <w:p w14:paraId="79BFF12A">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“日常履约”监管如下：</w:t>
      </w:r>
    </w:p>
    <w:p w14:paraId="0BB6B3B3">
      <w:pPr>
        <w:numPr>
          <w:ilvl w:val="0"/>
          <w:numId w:val="9"/>
        </w:num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甲方按月对乙方进行“日常考核”。乙方“日常考核”优秀（考核得分≥90分），甲方全额退还当月“日常考核履约保证金”（日常履约保证金按食堂当月的营业额的7%计提）；</w:t>
      </w:r>
    </w:p>
    <w:p w14:paraId="516175B0">
      <w:pPr>
        <w:numPr>
          <w:ilvl w:val="0"/>
          <w:numId w:val="9"/>
        </w:num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乙方“日常考核”良好（90&gt;考核得分≥80分），甲方按“日常考核履约保证金”收取比例下浮1个百分点退还乙方“日常考核履约保证金”；</w:t>
      </w:r>
    </w:p>
    <w:p w14:paraId="6E052BF2">
      <w:pPr>
        <w:numPr>
          <w:ilvl w:val="0"/>
          <w:numId w:val="9"/>
        </w:num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乙方达到“日常考核”合格（80&gt;考核得分≥70分），甲方按“日常考核履约保证金”收取比例下浮3个百分点退还乙方“日常考核履约保证金”；</w:t>
      </w:r>
    </w:p>
    <w:p w14:paraId="5B2B79EB">
      <w:pPr>
        <w:numPr>
          <w:ilvl w:val="0"/>
          <w:numId w:val="9"/>
        </w:num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乙方“日常考核”不合格（70分&gt;考核得分），当月“日常考核履约保证金”不予退还；</w:t>
      </w:r>
    </w:p>
    <w:p w14:paraId="3B82F295">
      <w:pPr>
        <w:numPr>
          <w:ilvl w:val="0"/>
          <w:numId w:val="9"/>
        </w:num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合同期内乙方“日常考核”不合格（70分&gt;考核得分）累计达到3次，则合同自动终止。</w:t>
      </w:r>
    </w:p>
    <w:p w14:paraId="6B8234A1">
      <w:pPr>
        <w:kinsoku/>
        <w:wordWrap/>
        <w:overflowPunct/>
        <w:topLinePunct w:val="0"/>
        <w:autoSpaceDE/>
        <w:autoSpaceDN/>
        <w:bidi w:val="0"/>
        <w:spacing w:line="5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3.3.1.2  由重庆第二师范学院基建后勤处饮食服务中心牵头每月采取问卷调查的形式进行一次服务对象满意度测评。</w:t>
      </w:r>
      <w:r>
        <w:rPr>
          <w:rFonts w:hint="eastAsia" w:ascii="仿宋" w:hAnsi="仿宋" w:eastAsia="仿宋" w:cs="仿宋"/>
          <w:color w:val="auto"/>
          <w:sz w:val="24"/>
          <w:szCs w:val="24"/>
          <w:highlight w:val="none"/>
          <w:lang w:eastAsia="zh-CN"/>
        </w:rPr>
        <w:t>（见附件，满意度测评表）</w:t>
      </w:r>
    </w:p>
    <w:p w14:paraId="3CD649CC">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3.3.2 年终考核。由重庆第二师范学院基建后勤处牵头进行年终考核。</w:t>
      </w:r>
    </w:p>
    <w:p w14:paraId="1EBAC13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3.3.3合同期满考核</w:t>
      </w:r>
    </w:p>
    <w:p w14:paraId="1951D7B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由重庆第二师范学院</w:t>
      </w:r>
      <w:r>
        <w:rPr>
          <w:rFonts w:hint="eastAsia" w:ascii="仿宋" w:hAnsi="仿宋" w:eastAsia="仿宋" w:cs="仿宋"/>
          <w:color w:val="auto"/>
          <w:sz w:val="24"/>
          <w:szCs w:val="24"/>
          <w:highlight w:val="none"/>
          <w:lang w:eastAsia="zh-CN"/>
        </w:rPr>
        <w:t>资产处</w:t>
      </w:r>
      <w:r>
        <w:rPr>
          <w:rFonts w:hint="eastAsia" w:ascii="仿宋" w:hAnsi="仿宋" w:eastAsia="仿宋" w:cs="仿宋"/>
          <w:color w:val="auto"/>
          <w:sz w:val="24"/>
          <w:szCs w:val="24"/>
          <w:highlight w:val="none"/>
        </w:rPr>
        <w:t>牵头进行合同期满考核。合同期满考核由合同期内每年年终考核和合同期满专家组考核两个部分组成。</w:t>
      </w:r>
    </w:p>
    <w:p w14:paraId="71ED1439">
      <w:pPr>
        <w:kinsoku/>
        <w:wordWrap/>
        <w:overflowPunct/>
        <w:topLinePunct w:val="0"/>
        <w:autoSpaceDE/>
        <w:autoSpaceDN/>
        <w:bidi w:val="0"/>
        <w:spacing w:line="500" w:lineRule="exact"/>
        <w:ind w:firstLine="482" w:firstLineChars="200"/>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第四条</w:t>
      </w:r>
      <w:r>
        <w:rPr>
          <w:rFonts w:hint="eastAsia" w:ascii="仿宋" w:hAnsi="仿宋" w:eastAsia="仿宋" w:cs="仿宋"/>
          <w:color w:val="auto"/>
          <w:sz w:val="24"/>
          <w:szCs w:val="24"/>
          <w:highlight w:val="none"/>
        </w:rPr>
        <w:t>考核结果的确定及运用</w:t>
      </w:r>
    </w:p>
    <w:p w14:paraId="5B84C264">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4.1 本考核办法确定的考核得分（X）及考核等级对应关系为：X≥90为优秀，90＞X≥80为良好，80＞X≥70为合格，X＜70为不合格。</w:t>
      </w:r>
    </w:p>
    <w:p w14:paraId="09E750CB">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4.2.1日常考核得分由饮食服务中心按合同约定和考核标准等确定。</w:t>
      </w:r>
    </w:p>
    <w:p w14:paraId="70B70327">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4.2.2  日常考核得分由每月考核得分的算术平均×85%＋每月服务对象满意度测评的算术平均×15%确定。</w:t>
      </w:r>
    </w:p>
    <w:p w14:paraId="5FAB2C9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4.3年终考核得分由全年每月考核得分的算术平均×85%＋年度服务对象满意度测评的算术平均×15%确定。</w:t>
      </w:r>
    </w:p>
    <w:p w14:paraId="16DE10B4">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4.4合同期满考核分值（X）计算方式为：X=合同期内每年年终考核得分的算术平均值×70%+合同期满专家组考核得分×30%。</w:t>
      </w:r>
    </w:p>
    <w:p w14:paraId="5725F8D2">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4.5考核结果存档</w:t>
      </w:r>
    </w:p>
    <w:p w14:paraId="41696F5C">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甲乙双方对考核结果签字认可，存档备查。</w:t>
      </w:r>
    </w:p>
    <w:p w14:paraId="64FAF610">
      <w:pPr>
        <w:kinsoku/>
        <w:wordWrap/>
        <w:overflowPunct/>
        <w:topLinePunct w:val="0"/>
        <w:autoSpaceDE/>
        <w:autoSpaceDN/>
        <w:bidi w:val="0"/>
        <w:spacing w:line="5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第五条其他</w:t>
      </w:r>
    </w:p>
    <w:p w14:paraId="7DEEB610">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 甲方可根据实际情况对本办法进行修订，乙方须按修订后的办法执行。</w:t>
      </w:r>
    </w:p>
    <w:p w14:paraId="24E444DB">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5.2本办法由重庆第二师范学院负责解释。</w:t>
      </w:r>
    </w:p>
    <w:p w14:paraId="72933EFF">
      <w:pPr>
        <w:kinsoku/>
        <w:wordWrap/>
        <w:overflowPunct/>
        <w:topLinePunct w:val="0"/>
        <w:autoSpaceDE/>
        <w:autoSpaceDN/>
        <w:bidi w:val="0"/>
        <w:spacing w:line="500" w:lineRule="exact"/>
        <w:ind w:firstLine="480" w:firstLineChars="200"/>
        <w:rPr>
          <w:rFonts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5.3 本办法自合同签订之日起开始实施。</w:t>
      </w:r>
      <w:bookmarkStart w:id="118" w:name="_Toc422381013"/>
      <w:bookmarkStart w:id="119" w:name="_Toc12200"/>
    </w:p>
    <w:bookmarkEnd w:id="118"/>
    <w:bookmarkEnd w:id="119"/>
    <w:p w14:paraId="02FABA52">
      <w:pPr>
        <w:kinsoku/>
        <w:wordWrap/>
        <w:overflowPunct/>
        <w:topLinePunct w:val="0"/>
        <w:autoSpaceDE/>
        <w:autoSpaceDN/>
        <w:bidi w:val="0"/>
        <w:spacing w:line="500" w:lineRule="exact"/>
        <w:jc w:val="center"/>
        <w:rPr>
          <w:rFonts w:ascii="仿宋" w:hAnsi="仿宋" w:eastAsia="仿宋" w:cs="仿宋"/>
          <w:b/>
          <w:bCs/>
          <w:color w:val="auto"/>
          <w:kern w:val="0"/>
          <w:sz w:val="24"/>
          <w:szCs w:val="24"/>
          <w:highlight w:val="none"/>
        </w:rPr>
      </w:pPr>
    </w:p>
    <w:p w14:paraId="443938F5">
      <w:pPr>
        <w:kinsoku/>
        <w:wordWrap/>
        <w:overflowPunct/>
        <w:topLinePunct w:val="0"/>
        <w:autoSpaceDE/>
        <w:autoSpaceDN/>
        <w:bidi w:val="0"/>
        <w:spacing w:line="500" w:lineRule="exact"/>
        <w:jc w:val="center"/>
        <w:rPr>
          <w:rFonts w:ascii="仿宋" w:hAnsi="仿宋" w:eastAsia="仿宋" w:cs="仿宋"/>
          <w:b/>
          <w:bCs/>
          <w:color w:val="auto"/>
          <w:kern w:val="0"/>
          <w:sz w:val="24"/>
          <w:szCs w:val="24"/>
          <w:highlight w:val="none"/>
        </w:rPr>
      </w:pPr>
    </w:p>
    <w:p w14:paraId="309BD534">
      <w:pPr>
        <w:kinsoku/>
        <w:wordWrap/>
        <w:overflowPunct/>
        <w:topLinePunct w:val="0"/>
        <w:autoSpaceDE/>
        <w:autoSpaceDN/>
        <w:bidi w:val="0"/>
        <w:spacing w:line="500" w:lineRule="exact"/>
        <w:jc w:val="center"/>
        <w:rPr>
          <w:rFonts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rPr>
        <w:t>附件三</w:t>
      </w:r>
      <w:r>
        <w:rPr>
          <w:rFonts w:hint="eastAsia" w:ascii="仿宋" w:hAnsi="仿宋" w:eastAsia="仿宋" w:cs="仿宋"/>
          <w:b/>
          <w:color w:val="auto"/>
          <w:sz w:val="24"/>
          <w:szCs w:val="24"/>
          <w:highlight w:val="none"/>
        </w:rPr>
        <w:t>乙方使用甲方食堂原有设施设备清单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939"/>
        <w:gridCol w:w="1559"/>
        <w:gridCol w:w="927"/>
        <w:gridCol w:w="1338"/>
        <w:gridCol w:w="1189"/>
        <w:gridCol w:w="1799"/>
      </w:tblGrid>
      <w:tr w14:paraId="4571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5FE9313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939" w:type="dxa"/>
          </w:tcPr>
          <w:p w14:paraId="5EC32D4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设施设备名称</w:t>
            </w:r>
          </w:p>
        </w:tc>
        <w:tc>
          <w:tcPr>
            <w:tcW w:w="1559" w:type="dxa"/>
          </w:tcPr>
          <w:p w14:paraId="680715B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型号及规格</w:t>
            </w:r>
          </w:p>
        </w:tc>
        <w:tc>
          <w:tcPr>
            <w:tcW w:w="927" w:type="dxa"/>
          </w:tcPr>
          <w:p w14:paraId="2490AED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338" w:type="dxa"/>
          </w:tcPr>
          <w:p w14:paraId="043F5E5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单价（元）</w:t>
            </w:r>
          </w:p>
        </w:tc>
        <w:tc>
          <w:tcPr>
            <w:tcW w:w="1189" w:type="dxa"/>
          </w:tcPr>
          <w:p w14:paraId="43C2782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厂家</w:t>
            </w:r>
          </w:p>
        </w:tc>
        <w:tc>
          <w:tcPr>
            <w:tcW w:w="1799" w:type="dxa"/>
          </w:tcPr>
          <w:p w14:paraId="67C24679">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6293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0ACE995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11D0ABFD">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3B6ADFCD">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3220F7A4">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6329BFD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4102C4CA">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00044A6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5720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26E0F66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55C0895A">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5C8F4774">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630C18D4">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76C7928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58E16D2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6402B36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51FD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7009B31D">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0A3E2B7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521A9EB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4B947B7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478D11B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775F9688">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2CC7136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45C3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63E0F72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2E51D0B7">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6DBDC29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03E57FA6">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4E2EF54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674169A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1C0FC86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08AB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0730349F">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18B0D5BE">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226591A6">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600B6B4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635E0918">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4713CB83">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73D0AC9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42FA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07366D37">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59F56CCE">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15749A9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26C8D0C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5F7C149D">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18705C5D">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775E900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5053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1AD170E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60129F5D">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663F8C86">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5BC4D67F">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03D4CA87">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2E941F56">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0ABE8274">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0BD2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71904508">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367A3E03">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485971E8">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00FF91D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3CDCDF8E">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7789A41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408FEA7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2B1C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31675356">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6BBA666A">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2B06751A">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72AEFE6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6CCE87BE">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685CD80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0546D07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3348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529B52FA">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43609ED6">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5A6B9BA7">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7239C0F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4F2F0A0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6AAE284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7F19D14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3A86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20F304B1">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631A1E98">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3BD3AFE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510DCB2E">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255E625A">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0219F17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36512A4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61F3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1C4B12B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079F5C9D">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7B25472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52039A2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19BB26E1">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15120953">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1FC16667">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691D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5B19A62D">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306E7AF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6A18C84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716BFDF1">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6229D21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4BD9744F">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13BBCAF5">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60A9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55F65FD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286D63B3">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0FB92BA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002110D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0EB5ED8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58ADFE6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63D6470C">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r w14:paraId="000D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496AFCF2">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939" w:type="dxa"/>
          </w:tcPr>
          <w:p w14:paraId="60C4BBFF">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559" w:type="dxa"/>
          </w:tcPr>
          <w:p w14:paraId="4F31BE70">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927" w:type="dxa"/>
          </w:tcPr>
          <w:p w14:paraId="179ABD8E">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338" w:type="dxa"/>
          </w:tcPr>
          <w:p w14:paraId="79638613">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189" w:type="dxa"/>
          </w:tcPr>
          <w:p w14:paraId="5B74CD84">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c>
          <w:tcPr>
            <w:tcW w:w="1799" w:type="dxa"/>
          </w:tcPr>
          <w:p w14:paraId="6586C84B">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4"/>
                <w:szCs w:val="24"/>
                <w:highlight w:val="none"/>
              </w:rPr>
            </w:pPr>
          </w:p>
        </w:tc>
      </w:tr>
    </w:tbl>
    <w:p w14:paraId="1048A4B7">
      <w:pPr>
        <w:kinsoku/>
        <w:wordWrap/>
        <w:overflowPunct/>
        <w:topLinePunct w:val="0"/>
        <w:autoSpaceDE/>
        <w:autoSpaceDN/>
        <w:bidi w:val="0"/>
        <w:spacing w:line="500" w:lineRule="exact"/>
        <w:rPr>
          <w:rFonts w:ascii="仿宋" w:hAnsi="仿宋" w:eastAsia="仿宋" w:cs="仿宋"/>
          <w:color w:val="auto"/>
          <w:sz w:val="24"/>
          <w:szCs w:val="24"/>
          <w:highlight w:val="none"/>
        </w:rPr>
      </w:pPr>
    </w:p>
    <w:p w14:paraId="186EFB50">
      <w:pPr>
        <w:kinsoku/>
        <w:wordWrap/>
        <w:overflowPunct/>
        <w:topLinePunct w:val="0"/>
        <w:autoSpaceDE/>
        <w:autoSpaceDN/>
        <w:bidi w:val="0"/>
        <w:spacing w:line="5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移交人：接收人：</w:t>
      </w:r>
    </w:p>
    <w:p w14:paraId="4BB874D3">
      <w:pPr>
        <w:kinsoku/>
        <w:wordWrap/>
        <w:overflowPunct/>
        <w:topLinePunct w:val="0"/>
        <w:autoSpaceDE/>
        <w:autoSpaceDN/>
        <w:bidi w:val="0"/>
        <w:spacing w:line="500" w:lineRule="exact"/>
        <w:ind w:firstLine="600" w:firstLineChars="2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年月日年月日</w:t>
      </w:r>
    </w:p>
    <w:p w14:paraId="6B03B8C1">
      <w:pPr>
        <w:kinsoku/>
        <w:wordWrap/>
        <w:overflowPunct/>
        <w:topLinePunct w:val="0"/>
        <w:autoSpaceDE/>
        <w:autoSpaceDN/>
        <w:bidi w:val="0"/>
        <w:spacing w:line="500" w:lineRule="exact"/>
        <w:rPr>
          <w:rFonts w:ascii="仿宋" w:hAnsi="仿宋" w:eastAsia="仿宋" w:cs="仿宋"/>
          <w:color w:val="auto"/>
          <w:sz w:val="24"/>
          <w:szCs w:val="24"/>
          <w:highlight w:val="none"/>
        </w:rPr>
      </w:pPr>
    </w:p>
    <w:p w14:paraId="2A798240">
      <w:pPr>
        <w:kinsoku/>
        <w:wordWrap/>
        <w:overflowPunct/>
        <w:topLinePunct w:val="0"/>
        <w:autoSpaceDE/>
        <w:autoSpaceDN/>
        <w:bidi w:val="0"/>
        <w:spacing w:line="5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移交单位负责人：                                 移交单位负责人：</w:t>
      </w:r>
    </w:p>
    <w:p w14:paraId="519DA6AA">
      <w:pPr>
        <w:kinsoku/>
        <w:wordWrap/>
        <w:overflowPunct/>
        <w:topLinePunct w:val="0"/>
        <w:autoSpaceDE/>
        <w:autoSpaceDN/>
        <w:bidi w:val="0"/>
        <w:spacing w:line="5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（签字盖章）                                    （签字盖章）</w:t>
      </w:r>
    </w:p>
    <w:p w14:paraId="6817C18F">
      <w:pPr>
        <w:kinsoku/>
        <w:wordWrap/>
        <w:overflowPunct/>
        <w:topLinePunct w:val="0"/>
        <w:autoSpaceDE/>
        <w:autoSpaceDN/>
        <w:bidi w:val="0"/>
        <w:spacing w:line="500" w:lineRule="exact"/>
        <w:ind w:firstLine="600" w:firstLineChars="2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                                      年  月  日</w:t>
      </w:r>
    </w:p>
    <w:p w14:paraId="4C970C71">
      <w:pPr>
        <w:kinsoku/>
        <w:wordWrap/>
        <w:overflowPunct/>
        <w:topLinePunct w:val="0"/>
        <w:autoSpaceDE/>
        <w:autoSpaceDN/>
        <w:bidi w:val="0"/>
        <w:spacing w:line="500" w:lineRule="exact"/>
        <w:jc w:val="left"/>
        <w:rPr>
          <w:rFonts w:ascii="仿宋" w:hAnsi="仿宋" w:eastAsia="仿宋" w:cs="仿宋"/>
          <w:color w:val="auto"/>
          <w:sz w:val="24"/>
          <w:szCs w:val="24"/>
          <w:highlight w:val="none"/>
        </w:rPr>
      </w:pPr>
    </w:p>
    <w:p w14:paraId="0FB01A37">
      <w:pPr>
        <w:kinsoku/>
        <w:wordWrap/>
        <w:overflowPunct/>
        <w:topLinePunct w:val="0"/>
        <w:autoSpaceDE/>
        <w:autoSpaceDN/>
        <w:bidi w:val="0"/>
        <w:spacing w:line="500" w:lineRule="exact"/>
        <w:jc w:val="left"/>
        <w:rPr>
          <w:rFonts w:ascii="仿宋" w:hAnsi="仿宋" w:eastAsia="仿宋" w:cs="仿宋"/>
          <w:color w:val="auto"/>
          <w:sz w:val="24"/>
          <w:szCs w:val="24"/>
          <w:highlight w:val="none"/>
        </w:rPr>
      </w:pPr>
    </w:p>
    <w:p w14:paraId="4F1ECCF5">
      <w:pPr>
        <w:kinsoku/>
        <w:wordWrap/>
        <w:overflowPunct/>
        <w:topLinePunct w:val="0"/>
        <w:autoSpaceDE/>
        <w:autoSpaceDN/>
        <w:bidi w:val="0"/>
        <w:spacing w:line="500" w:lineRule="exact"/>
        <w:jc w:val="left"/>
        <w:rPr>
          <w:rFonts w:ascii="仿宋" w:hAnsi="仿宋" w:eastAsia="仿宋" w:cs="仿宋"/>
          <w:color w:val="auto"/>
          <w:sz w:val="24"/>
          <w:szCs w:val="24"/>
          <w:highlight w:val="none"/>
        </w:rPr>
      </w:pPr>
    </w:p>
    <w:p w14:paraId="1936020A">
      <w:pPr>
        <w:kinsoku/>
        <w:wordWrap/>
        <w:overflowPunct/>
        <w:topLinePunct w:val="0"/>
        <w:autoSpaceDE/>
        <w:autoSpaceDN/>
        <w:bidi w:val="0"/>
        <w:spacing w:line="500" w:lineRule="exact"/>
        <w:jc w:val="center"/>
        <w:rPr>
          <w:rFonts w:hint="eastAsia" w:ascii="仿宋" w:hAnsi="仿宋" w:eastAsia="仿宋" w:cs="仿宋"/>
          <w:b/>
          <w:bCs/>
          <w:color w:val="auto"/>
          <w:sz w:val="32"/>
          <w:szCs w:val="32"/>
          <w:highlight w:val="none"/>
        </w:rPr>
      </w:pPr>
    </w:p>
    <w:p w14:paraId="31BEA040">
      <w:pPr>
        <w:kinsoku/>
        <w:wordWrap/>
        <w:overflowPunct/>
        <w:topLinePunct w:val="0"/>
        <w:autoSpaceDE/>
        <w:autoSpaceDN/>
        <w:bidi w:val="0"/>
        <w:spacing w:line="500" w:lineRule="exact"/>
        <w:jc w:val="center"/>
        <w:rPr>
          <w:rFonts w:hint="eastAsia" w:ascii="仿宋" w:hAnsi="仿宋" w:eastAsia="仿宋" w:cs="仿宋"/>
          <w:b/>
          <w:bCs/>
          <w:color w:val="auto"/>
          <w:sz w:val="32"/>
          <w:szCs w:val="32"/>
          <w:highlight w:val="none"/>
        </w:rPr>
      </w:pPr>
    </w:p>
    <w:p w14:paraId="2BB191A2">
      <w:pPr>
        <w:kinsoku/>
        <w:wordWrap/>
        <w:overflowPunct/>
        <w:topLinePunct w:val="0"/>
        <w:autoSpaceDE/>
        <w:autoSpaceDN/>
        <w:bidi w:val="0"/>
        <w:spacing w:line="500" w:lineRule="exact"/>
        <w:jc w:val="center"/>
        <w:rPr>
          <w:rFonts w:hint="eastAsia" w:ascii="仿宋" w:hAnsi="仿宋" w:eastAsia="仿宋" w:cs="仿宋"/>
          <w:b/>
          <w:bCs/>
          <w:color w:val="auto"/>
          <w:sz w:val="32"/>
          <w:szCs w:val="32"/>
          <w:highlight w:val="none"/>
        </w:rPr>
      </w:pPr>
    </w:p>
    <w:p w14:paraId="48EB84F6">
      <w:pPr>
        <w:kinsoku/>
        <w:wordWrap/>
        <w:overflowPunct/>
        <w:topLinePunct w:val="0"/>
        <w:autoSpaceDE/>
        <w:autoSpaceDN/>
        <w:bidi w:val="0"/>
        <w:spacing w:line="500" w:lineRule="exact"/>
        <w:jc w:val="center"/>
        <w:rPr>
          <w:rFonts w:hint="eastAsia" w:ascii="仿宋" w:hAnsi="仿宋" w:eastAsia="仿宋" w:cs="仿宋"/>
          <w:b/>
          <w:bCs/>
          <w:color w:val="auto"/>
          <w:sz w:val="32"/>
          <w:szCs w:val="32"/>
          <w:highlight w:val="none"/>
        </w:rPr>
      </w:pPr>
    </w:p>
    <w:p w14:paraId="7936D410">
      <w:pPr>
        <w:kinsoku/>
        <w:wordWrap/>
        <w:overflowPunct/>
        <w:topLinePunct w:val="0"/>
        <w:autoSpaceDE/>
        <w:autoSpaceDN/>
        <w:bidi w:val="0"/>
        <w:spacing w:line="500" w:lineRule="exact"/>
        <w:jc w:val="center"/>
        <w:rPr>
          <w:rFonts w:hint="eastAsia" w:ascii="仿宋" w:hAnsi="仿宋" w:eastAsia="仿宋" w:cs="仿宋"/>
          <w:b/>
          <w:bCs/>
          <w:color w:val="auto"/>
          <w:sz w:val="32"/>
          <w:szCs w:val="32"/>
          <w:highlight w:val="none"/>
        </w:rPr>
      </w:pPr>
    </w:p>
    <w:p w14:paraId="044439B0">
      <w:pPr>
        <w:kinsoku/>
        <w:wordWrap/>
        <w:overflowPunct/>
        <w:topLinePunct w:val="0"/>
        <w:autoSpaceDE/>
        <w:autoSpaceDN/>
        <w:bidi w:val="0"/>
        <w:spacing w:line="500" w:lineRule="exact"/>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廉洁承诺书</w:t>
      </w:r>
    </w:p>
    <w:p w14:paraId="4B0675A1">
      <w:pPr>
        <w:kinsoku/>
        <w:wordWrap/>
        <w:overflowPunct/>
        <w:topLinePunct w:val="0"/>
        <w:autoSpaceDE/>
        <w:autoSpaceDN/>
        <w:bidi w:val="0"/>
        <w:spacing w:line="5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重庆第二师范学院：</w:t>
      </w:r>
    </w:p>
    <w:p w14:paraId="692AA3A0">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我单位承担贵校项目。为保证项目活动的廉洁、规范，防止违纪违法行为的发生，根据国家有关法律法规和党风廉政建设要求，我单位特作以下承诺：</w:t>
      </w:r>
    </w:p>
    <w:p w14:paraId="633B5A1F">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一、在项目过程中，坚持公平、公开、公正、诚实信用的原则，坚持依法办事、按程序办事，严格履行合同，保证质量，不损害国家和学校利益。</w:t>
      </w:r>
    </w:p>
    <w:p w14:paraId="583EFBE4">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二、严格遵守有关法律法规和廉洁从业规定，在项目设计、招投标、实施、验收等各个环节，不从事违背法律法规和公平、公正原则的活动，干扰和影响学校工作。</w:t>
      </w:r>
    </w:p>
    <w:p w14:paraId="39B2EBE5">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三、不向学校工作人员及其配偶、子女和亲属赠送礼品、礼金、回扣、好处费、劳务费以及有价证券、支付凭证和贵重物品等。</w:t>
      </w:r>
    </w:p>
    <w:p w14:paraId="5E7B08B5">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四、不向学校工作人员及其配偶、子女和亲属提供宴请、联谊、度假、旅游以及娱乐等活动。</w:t>
      </w:r>
    </w:p>
    <w:p w14:paraId="09766337">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五、不向学校工作人员及其配偶、子女和亲属报销或支付应由其个人支付的各种费用（住宅装修、婚丧嫁娶、旅游、度假、食宿、购物、学费、子女出国留学等）。</w:t>
      </w:r>
    </w:p>
    <w:p w14:paraId="7CC53F32">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六、不与学校工作人员及其配偶、子女和亲属发生借贷、租赁、合伙、合作经营等个人经济关系，不提供车辆、电脑、手机等贵重物品供其借用，或为其个人行为提供方便。</w:t>
      </w:r>
    </w:p>
    <w:p w14:paraId="2A9A0F88">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七、不为学校工作人员的配偶、子女和亲属安排工作，也不安排其从事与学校项目有关的材料设备供应、项目分包等经济活动。</w:t>
      </w:r>
    </w:p>
    <w:p w14:paraId="0F926C3F">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八、若有监理的项目，严格执行国家有关监理的规定，积极配合、支持监理单位开展工作，不从事影响监理单位公正履行职责的任何活动。</w:t>
      </w:r>
    </w:p>
    <w:p w14:paraId="6E3CA4A0">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九、若有学校工作人员无理刁难或提出不合理要求，应及时向学校有关部门反映；若发现学校工作人员有违纪违规行为的，应及时向学校的纪检监察部门举报，坚决抵制不正之风和各种不正当做法。</w:t>
      </w:r>
    </w:p>
    <w:p w14:paraId="3B8C6C25">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以上承诺，我单位及单位工作人员均将严格遵守。如有违反，经上级部门或学校认定违规违纪事实后，按照下列规定进行处罚：</w:t>
      </w:r>
    </w:p>
    <w:p w14:paraId="43496414">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（一）同意按照违规项目合同总金额的5%支付罚金，造成经济损失的，由本单位赔偿学校的全部损失；</w:t>
      </w:r>
    </w:p>
    <w:p w14:paraId="43A60AF9">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（二）本单位的行为致使学校工作人员违规的，同意将本单位列入贵校供应商（承建商）黑名单，三年丧失贵校供应商（承建商）资格；</w:t>
      </w:r>
    </w:p>
    <w:p w14:paraId="51B966B6">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本单位的行为致使贵校工作人员违法的，同意永远丧失贵校供应商（承建商）资格。本单位自愿接受学校依据有关规定对本单位作出的取消入围供应商（承建商）资格、中标资格以及终止合同等处理，并承担一切相应的法律责任；</w:t>
      </w:r>
    </w:p>
    <w:p w14:paraId="6FDBA829">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（四）任何第三方因本单位违反以上承诺而向学校索赔或主张权利的，所有责任及后果均由本单位独自承担；</w:t>
      </w:r>
    </w:p>
    <w:p w14:paraId="2941EA31">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（五）贵校可根据我单位发生的违纪违法事实向有关部门检举报告，我单位自愿接受有关部门依法依规作出的相关处理意见。</w:t>
      </w:r>
    </w:p>
    <w:p w14:paraId="5144E3EF">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此承诺书作为项目合同的附件，与项目主合同具有同等效力。经本单位法定代表人或其授权委托人签署并加盖本单位公章后生效。</w:t>
      </w:r>
    </w:p>
    <w:p w14:paraId="14E795CC">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此致</w:t>
      </w:r>
    </w:p>
    <w:p w14:paraId="5ED9BDF8">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p>
    <w:p w14:paraId="6FB8C093">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p>
    <w:p w14:paraId="45665733">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p>
    <w:p w14:paraId="7B22845E">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p>
    <w:p w14:paraId="0AA347B8">
      <w:pPr>
        <w:kinsoku/>
        <w:wordWrap/>
        <w:overflowPunct/>
        <w:topLinePunct w:val="0"/>
        <w:autoSpaceDE/>
        <w:autoSpaceDN/>
        <w:bidi w:val="0"/>
        <w:spacing w:line="500" w:lineRule="exact"/>
        <w:ind w:firstLine="720" w:firstLineChars="3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承诺方：                             承诺方法人代表（或委托人）：</w:t>
      </w:r>
    </w:p>
    <w:p w14:paraId="2DD36FFB">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（盖公章）                               （签字盖章）</w:t>
      </w:r>
    </w:p>
    <w:p w14:paraId="4958089A">
      <w:pPr>
        <w:kinsoku/>
        <w:wordWrap/>
        <w:overflowPunct/>
        <w:topLinePunct w:val="0"/>
        <w:autoSpaceDE/>
        <w:autoSpaceDN/>
        <w:bidi w:val="0"/>
        <w:spacing w:line="500" w:lineRule="exact"/>
        <w:ind w:firstLine="480" w:firstLineChars="200"/>
        <w:jc w:val="left"/>
        <w:rPr>
          <w:rFonts w:ascii="仿宋" w:hAnsi="仿宋" w:eastAsia="仿宋" w:cs="仿宋"/>
          <w:color w:val="auto"/>
          <w:sz w:val="24"/>
          <w:szCs w:val="24"/>
          <w:highlight w:val="none"/>
        </w:rPr>
      </w:pPr>
    </w:p>
    <w:p w14:paraId="347C5D69">
      <w:pPr>
        <w:kinsoku/>
        <w:wordWrap/>
        <w:overflowPunct/>
        <w:topLinePunct w:val="0"/>
        <w:autoSpaceDE/>
        <w:autoSpaceDN/>
        <w:bidi w:val="0"/>
        <w:spacing w:line="500" w:lineRule="exact"/>
        <w:ind w:firstLine="1200" w:firstLineChars="5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　　　　　　　　　     　        年  月   日　　　</w:t>
      </w:r>
    </w:p>
    <w:p w14:paraId="5C667D3D">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p>
    <w:p w14:paraId="1FBC3F87">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p>
    <w:p w14:paraId="2DCB7A44">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p>
    <w:p w14:paraId="77E3E77E">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p>
    <w:p w14:paraId="3DB86F8F">
      <w:pPr>
        <w:kinsoku/>
        <w:wordWrap/>
        <w:overflowPunct/>
        <w:topLinePunct w:val="0"/>
        <w:autoSpaceDE/>
        <w:autoSpaceDN/>
        <w:bidi w:val="0"/>
        <w:spacing w:line="500" w:lineRule="exact"/>
        <w:ind w:firstLine="480" w:firstLineChars="200"/>
        <w:rPr>
          <w:rFonts w:ascii="仿宋" w:hAnsi="仿宋" w:eastAsia="仿宋" w:cs="仿宋"/>
          <w:color w:val="auto"/>
          <w:sz w:val="24"/>
          <w:szCs w:val="24"/>
          <w:highlight w:val="none"/>
        </w:rPr>
      </w:pPr>
    </w:p>
    <w:p w14:paraId="60588919">
      <w:pPr>
        <w:rPr>
          <w:rFonts w:ascii="仿宋" w:hAnsi="仿宋" w:eastAsia="仿宋" w:cs="仿宋"/>
          <w:color w:val="auto"/>
          <w:sz w:val="24"/>
          <w:szCs w:val="24"/>
          <w:highlight w:val="none"/>
        </w:rPr>
      </w:pPr>
    </w:p>
    <w:p w14:paraId="33032B77">
      <w:pPr>
        <w:pStyle w:val="3"/>
        <w:kinsoku/>
        <w:wordWrap/>
        <w:overflowPunct/>
        <w:topLinePunct w:val="0"/>
        <w:autoSpaceDE/>
        <w:autoSpaceDN/>
        <w:bidi w:val="0"/>
        <w:spacing w:beforeLines="0" w:afterLines="0" w:line="500" w:lineRule="exact"/>
        <w:jc w:val="both"/>
        <w:rPr>
          <w:rFonts w:hint="eastAsia" w:ascii="仿宋" w:hAnsi="仿宋" w:eastAsia="仿宋" w:cs="仿宋"/>
          <w:b/>
          <w:color w:val="auto"/>
          <w:highlight w:val="none"/>
        </w:rPr>
      </w:pPr>
      <w:bookmarkStart w:id="120" w:name="_Toc9792"/>
    </w:p>
    <w:p w14:paraId="7E728D8C">
      <w:pPr>
        <w:pStyle w:val="3"/>
        <w:kinsoku/>
        <w:wordWrap/>
        <w:overflowPunct/>
        <w:topLinePunct w:val="0"/>
        <w:autoSpaceDE/>
        <w:autoSpaceDN/>
        <w:bidi w:val="0"/>
        <w:spacing w:beforeLines="0" w:afterLines="0" w:line="500" w:lineRule="exact"/>
        <w:ind w:firstLine="1767" w:firstLineChars="400"/>
        <w:jc w:val="both"/>
        <w:rPr>
          <w:rFonts w:ascii="仿宋" w:hAnsi="仿宋" w:eastAsia="仿宋" w:cs="仿宋"/>
          <w:b/>
          <w:color w:val="auto"/>
          <w:highlight w:val="none"/>
        </w:rPr>
      </w:pPr>
      <w:bookmarkStart w:id="121" w:name="_Toc27811"/>
      <w:r>
        <w:rPr>
          <w:rFonts w:hint="eastAsia" w:ascii="仿宋" w:hAnsi="仿宋" w:eastAsia="仿宋" w:cs="仿宋"/>
          <w:b/>
          <w:color w:val="auto"/>
          <w:highlight w:val="none"/>
        </w:rPr>
        <w:t>第七篇  响应文件格式</w:t>
      </w:r>
      <w:bookmarkEnd w:id="43"/>
      <w:bookmarkEnd w:id="120"/>
      <w:bookmarkEnd w:id="121"/>
    </w:p>
    <w:p w14:paraId="332416A7">
      <w:pPr>
        <w:kinsoku/>
        <w:wordWrap/>
        <w:overflowPunct/>
        <w:topLinePunct w:val="0"/>
        <w:autoSpaceDE/>
        <w:autoSpaceDN/>
        <w:bidi w:val="0"/>
        <w:snapToGrid w:val="0"/>
        <w:spacing w:line="5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一、经济文件</w:t>
      </w:r>
    </w:p>
    <w:p w14:paraId="2918BB2B">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（一）开标一览表</w:t>
      </w:r>
    </w:p>
    <w:p w14:paraId="63EDED91">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（二）分项报价明细表</w:t>
      </w:r>
    </w:p>
    <w:p w14:paraId="05038077">
      <w:pPr>
        <w:kinsoku/>
        <w:wordWrap/>
        <w:overflowPunct/>
        <w:topLinePunct w:val="0"/>
        <w:autoSpaceDE/>
        <w:autoSpaceDN/>
        <w:bidi w:val="0"/>
        <w:snapToGrid w:val="0"/>
        <w:spacing w:line="5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二、技术（质量）文件</w:t>
      </w:r>
    </w:p>
    <w:p w14:paraId="0500FDBB">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（一）</w:t>
      </w:r>
      <w:r>
        <w:rPr>
          <w:rFonts w:hint="eastAsia" w:ascii="宋体" w:hAnsi="宋体"/>
          <w:color w:val="auto"/>
          <w:sz w:val="24"/>
          <w:szCs w:val="28"/>
          <w:highlight w:val="none"/>
        </w:rPr>
        <w:t>服务条款差异表</w:t>
      </w:r>
    </w:p>
    <w:p w14:paraId="05F4FD6C">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（二）</w:t>
      </w:r>
      <w:r>
        <w:rPr>
          <w:rFonts w:hint="eastAsia" w:ascii="宋体" w:hAnsi="宋体"/>
          <w:color w:val="auto"/>
          <w:sz w:val="24"/>
          <w:szCs w:val="28"/>
          <w:highlight w:val="none"/>
        </w:rPr>
        <w:t>其他服务（质量）资料</w:t>
      </w:r>
    </w:p>
    <w:p w14:paraId="0F0A49EC">
      <w:pPr>
        <w:kinsoku/>
        <w:wordWrap/>
        <w:overflowPunct/>
        <w:topLinePunct w:val="0"/>
        <w:autoSpaceDE/>
        <w:autoSpaceDN/>
        <w:bidi w:val="0"/>
        <w:snapToGrid w:val="0"/>
        <w:spacing w:line="5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三、商务文件</w:t>
      </w:r>
    </w:p>
    <w:p w14:paraId="44989B12">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（一）投标函（格式）</w:t>
      </w:r>
    </w:p>
    <w:p w14:paraId="0C00DC32">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（二）商务条款差异表</w:t>
      </w:r>
    </w:p>
    <w:p w14:paraId="4E94738E">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（三）其他商务资料</w:t>
      </w:r>
    </w:p>
    <w:p w14:paraId="6E3BDB38">
      <w:pPr>
        <w:tabs>
          <w:tab w:val="left" w:pos="1764"/>
        </w:tabs>
        <w:kinsoku/>
        <w:wordWrap/>
        <w:overflowPunct/>
        <w:topLinePunct w:val="0"/>
        <w:autoSpaceDE/>
        <w:autoSpaceDN/>
        <w:bidi w:val="0"/>
        <w:snapToGrid w:val="0"/>
        <w:spacing w:line="5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四、其他</w:t>
      </w:r>
    </w:p>
    <w:p w14:paraId="12727B9D">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（一）其他与项目有关的资料（自附）</w:t>
      </w:r>
    </w:p>
    <w:p w14:paraId="6FDA02BF">
      <w:pPr>
        <w:kinsoku/>
        <w:wordWrap/>
        <w:overflowPunct/>
        <w:topLinePunct w:val="0"/>
        <w:autoSpaceDE/>
        <w:autoSpaceDN/>
        <w:bidi w:val="0"/>
        <w:snapToGrid w:val="0"/>
        <w:spacing w:line="5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五、资格文件</w:t>
      </w:r>
    </w:p>
    <w:p w14:paraId="42A5519F">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（一）法人营业执照（副本）或事业单位法人证书（副本）或个体工商户营业执照或有效的自然人身份证明或社会团体法人登记证书复印件</w:t>
      </w:r>
    </w:p>
    <w:p w14:paraId="4AADA2C1">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（二）法定代表人身份证明书（格式）</w:t>
      </w:r>
    </w:p>
    <w:p w14:paraId="42B68B31">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（三）法定代表人授权委托书（格式）</w:t>
      </w:r>
    </w:p>
    <w:p w14:paraId="2A1350D9">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（四）基本资格条件承诺函（格式）</w:t>
      </w:r>
    </w:p>
    <w:p w14:paraId="19523F96">
      <w:pPr>
        <w:kinsoku/>
        <w:wordWrap/>
        <w:overflowPunct/>
        <w:topLinePunct w:val="0"/>
        <w:autoSpaceDE/>
        <w:autoSpaceDN/>
        <w:bidi w:val="0"/>
        <w:snapToGrid w:val="0"/>
        <w:spacing w:line="500" w:lineRule="exact"/>
        <w:ind w:firstLine="480" w:firstLineChars="200"/>
        <w:rPr>
          <w:rFonts w:ascii="宋体" w:hAnsi="宋体"/>
          <w:color w:val="auto"/>
          <w:sz w:val="24"/>
          <w:szCs w:val="24"/>
          <w:highlight w:val="none"/>
        </w:rPr>
        <w:sectPr>
          <w:footerReference r:id="rId5" w:type="default"/>
          <w:pgSz w:w="11907" w:h="16840"/>
          <w:pgMar w:top="1134" w:right="1191" w:bottom="1134" w:left="1304" w:header="510" w:footer="992" w:gutter="0"/>
          <w:pgNumType w:fmt="numberInDash"/>
          <w:cols w:space="720" w:num="1"/>
          <w:docGrid w:linePitch="381" w:charSpace="-5735"/>
        </w:sectPr>
      </w:pPr>
      <w:r>
        <w:rPr>
          <w:rFonts w:hint="eastAsia" w:ascii="宋体" w:hAnsi="宋体"/>
          <w:color w:val="auto"/>
          <w:sz w:val="24"/>
          <w:szCs w:val="24"/>
          <w:highlight w:val="none"/>
        </w:rPr>
        <w:t>（五）特定资格条件证书或证明文</w:t>
      </w:r>
    </w:p>
    <w:p w14:paraId="2120A2C2">
      <w:pPr>
        <w:kinsoku/>
        <w:wordWrap/>
        <w:overflowPunct/>
        <w:topLinePunct w:val="0"/>
        <w:autoSpaceDE/>
        <w:autoSpaceDN/>
        <w:bidi w:val="0"/>
        <w:snapToGrid w:val="0"/>
        <w:spacing w:line="500" w:lineRule="exact"/>
        <w:rPr>
          <w:rFonts w:ascii="仿宋" w:hAnsi="仿宋" w:eastAsia="仿宋" w:cs="仿宋"/>
          <w:b/>
          <w:color w:val="auto"/>
          <w:sz w:val="30"/>
          <w:szCs w:val="30"/>
          <w:highlight w:val="none"/>
        </w:rPr>
      </w:pPr>
    </w:p>
    <w:p w14:paraId="0E244AE4">
      <w:pPr>
        <w:kinsoku/>
        <w:wordWrap/>
        <w:overflowPunct/>
        <w:topLinePunct w:val="0"/>
        <w:autoSpaceDE/>
        <w:autoSpaceDN/>
        <w:bidi w:val="0"/>
        <w:snapToGrid w:val="0"/>
        <w:spacing w:line="500" w:lineRule="exact"/>
        <w:rPr>
          <w:rFonts w:ascii="仿宋" w:hAnsi="仿宋" w:eastAsia="仿宋" w:cs="仿宋"/>
          <w:b/>
          <w:color w:val="auto"/>
          <w:sz w:val="30"/>
          <w:szCs w:val="30"/>
          <w:highlight w:val="none"/>
        </w:rPr>
      </w:pPr>
    </w:p>
    <w:p w14:paraId="6062B474">
      <w:pPr>
        <w:pStyle w:val="4"/>
        <w:numPr>
          <w:ilvl w:val="0"/>
          <w:numId w:val="10"/>
        </w:numPr>
        <w:kinsoku/>
        <w:wordWrap/>
        <w:overflowPunct/>
        <w:topLinePunct w:val="0"/>
        <w:autoSpaceDE/>
        <w:autoSpaceDN/>
        <w:bidi w:val="0"/>
        <w:spacing w:line="500" w:lineRule="exact"/>
        <w:ind w:firstLine="560" w:firstLineChars="200"/>
        <w:rPr>
          <w:rFonts w:hint="eastAsia" w:ascii="仿宋" w:hAnsi="仿宋" w:eastAsia="仿宋" w:cs="仿宋"/>
          <w:color w:val="auto"/>
          <w:highlight w:val="none"/>
        </w:rPr>
      </w:pPr>
      <w:bookmarkStart w:id="122" w:name="_Toc17378"/>
      <w:bookmarkStart w:id="123" w:name="_Toc7292"/>
      <w:r>
        <w:rPr>
          <w:rFonts w:hint="eastAsia" w:ascii="仿宋" w:hAnsi="仿宋" w:eastAsia="仿宋" w:cs="仿宋"/>
          <w:color w:val="auto"/>
          <w:highlight w:val="none"/>
        </w:rPr>
        <w:t>经济部分</w:t>
      </w:r>
      <w:bookmarkEnd w:id="122"/>
      <w:bookmarkEnd w:id="123"/>
    </w:p>
    <w:p w14:paraId="0D80420B">
      <w:pPr>
        <w:widowControl w:val="0"/>
        <w:kinsoku/>
        <w:wordWrap/>
        <w:overflowPunct/>
        <w:topLinePunct w:val="0"/>
        <w:autoSpaceDE/>
        <w:autoSpaceDN/>
        <w:bidi w:val="0"/>
        <w:spacing w:line="500" w:lineRule="exact"/>
        <w:jc w:val="both"/>
        <w:rPr>
          <w:rFonts w:ascii="宋体" w:hAnsi="宋体" w:eastAsia="宋体" w:cs="Times New Roman"/>
          <w:color w:val="auto"/>
          <w:kern w:val="2"/>
          <w:sz w:val="24"/>
          <w:szCs w:val="28"/>
          <w:highlight w:val="none"/>
          <w:lang w:val="en-US" w:eastAsia="zh-CN" w:bidi="ar-SA"/>
        </w:rPr>
      </w:pPr>
      <w:r>
        <w:rPr>
          <w:rFonts w:hint="eastAsia" w:ascii="宋体" w:hAnsi="宋体" w:eastAsia="宋体" w:cs="Times New Roman"/>
          <w:color w:val="auto"/>
          <w:kern w:val="2"/>
          <w:sz w:val="24"/>
          <w:szCs w:val="28"/>
          <w:highlight w:val="none"/>
          <w:lang w:val="en-US" w:eastAsia="zh-CN" w:bidi="ar-SA"/>
        </w:rPr>
        <w:t>项目名称：重庆第二师范学院南山校区荟园食堂联合运营项目</w:t>
      </w:r>
    </w:p>
    <w:tbl>
      <w:tblPr>
        <w:tblStyle w:val="18"/>
        <w:tblpPr w:leftFromText="180" w:rightFromText="180" w:vertAnchor="page" w:horzAnchor="page" w:tblpX="1390" w:tblpY="2929"/>
        <w:tblW w:w="9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23"/>
        <w:gridCol w:w="865"/>
        <w:gridCol w:w="2061"/>
        <w:gridCol w:w="2044"/>
        <w:gridCol w:w="2029"/>
        <w:gridCol w:w="1429"/>
      </w:tblGrid>
      <w:tr w14:paraId="3320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775" w:hRule="atLeast"/>
        </w:trPr>
        <w:tc>
          <w:tcPr>
            <w:tcW w:w="1423" w:type="dxa"/>
            <w:tcBorders>
              <w:top w:val="single" w:color="auto" w:sz="4" w:space="0"/>
              <w:left w:val="single" w:color="auto" w:sz="4" w:space="0"/>
              <w:bottom w:val="single" w:color="auto" w:sz="4" w:space="0"/>
              <w:right w:val="single" w:color="auto" w:sz="4" w:space="0"/>
            </w:tcBorders>
            <w:shd w:val="clear" w:color="auto" w:fill="auto"/>
            <w:vAlign w:val="center"/>
          </w:tcPr>
          <w:p w14:paraId="7B6ACD47">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cs="宋体"/>
                <w:color w:val="auto"/>
                <w:sz w:val="24"/>
                <w:szCs w:val="24"/>
                <w:highlight w:val="none"/>
                <w:lang w:val="en-US"/>
              </w:rPr>
            </w:pP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名称</w:t>
            </w:r>
          </w:p>
        </w:tc>
        <w:tc>
          <w:tcPr>
            <w:tcW w:w="842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315A7E4">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cs="宋体"/>
                <w:color w:val="auto"/>
                <w:sz w:val="24"/>
                <w:szCs w:val="24"/>
                <w:highlight w:val="none"/>
                <w:lang w:val="en-US"/>
              </w:rPr>
            </w:pPr>
          </w:p>
        </w:tc>
      </w:tr>
      <w:tr w14:paraId="65A8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99" w:hRule="atLeast"/>
        </w:trPr>
        <w:tc>
          <w:tcPr>
            <w:tcW w:w="22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4AA7D7">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包号及名称</w:t>
            </w:r>
          </w:p>
        </w:tc>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14:paraId="227675F1">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cs="宋体"/>
                <w:color w:val="auto"/>
                <w:sz w:val="24"/>
                <w:szCs w:val="24"/>
                <w:highlight w:val="none"/>
                <w:lang w:val="en-US"/>
              </w:rPr>
            </w:pPr>
            <w:bookmarkStart w:id="124" w:name="OLE_LINK97"/>
            <w:r>
              <w:rPr>
                <w:rFonts w:hint="eastAsia" w:ascii="宋体" w:hAnsi="宋体" w:eastAsia="宋体" w:cs="宋体"/>
                <w:color w:val="auto"/>
                <w:kern w:val="2"/>
                <w:sz w:val="24"/>
                <w:szCs w:val="24"/>
                <w:highlight w:val="none"/>
                <w:lang w:val="en-US" w:eastAsia="zh-CN" w:bidi="ar"/>
              </w:rPr>
              <w:t>基本大伙档口</w:t>
            </w:r>
            <w:bookmarkEnd w:id="124"/>
            <w:r>
              <w:rPr>
                <w:rFonts w:hint="eastAsia" w:ascii="宋体" w:hAnsi="宋体" w:eastAsia="宋体" w:cs="宋体"/>
                <w:color w:val="auto"/>
                <w:kern w:val="2"/>
                <w:sz w:val="24"/>
                <w:szCs w:val="24"/>
                <w:highlight w:val="none"/>
                <w:lang w:val="en-US" w:eastAsia="zh-CN" w:bidi="ar"/>
              </w:rPr>
              <w:t>数量占比（%）</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07C6ED32">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cs="宋体"/>
                <w:color w:val="auto"/>
                <w:sz w:val="24"/>
                <w:szCs w:val="24"/>
                <w:highlight w:val="none"/>
                <w:lang w:val="en-US"/>
              </w:rPr>
            </w:pPr>
            <w:bookmarkStart w:id="125" w:name="OLE_LINK96"/>
            <w:r>
              <w:rPr>
                <w:rFonts w:hint="eastAsia" w:ascii="宋体" w:hAnsi="宋体" w:eastAsia="宋体" w:cs="宋体"/>
                <w:color w:val="auto"/>
                <w:kern w:val="2"/>
                <w:sz w:val="24"/>
                <w:szCs w:val="24"/>
                <w:highlight w:val="none"/>
                <w:lang w:val="en-US" w:eastAsia="zh-CN" w:bidi="ar"/>
              </w:rPr>
              <w:t>年投料率</w:t>
            </w:r>
          </w:p>
          <w:p w14:paraId="60B7402C">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cs="宋体"/>
                <w:color w:val="auto"/>
                <w:kern w:val="0"/>
                <w:sz w:val="24"/>
                <w:szCs w:val="22"/>
                <w:highlight w:val="none"/>
                <w:lang w:val="en-US"/>
              </w:rPr>
            </w:pPr>
            <w:r>
              <w:rPr>
                <w:rFonts w:hint="eastAsia" w:ascii="宋体" w:hAnsi="宋体" w:eastAsia="宋体" w:cs="宋体"/>
                <w:color w:val="auto"/>
                <w:kern w:val="2"/>
                <w:sz w:val="24"/>
                <w:szCs w:val="24"/>
                <w:highlight w:val="none"/>
                <w:lang w:val="en-US" w:eastAsia="zh-CN" w:bidi="ar"/>
              </w:rPr>
              <w:t>（%）</w:t>
            </w:r>
            <w:bookmarkEnd w:id="125"/>
          </w:p>
        </w:tc>
        <w:tc>
          <w:tcPr>
            <w:tcW w:w="2029" w:type="dxa"/>
            <w:tcBorders>
              <w:top w:val="single" w:color="auto" w:sz="4" w:space="0"/>
              <w:left w:val="single" w:color="auto" w:sz="4" w:space="0"/>
              <w:bottom w:val="single" w:color="auto" w:sz="4" w:space="0"/>
              <w:right w:val="single" w:color="auto" w:sz="4" w:space="0"/>
            </w:tcBorders>
            <w:shd w:val="clear" w:color="auto" w:fill="auto"/>
            <w:vAlign w:val="center"/>
          </w:tcPr>
          <w:p w14:paraId="12D7A510">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环境改善</w:t>
            </w:r>
          </w:p>
          <w:p w14:paraId="2BBB0664">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投入金额（元）</w:t>
            </w:r>
          </w:p>
        </w:tc>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4B554866">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cs="宋体"/>
                <w:color w:val="auto"/>
                <w:sz w:val="24"/>
                <w:szCs w:val="24"/>
                <w:highlight w:val="none"/>
                <w:lang w:val="en-US"/>
              </w:rPr>
            </w:pPr>
            <w:r>
              <w:rPr>
                <w:rFonts w:hint="eastAsia" w:ascii="宋体" w:hAnsi="宋体" w:cs="宋体"/>
                <w:color w:val="auto"/>
                <w:kern w:val="2"/>
                <w:sz w:val="24"/>
                <w:szCs w:val="24"/>
                <w:highlight w:val="none"/>
                <w:lang w:val="en-US" w:eastAsia="zh-CN" w:bidi="ar"/>
              </w:rPr>
              <w:t>智慧化食堂建设投入经费（元）</w:t>
            </w:r>
          </w:p>
        </w:tc>
      </w:tr>
      <w:tr w14:paraId="00F5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2288"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7AB1FD7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hint="default" w:ascii="Calibri" w:hAnsi="Calibri" w:cs="Calibri"/>
                <w:color w:val="auto"/>
                <w:kern w:val="2"/>
                <w:sz w:val="21"/>
                <w:szCs w:val="22"/>
                <w:highlight w:val="none"/>
              </w:rPr>
            </w:pPr>
          </w:p>
        </w:tc>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14:paraId="482E2815">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小写：</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1C226149">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sz w:val="24"/>
                <w:szCs w:val="22"/>
                <w:highlight w:val="none"/>
                <w:lang w:val="en-US"/>
              </w:rPr>
            </w:pPr>
            <w:r>
              <w:rPr>
                <w:rFonts w:hint="eastAsia" w:ascii="宋体" w:hAnsi="宋体" w:eastAsia="宋体" w:cs="宋体"/>
                <w:color w:val="auto"/>
                <w:kern w:val="2"/>
                <w:sz w:val="24"/>
                <w:szCs w:val="24"/>
                <w:highlight w:val="none"/>
                <w:lang w:val="en-US" w:eastAsia="zh-CN" w:bidi="ar"/>
              </w:rPr>
              <w:t>小写：</w:t>
            </w:r>
          </w:p>
        </w:tc>
        <w:tc>
          <w:tcPr>
            <w:tcW w:w="2029" w:type="dxa"/>
            <w:tcBorders>
              <w:top w:val="single" w:color="auto" w:sz="4" w:space="0"/>
              <w:left w:val="single" w:color="auto" w:sz="4" w:space="0"/>
              <w:bottom w:val="single" w:color="auto" w:sz="4" w:space="0"/>
              <w:right w:val="single" w:color="auto" w:sz="4" w:space="0"/>
            </w:tcBorders>
            <w:shd w:val="clear" w:color="auto" w:fill="auto"/>
            <w:vAlign w:val="center"/>
          </w:tcPr>
          <w:p w14:paraId="34848C61">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小写：</w:t>
            </w:r>
          </w:p>
        </w:tc>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0FF63A79">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小写：</w:t>
            </w:r>
          </w:p>
        </w:tc>
      </w:tr>
      <w:tr w14:paraId="0DD7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2288" w:type="dxa"/>
            <w:gridSpan w:val="2"/>
            <w:vMerge w:val="continue"/>
            <w:tcBorders>
              <w:top w:val="nil"/>
              <w:left w:val="single" w:color="auto" w:sz="4" w:space="0"/>
              <w:bottom w:val="single" w:color="auto" w:sz="4" w:space="0"/>
              <w:right w:val="single" w:color="auto" w:sz="4" w:space="0"/>
            </w:tcBorders>
            <w:shd w:val="clear" w:color="auto" w:fill="auto"/>
            <w:vAlign w:val="center"/>
          </w:tcPr>
          <w:p w14:paraId="526A605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hint="default" w:ascii="Calibri" w:hAnsi="Calibri" w:cs="Calibri"/>
                <w:color w:val="auto"/>
                <w:kern w:val="2"/>
                <w:sz w:val="21"/>
                <w:szCs w:val="22"/>
                <w:highlight w:val="none"/>
              </w:rPr>
            </w:pPr>
          </w:p>
        </w:tc>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14:paraId="7089B506">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大写：</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185AC35F">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sz w:val="24"/>
                <w:szCs w:val="22"/>
                <w:highlight w:val="none"/>
                <w:lang w:val="en-US"/>
              </w:rPr>
            </w:pPr>
            <w:r>
              <w:rPr>
                <w:rFonts w:hint="eastAsia" w:ascii="宋体" w:hAnsi="宋体" w:eastAsia="宋体" w:cs="宋体"/>
                <w:color w:val="auto"/>
                <w:kern w:val="2"/>
                <w:sz w:val="24"/>
                <w:szCs w:val="24"/>
                <w:highlight w:val="none"/>
                <w:lang w:val="en-US" w:eastAsia="zh-CN" w:bidi="ar"/>
              </w:rPr>
              <w:t>大写：</w:t>
            </w:r>
          </w:p>
        </w:tc>
        <w:tc>
          <w:tcPr>
            <w:tcW w:w="2029" w:type="dxa"/>
            <w:tcBorders>
              <w:top w:val="single" w:color="auto" w:sz="4" w:space="0"/>
              <w:left w:val="single" w:color="auto" w:sz="4" w:space="0"/>
              <w:bottom w:val="single" w:color="auto" w:sz="4" w:space="0"/>
              <w:right w:val="single" w:color="auto" w:sz="4" w:space="0"/>
            </w:tcBorders>
            <w:shd w:val="clear" w:color="auto" w:fill="auto"/>
            <w:vAlign w:val="center"/>
          </w:tcPr>
          <w:p w14:paraId="3AAE4AFE">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大写：</w:t>
            </w:r>
          </w:p>
        </w:tc>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0BE9813B">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大写：</w:t>
            </w:r>
          </w:p>
        </w:tc>
      </w:tr>
      <w:tr w14:paraId="27E0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rPr>
        <w:tc>
          <w:tcPr>
            <w:tcW w:w="985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E449B65">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备注：</w:t>
            </w:r>
          </w:p>
          <w:p w14:paraId="01D78252">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1.委托经营管理期为4年（基本期）+3年延展期。</w:t>
            </w:r>
          </w:p>
          <w:p w14:paraId="1BC6A0C9">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2.基本大伙档口占比不得低于30%。</w:t>
            </w:r>
          </w:p>
          <w:p w14:paraId="4A6F7E19">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2"/>
                <w:sz w:val="24"/>
                <w:szCs w:val="24"/>
                <w:highlight w:val="none"/>
                <w:lang w:val="en-US" w:eastAsia="zh-CN" w:bidi="ar"/>
              </w:rPr>
              <w:t>3.</w:t>
            </w:r>
            <w:bookmarkStart w:id="126" w:name="OLE_LINK99"/>
            <w:r>
              <w:rPr>
                <w:rFonts w:hint="eastAsia" w:ascii="宋体" w:hAnsi="宋体" w:eastAsia="宋体" w:cs="仿宋"/>
                <w:color w:val="auto"/>
                <w:kern w:val="2"/>
                <w:sz w:val="24"/>
                <w:szCs w:val="24"/>
                <w:highlight w:val="none"/>
                <w:lang w:val="en-US" w:eastAsia="zh-CN" w:bidi="ar"/>
              </w:rPr>
              <w:t>基本大伙餐</w:t>
            </w:r>
            <w:bookmarkEnd w:id="126"/>
            <w:r>
              <w:rPr>
                <w:rFonts w:hint="eastAsia" w:ascii="宋体" w:hAnsi="宋体" w:eastAsia="宋体" w:cs="仿宋"/>
                <w:color w:val="auto"/>
                <w:kern w:val="2"/>
                <w:sz w:val="24"/>
                <w:szCs w:val="24"/>
                <w:highlight w:val="none"/>
                <w:lang w:val="en-US" w:eastAsia="zh-CN" w:bidi="ar"/>
              </w:rPr>
              <w:t>实际售卖价格=第二篇基本大伙餐参照价格标准*</w:t>
            </w:r>
            <w:r>
              <w:rPr>
                <w:rFonts w:hint="eastAsia" w:ascii="宋体" w:hAnsi="宋体" w:eastAsia="宋体" w:cs="宋体"/>
                <w:color w:val="auto"/>
                <w:kern w:val="0"/>
                <w:sz w:val="24"/>
                <w:szCs w:val="24"/>
                <w:highlight w:val="none"/>
                <w:lang w:val="en-US" w:eastAsia="zh-CN" w:bidi="ar"/>
              </w:rPr>
              <w:t>基本大伙餐价格折扣率（%）。</w:t>
            </w:r>
          </w:p>
          <w:p w14:paraId="0A56A6DB">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4.环境改善投入金额不得低于（包1,500万元。包2，350万元）。</w:t>
            </w:r>
          </w:p>
          <w:p w14:paraId="1B6F6930">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5.年投料率不得低于50%。投料率=（主辅料和调料总成本/总营业收入）×100%。</w:t>
            </w:r>
          </w:p>
          <w:p w14:paraId="2F1D952B">
            <w:pPr>
              <w:keepNext w:val="0"/>
              <w:keepLines w:val="0"/>
              <w:widowControl w:val="0"/>
              <w:suppressLineNumbers w:val="0"/>
              <w:kinsoku/>
              <w:wordWrap/>
              <w:overflowPunct/>
              <w:topLinePunct w:val="0"/>
              <w:autoSpaceDE/>
              <w:autoSpaceDN/>
              <w:bidi w:val="0"/>
              <w:spacing w:before="0" w:beforeAutospacing="0" w:after="0" w:afterAutospacing="0" w:line="500" w:lineRule="exact"/>
              <w:ind w:left="0" w:right="0"/>
              <w:jc w:val="both"/>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6.所报基本大伙档口数、投料率写入合同中，为经营期必须遵守条款。环境改善费和智慧化食堂建设经费为经济标评标的一部分。</w:t>
            </w:r>
          </w:p>
        </w:tc>
      </w:tr>
    </w:tbl>
    <w:p w14:paraId="0860E701">
      <w:pPr>
        <w:kinsoku/>
        <w:wordWrap/>
        <w:overflowPunct/>
        <w:topLinePunct w:val="0"/>
        <w:autoSpaceDE/>
        <w:autoSpaceDN/>
        <w:bidi w:val="0"/>
        <w:spacing w:line="500" w:lineRule="exact"/>
        <w:rPr>
          <w:rFonts w:ascii="宋体" w:hAnsi="宋体"/>
          <w:color w:val="auto"/>
          <w:sz w:val="24"/>
          <w:szCs w:val="28"/>
          <w:highlight w:val="none"/>
        </w:rPr>
      </w:pPr>
    </w:p>
    <w:p w14:paraId="238D76CA">
      <w:pPr>
        <w:kinsoku/>
        <w:wordWrap/>
        <w:overflowPunct/>
        <w:topLinePunct w:val="0"/>
        <w:autoSpaceDE/>
        <w:autoSpaceDN/>
        <w:bidi w:val="0"/>
        <w:spacing w:line="500" w:lineRule="exact"/>
        <w:ind w:firstLine="480" w:firstLineChars="200"/>
        <w:rPr>
          <w:rFonts w:ascii="宋体" w:hAnsi="宋体"/>
          <w:color w:val="auto"/>
          <w:sz w:val="24"/>
          <w:szCs w:val="28"/>
          <w:highlight w:val="none"/>
        </w:rPr>
      </w:pPr>
      <w:r>
        <w:rPr>
          <w:rFonts w:hint="eastAsia" w:ascii="宋体" w:hAnsi="宋体"/>
          <w:color w:val="auto"/>
          <w:sz w:val="24"/>
          <w:szCs w:val="28"/>
          <w:highlight w:val="none"/>
          <w:lang w:eastAsia="zh-CN"/>
        </w:rPr>
        <w:t>供应商</w:t>
      </w:r>
      <w:r>
        <w:rPr>
          <w:rFonts w:hint="eastAsia" w:ascii="宋体" w:hAnsi="宋体"/>
          <w:color w:val="auto"/>
          <w:sz w:val="24"/>
          <w:szCs w:val="28"/>
          <w:highlight w:val="none"/>
        </w:rPr>
        <w:t xml:space="preserve">                               法定代表人或法定代表人授权代表：</w:t>
      </w:r>
    </w:p>
    <w:p w14:paraId="7ABA9F7A">
      <w:pPr>
        <w:kinsoku/>
        <w:wordWrap/>
        <w:overflowPunct/>
        <w:topLinePunct w:val="0"/>
        <w:autoSpaceDE/>
        <w:autoSpaceDN/>
        <w:bidi w:val="0"/>
        <w:spacing w:line="500" w:lineRule="exact"/>
        <w:rPr>
          <w:rFonts w:ascii="宋体" w:hAnsi="宋体"/>
          <w:color w:val="auto"/>
          <w:sz w:val="24"/>
          <w:szCs w:val="28"/>
          <w:highlight w:val="none"/>
        </w:rPr>
      </w:pPr>
      <w:r>
        <w:rPr>
          <w:rFonts w:hint="eastAsia" w:ascii="宋体" w:hAnsi="宋体"/>
          <w:color w:val="auto"/>
          <w:sz w:val="24"/>
          <w:szCs w:val="28"/>
          <w:highlight w:val="none"/>
        </w:rPr>
        <w:t xml:space="preserve">  （</w:t>
      </w:r>
      <w:r>
        <w:rPr>
          <w:rFonts w:hint="eastAsia" w:ascii="宋体" w:hAnsi="宋体"/>
          <w:color w:val="auto"/>
          <w:sz w:val="24"/>
          <w:szCs w:val="28"/>
          <w:highlight w:val="none"/>
          <w:lang w:eastAsia="zh-CN"/>
        </w:rPr>
        <w:t>供应商</w:t>
      </w:r>
      <w:r>
        <w:rPr>
          <w:rFonts w:hint="eastAsia" w:ascii="宋体" w:hAnsi="宋体"/>
          <w:color w:val="auto"/>
          <w:sz w:val="24"/>
          <w:szCs w:val="28"/>
          <w:highlight w:val="none"/>
        </w:rPr>
        <w:t>公章）                               （签字或盖章）</w:t>
      </w:r>
    </w:p>
    <w:p w14:paraId="0AAD913F">
      <w:pPr>
        <w:kinsoku/>
        <w:wordWrap/>
        <w:overflowPunct/>
        <w:topLinePunct w:val="0"/>
        <w:autoSpaceDE/>
        <w:autoSpaceDN/>
        <w:bidi w:val="0"/>
        <w:spacing w:line="500" w:lineRule="exact"/>
        <w:rPr>
          <w:rFonts w:ascii="宋体" w:hAnsi="宋体"/>
          <w:color w:val="auto"/>
          <w:sz w:val="24"/>
          <w:szCs w:val="28"/>
          <w:highlight w:val="none"/>
        </w:rPr>
      </w:pPr>
    </w:p>
    <w:p w14:paraId="5CD87E30">
      <w:pPr>
        <w:kinsoku/>
        <w:wordWrap/>
        <w:overflowPunct/>
        <w:topLinePunct w:val="0"/>
        <w:autoSpaceDE/>
        <w:autoSpaceDN/>
        <w:bidi w:val="0"/>
        <w:spacing w:line="500" w:lineRule="exact"/>
        <w:rPr>
          <w:rFonts w:ascii="宋体" w:hAnsi="宋体"/>
          <w:color w:val="auto"/>
          <w:sz w:val="24"/>
          <w:szCs w:val="28"/>
          <w:highlight w:val="none"/>
        </w:rPr>
      </w:pPr>
      <w:r>
        <w:rPr>
          <w:rFonts w:hint="eastAsia" w:ascii="宋体" w:hAnsi="宋体"/>
          <w:color w:val="auto"/>
          <w:sz w:val="24"/>
          <w:szCs w:val="28"/>
          <w:highlight w:val="none"/>
        </w:rPr>
        <w:t xml:space="preserve">                                            年     月     日</w:t>
      </w:r>
    </w:p>
    <w:p w14:paraId="1452238D">
      <w:pPr>
        <w:kinsoku/>
        <w:wordWrap/>
        <w:overflowPunct/>
        <w:topLinePunct w:val="0"/>
        <w:autoSpaceDE/>
        <w:autoSpaceDN/>
        <w:bidi w:val="0"/>
        <w:snapToGrid w:val="0"/>
        <w:spacing w:line="500" w:lineRule="exact"/>
        <w:ind w:firstLine="480" w:firstLineChars="200"/>
        <w:rPr>
          <w:rFonts w:ascii="宋体" w:hAnsi="宋体"/>
          <w:color w:val="auto"/>
          <w:sz w:val="24"/>
          <w:szCs w:val="28"/>
          <w:highlight w:val="none"/>
        </w:rPr>
      </w:pPr>
      <w:r>
        <w:rPr>
          <w:rFonts w:hint="eastAsia" w:ascii="宋体" w:hAnsi="宋体"/>
          <w:color w:val="auto"/>
          <w:sz w:val="24"/>
          <w:szCs w:val="28"/>
          <w:highlight w:val="none"/>
        </w:rPr>
        <w:t>说明：</w:t>
      </w:r>
    </w:p>
    <w:p w14:paraId="2A8E890C">
      <w:pPr>
        <w:kinsoku/>
        <w:wordWrap/>
        <w:overflowPunct/>
        <w:topLinePunct w:val="0"/>
        <w:autoSpaceDE/>
        <w:autoSpaceDN/>
        <w:bidi w:val="0"/>
        <w:snapToGrid w:val="0"/>
        <w:spacing w:line="500" w:lineRule="exact"/>
        <w:ind w:firstLine="480" w:firstLineChars="200"/>
        <w:rPr>
          <w:rFonts w:ascii="宋体" w:hAnsi="宋体"/>
          <w:color w:val="auto"/>
          <w:sz w:val="24"/>
          <w:szCs w:val="28"/>
          <w:highlight w:val="none"/>
        </w:rPr>
      </w:pPr>
      <w:r>
        <w:rPr>
          <w:rFonts w:hint="eastAsia" w:ascii="宋体" w:hAnsi="宋体"/>
          <w:color w:val="auto"/>
          <w:sz w:val="24"/>
          <w:szCs w:val="28"/>
          <w:highlight w:val="none"/>
        </w:rPr>
        <w:t>1.开标一览表按格式填列；</w:t>
      </w:r>
    </w:p>
    <w:p w14:paraId="2BA3C697">
      <w:pPr>
        <w:kinsoku/>
        <w:wordWrap/>
        <w:overflowPunct/>
        <w:topLinePunct w:val="0"/>
        <w:autoSpaceDE/>
        <w:autoSpaceDN/>
        <w:bidi w:val="0"/>
        <w:snapToGrid w:val="0"/>
        <w:spacing w:line="500" w:lineRule="exact"/>
        <w:ind w:firstLine="480" w:firstLineChars="200"/>
        <w:rPr>
          <w:rFonts w:ascii="宋体" w:hAnsi="宋体"/>
          <w:color w:val="auto"/>
          <w:sz w:val="24"/>
          <w:szCs w:val="28"/>
          <w:highlight w:val="none"/>
        </w:rPr>
      </w:pPr>
      <w:r>
        <w:rPr>
          <w:rFonts w:hint="eastAsia" w:ascii="宋体" w:hAnsi="宋体"/>
          <w:color w:val="auto"/>
          <w:sz w:val="24"/>
          <w:szCs w:val="28"/>
          <w:highlight w:val="none"/>
        </w:rPr>
        <w:t>2.开标一览表在开标大会上当众宣读，务必填写清楚，准确无误。</w:t>
      </w:r>
    </w:p>
    <w:p w14:paraId="0E471627">
      <w:pPr>
        <w:widowControl w:val="0"/>
        <w:numPr>
          <w:ilvl w:val="0"/>
          <w:numId w:val="0"/>
        </w:numPr>
        <w:kinsoku/>
        <w:wordWrap/>
        <w:overflowPunct/>
        <w:topLinePunct w:val="0"/>
        <w:autoSpaceDE/>
        <w:autoSpaceDN/>
        <w:bidi w:val="0"/>
        <w:spacing w:line="500" w:lineRule="exact"/>
        <w:jc w:val="both"/>
        <w:rPr>
          <w:color w:val="auto"/>
          <w:highlight w:val="none"/>
        </w:rPr>
      </w:pPr>
    </w:p>
    <w:p w14:paraId="24073461">
      <w:pPr>
        <w:kinsoku/>
        <w:wordWrap/>
        <w:overflowPunct/>
        <w:topLinePunct w:val="0"/>
        <w:autoSpaceDE/>
        <w:autoSpaceDN/>
        <w:bidi w:val="0"/>
        <w:snapToGrid w:val="0"/>
        <w:spacing w:line="500" w:lineRule="exact"/>
        <w:ind w:firstLine="560" w:firstLineChars="200"/>
        <w:rPr>
          <w:rFonts w:ascii="宋体" w:hAnsi="宋体"/>
          <w:color w:val="auto"/>
          <w:sz w:val="24"/>
          <w:szCs w:val="28"/>
          <w:highlight w:val="none"/>
        </w:rPr>
      </w:pPr>
      <w:r>
        <w:rPr>
          <w:rFonts w:hint="eastAsia" w:ascii="宋体" w:hAnsi="宋体"/>
          <w:color w:val="auto"/>
          <w:szCs w:val="36"/>
          <w:highlight w:val="none"/>
        </w:rPr>
        <w:t>（二）清单明细表</w:t>
      </w:r>
    </w:p>
    <w:p w14:paraId="4E530C3D">
      <w:pPr>
        <w:widowControl w:val="0"/>
        <w:kinsoku/>
        <w:wordWrap/>
        <w:overflowPunct/>
        <w:topLinePunct w:val="0"/>
        <w:autoSpaceDE/>
        <w:autoSpaceDN/>
        <w:bidi w:val="0"/>
        <w:spacing w:line="500" w:lineRule="exact"/>
        <w:ind w:firstLine="480" w:firstLineChars="200"/>
        <w:jc w:val="both"/>
        <w:rPr>
          <w:rFonts w:ascii="宋体" w:hAnsi="宋体"/>
          <w:color w:val="auto"/>
          <w:sz w:val="24"/>
          <w:szCs w:val="28"/>
          <w:highlight w:val="none"/>
        </w:rPr>
      </w:pPr>
      <w:r>
        <w:rPr>
          <w:rFonts w:hint="eastAsia" w:ascii="宋体" w:hAnsi="宋体" w:cs="Times New Roman"/>
          <w:color w:val="auto"/>
          <w:kern w:val="2"/>
          <w:sz w:val="24"/>
          <w:szCs w:val="28"/>
          <w:highlight w:val="none"/>
          <w:lang w:val="en-US" w:eastAsia="zh-CN" w:bidi="ar-SA"/>
        </w:rPr>
        <w:t>1.</w:t>
      </w:r>
      <w:r>
        <w:rPr>
          <w:rFonts w:hint="eastAsia" w:ascii="宋体" w:hAnsi="宋体" w:eastAsia="宋体" w:cs="Times New Roman"/>
          <w:color w:val="auto"/>
          <w:kern w:val="2"/>
          <w:sz w:val="24"/>
          <w:szCs w:val="28"/>
          <w:highlight w:val="none"/>
          <w:lang w:val="en-US" w:eastAsia="zh-CN" w:bidi="ar-SA"/>
        </w:rPr>
        <w:t>项目名称：重庆第二师范学院南山校区荟园食堂联合运营项目</w:t>
      </w:r>
      <w:r>
        <w:rPr>
          <w:rFonts w:hint="eastAsia" w:ascii="宋体" w:hAnsi="宋体" w:cs="Times New Roman"/>
          <w:color w:val="auto"/>
          <w:kern w:val="2"/>
          <w:sz w:val="24"/>
          <w:szCs w:val="28"/>
          <w:highlight w:val="none"/>
          <w:lang w:val="en-US" w:eastAsia="zh-CN" w:bidi="ar-SA"/>
        </w:rPr>
        <w:t>（环境改善投入）</w:t>
      </w:r>
    </w:p>
    <w:p w14:paraId="3A924740">
      <w:pPr>
        <w:kinsoku/>
        <w:wordWrap/>
        <w:overflowPunct/>
        <w:topLinePunct w:val="0"/>
        <w:autoSpaceDE/>
        <w:autoSpaceDN/>
        <w:bidi w:val="0"/>
        <w:spacing w:line="500" w:lineRule="exact"/>
        <w:ind w:firstLine="480" w:firstLineChars="200"/>
        <w:rPr>
          <w:rFonts w:hint="eastAsia" w:ascii="宋体" w:hAnsi="宋体" w:eastAsia="宋体"/>
          <w:color w:val="auto"/>
          <w:sz w:val="24"/>
          <w:szCs w:val="28"/>
          <w:highlight w:val="none"/>
          <w:lang w:eastAsia="zh-CN"/>
        </w:rPr>
      </w:pPr>
      <w:r>
        <w:rPr>
          <w:rFonts w:hint="eastAsia" w:ascii="宋体" w:hAnsi="宋体"/>
          <w:color w:val="auto"/>
          <w:sz w:val="24"/>
          <w:szCs w:val="28"/>
          <w:highlight w:val="none"/>
        </w:rPr>
        <w:t xml:space="preserve">                                                         单位</w:t>
      </w:r>
      <w:r>
        <w:rPr>
          <w:rFonts w:hint="eastAsia" w:ascii="宋体" w:hAnsi="宋体"/>
          <w:color w:val="auto"/>
          <w:sz w:val="24"/>
          <w:szCs w:val="28"/>
          <w:highlight w:val="none"/>
          <w:lang w:eastAsia="zh-CN"/>
        </w:rPr>
        <w:t>：元</w:t>
      </w:r>
    </w:p>
    <w:tbl>
      <w:tblPr>
        <w:tblStyle w:val="18"/>
        <w:tblW w:w="43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415"/>
        <w:gridCol w:w="1296"/>
        <w:gridCol w:w="1931"/>
        <w:gridCol w:w="1166"/>
        <w:gridCol w:w="1182"/>
      </w:tblGrid>
      <w:tr w14:paraId="3BA4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exact"/>
          <w:jc w:val="center"/>
        </w:trPr>
        <w:tc>
          <w:tcPr>
            <w:tcW w:w="1416" w:type="dxa"/>
            <w:vAlign w:val="center"/>
          </w:tcPr>
          <w:p w14:paraId="179340A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b/>
                <w:color w:val="auto"/>
                <w:sz w:val="21"/>
                <w:szCs w:val="21"/>
                <w:highlight w:val="none"/>
              </w:rPr>
            </w:pPr>
            <w:r>
              <w:rPr>
                <w:rFonts w:hint="eastAsia" w:ascii="宋体" w:hAnsi="宋体"/>
                <w:b/>
                <w:color w:val="auto"/>
                <w:sz w:val="21"/>
                <w:szCs w:val="21"/>
                <w:highlight w:val="none"/>
              </w:rPr>
              <w:t>序号</w:t>
            </w:r>
          </w:p>
        </w:tc>
        <w:tc>
          <w:tcPr>
            <w:tcW w:w="1415" w:type="dxa"/>
            <w:vAlign w:val="center"/>
          </w:tcPr>
          <w:p w14:paraId="1E2CB20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项目</w:t>
            </w:r>
          </w:p>
        </w:tc>
        <w:tc>
          <w:tcPr>
            <w:tcW w:w="1296" w:type="dxa"/>
            <w:vAlign w:val="center"/>
          </w:tcPr>
          <w:p w14:paraId="5297FD9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b/>
                <w:color w:val="auto"/>
                <w:sz w:val="20"/>
                <w:szCs w:val="21"/>
                <w:highlight w:val="none"/>
              </w:rPr>
            </w:pPr>
          </w:p>
        </w:tc>
        <w:tc>
          <w:tcPr>
            <w:tcW w:w="1931" w:type="dxa"/>
            <w:vAlign w:val="center"/>
          </w:tcPr>
          <w:p w14:paraId="330CF56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b/>
                <w:color w:val="auto"/>
                <w:sz w:val="21"/>
                <w:szCs w:val="21"/>
                <w:highlight w:val="none"/>
              </w:rPr>
            </w:pPr>
            <w:r>
              <w:rPr>
                <w:rFonts w:hint="eastAsia" w:ascii="宋体" w:hAnsi="宋体"/>
                <w:b/>
                <w:color w:val="auto"/>
                <w:sz w:val="21"/>
                <w:szCs w:val="21"/>
                <w:highlight w:val="none"/>
              </w:rPr>
              <w:t>数量</w:t>
            </w:r>
          </w:p>
        </w:tc>
        <w:tc>
          <w:tcPr>
            <w:tcW w:w="1166" w:type="dxa"/>
            <w:vAlign w:val="center"/>
          </w:tcPr>
          <w:p w14:paraId="1756504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b/>
                <w:color w:val="auto"/>
                <w:sz w:val="21"/>
                <w:szCs w:val="21"/>
                <w:highlight w:val="none"/>
              </w:rPr>
            </w:pPr>
            <w:r>
              <w:rPr>
                <w:rFonts w:hint="eastAsia" w:ascii="宋体" w:hAnsi="宋体"/>
                <w:b/>
                <w:color w:val="auto"/>
                <w:sz w:val="21"/>
                <w:szCs w:val="21"/>
                <w:highlight w:val="none"/>
              </w:rPr>
              <w:t>单价</w:t>
            </w:r>
          </w:p>
        </w:tc>
        <w:tc>
          <w:tcPr>
            <w:tcW w:w="1182" w:type="dxa"/>
            <w:vAlign w:val="center"/>
          </w:tcPr>
          <w:p w14:paraId="6CD78A8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b/>
                <w:color w:val="auto"/>
                <w:sz w:val="21"/>
                <w:szCs w:val="21"/>
                <w:highlight w:val="none"/>
              </w:rPr>
            </w:pPr>
            <w:r>
              <w:rPr>
                <w:rFonts w:hint="eastAsia" w:ascii="宋体" w:hAnsi="宋体"/>
                <w:b/>
                <w:color w:val="auto"/>
                <w:sz w:val="21"/>
                <w:szCs w:val="21"/>
                <w:highlight w:val="none"/>
              </w:rPr>
              <w:t>合计</w:t>
            </w:r>
          </w:p>
        </w:tc>
      </w:tr>
      <w:tr w14:paraId="561E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exact"/>
          <w:jc w:val="center"/>
        </w:trPr>
        <w:tc>
          <w:tcPr>
            <w:tcW w:w="1416" w:type="dxa"/>
            <w:vAlign w:val="center"/>
          </w:tcPr>
          <w:p w14:paraId="39A45732">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27" w:name="_Toc28226"/>
            <w:r>
              <w:rPr>
                <w:rFonts w:hint="eastAsia" w:ascii="宋体" w:hAnsi="宋体"/>
                <w:color w:val="auto"/>
                <w:sz w:val="21"/>
                <w:szCs w:val="21"/>
                <w:highlight w:val="none"/>
              </w:rPr>
              <w:t>1</w:t>
            </w:r>
            <w:bookmarkEnd w:id="127"/>
          </w:p>
        </w:tc>
        <w:tc>
          <w:tcPr>
            <w:tcW w:w="1415" w:type="dxa"/>
            <w:vAlign w:val="center"/>
          </w:tcPr>
          <w:p w14:paraId="39CE0909">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如：装修、设计、设备、智慧化打造等等</w:t>
            </w:r>
          </w:p>
        </w:tc>
        <w:tc>
          <w:tcPr>
            <w:tcW w:w="1296" w:type="dxa"/>
            <w:vAlign w:val="center"/>
          </w:tcPr>
          <w:p w14:paraId="65C0073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5782640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1FFEA07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7641549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5F04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2D14FC18">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28" w:name="_Toc4019"/>
            <w:r>
              <w:rPr>
                <w:rFonts w:hint="eastAsia" w:ascii="宋体" w:hAnsi="宋体"/>
                <w:color w:val="auto"/>
                <w:sz w:val="21"/>
                <w:szCs w:val="21"/>
                <w:highlight w:val="none"/>
              </w:rPr>
              <w:t>2</w:t>
            </w:r>
            <w:bookmarkEnd w:id="128"/>
          </w:p>
        </w:tc>
        <w:tc>
          <w:tcPr>
            <w:tcW w:w="1415" w:type="dxa"/>
            <w:vAlign w:val="center"/>
          </w:tcPr>
          <w:p w14:paraId="3A399CA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vAlign w:val="center"/>
          </w:tcPr>
          <w:p w14:paraId="3D9BF2F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3AFE603B">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1255EE7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3433D5F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0581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4C714273">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29" w:name="_Toc30470"/>
            <w:r>
              <w:rPr>
                <w:rFonts w:hint="eastAsia" w:ascii="宋体" w:hAnsi="宋体"/>
                <w:color w:val="auto"/>
                <w:sz w:val="21"/>
                <w:szCs w:val="21"/>
                <w:highlight w:val="none"/>
              </w:rPr>
              <w:t>3</w:t>
            </w:r>
            <w:bookmarkEnd w:id="129"/>
          </w:p>
        </w:tc>
        <w:tc>
          <w:tcPr>
            <w:tcW w:w="1415" w:type="dxa"/>
            <w:vAlign w:val="center"/>
          </w:tcPr>
          <w:p w14:paraId="30A3E94B">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vAlign w:val="center"/>
          </w:tcPr>
          <w:p w14:paraId="68ACF0E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4FEC4C8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4728DD6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119655A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25D7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50D030BC">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30" w:name="_Toc28235"/>
            <w:r>
              <w:rPr>
                <w:rFonts w:hint="eastAsia" w:ascii="宋体" w:hAnsi="宋体"/>
                <w:color w:val="auto"/>
                <w:sz w:val="21"/>
                <w:szCs w:val="21"/>
                <w:highlight w:val="none"/>
              </w:rPr>
              <w:t>4</w:t>
            </w:r>
            <w:bookmarkEnd w:id="130"/>
          </w:p>
        </w:tc>
        <w:tc>
          <w:tcPr>
            <w:tcW w:w="1415" w:type="dxa"/>
            <w:vAlign w:val="center"/>
          </w:tcPr>
          <w:p w14:paraId="736C2F9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vAlign w:val="center"/>
          </w:tcPr>
          <w:p w14:paraId="5B2E709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4EDBA296">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63D0C809">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1CE64B4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1C83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7AADD8DD">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31" w:name="_Toc4148"/>
            <w:r>
              <w:rPr>
                <w:rFonts w:hint="eastAsia" w:ascii="宋体" w:hAnsi="宋体"/>
                <w:color w:val="auto"/>
                <w:sz w:val="21"/>
                <w:szCs w:val="21"/>
                <w:highlight w:val="none"/>
              </w:rPr>
              <w:t>5</w:t>
            </w:r>
            <w:bookmarkEnd w:id="131"/>
          </w:p>
        </w:tc>
        <w:tc>
          <w:tcPr>
            <w:tcW w:w="1415" w:type="dxa"/>
            <w:vAlign w:val="center"/>
          </w:tcPr>
          <w:p w14:paraId="3EA7FE5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vAlign w:val="center"/>
          </w:tcPr>
          <w:p w14:paraId="172E496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436D581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20E0A1F9">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231E6A9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77DE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5A0B2838">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32" w:name="_Toc9472"/>
            <w:r>
              <w:rPr>
                <w:rFonts w:hint="eastAsia" w:ascii="宋体" w:hAnsi="宋体"/>
                <w:color w:val="auto"/>
                <w:sz w:val="21"/>
                <w:szCs w:val="21"/>
                <w:highlight w:val="none"/>
              </w:rPr>
              <w:t>6</w:t>
            </w:r>
            <w:bookmarkEnd w:id="132"/>
          </w:p>
        </w:tc>
        <w:tc>
          <w:tcPr>
            <w:tcW w:w="1415" w:type="dxa"/>
            <w:vAlign w:val="center"/>
          </w:tcPr>
          <w:p w14:paraId="3B91D2E9">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vAlign w:val="center"/>
          </w:tcPr>
          <w:p w14:paraId="1B1D95C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0E59DF7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1C4D4EDB">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25D4C6B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414E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2E4DF692">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33" w:name="_Toc505"/>
            <w:r>
              <w:rPr>
                <w:rFonts w:hint="eastAsia" w:ascii="宋体" w:hAnsi="宋体"/>
                <w:color w:val="auto"/>
                <w:sz w:val="21"/>
                <w:szCs w:val="21"/>
                <w:highlight w:val="none"/>
              </w:rPr>
              <w:t>7</w:t>
            </w:r>
            <w:bookmarkEnd w:id="133"/>
          </w:p>
        </w:tc>
        <w:tc>
          <w:tcPr>
            <w:tcW w:w="1415" w:type="dxa"/>
            <w:vAlign w:val="center"/>
          </w:tcPr>
          <w:p w14:paraId="45C8B2F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vAlign w:val="center"/>
          </w:tcPr>
          <w:p w14:paraId="4C08B35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13B42D6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107375F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38DC908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31BA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1416" w:type="dxa"/>
            <w:vAlign w:val="center"/>
          </w:tcPr>
          <w:p w14:paraId="4D9ECB1B">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34" w:name="_Toc14371"/>
            <w:r>
              <w:rPr>
                <w:rFonts w:hint="eastAsia" w:ascii="宋体" w:hAnsi="宋体"/>
                <w:color w:val="auto"/>
                <w:sz w:val="21"/>
                <w:szCs w:val="21"/>
                <w:highlight w:val="none"/>
              </w:rPr>
              <w:t>8</w:t>
            </w:r>
            <w:bookmarkEnd w:id="134"/>
          </w:p>
        </w:tc>
        <w:tc>
          <w:tcPr>
            <w:tcW w:w="1415" w:type="dxa"/>
            <w:vAlign w:val="center"/>
          </w:tcPr>
          <w:p w14:paraId="56B7B3F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2"/>
                <w:szCs w:val="21"/>
                <w:highlight w:val="none"/>
              </w:rPr>
            </w:pPr>
          </w:p>
        </w:tc>
        <w:tc>
          <w:tcPr>
            <w:tcW w:w="1296" w:type="dxa"/>
            <w:vAlign w:val="center"/>
          </w:tcPr>
          <w:p w14:paraId="22125DAB">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7AB7AFD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3D7B6E8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01DE01B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1A7B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272AACC4">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35" w:name="_Toc4307"/>
            <w:r>
              <w:rPr>
                <w:rFonts w:hint="eastAsia" w:ascii="宋体" w:hAnsi="宋体"/>
                <w:color w:val="auto"/>
                <w:sz w:val="21"/>
                <w:szCs w:val="21"/>
                <w:highlight w:val="none"/>
              </w:rPr>
              <w:t>9</w:t>
            </w:r>
            <w:bookmarkEnd w:id="135"/>
          </w:p>
        </w:tc>
        <w:tc>
          <w:tcPr>
            <w:tcW w:w="1415" w:type="dxa"/>
            <w:vAlign w:val="center"/>
          </w:tcPr>
          <w:p w14:paraId="13C7E50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2"/>
                <w:szCs w:val="21"/>
                <w:highlight w:val="none"/>
              </w:rPr>
            </w:pPr>
          </w:p>
        </w:tc>
        <w:tc>
          <w:tcPr>
            <w:tcW w:w="1296" w:type="dxa"/>
            <w:vAlign w:val="center"/>
          </w:tcPr>
          <w:p w14:paraId="131F7DE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0399845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4ED4676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0B7F4F8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5A6F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195860FB">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36" w:name="_Toc11753"/>
            <w:r>
              <w:rPr>
                <w:rFonts w:hint="eastAsia" w:ascii="宋体" w:hAnsi="宋体"/>
                <w:color w:val="auto"/>
                <w:sz w:val="21"/>
                <w:szCs w:val="21"/>
                <w:highlight w:val="none"/>
              </w:rPr>
              <w:t>10</w:t>
            </w:r>
            <w:bookmarkEnd w:id="136"/>
          </w:p>
        </w:tc>
        <w:tc>
          <w:tcPr>
            <w:tcW w:w="1415" w:type="dxa"/>
            <w:vAlign w:val="center"/>
          </w:tcPr>
          <w:p w14:paraId="68E8692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2"/>
                <w:szCs w:val="21"/>
                <w:highlight w:val="none"/>
              </w:rPr>
            </w:pPr>
          </w:p>
        </w:tc>
        <w:tc>
          <w:tcPr>
            <w:tcW w:w="1296" w:type="dxa"/>
            <w:vAlign w:val="center"/>
          </w:tcPr>
          <w:p w14:paraId="4B37C666">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6D9DC50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3195375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71C6F26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024C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39182F7B">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37" w:name="_Toc22313"/>
            <w:r>
              <w:rPr>
                <w:rFonts w:hint="eastAsia" w:ascii="宋体" w:hAnsi="宋体"/>
                <w:color w:val="auto"/>
                <w:sz w:val="21"/>
                <w:szCs w:val="21"/>
                <w:highlight w:val="none"/>
              </w:rPr>
              <w:t>11</w:t>
            </w:r>
            <w:bookmarkEnd w:id="137"/>
          </w:p>
        </w:tc>
        <w:tc>
          <w:tcPr>
            <w:tcW w:w="1415" w:type="dxa"/>
            <w:vAlign w:val="center"/>
          </w:tcPr>
          <w:p w14:paraId="2010A50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r>
              <w:rPr>
                <w:rFonts w:hint="eastAsia" w:ascii="宋体" w:hAnsi="宋体"/>
                <w:color w:val="auto"/>
                <w:sz w:val="21"/>
                <w:szCs w:val="21"/>
                <w:highlight w:val="none"/>
              </w:rPr>
              <w:t>……</w:t>
            </w:r>
          </w:p>
        </w:tc>
        <w:tc>
          <w:tcPr>
            <w:tcW w:w="1296" w:type="dxa"/>
            <w:vAlign w:val="center"/>
          </w:tcPr>
          <w:p w14:paraId="79CBFBC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17FB1D5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2E47F5B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15671E99">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07C1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750B98D9">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38" w:name="_Toc14354"/>
            <w:r>
              <w:rPr>
                <w:rFonts w:hint="eastAsia" w:ascii="宋体" w:hAnsi="宋体"/>
                <w:color w:val="auto"/>
                <w:sz w:val="21"/>
                <w:szCs w:val="21"/>
                <w:highlight w:val="none"/>
              </w:rPr>
              <w:t>合计</w:t>
            </w:r>
            <w:bookmarkEnd w:id="138"/>
          </w:p>
        </w:tc>
        <w:tc>
          <w:tcPr>
            <w:tcW w:w="1415" w:type="dxa"/>
            <w:vAlign w:val="center"/>
          </w:tcPr>
          <w:p w14:paraId="606430B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vAlign w:val="center"/>
          </w:tcPr>
          <w:p w14:paraId="55A40AC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5FD4714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vAlign w:val="center"/>
          </w:tcPr>
          <w:p w14:paraId="59738A8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vAlign w:val="center"/>
          </w:tcPr>
          <w:p w14:paraId="6DF6146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bl>
    <w:p w14:paraId="799A6BE1">
      <w:pPr>
        <w:kinsoku/>
        <w:wordWrap/>
        <w:overflowPunct/>
        <w:topLinePunct w:val="0"/>
        <w:autoSpaceDE/>
        <w:autoSpaceDN/>
        <w:bidi w:val="0"/>
        <w:spacing w:line="500" w:lineRule="exact"/>
        <w:ind w:firstLine="480" w:firstLineChars="200"/>
        <w:rPr>
          <w:rFonts w:ascii="宋体" w:hAnsi="宋体"/>
          <w:color w:val="auto"/>
          <w:sz w:val="24"/>
          <w:szCs w:val="28"/>
          <w:highlight w:val="none"/>
        </w:rPr>
      </w:pPr>
    </w:p>
    <w:p w14:paraId="5D2BD4E8">
      <w:pPr>
        <w:kinsoku/>
        <w:wordWrap/>
        <w:overflowPunct/>
        <w:topLinePunct w:val="0"/>
        <w:autoSpaceDE/>
        <w:autoSpaceDN/>
        <w:bidi w:val="0"/>
        <w:spacing w:line="500" w:lineRule="exact"/>
        <w:ind w:firstLine="600" w:firstLineChars="250"/>
        <w:rPr>
          <w:rFonts w:ascii="宋体" w:hAnsi="宋体"/>
          <w:color w:val="auto"/>
          <w:sz w:val="24"/>
          <w:szCs w:val="28"/>
          <w:highlight w:val="none"/>
        </w:rPr>
      </w:pPr>
      <w:r>
        <w:rPr>
          <w:rFonts w:hint="eastAsia" w:ascii="宋体" w:hAnsi="宋体"/>
          <w:color w:val="auto"/>
          <w:sz w:val="24"/>
          <w:szCs w:val="28"/>
          <w:highlight w:val="none"/>
          <w:lang w:eastAsia="zh-CN"/>
        </w:rPr>
        <w:t>供应商</w:t>
      </w:r>
      <w:r>
        <w:rPr>
          <w:rFonts w:hint="eastAsia" w:ascii="宋体" w:hAnsi="宋体"/>
          <w:color w:val="auto"/>
          <w:sz w:val="24"/>
          <w:szCs w:val="28"/>
          <w:highlight w:val="none"/>
        </w:rPr>
        <w:t>：                           法定代表人或法定代表人授权代表：</w:t>
      </w:r>
    </w:p>
    <w:p w14:paraId="05DAC720">
      <w:pPr>
        <w:kinsoku/>
        <w:wordWrap/>
        <w:overflowPunct/>
        <w:topLinePunct w:val="0"/>
        <w:autoSpaceDE/>
        <w:autoSpaceDN/>
        <w:bidi w:val="0"/>
        <w:spacing w:line="500" w:lineRule="exact"/>
        <w:rPr>
          <w:rFonts w:ascii="宋体" w:hAnsi="宋体"/>
          <w:color w:val="auto"/>
          <w:sz w:val="24"/>
          <w:szCs w:val="28"/>
          <w:highlight w:val="none"/>
        </w:rPr>
      </w:pPr>
      <w:r>
        <w:rPr>
          <w:rFonts w:hint="eastAsia" w:ascii="宋体" w:hAnsi="宋体"/>
          <w:color w:val="auto"/>
          <w:sz w:val="24"/>
          <w:szCs w:val="28"/>
          <w:highlight w:val="none"/>
        </w:rPr>
        <w:t xml:space="preserve">  （</w:t>
      </w:r>
      <w:r>
        <w:rPr>
          <w:rFonts w:hint="eastAsia" w:ascii="宋体" w:hAnsi="宋体"/>
          <w:color w:val="auto"/>
          <w:sz w:val="24"/>
          <w:szCs w:val="28"/>
          <w:highlight w:val="none"/>
          <w:lang w:eastAsia="zh-CN"/>
        </w:rPr>
        <w:t>供应商</w:t>
      </w:r>
      <w:r>
        <w:rPr>
          <w:rFonts w:hint="eastAsia" w:ascii="宋体" w:hAnsi="宋体"/>
          <w:color w:val="auto"/>
          <w:sz w:val="24"/>
          <w:szCs w:val="28"/>
          <w:highlight w:val="none"/>
        </w:rPr>
        <w:t>公章）                               （签字或盖章）</w:t>
      </w:r>
    </w:p>
    <w:p w14:paraId="24FA9C49">
      <w:pPr>
        <w:kinsoku/>
        <w:wordWrap/>
        <w:overflowPunct/>
        <w:topLinePunct w:val="0"/>
        <w:autoSpaceDE/>
        <w:autoSpaceDN/>
        <w:bidi w:val="0"/>
        <w:snapToGrid w:val="0"/>
        <w:spacing w:line="500" w:lineRule="exact"/>
        <w:ind w:firstLine="720" w:firstLineChars="300"/>
        <w:rPr>
          <w:rFonts w:ascii="宋体" w:hAnsi="宋体"/>
          <w:color w:val="auto"/>
          <w:sz w:val="24"/>
          <w:szCs w:val="28"/>
          <w:highlight w:val="none"/>
        </w:rPr>
      </w:pPr>
      <w:r>
        <w:rPr>
          <w:rFonts w:hint="eastAsia" w:ascii="宋体" w:hAnsi="宋体"/>
          <w:color w:val="auto"/>
          <w:sz w:val="24"/>
          <w:szCs w:val="28"/>
          <w:highlight w:val="none"/>
        </w:rPr>
        <w:t xml:space="preserve">                                           年     月     日</w:t>
      </w:r>
    </w:p>
    <w:p w14:paraId="5F1DBA8D">
      <w:pPr>
        <w:widowControl w:val="0"/>
        <w:kinsoku/>
        <w:wordWrap/>
        <w:overflowPunct/>
        <w:topLinePunct w:val="0"/>
        <w:autoSpaceDE/>
        <w:autoSpaceDN/>
        <w:bidi w:val="0"/>
        <w:spacing w:line="500" w:lineRule="exact"/>
        <w:ind w:firstLine="480" w:firstLineChars="200"/>
        <w:jc w:val="both"/>
        <w:rPr>
          <w:rFonts w:ascii="宋体" w:hAnsi="宋体"/>
          <w:color w:val="auto"/>
          <w:sz w:val="24"/>
          <w:szCs w:val="28"/>
          <w:highlight w:val="none"/>
        </w:rPr>
      </w:pPr>
      <w:r>
        <w:rPr>
          <w:rFonts w:hint="eastAsia" w:ascii="宋体" w:hAnsi="宋体"/>
          <w:color w:val="auto"/>
          <w:sz w:val="24"/>
          <w:szCs w:val="28"/>
          <w:highlight w:val="none"/>
          <w:lang w:val="en-US" w:eastAsia="zh-CN"/>
        </w:rPr>
        <w:t>2.</w:t>
      </w:r>
      <w:r>
        <w:rPr>
          <w:rFonts w:hint="eastAsia" w:ascii="宋体" w:hAnsi="宋体" w:eastAsia="宋体" w:cs="Times New Roman"/>
          <w:color w:val="auto"/>
          <w:kern w:val="2"/>
          <w:sz w:val="24"/>
          <w:szCs w:val="28"/>
          <w:highlight w:val="none"/>
          <w:lang w:val="en-US" w:eastAsia="zh-CN" w:bidi="ar-SA"/>
        </w:rPr>
        <w:t>项目名称：重庆第二师范学院南山校区荟园食堂联合运营项目</w:t>
      </w:r>
      <w:r>
        <w:rPr>
          <w:rFonts w:hint="eastAsia" w:ascii="宋体" w:hAnsi="宋体" w:cs="Times New Roman"/>
          <w:color w:val="auto"/>
          <w:kern w:val="2"/>
          <w:sz w:val="24"/>
          <w:szCs w:val="28"/>
          <w:highlight w:val="none"/>
          <w:lang w:val="en-US" w:eastAsia="zh-CN" w:bidi="ar-SA"/>
        </w:rPr>
        <w:t>（智慧化食堂建设）</w:t>
      </w:r>
    </w:p>
    <w:tbl>
      <w:tblPr>
        <w:tblStyle w:val="18"/>
        <w:tblW w:w="43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415"/>
        <w:gridCol w:w="1296"/>
        <w:gridCol w:w="1931"/>
        <w:gridCol w:w="1166"/>
        <w:gridCol w:w="1182"/>
      </w:tblGrid>
      <w:tr w14:paraId="542C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exact"/>
          <w:jc w:val="center"/>
        </w:trPr>
        <w:tc>
          <w:tcPr>
            <w:tcW w:w="1416" w:type="dxa"/>
            <w:vAlign w:val="center"/>
          </w:tcPr>
          <w:p w14:paraId="600DFE7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b/>
                <w:color w:val="auto"/>
                <w:sz w:val="21"/>
                <w:szCs w:val="21"/>
                <w:highlight w:val="none"/>
              </w:rPr>
            </w:pPr>
            <w:r>
              <w:rPr>
                <w:rFonts w:hint="eastAsia" w:ascii="宋体" w:hAnsi="宋体"/>
                <w:b/>
                <w:color w:val="auto"/>
                <w:sz w:val="21"/>
                <w:szCs w:val="21"/>
                <w:highlight w:val="none"/>
              </w:rPr>
              <w:t>序号</w:t>
            </w:r>
          </w:p>
        </w:tc>
        <w:tc>
          <w:tcPr>
            <w:tcW w:w="1415" w:type="dxa"/>
            <w:vAlign w:val="center"/>
          </w:tcPr>
          <w:p w14:paraId="04A6928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项目</w:t>
            </w:r>
          </w:p>
        </w:tc>
        <w:tc>
          <w:tcPr>
            <w:tcW w:w="1296" w:type="dxa"/>
            <w:vAlign w:val="center"/>
          </w:tcPr>
          <w:p w14:paraId="7F543A1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b/>
                <w:color w:val="auto"/>
                <w:sz w:val="20"/>
                <w:szCs w:val="21"/>
                <w:highlight w:val="none"/>
              </w:rPr>
            </w:pPr>
          </w:p>
        </w:tc>
        <w:tc>
          <w:tcPr>
            <w:tcW w:w="1931" w:type="dxa"/>
            <w:vAlign w:val="center"/>
          </w:tcPr>
          <w:p w14:paraId="20A26A0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b/>
                <w:color w:val="auto"/>
                <w:sz w:val="21"/>
                <w:szCs w:val="21"/>
                <w:highlight w:val="none"/>
              </w:rPr>
            </w:pPr>
            <w:r>
              <w:rPr>
                <w:rFonts w:hint="eastAsia" w:ascii="宋体" w:hAnsi="宋体"/>
                <w:b/>
                <w:color w:val="auto"/>
                <w:sz w:val="21"/>
                <w:szCs w:val="21"/>
                <w:highlight w:val="none"/>
              </w:rPr>
              <w:t>数量</w:t>
            </w:r>
          </w:p>
        </w:tc>
        <w:tc>
          <w:tcPr>
            <w:tcW w:w="1166" w:type="dxa"/>
            <w:vAlign w:val="center"/>
          </w:tcPr>
          <w:p w14:paraId="6210F74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b/>
                <w:color w:val="auto"/>
                <w:sz w:val="21"/>
                <w:szCs w:val="21"/>
                <w:highlight w:val="none"/>
              </w:rPr>
            </w:pPr>
            <w:r>
              <w:rPr>
                <w:rFonts w:hint="eastAsia" w:ascii="宋体" w:hAnsi="宋体"/>
                <w:b/>
                <w:color w:val="auto"/>
                <w:sz w:val="21"/>
                <w:szCs w:val="21"/>
                <w:highlight w:val="none"/>
              </w:rPr>
              <w:t>单价</w:t>
            </w:r>
          </w:p>
        </w:tc>
        <w:tc>
          <w:tcPr>
            <w:tcW w:w="1182" w:type="dxa"/>
            <w:vAlign w:val="center"/>
          </w:tcPr>
          <w:p w14:paraId="7A78E9A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b/>
                <w:color w:val="auto"/>
                <w:sz w:val="21"/>
                <w:szCs w:val="21"/>
                <w:highlight w:val="none"/>
              </w:rPr>
            </w:pPr>
            <w:r>
              <w:rPr>
                <w:rFonts w:hint="eastAsia" w:ascii="宋体" w:hAnsi="宋体"/>
                <w:b/>
                <w:color w:val="auto"/>
                <w:sz w:val="21"/>
                <w:szCs w:val="21"/>
                <w:highlight w:val="none"/>
              </w:rPr>
              <w:t>合计</w:t>
            </w:r>
          </w:p>
        </w:tc>
      </w:tr>
      <w:tr w14:paraId="5207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exact"/>
          <w:jc w:val="center"/>
        </w:trPr>
        <w:tc>
          <w:tcPr>
            <w:tcW w:w="1416" w:type="dxa"/>
            <w:vAlign w:val="center"/>
          </w:tcPr>
          <w:p w14:paraId="05183EA7">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39" w:name="_Toc9416"/>
            <w:r>
              <w:rPr>
                <w:rFonts w:hint="eastAsia" w:ascii="宋体" w:hAnsi="宋体"/>
                <w:color w:val="auto"/>
                <w:sz w:val="21"/>
                <w:szCs w:val="21"/>
                <w:highlight w:val="none"/>
              </w:rPr>
              <w:t>1</w:t>
            </w:r>
            <w:bookmarkEnd w:id="139"/>
          </w:p>
        </w:tc>
        <w:tc>
          <w:tcPr>
            <w:tcW w:w="1415" w:type="dxa"/>
            <w:vAlign w:val="center"/>
          </w:tcPr>
          <w:p w14:paraId="42D4DEB8">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如：食材溯源系统</w:t>
            </w:r>
            <w:r>
              <w:rPr>
                <w:rFonts w:hint="eastAsia" w:ascii="宋体" w:hAnsi="宋体"/>
                <w:color w:val="auto"/>
                <w:sz w:val="21"/>
                <w:szCs w:val="21"/>
                <w:highlight w:val="none"/>
              </w:rPr>
              <w:t xml:space="preserve">       </w:t>
            </w:r>
            <w:r>
              <w:rPr>
                <w:rFonts w:hint="eastAsia" w:ascii="宋体" w:hAnsi="宋体"/>
                <w:color w:val="auto"/>
                <w:sz w:val="24"/>
                <w:szCs w:val="28"/>
                <w:highlight w:val="none"/>
              </w:rPr>
              <w:t xml:space="preserve"> </w:t>
            </w:r>
          </w:p>
        </w:tc>
        <w:tc>
          <w:tcPr>
            <w:tcW w:w="1296" w:type="dxa"/>
          </w:tcPr>
          <w:p w14:paraId="0B9796A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47A4F05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0C5C610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788148C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33BA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2F335FAF">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40" w:name="_Toc7"/>
            <w:r>
              <w:rPr>
                <w:rFonts w:hint="eastAsia" w:ascii="宋体" w:hAnsi="宋体"/>
                <w:color w:val="auto"/>
                <w:sz w:val="21"/>
                <w:szCs w:val="21"/>
                <w:highlight w:val="none"/>
              </w:rPr>
              <w:t>2</w:t>
            </w:r>
            <w:bookmarkEnd w:id="140"/>
          </w:p>
        </w:tc>
        <w:tc>
          <w:tcPr>
            <w:tcW w:w="1415" w:type="dxa"/>
            <w:vAlign w:val="center"/>
          </w:tcPr>
          <w:p w14:paraId="29BB456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tcPr>
          <w:p w14:paraId="7B76F0A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12689D2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2AB00CEB">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435BEAF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33AE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54E134CC">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41" w:name="_Toc23323"/>
            <w:r>
              <w:rPr>
                <w:rFonts w:hint="eastAsia" w:ascii="宋体" w:hAnsi="宋体"/>
                <w:color w:val="auto"/>
                <w:sz w:val="21"/>
                <w:szCs w:val="21"/>
                <w:highlight w:val="none"/>
              </w:rPr>
              <w:t>3</w:t>
            </w:r>
            <w:bookmarkEnd w:id="141"/>
          </w:p>
        </w:tc>
        <w:tc>
          <w:tcPr>
            <w:tcW w:w="1415" w:type="dxa"/>
            <w:vAlign w:val="center"/>
          </w:tcPr>
          <w:p w14:paraId="4D29610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tcPr>
          <w:p w14:paraId="33C4678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61DDF06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27387AE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4CC4F55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0E39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503642FF">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42" w:name="_Toc20633"/>
            <w:r>
              <w:rPr>
                <w:rFonts w:hint="eastAsia" w:ascii="宋体" w:hAnsi="宋体"/>
                <w:color w:val="auto"/>
                <w:sz w:val="21"/>
                <w:szCs w:val="21"/>
                <w:highlight w:val="none"/>
              </w:rPr>
              <w:t>4</w:t>
            </w:r>
            <w:bookmarkEnd w:id="142"/>
          </w:p>
        </w:tc>
        <w:tc>
          <w:tcPr>
            <w:tcW w:w="1415" w:type="dxa"/>
            <w:vAlign w:val="center"/>
          </w:tcPr>
          <w:p w14:paraId="72ADC69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tcPr>
          <w:p w14:paraId="2A4CB3FA">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462E2FB6">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0D1BF249">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2EA7454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636F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0FC3854C">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43" w:name="_Toc13404"/>
            <w:r>
              <w:rPr>
                <w:rFonts w:hint="eastAsia" w:ascii="宋体" w:hAnsi="宋体"/>
                <w:color w:val="auto"/>
                <w:sz w:val="21"/>
                <w:szCs w:val="21"/>
                <w:highlight w:val="none"/>
              </w:rPr>
              <w:t>5</w:t>
            </w:r>
            <w:bookmarkEnd w:id="143"/>
          </w:p>
        </w:tc>
        <w:tc>
          <w:tcPr>
            <w:tcW w:w="1415" w:type="dxa"/>
            <w:vAlign w:val="center"/>
          </w:tcPr>
          <w:p w14:paraId="4B81A3F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tcPr>
          <w:p w14:paraId="105571D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27263D5B">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69DE5B1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58262D3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4076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1D61FF83">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44" w:name="_Toc29449"/>
            <w:r>
              <w:rPr>
                <w:rFonts w:hint="eastAsia" w:ascii="宋体" w:hAnsi="宋体"/>
                <w:color w:val="auto"/>
                <w:sz w:val="21"/>
                <w:szCs w:val="21"/>
                <w:highlight w:val="none"/>
              </w:rPr>
              <w:t>6</w:t>
            </w:r>
            <w:bookmarkEnd w:id="144"/>
          </w:p>
        </w:tc>
        <w:tc>
          <w:tcPr>
            <w:tcW w:w="1415" w:type="dxa"/>
            <w:vAlign w:val="center"/>
          </w:tcPr>
          <w:p w14:paraId="4FAF85B0">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tcPr>
          <w:p w14:paraId="60BCCBD1">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09FF1C5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689BEDB6">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20B5B63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7585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47990CF6">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45" w:name="_Toc5392"/>
            <w:r>
              <w:rPr>
                <w:rFonts w:hint="eastAsia" w:ascii="宋体" w:hAnsi="宋体"/>
                <w:color w:val="auto"/>
                <w:sz w:val="21"/>
                <w:szCs w:val="21"/>
                <w:highlight w:val="none"/>
              </w:rPr>
              <w:t>7</w:t>
            </w:r>
            <w:bookmarkEnd w:id="145"/>
          </w:p>
        </w:tc>
        <w:tc>
          <w:tcPr>
            <w:tcW w:w="1415" w:type="dxa"/>
            <w:vAlign w:val="center"/>
          </w:tcPr>
          <w:p w14:paraId="700656A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tcPr>
          <w:p w14:paraId="0902F39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7F0B7CC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073CB1A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69D1212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4F7B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1416" w:type="dxa"/>
            <w:vAlign w:val="center"/>
          </w:tcPr>
          <w:p w14:paraId="0FE345D2">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46" w:name="_Toc259"/>
            <w:r>
              <w:rPr>
                <w:rFonts w:hint="eastAsia" w:ascii="宋体" w:hAnsi="宋体"/>
                <w:color w:val="auto"/>
                <w:sz w:val="21"/>
                <w:szCs w:val="21"/>
                <w:highlight w:val="none"/>
              </w:rPr>
              <w:t>8</w:t>
            </w:r>
            <w:bookmarkEnd w:id="146"/>
          </w:p>
        </w:tc>
        <w:tc>
          <w:tcPr>
            <w:tcW w:w="1415" w:type="dxa"/>
            <w:vAlign w:val="center"/>
          </w:tcPr>
          <w:p w14:paraId="13F762D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2"/>
                <w:szCs w:val="21"/>
                <w:highlight w:val="none"/>
              </w:rPr>
            </w:pPr>
          </w:p>
        </w:tc>
        <w:tc>
          <w:tcPr>
            <w:tcW w:w="1296" w:type="dxa"/>
          </w:tcPr>
          <w:p w14:paraId="3AACF26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1627604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16DC7E0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347EB7B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30E0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2F479B03">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47" w:name="_Toc17028"/>
            <w:r>
              <w:rPr>
                <w:rFonts w:hint="eastAsia" w:ascii="宋体" w:hAnsi="宋体"/>
                <w:color w:val="auto"/>
                <w:sz w:val="21"/>
                <w:szCs w:val="21"/>
                <w:highlight w:val="none"/>
              </w:rPr>
              <w:t>9</w:t>
            </w:r>
            <w:bookmarkEnd w:id="147"/>
          </w:p>
        </w:tc>
        <w:tc>
          <w:tcPr>
            <w:tcW w:w="1415" w:type="dxa"/>
            <w:vAlign w:val="center"/>
          </w:tcPr>
          <w:p w14:paraId="6D209DE6">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2"/>
                <w:szCs w:val="21"/>
                <w:highlight w:val="none"/>
              </w:rPr>
            </w:pPr>
          </w:p>
        </w:tc>
        <w:tc>
          <w:tcPr>
            <w:tcW w:w="1296" w:type="dxa"/>
          </w:tcPr>
          <w:p w14:paraId="4D91A519">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5D8BFA25">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0FD23D4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4A811C5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5BD5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6D2FE4AB">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48" w:name="_Toc15274"/>
            <w:r>
              <w:rPr>
                <w:rFonts w:hint="eastAsia" w:ascii="宋体" w:hAnsi="宋体"/>
                <w:color w:val="auto"/>
                <w:sz w:val="21"/>
                <w:szCs w:val="21"/>
                <w:highlight w:val="none"/>
              </w:rPr>
              <w:t>10</w:t>
            </w:r>
            <w:bookmarkEnd w:id="148"/>
          </w:p>
        </w:tc>
        <w:tc>
          <w:tcPr>
            <w:tcW w:w="1415" w:type="dxa"/>
            <w:vAlign w:val="center"/>
          </w:tcPr>
          <w:p w14:paraId="70796B7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2"/>
                <w:szCs w:val="21"/>
                <w:highlight w:val="none"/>
              </w:rPr>
            </w:pPr>
          </w:p>
        </w:tc>
        <w:tc>
          <w:tcPr>
            <w:tcW w:w="1296" w:type="dxa"/>
          </w:tcPr>
          <w:p w14:paraId="7B7FDFB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40DF723E">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7C2AF40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07566842">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1944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6B5E530B">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49" w:name="_Toc28205"/>
            <w:r>
              <w:rPr>
                <w:rFonts w:hint="eastAsia" w:ascii="宋体" w:hAnsi="宋体"/>
                <w:color w:val="auto"/>
                <w:sz w:val="21"/>
                <w:szCs w:val="21"/>
                <w:highlight w:val="none"/>
              </w:rPr>
              <w:t>11</w:t>
            </w:r>
            <w:bookmarkEnd w:id="149"/>
          </w:p>
        </w:tc>
        <w:tc>
          <w:tcPr>
            <w:tcW w:w="1415" w:type="dxa"/>
            <w:vAlign w:val="center"/>
          </w:tcPr>
          <w:p w14:paraId="3A4577DD">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r>
              <w:rPr>
                <w:rFonts w:hint="eastAsia" w:ascii="宋体" w:hAnsi="宋体"/>
                <w:color w:val="auto"/>
                <w:sz w:val="21"/>
                <w:szCs w:val="21"/>
                <w:highlight w:val="none"/>
              </w:rPr>
              <w:t>……</w:t>
            </w:r>
          </w:p>
        </w:tc>
        <w:tc>
          <w:tcPr>
            <w:tcW w:w="1296" w:type="dxa"/>
          </w:tcPr>
          <w:p w14:paraId="5D5EE0EB">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0B5DF2C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7A265364">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0CE5DA1F">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r w14:paraId="7413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6" w:type="dxa"/>
            <w:vAlign w:val="center"/>
          </w:tcPr>
          <w:p w14:paraId="48A32F70">
            <w:pPr>
              <w:pStyle w:val="8"/>
              <w:keepNext w:val="0"/>
              <w:keepLines w:val="0"/>
              <w:suppressLineNumbers w:val="0"/>
              <w:kinsoku/>
              <w:wordWrap/>
              <w:overflowPunct/>
              <w:topLinePunct w:val="0"/>
              <w:autoSpaceDE/>
              <w:autoSpaceDN/>
              <w:bidi w:val="0"/>
              <w:spacing w:before="0" w:beforeAutospacing="0" w:after="0" w:afterAutospacing="0" w:line="500" w:lineRule="exact"/>
              <w:ind w:left="0" w:right="0"/>
              <w:jc w:val="center"/>
              <w:outlineLvl w:val="0"/>
              <w:rPr>
                <w:rFonts w:ascii="宋体" w:hAnsi="宋体"/>
                <w:color w:val="auto"/>
                <w:sz w:val="21"/>
                <w:szCs w:val="21"/>
                <w:highlight w:val="none"/>
              </w:rPr>
            </w:pPr>
            <w:bookmarkStart w:id="150" w:name="_Toc14324"/>
            <w:r>
              <w:rPr>
                <w:rFonts w:hint="eastAsia" w:ascii="宋体" w:hAnsi="宋体"/>
                <w:color w:val="auto"/>
                <w:sz w:val="21"/>
                <w:szCs w:val="21"/>
                <w:highlight w:val="none"/>
              </w:rPr>
              <w:t>合计</w:t>
            </w:r>
            <w:bookmarkEnd w:id="150"/>
          </w:p>
        </w:tc>
        <w:tc>
          <w:tcPr>
            <w:tcW w:w="1415" w:type="dxa"/>
            <w:vAlign w:val="center"/>
          </w:tcPr>
          <w:p w14:paraId="033A83D3">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296" w:type="dxa"/>
          </w:tcPr>
          <w:p w14:paraId="6BB4ED78">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931" w:type="dxa"/>
            <w:vAlign w:val="center"/>
          </w:tcPr>
          <w:p w14:paraId="5FAC5CFC">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66" w:type="dxa"/>
          </w:tcPr>
          <w:p w14:paraId="741FBD9B">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c>
          <w:tcPr>
            <w:tcW w:w="1182" w:type="dxa"/>
          </w:tcPr>
          <w:p w14:paraId="3A742697">
            <w:pPr>
              <w:keepNext w:val="0"/>
              <w:keepLines w:val="0"/>
              <w:suppressLineNumbers w:val="0"/>
              <w:kinsoku/>
              <w:wordWrap/>
              <w:overflowPunct/>
              <w:topLinePunct w:val="0"/>
              <w:autoSpaceDE/>
              <w:autoSpaceDN/>
              <w:bidi w:val="0"/>
              <w:spacing w:before="0" w:beforeAutospacing="0" w:after="0" w:afterAutospacing="0" w:line="500" w:lineRule="exact"/>
              <w:ind w:left="0" w:right="0"/>
              <w:jc w:val="center"/>
              <w:rPr>
                <w:rFonts w:ascii="宋体" w:hAnsi="宋体"/>
                <w:color w:val="auto"/>
                <w:sz w:val="21"/>
                <w:szCs w:val="21"/>
                <w:highlight w:val="none"/>
              </w:rPr>
            </w:pPr>
          </w:p>
        </w:tc>
      </w:tr>
    </w:tbl>
    <w:p w14:paraId="7F7B7228">
      <w:pPr>
        <w:kinsoku/>
        <w:wordWrap/>
        <w:overflowPunct/>
        <w:topLinePunct w:val="0"/>
        <w:autoSpaceDE/>
        <w:autoSpaceDN/>
        <w:bidi w:val="0"/>
        <w:snapToGrid w:val="0"/>
        <w:spacing w:line="500" w:lineRule="exact"/>
        <w:ind w:firstLine="480" w:firstLineChars="200"/>
        <w:rPr>
          <w:rFonts w:hint="eastAsia" w:ascii="宋体" w:hAnsi="宋体"/>
          <w:color w:val="auto"/>
          <w:sz w:val="24"/>
          <w:szCs w:val="28"/>
          <w:highlight w:val="none"/>
          <w:lang w:val="en-US" w:eastAsia="zh-CN"/>
        </w:rPr>
      </w:pPr>
    </w:p>
    <w:p w14:paraId="3F158FB8">
      <w:pPr>
        <w:kinsoku/>
        <w:wordWrap/>
        <w:overflowPunct/>
        <w:topLinePunct w:val="0"/>
        <w:autoSpaceDE/>
        <w:autoSpaceDN/>
        <w:bidi w:val="0"/>
        <w:snapToGrid w:val="0"/>
        <w:spacing w:line="500" w:lineRule="exact"/>
        <w:ind w:firstLine="480" w:firstLineChars="200"/>
        <w:rPr>
          <w:rFonts w:ascii="宋体" w:hAnsi="宋体"/>
          <w:color w:val="auto"/>
          <w:sz w:val="24"/>
          <w:szCs w:val="28"/>
          <w:highlight w:val="none"/>
        </w:rPr>
      </w:pPr>
      <w:r>
        <w:rPr>
          <w:rFonts w:hint="eastAsia" w:ascii="宋体" w:hAnsi="宋体"/>
          <w:color w:val="auto"/>
          <w:sz w:val="24"/>
          <w:szCs w:val="28"/>
          <w:highlight w:val="none"/>
        </w:rPr>
        <w:t>注：</w:t>
      </w:r>
    </w:p>
    <w:p w14:paraId="55001120">
      <w:pPr>
        <w:kinsoku/>
        <w:wordWrap/>
        <w:overflowPunct/>
        <w:topLinePunct w:val="0"/>
        <w:autoSpaceDE/>
        <w:autoSpaceDN/>
        <w:bidi w:val="0"/>
        <w:snapToGrid w:val="0"/>
        <w:spacing w:line="500" w:lineRule="exact"/>
        <w:ind w:firstLine="480" w:firstLineChars="200"/>
        <w:rPr>
          <w:rFonts w:ascii="宋体" w:hAnsi="宋体"/>
          <w:color w:val="auto"/>
          <w:sz w:val="24"/>
          <w:szCs w:val="28"/>
          <w:highlight w:val="none"/>
        </w:rPr>
      </w:pPr>
      <w:r>
        <w:rPr>
          <w:rFonts w:hint="eastAsia" w:ascii="宋体" w:hAnsi="宋体"/>
          <w:color w:val="auto"/>
          <w:sz w:val="24"/>
          <w:szCs w:val="28"/>
          <w:highlight w:val="none"/>
        </w:rPr>
        <w:t>1.请</w:t>
      </w:r>
      <w:r>
        <w:rPr>
          <w:rFonts w:hint="eastAsia" w:ascii="宋体" w:hAnsi="宋体"/>
          <w:color w:val="auto"/>
          <w:sz w:val="24"/>
          <w:szCs w:val="28"/>
          <w:highlight w:val="none"/>
          <w:lang w:eastAsia="zh-CN"/>
        </w:rPr>
        <w:t>供应商</w:t>
      </w:r>
      <w:r>
        <w:rPr>
          <w:rFonts w:hint="eastAsia" w:ascii="宋体" w:hAnsi="宋体"/>
          <w:color w:val="auto"/>
          <w:sz w:val="24"/>
          <w:szCs w:val="28"/>
          <w:highlight w:val="none"/>
        </w:rPr>
        <w:t>完整填写本表；</w:t>
      </w:r>
    </w:p>
    <w:p w14:paraId="03873684">
      <w:pPr>
        <w:kinsoku/>
        <w:wordWrap/>
        <w:overflowPunct/>
        <w:topLinePunct w:val="0"/>
        <w:autoSpaceDE/>
        <w:autoSpaceDN/>
        <w:bidi w:val="0"/>
        <w:snapToGrid w:val="0"/>
        <w:spacing w:line="500" w:lineRule="exact"/>
        <w:ind w:firstLine="480" w:firstLineChars="200"/>
        <w:rPr>
          <w:rFonts w:ascii="宋体" w:hAnsi="宋体"/>
          <w:color w:val="auto"/>
          <w:sz w:val="24"/>
          <w:szCs w:val="28"/>
          <w:highlight w:val="none"/>
        </w:rPr>
      </w:pPr>
      <w:r>
        <w:rPr>
          <w:rFonts w:hint="eastAsia" w:ascii="宋体" w:hAnsi="宋体"/>
          <w:color w:val="auto"/>
          <w:sz w:val="24"/>
          <w:szCs w:val="28"/>
          <w:highlight w:val="none"/>
        </w:rPr>
        <w:t>2.该表可扩展，并逐页签字或盖章；</w:t>
      </w:r>
    </w:p>
    <w:p w14:paraId="656ADA91">
      <w:pPr>
        <w:kinsoku/>
        <w:wordWrap/>
        <w:overflowPunct/>
        <w:topLinePunct w:val="0"/>
        <w:autoSpaceDE/>
        <w:autoSpaceDN/>
        <w:bidi w:val="0"/>
        <w:snapToGrid w:val="0"/>
        <w:spacing w:line="500" w:lineRule="exact"/>
        <w:ind w:firstLine="482" w:firstLineChars="200"/>
        <w:rPr>
          <w:rFonts w:ascii="宋体" w:hAnsi="宋体"/>
          <w:b/>
          <w:bCs/>
          <w:color w:val="auto"/>
          <w:sz w:val="24"/>
          <w:szCs w:val="28"/>
          <w:highlight w:val="none"/>
        </w:rPr>
      </w:pPr>
      <w:r>
        <w:rPr>
          <w:rFonts w:hint="eastAsia" w:ascii="宋体" w:hAnsi="宋体"/>
          <w:b/>
          <w:bCs/>
          <w:color w:val="auto"/>
          <w:sz w:val="24"/>
          <w:szCs w:val="28"/>
          <w:highlight w:val="none"/>
        </w:rPr>
        <w:t>3.此表为</w:t>
      </w:r>
      <w:r>
        <w:rPr>
          <w:rFonts w:hint="eastAsia" w:ascii="宋体" w:hAnsi="宋体"/>
          <w:b/>
          <w:bCs/>
          <w:color w:val="auto"/>
          <w:sz w:val="24"/>
          <w:szCs w:val="28"/>
          <w:highlight w:val="none"/>
          <w:lang w:eastAsia="zh-CN"/>
        </w:rPr>
        <w:t>公开遴选文件</w:t>
      </w:r>
      <w:r>
        <w:rPr>
          <w:rFonts w:hint="eastAsia" w:ascii="宋体" w:hAnsi="宋体"/>
          <w:b/>
          <w:bCs/>
          <w:color w:val="auto"/>
          <w:sz w:val="24"/>
          <w:szCs w:val="28"/>
          <w:highlight w:val="none"/>
        </w:rPr>
        <w:t>第四篇评审因素中食堂环境改善方案及设备投入方案的组成部分，采购人将据此对本项目食堂环境改善投入进行审计。</w:t>
      </w:r>
    </w:p>
    <w:p w14:paraId="3E8942A9">
      <w:pPr>
        <w:kinsoku/>
        <w:wordWrap/>
        <w:overflowPunct/>
        <w:topLinePunct w:val="0"/>
        <w:autoSpaceDE/>
        <w:autoSpaceDN/>
        <w:bidi w:val="0"/>
        <w:snapToGrid w:val="0"/>
        <w:spacing w:line="500" w:lineRule="exact"/>
        <w:ind w:firstLine="480" w:firstLineChars="200"/>
        <w:rPr>
          <w:rFonts w:ascii="宋体" w:hAnsi="宋体"/>
          <w:color w:val="auto"/>
          <w:sz w:val="24"/>
          <w:szCs w:val="28"/>
          <w:highlight w:val="none"/>
        </w:rPr>
        <w:sectPr>
          <w:pgSz w:w="11907" w:h="16840"/>
          <w:pgMar w:top="1134" w:right="1191" w:bottom="1134" w:left="1304" w:header="510" w:footer="992" w:gutter="0"/>
          <w:pgNumType w:fmt="numberInDash"/>
          <w:cols w:space="720" w:num="1"/>
          <w:docGrid w:linePitch="381" w:charSpace="-5735"/>
        </w:sectPr>
      </w:pPr>
    </w:p>
    <w:p w14:paraId="379197B1">
      <w:pPr>
        <w:pStyle w:val="4"/>
        <w:kinsoku/>
        <w:wordWrap/>
        <w:overflowPunct/>
        <w:topLinePunct w:val="0"/>
        <w:autoSpaceDE/>
        <w:autoSpaceDN/>
        <w:bidi w:val="0"/>
        <w:spacing w:line="500" w:lineRule="exact"/>
        <w:ind w:firstLine="482" w:firstLineChars="200"/>
        <w:rPr>
          <w:b/>
          <w:color w:val="auto"/>
          <w:sz w:val="24"/>
          <w:highlight w:val="none"/>
        </w:rPr>
      </w:pPr>
      <w:bookmarkStart w:id="151" w:name="_Toc20275"/>
      <w:bookmarkStart w:id="152" w:name="_Toc17691"/>
      <w:r>
        <w:rPr>
          <w:rFonts w:hint="eastAsia"/>
          <w:b/>
          <w:color w:val="auto"/>
          <w:sz w:val="24"/>
          <w:highlight w:val="none"/>
        </w:rPr>
        <w:t>二、技术文件</w:t>
      </w:r>
      <w:bookmarkEnd w:id="151"/>
      <w:bookmarkEnd w:id="152"/>
    </w:p>
    <w:p w14:paraId="12AF6F16">
      <w:pPr>
        <w:tabs>
          <w:tab w:val="left" w:pos="6300"/>
        </w:tabs>
        <w:kinsoku/>
        <w:wordWrap/>
        <w:overflowPunct/>
        <w:topLinePunct w:val="0"/>
        <w:autoSpaceDE/>
        <w:autoSpaceDN/>
        <w:bidi w:val="0"/>
        <w:snapToGrid w:val="0"/>
        <w:spacing w:line="500" w:lineRule="exact"/>
        <w:ind w:firstLine="570"/>
        <w:rPr>
          <w:rFonts w:ascii="宋体" w:hAnsi="宋体"/>
          <w:color w:val="auto"/>
          <w:szCs w:val="24"/>
          <w:highlight w:val="none"/>
        </w:rPr>
      </w:pPr>
      <w:r>
        <w:rPr>
          <w:rFonts w:hint="eastAsia" w:ascii="宋体" w:hAnsi="宋体"/>
          <w:color w:val="auto"/>
          <w:szCs w:val="24"/>
          <w:highlight w:val="none"/>
        </w:rPr>
        <w:t>（一）服务条款差异表</w:t>
      </w:r>
    </w:p>
    <w:p w14:paraId="1B196335">
      <w:pPr>
        <w:tabs>
          <w:tab w:val="left" w:pos="6300"/>
        </w:tabs>
        <w:kinsoku/>
        <w:wordWrap/>
        <w:overflowPunct/>
        <w:topLinePunct w:val="0"/>
        <w:autoSpaceDE/>
        <w:autoSpaceDN/>
        <w:bidi w:val="0"/>
        <w:snapToGrid w:val="0"/>
        <w:spacing w:line="500" w:lineRule="exact"/>
        <w:ind w:firstLine="727" w:firstLineChars="303"/>
        <w:rPr>
          <w:rFonts w:ascii="宋体" w:hAnsi="宋体"/>
          <w:color w:val="auto"/>
          <w:sz w:val="24"/>
          <w:szCs w:val="24"/>
          <w:highlight w:val="none"/>
        </w:rPr>
      </w:pPr>
      <w:r>
        <w:rPr>
          <w:rFonts w:hint="eastAsia" w:ascii="宋体" w:hAnsi="宋体"/>
          <w:color w:val="auto"/>
          <w:sz w:val="24"/>
          <w:szCs w:val="24"/>
          <w:highlight w:val="none"/>
        </w:rPr>
        <w:t>项目名称：</w:t>
      </w:r>
      <w:r>
        <w:rPr>
          <w:rFonts w:hint="eastAsia" w:ascii="宋体" w:hAnsi="宋体" w:eastAsia="宋体" w:cs="Times New Roman"/>
          <w:color w:val="auto"/>
          <w:kern w:val="2"/>
          <w:sz w:val="24"/>
          <w:szCs w:val="28"/>
          <w:highlight w:val="none"/>
          <w:lang w:val="en-US" w:eastAsia="zh-CN" w:bidi="ar-SA"/>
        </w:rPr>
        <w:t>重庆第二师范学院南山校区荟园食堂联合运营项目</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2428"/>
        <w:gridCol w:w="2520"/>
        <w:gridCol w:w="1888"/>
      </w:tblGrid>
      <w:tr w14:paraId="1D5D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039" w:type="dxa"/>
            <w:vAlign w:val="center"/>
          </w:tcPr>
          <w:p w14:paraId="560FD1B5">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bookmarkStart w:id="153" w:name="_Toc29408"/>
            <w:r>
              <w:rPr>
                <w:rFonts w:hint="eastAsia" w:ascii="宋体" w:hAnsi="宋体"/>
                <w:color w:val="auto"/>
                <w:sz w:val="21"/>
                <w:szCs w:val="21"/>
                <w:highlight w:val="none"/>
              </w:rPr>
              <w:t>序号</w:t>
            </w:r>
            <w:bookmarkEnd w:id="153"/>
          </w:p>
        </w:tc>
        <w:tc>
          <w:tcPr>
            <w:tcW w:w="2428" w:type="dxa"/>
            <w:vAlign w:val="center"/>
          </w:tcPr>
          <w:p w14:paraId="5B5488B5">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bookmarkStart w:id="154" w:name="_Toc27608"/>
            <w:r>
              <w:rPr>
                <w:rFonts w:hint="eastAsia" w:ascii="宋体" w:hAnsi="宋体"/>
                <w:color w:val="auto"/>
                <w:sz w:val="21"/>
                <w:szCs w:val="21"/>
                <w:highlight w:val="none"/>
              </w:rPr>
              <w:t>招标要求</w:t>
            </w:r>
            <w:bookmarkEnd w:id="154"/>
          </w:p>
        </w:tc>
        <w:tc>
          <w:tcPr>
            <w:tcW w:w="2520" w:type="dxa"/>
            <w:vAlign w:val="center"/>
          </w:tcPr>
          <w:p w14:paraId="2BF2E73C">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bookmarkStart w:id="155" w:name="_Toc13381"/>
            <w:r>
              <w:rPr>
                <w:rFonts w:hint="eastAsia" w:ascii="宋体" w:hAnsi="宋体"/>
                <w:color w:val="auto"/>
                <w:sz w:val="21"/>
                <w:szCs w:val="21"/>
                <w:highlight w:val="none"/>
              </w:rPr>
              <w:t>投标应答</w:t>
            </w:r>
            <w:bookmarkEnd w:id="155"/>
          </w:p>
        </w:tc>
        <w:tc>
          <w:tcPr>
            <w:tcW w:w="1888" w:type="dxa"/>
            <w:vAlign w:val="center"/>
          </w:tcPr>
          <w:p w14:paraId="5D00BE8E">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bookmarkStart w:id="156" w:name="_Toc21102"/>
            <w:r>
              <w:rPr>
                <w:rFonts w:hint="eastAsia" w:ascii="宋体" w:hAnsi="宋体"/>
                <w:color w:val="auto"/>
                <w:sz w:val="21"/>
                <w:szCs w:val="21"/>
                <w:highlight w:val="none"/>
              </w:rPr>
              <w:t>差异说明</w:t>
            </w:r>
            <w:bookmarkEnd w:id="156"/>
          </w:p>
        </w:tc>
      </w:tr>
      <w:tr w14:paraId="3964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14:paraId="0CC110B8">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428" w:type="dxa"/>
            <w:vAlign w:val="center"/>
          </w:tcPr>
          <w:p w14:paraId="65BF40C3">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520" w:type="dxa"/>
            <w:vAlign w:val="center"/>
          </w:tcPr>
          <w:p w14:paraId="13C17962">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1888" w:type="dxa"/>
            <w:vAlign w:val="center"/>
          </w:tcPr>
          <w:p w14:paraId="7EBD93E8">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r>
      <w:tr w14:paraId="7CAE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14:paraId="0806D257">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428" w:type="dxa"/>
            <w:vAlign w:val="center"/>
          </w:tcPr>
          <w:p w14:paraId="74A98653">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520" w:type="dxa"/>
            <w:vAlign w:val="center"/>
          </w:tcPr>
          <w:p w14:paraId="708D91E9">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1888" w:type="dxa"/>
            <w:vAlign w:val="center"/>
          </w:tcPr>
          <w:p w14:paraId="5EE89DDD">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r>
      <w:tr w14:paraId="51AA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14:paraId="46A4F057">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428" w:type="dxa"/>
            <w:vAlign w:val="center"/>
          </w:tcPr>
          <w:p w14:paraId="1783BD4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520" w:type="dxa"/>
            <w:vAlign w:val="center"/>
          </w:tcPr>
          <w:p w14:paraId="113A0736">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1888" w:type="dxa"/>
            <w:vAlign w:val="center"/>
          </w:tcPr>
          <w:p w14:paraId="7106DA67">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r>
      <w:tr w14:paraId="3550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14:paraId="04EE774A">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428" w:type="dxa"/>
            <w:vAlign w:val="center"/>
          </w:tcPr>
          <w:p w14:paraId="503EA4C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520" w:type="dxa"/>
            <w:vAlign w:val="center"/>
          </w:tcPr>
          <w:p w14:paraId="322F6CEA">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1888" w:type="dxa"/>
            <w:vAlign w:val="center"/>
          </w:tcPr>
          <w:p w14:paraId="33BB934F">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r>
      <w:tr w14:paraId="7B18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14:paraId="1CE532A2">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428" w:type="dxa"/>
            <w:vAlign w:val="center"/>
          </w:tcPr>
          <w:p w14:paraId="72D30D35">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520" w:type="dxa"/>
            <w:vAlign w:val="center"/>
          </w:tcPr>
          <w:p w14:paraId="761178AF">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1888" w:type="dxa"/>
            <w:vAlign w:val="center"/>
          </w:tcPr>
          <w:p w14:paraId="113D1321">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r>
      <w:tr w14:paraId="1B32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14:paraId="240980EC">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428" w:type="dxa"/>
            <w:vAlign w:val="center"/>
          </w:tcPr>
          <w:p w14:paraId="6D57CFFF">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520" w:type="dxa"/>
            <w:vAlign w:val="center"/>
          </w:tcPr>
          <w:p w14:paraId="2E0FE89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1888" w:type="dxa"/>
            <w:vAlign w:val="center"/>
          </w:tcPr>
          <w:p w14:paraId="7AE1E7A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r>
      <w:tr w14:paraId="3D4D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14:paraId="6D808564">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428" w:type="dxa"/>
            <w:vAlign w:val="center"/>
          </w:tcPr>
          <w:p w14:paraId="65433DAD">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520" w:type="dxa"/>
            <w:vAlign w:val="center"/>
          </w:tcPr>
          <w:p w14:paraId="0568B039">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1888" w:type="dxa"/>
            <w:vAlign w:val="center"/>
          </w:tcPr>
          <w:p w14:paraId="506AD1EC">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r>
      <w:tr w14:paraId="315E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14:paraId="1B847888">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428" w:type="dxa"/>
            <w:vAlign w:val="center"/>
          </w:tcPr>
          <w:p w14:paraId="535AD065">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520" w:type="dxa"/>
            <w:vAlign w:val="center"/>
          </w:tcPr>
          <w:p w14:paraId="048433A8">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1888" w:type="dxa"/>
            <w:vAlign w:val="center"/>
          </w:tcPr>
          <w:p w14:paraId="701B0A58">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r>
      <w:tr w14:paraId="6F4B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14:paraId="7FAE543F">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428" w:type="dxa"/>
            <w:vAlign w:val="center"/>
          </w:tcPr>
          <w:p w14:paraId="37D34D0E">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520" w:type="dxa"/>
            <w:vAlign w:val="center"/>
          </w:tcPr>
          <w:p w14:paraId="5E2072D5">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1888" w:type="dxa"/>
            <w:vAlign w:val="center"/>
          </w:tcPr>
          <w:p w14:paraId="7AAB4A9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r>
      <w:tr w14:paraId="18B0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14:paraId="0EE53DB8">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428" w:type="dxa"/>
            <w:vAlign w:val="center"/>
          </w:tcPr>
          <w:p w14:paraId="509DF71E">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2520" w:type="dxa"/>
            <w:vAlign w:val="center"/>
          </w:tcPr>
          <w:p w14:paraId="611794FF">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c>
          <w:tcPr>
            <w:tcW w:w="1888" w:type="dxa"/>
            <w:vAlign w:val="center"/>
          </w:tcPr>
          <w:p w14:paraId="38146137">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olor w:val="auto"/>
                <w:sz w:val="21"/>
                <w:szCs w:val="21"/>
                <w:highlight w:val="none"/>
              </w:rPr>
            </w:pPr>
          </w:p>
        </w:tc>
      </w:tr>
    </w:tbl>
    <w:p w14:paraId="7D3B903A">
      <w:pPr>
        <w:kinsoku/>
        <w:wordWrap/>
        <w:overflowPunct/>
        <w:topLinePunct w:val="0"/>
        <w:autoSpaceDE/>
        <w:autoSpaceDN/>
        <w:bidi w:val="0"/>
        <w:spacing w:line="500" w:lineRule="exact"/>
        <w:ind w:firstLine="600" w:firstLineChars="250"/>
        <w:rPr>
          <w:rFonts w:ascii="宋体" w:hAnsi="宋体"/>
          <w:color w:val="auto"/>
          <w:sz w:val="24"/>
          <w:szCs w:val="28"/>
          <w:highlight w:val="none"/>
        </w:rPr>
      </w:pPr>
      <w:r>
        <w:rPr>
          <w:rFonts w:hint="eastAsia" w:ascii="宋体" w:hAnsi="宋体"/>
          <w:color w:val="auto"/>
          <w:sz w:val="24"/>
          <w:szCs w:val="28"/>
          <w:highlight w:val="none"/>
          <w:lang w:eastAsia="zh-CN"/>
        </w:rPr>
        <w:t>供应商</w:t>
      </w:r>
      <w:r>
        <w:rPr>
          <w:rFonts w:hint="eastAsia" w:ascii="宋体" w:hAnsi="宋体"/>
          <w:color w:val="auto"/>
          <w:sz w:val="24"/>
          <w:szCs w:val="28"/>
          <w:highlight w:val="none"/>
        </w:rPr>
        <w:t>：                                  法定代表人或法定代表人授权代表：</w:t>
      </w:r>
    </w:p>
    <w:p w14:paraId="14E91E08">
      <w:pPr>
        <w:kinsoku/>
        <w:wordWrap/>
        <w:overflowPunct/>
        <w:topLinePunct w:val="0"/>
        <w:autoSpaceDE/>
        <w:autoSpaceDN/>
        <w:bidi w:val="0"/>
        <w:spacing w:line="500" w:lineRule="exact"/>
        <w:rPr>
          <w:rFonts w:ascii="宋体" w:hAnsi="宋体"/>
          <w:color w:val="auto"/>
          <w:sz w:val="24"/>
          <w:szCs w:val="28"/>
          <w:highlight w:val="none"/>
        </w:rPr>
      </w:pPr>
      <w:r>
        <w:rPr>
          <w:rFonts w:hint="eastAsia" w:ascii="宋体" w:hAnsi="宋体"/>
          <w:color w:val="auto"/>
          <w:sz w:val="24"/>
          <w:szCs w:val="28"/>
          <w:highlight w:val="none"/>
        </w:rPr>
        <w:t xml:space="preserve">    </w:t>
      </w:r>
    </w:p>
    <w:p w14:paraId="03A90A63">
      <w:pPr>
        <w:kinsoku/>
        <w:wordWrap/>
        <w:overflowPunct/>
        <w:topLinePunct w:val="0"/>
        <w:autoSpaceDE/>
        <w:autoSpaceDN/>
        <w:bidi w:val="0"/>
        <w:spacing w:line="500" w:lineRule="exact"/>
        <w:ind w:firstLine="720" w:firstLineChars="300"/>
        <w:rPr>
          <w:rFonts w:ascii="宋体" w:hAnsi="宋体"/>
          <w:color w:val="auto"/>
          <w:sz w:val="24"/>
          <w:szCs w:val="28"/>
          <w:highlight w:val="none"/>
        </w:rPr>
      </w:pPr>
      <w:r>
        <w:rPr>
          <w:rFonts w:hint="eastAsia" w:ascii="宋体" w:hAnsi="宋体"/>
          <w:color w:val="auto"/>
          <w:sz w:val="24"/>
          <w:szCs w:val="28"/>
          <w:highlight w:val="none"/>
        </w:rPr>
        <w:t>（</w:t>
      </w:r>
      <w:r>
        <w:rPr>
          <w:rFonts w:hint="eastAsia" w:ascii="宋体" w:hAnsi="宋体"/>
          <w:color w:val="auto"/>
          <w:sz w:val="24"/>
          <w:szCs w:val="28"/>
          <w:highlight w:val="none"/>
          <w:lang w:eastAsia="zh-CN"/>
        </w:rPr>
        <w:t>供应商</w:t>
      </w:r>
      <w:r>
        <w:rPr>
          <w:rFonts w:hint="eastAsia" w:ascii="宋体" w:hAnsi="宋体"/>
          <w:color w:val="auto"/>
          <w:sz w:val="24"/>
          <w:szCs w:val="28"/>
          <w:highlight w:val="none"/>
        </w:rPr>
        <w:t>公章）                               （签字或盖章）</w:t>
      </w:r>
    </w:p>
    <w:p w14:paraId="534CB2B9">
      <w:pPr>
        <w:tabs>
          <w:tab w:val="left" w:pos="6300"/>
        </w:tabs>
        <w:kinsoku/>
        <w:wordWrap/>
        <w:overflowPunct/>
        <w:topLinePunct w:val="0"/>
        <w:autoSpaceDE/>
        <w:autoSpaceDN/>
        <w:bidi w:val="0"/>
        <w:snapToGrid w:val="0"/>
        <w:spacing w:line="500" w:lineRule="exact"/>
        <w:ind w:firstLine="570"/>
        <w:rPr>
          <w:rFonts w:ascii="宋体" w:hAnsi="宋体"/>
          <w:color w:val="auto"/>
          <w:sz w:val="24"/>
          <w:highlight w:val="none"/>
        </w:rPr>
      </w:pPr>
      <w:r>
        <w:rPr>
          <w:rFonts w:hint="eastAsia" w:ascii="宋体" w:hAnsi="宋体"/>
          <w:color w:val="auto"/>
          <w:sz w:val="24"/>
          <w:szCs w:val="28"/>
          <w:highlight w:val="none"/>
        </w:rPr>
        <w:t xml:space="preserve">                                            年     月     日</w:t>
      </w:r>
    </w:p>
    <w:p w14:paraId="070F02C7">
      <w:pPr>
        <w:tabs>
          <w:tab w:val="left" w:pos="6300"/>
        </w:tabs>
        <w:kinsoku/>
        <w:wordWrap/>
        <w:overflowPunct/>
        <w:topLinePunct w:val="0"/>
        <w:autoSpaceDE/>
        <w:autoSpaceDN/>
        <w:bidi w:val="0"/>
        <w:snapToGrid w:val="0"/>
        <w:spacing w:line="500" w:lineRule="exact"/>
        <w:ind w:firstLine="570"/>
        <w:rPr>
          <w:rFonts w:ascii="宋体" w:hAnsi="宋体"/>
          <w:color w:val="auto"/>
          <w:sz w:val="24"/>
          <w:highlight w:val="none"/>
        </w:rPr>
      </w:pPr>
      <w:r>
        <w:rPr>
          <w:rFonts w:hint="eastAsia" w:ascii="宋体" w:hAnsi="宋体"/>
          <w:color w:val="auto"/>
          <w:sz w:val="24"/>
          <w:highlight w:val="none"/>
        </w:rPr>
        <w:t>注：</w:t>
      </w:r>
    </w:p>
    <w:p w14:paraId="36AD2DB5">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1.本表即为对本项目“第二篇  项目</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需求”中所列条款进行比较和响应；</w:t>
      </w:r>
    </w:p>
    <w:p w14:paraId="206D12BE">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2.本表可扩展；</w:t>
      </w:r>
    </w:p>
    <w:p w14:paraId="709519EB">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3.可附相关技术支撑材料。（格式自定）</w:t>
      </w:r>
    </w:p>
    <w:p w14:paraId="4291C08B">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4.投标应答栏中应当注明技术参数或具体内容，且必须标注技术参数或具体内容在投标文件中的位置（页码）。</w:t>
      </w:r>
    </w:p>
    <w:p w14:paraId="0C9F7280">
      <w:pPr>
        <w:tabs>
          <w:tab w:val="left" w:pos="6300"/>
        </w:tabs>
        <w:kinsoku/>
        <w:wordWrap/>
        <w:overflowPunct/>
        <w:topLinePunct w:val="0"/>
        <w:autoSpaceDE/>
        <w:autoSpaceDN/>
        <w:bidi w:val="0"/>
        <w:snapToGrid w:val="0"/>
        <w:spacing w:line="500" w:lineRule="exact"/>
        <w:ind w:firstLine="570"/>
        <w:rPr>
          <w:rFonts w:hint="eastAsia" w:ascii="宋体" w:hAnsi="宋体" w:cs="宋体"/>
          <w:color w:val="auto"/>
          <w:sz w:val="24"/>
          <w:szCs w:val="28"/>
          <w:highlight w:val="none"/>
        </w:rPr>
      </w:pPr>
    </w:p>
    <w:p w14:paraId="6F4DDD7A">
      <w:pPr>
        <w:numPr>
          <w:ilvl w:val="0"/>
          <w:numId w:val="2"/>
        </w:numPr>
        <w:tabs>
          <w:tab w:val="left" w:pos="6300"/>
        </w:tabs>
        <w:kinsoku/>
        <w:wordWrap/>
        <w:overflowPunct/>
        <w:topLinePunct w:val="0"/>
        <w:autoSpaceDE/>
        <w:autoSpaceDN/>
        <w:bidi w:val="0"/>
        <w:snapToGrid w:val="0"/>
        <w:spacing w:line="500" w:lineRule="exact"/>
        <w:ind w:left="421" w:leftChars="0" w:firstLine="0" w:firstLineChars="0"/>
        <w:rPr>
          <w:rFonts w:hint="eastAsia" w:ascii="宋体" w:hAnsi="宋体"/>
          <w:color w:val="auto"/>
          <w:sz w:val="24"/>
          <w:szCs w:val="24"/>
          <w:highlight w:val="none"/>
        </w:rPr>
      </w:pPr>
      <w:r>
        <w:rPr>
          <w:rFonts w:hint="eastAsia" w:ascii="宋体" w:hAnsi="宋体" w:cs="宋体"/>
          <w:color w:val="auto"/>
          <w:sz w:val="24"/>
          <w:szCs w:val="28"/>
          <w:highlight w:val="none"/>
        </w:rPr>
        <w:t>其他技术（质量）资料</w:t>
      </w:r>
      <w:r>
        <w:rPr>
          <w:rFonts w:hint="eastAsia" w:ascii="宋体" w:hAnsi="宋体"/>
          <w:color w:val="auto"/>
          <w:sz w:val="24"/>
          <w:szCs w:val="24"/>
          <w:highlight w:val="none"/>
        </w:rPr>
        <w:t>（格式自定）</w:t>
      </w:r>
    </w:p>
    <w:p w14:paraId="688E0C3F">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07245882">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0D656C8D">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1E1AED4E">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0911E9F8">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10EE2C85">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6A2A5FDD">
      <w:pPr>
        <w:pStyle w:val="4"/>
        <w:kinsoku/>
        <w:wordWrap/>
        <w:overflowPunct/>
        <w:topLinePunct w:val="0"/>
        <w:autoSpaceDE/>
        <w:autoSpaceDN/>
        <w:bidi w:val="0"/>
        <w:spacing w:line="500" w:lineRule="exact"/>
        <w:ind w:firstLine="482" w:firstLineChars="200"/>
        <w:rPr>
          <w:b/>
          <w:color w:val="auto"/>
          <w:sz w:val="24"/>
          <w:highlight w:val="none"/>
        </w:rPr>
      </w:pPr>
      <w:bookmarkStart w:id="157" w:name="_Toc7208"/>
      <w:bookmarkStart w:id="158" w:name="_Toc7510"/>
      <w:r>
        <w:rPr>
          <w:rFonts w:hint="eastAsia"/>
          <w:b/>
          <w:color w:val="auto"/>
          <w:sz w:val="24"/>
          <w:highlight w:val="none"/>
        </w:rPr>
        <w:t>三、商务文件</w:t>
      </w:r>
      <w:bookmarkEnd w:id="157"/>
      <w:bookmarkEnd w:id="158"/>
    </w:p>
    <w:p w14:paraId="297DD3E3">
      <w:pPr>
        <w:kinsoku/>
        <w:wordWrap/>
        <w:overflowPunct/>
        <w:topLinePunct w:val="0"/>
        <w:autoSpaceDE/>
        <w:autoSpaceDN/>
        <w:bidi w:val="0"/>
        <w:snapToGrid w:val="0"/>
        <w:spacing w:before="120" w:beforeLines="50" w:line="500" w:lineRule="exact"/>
        <w:jc w:val="left"/>
        <w:rPr>
          <w:rFonts w:ascii="宋体" w:hAnsi="宋体"/>
          <w:color w:val="auto"/>
          <w:sz w:val="24"/>
          <w:szCs w:val="28"/>
          <w:highlight w:val="none"/>
        </w:rPr>
      </w:pPr>
      <w:r>
        <w:rPr>
          <w:rFonts w:hint="eastAsia" w:ascii="宋体" w:hAnsi="宋体"/>
          <w:color w:val="auto"/>
          <w:szCs w:val="28"/>
          <w:highlight w:val="none"/>
        </w:rPr>
        <w:t>（一）投标函（格式）</w:t>
      </w:r>
    </w:p>
    <w:p w14:paraId="5CC5F52A">
      <w:pPr>
        <w:kinsoku/>
        <w:wordWrap/>
        <w:overflowPunct/>
        <w:topLinePunct w:val="0"/>
        <w:autoSpaceDE/>
        <w:autoSpaceDN/>
        <w:bidi w:val="0"/>
        <w:spacing w:line="500" w:lineRule="exact"/>
        <w:rPr>
          <w:rFonts w:ascii="宋体" w:hAnsi="宋体" w:cs="宋体"/>
          <w:color w:val="auto"/>
          <w:sz w:val="24"/>
          <w:szCs w:val="28"/>
          <w:highlight w:val="none"/>
        </w:rPr>
      </w:pPr>
    </w:p>
    <w:p w14:paraId="3B8C70F4">
      <w:pPr>
        <w:tabs>
          <w:tab w:val="left" w:pos="6300"/>
        </w:tabs>
        <w:kinsoku/>
        <w:wordWrap/>
        <w:overflowPunct/>
        <w:topLinePunct w:val="0"/>
        <w:autoSpaceDE/>
        <w:autoSpaceDN/>
        <w:bidi w:val="0"/>
        <w:snapToGrid w:val="0"/>
        <w:spacing w:line="500" w:lineRule="exact"/>
        <w:ind w:firstLine="727" w:firstLineChars="303"/>
        <w:rPr>
          <w:rFonts w:ascii="宋体" w:hAnsi="宋体" w:cs="宋体"/>
          <w:color w:val="auto"/>
          <w:sz w:val="24"/>
          <w:szCs w:val="28"/>
          <w:highlight w:val="none"/>
        </w:rPr>
      </w:pPr>
      <w:r>
        <w:rPr>
          <w:rFonts w:hint="eastAsia" w:ascii="宋体" w:hAnsi="宋体" w:cs="宋体"/>
          <w:color w:val="auto"/>
          <w:sz w:val="24"/>
          <w:szCs w:val="28"/>
          <w:highlight w:val="none"/>
        </w:rPr>
        <w:t>项目名称：</w:t>
      </w:r>
      <w:r>
        <w:rPr>
          <w:rFonts w:hint="eastAsia" w:ascii="宋体" w:hAnsi="宋体" w:cs="宋体"/>
          <w:color w:val="auto"/>
          <w:sz w:val="24"/>
          <w:szCs w:val="28"/>
          <w:highlight w:val="none"/>
          <w:u w:val="single"/>
        </w:rPr>
        <w:t xml:space="preserve"> </w:t>
      </w:r>
      <w:r>
        <w:rPr>
          <w:rFonts w:hint="eastAsia" w:ascii="宋体" w:hAnsi="宋体" w:eastAsia="宋体" w:cs="Times New Roman"/>
          <w:color w:val="auto"/>
          <w:kern w:val="2"/>
          <w:sz w:val="24"/>
          <w:szCs w:val="28"/>
          <w:highlight w:val="none"/>
          <w:lang w:val="en-US" w:eastAsia="zh-CN" w:bidi="ar-SA"/>
        </w:rPr>
        <w:t>重庆第二师范学院南山校区荟园食堂联合运营项目</w:t>
      </w:r>
    </w:p>
    <w:p w14:paraId="2C0B5B28">
      <w:pPr>
        <w:tabs>
          <w:tab w:val="left" w:pos="6300"/>
        </w:tabs>
        <w:kinsoku/>
        <w:wordWrap/>
        <w:overflowPunct/>
        <w:topLinePunct w:val="0"/>
        <w:autoSpaceDE/>
        <w:autoSpaceDN/>
        <w:bidi w:val="0"/>
        <w:snapToGrid w:val="0"/>
        <w:spacing w:line="500" w:lineRule="exact"/>
        <w:rPr>
          <w:rFonts w:ascii="宋体" w:hAnsi="宋体" w:cs="宋体"/>
          <w:color w:val="auto"/>
          <w:sz w:val="24"/>
          <w:szCs w:val="28"/>
          <w:highlight w:val="none"/>
        </w:rPr>
      </w:pPr>
      <w:r>
        <w:rPr>
          <w:rFonts w:hint="eastAsia" w:ascii="宋体" w:hAnsi="宋体" w:cs="宋体"/>
          <w:color w:val="auto"/>
          <w:sz w:val="24"/>
          <w:szCs w:val="28"/>
          <w:highlight w:val="none"/>
        </w:rPr>
        <w:t>致：</w:t>
      </w:r>
      <w:r>
        <w:rPr>
          <w:rFonts w:hint="eastAsia" w:ascii="宋体" w:hAnsi="宋体" w:cs="宋体"/>
          <w:color w:val="auto"/>
          <w:sz w:val="24"/>
          <w:szCs w:val="28"/>
          <w:highlight w:val="none"/>
          <w:u w:val="single"/>
        </w:rPr>
        <w:t xml:space="preserve">  重庆</w:t>
      </w:r>
      <w:r>
        <w:rPr>
          <w:rFonts w:hint="eastAsia" w:ascii="宋体" w:hAnsi="宋体" w:cs="宋体"/>
          <w:color w:val="auto"/>
          <w:sz w:val="24"/>
          <w:szCs w:val="28"/>
          <w:highlight w:val="none"/>
          <w:u w:val="single"/>
          <w:lang w:eastAsia="zh-CN"/>
        </w:rPr>
        <w:t>第二师范学院</w:t>
      </w:r>
      <w:r>
        <w:rPr>
          <w:rFonts w:hint="eastAsia" w:ascii="宋体" w:hAnsi="宋体" w:cs="宋体"/>
          <w:color w:val="auto"/>
          <w:sz w:val="24"/>
          <w:szCs w:val="28"/>
          <w:highlight w:val="none"/>
          <w:u w:val="single"/>
        </w:rPr>
        <w:t xml:space="preserve">  </w:t>
      </w:r>
      <w:r>
        <w:rPr>
          <w:rFonts w:hint="eastAsia" w:ascii="宋体" w:hAnsi="宋体" w:cs="宋体"/>
          <w:color w:val="auto"/>
          <w:sz w:val="24"/>
          <w:szCs w:val="28"/>
          <w:highlight w:val="none"/>
        </w:rPr>
        <w:t>：</w:t>
      </w:r>
    </w:p>
    <w:p w14:paraId="24E3E02E">
      <w:pPr>
        <w:kinsoku/>
        <w:wordWrap/>
        <w:overflowPunct/>
        <w:topLinePunct w:val="0"/>
        <w:autoSpaceDE/>
        <w:autoSpaceDN/>
        <w:bidi w:val="0"/>
        <w:snapToGrid w:val="0"/>
        <w:spacing w:before="120" w:beforeLines="50"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u w:val="single"/>
        </w:rPr>
        <w:t xml:space="preserve">                        </w:t>
      </w:r>
      <w:r>
        <w:rPr>
          <w:rFonts w:hint="eastAsia" w:ascii="宋体" w:hAnsi="宋体" w:cs="宋体"/>
          <w:color w:val="auto"/>
          <w:sz w:val="24"/>
          <w:szCs w:val="28"/>
          <w:highlight w:val="none"/>
        </w:rPr>
        <w:t>（</w:t>
      </w:r>
      <w:r>
        <w:rPr>
          <w:rFonts w:hint="eastAsia" w:ascii="宋体" w:hAnsi="宋体" w:cs="宋体"/>
          <w:color w:val="auto"/>
          <w:sz w:val="24"/>
          <w:szCs w:val="28"/>
          <w:highlight w:val="none"/>
          <w:lang w:eastAsia="zh-CN"/>
        </w:rPr>
        <w:t>供应商</w:t>
      </w:r>
      <w:r>
        <w:rPr>
          <w:rFonts w:hint="eastAsia" w:ascii="宋体" w:hAnsi="宋体" w:cs="宋体"/>
          <w:color w:val="auto"/>
          <w:sz w:val="24"/>
          <w:szCs w:val="28"/>
          <w:highlight w:val="none"/>
        </w:rPr>
        <w:t>名称）系中华人民共和国合法企业，注册地址：</w:t>
      </w:r>
      <w:r>
        <w:rPr>
          <w:rFonts w:hint="eastAsia" w:ascii="宋体" w:hAnsi="宋体" w:cs="宋体"/>
          <w:color w:val="auto"/>
          <w:sz w:val="24"/>
          <w:szCs w:val="28"/>
          <w:highlight w:val="none"/>
          <w:u w:val="single"/>
        </w:rPr>
        <w:t xml:space="preserve">                               </w:t>
      </w:r>
      <w:r>
        <w:rPr>
          <w:rFonts w:hint="eastAsia" w:ascii="宋体" w:hAnsi="宋体" w:cs="宋体"/>
          <w:color w:val="auto"/>
          <w:sz w:val="24"/>
          <w:szCs w:val="28"/>
          <w:highlight w:val="none"/>
        </w:rPr>
        <w:t>。我方就参加本次投标有关事项郑重声明如下：</w:t>
      </w:r>
    </w:p>
    <w:p w14:paraId="5DDB7BF4">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一、我方完全理解并接受该项目</w:t>
      </w:r>
      <w:r>
        <w:rPr>
          <w:rFonts w:hint="eastAsia" w:ascii="宋体" w:hAnsi="宋体" w:cs="宋体"/>
          <w:color w:val="auto"/>
          <w:sz w:val="24"/>
          <w:szCs w:val="28"/>
          <w:highlight w:val="none"/>
          <w:lang w:eastAsia="zh-CN"/>
        </w:rPr>
        <w:t>公开遴选文件</w:t>
      </w:r>
      <w:r>
        <w:rPr>
          <w:rFonts w:hint="eastAsia" w:ascii="宋体" w:hAnsi="宋体" w:cs="宋体"/>
          <w:color w:val="auto"/>
          <w:sz w:val="24"/>
          <w:szCs w:val="28"/>
          <w:highlight w:val="none"/>
        </w:rPr>
        <w:t>所有要求。</w:t>
      </w:r>
    </w:p>
    <w:p w14:paraId="797CF43E">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二、我方提交的所有投标文件、资料都是准确和真实的，如有虚假或隐瞒，我方愿意承担一切法律责任。</w:t>
      </w:r>
    </w:p>
    <w:p w14:paraId="6C73617B">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三、我方承诺按照</w:t>
      </w:r>
      <w:r>
        <w:rPr>
          <w:rFonts w:hint="eastAsia" w:ascii="宋体" w:hAnsi="宋体" w:cs="宋体"/>
          <w:color w:val="auto"/>
          <w:sz w:val="24"/>
          <w:szCs w:val="28"/>
          <w:highlight w:val="none"/>
          <w:lang w:eastAsia="zh-CN"/>
        </w:rPr>
        <w:t>公开遴选文件</w:t>
      </w:r>
      <w:r>
        <w:rPr>
          <w:rFonts w:hint="eastAsia" w:ascii="宋体" w:hAnsi="宋体" w:cs="宋体"/>
          <w:color w:val="auto"/>
          <w:sz w:val="24"/>
          <w:szCs w:val="28"/>
          <w:highlight w:val="none"/>
        </w:rPr>
        <w:t>要求，提供招标项目的技术（质量）服务。</w:t>
      </w:r>
    </w:p>
    <w:p w14:paraId="29CF9C2B">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四、我方按</w:t>
      </w:r>
      <w:r>
        <w:rPr>
          <w:rFonts w:hint="eastAsia" w:ascii="宋体" w:hAnsi="宋体" w:cs="宋体"/>
          <w:color w:val="auto"/>
          <w:sz w:val="24"/>
          <w:szCs w:val="28"/>
          <w:highlight w:val="none"/>
          <w:lang w:eastAsia="zh-CN"/>
        </w:rPr>
        <w:t>公开遴选文件</w:t>
      </w:r>
      <w:r>
        <w:rPr>
          <w:rFonts w:hint="eastAsia" w:ascii="宋体" w:hAnsi="宋体" w:cs="宋体"/>
          <w:color w:val="auto"/>
          <w:sz w:val="24"/>
          <w:szCs w:val="28"/>
          <w:highlight w:val="none"/>
        </w:rPr>
        <w:t>要求提交的投标文件为：投标文件正本</w:t>
      </w:r>
      <w:r>
        <w:rPr>
          <w:rFonts w:hint="eastAsia" w:ascii="宋体" w:hAnsi="宋体" w:cs="宋体"/>
          <w:color w:val="auto"/>
          <w:sz w:val="24"/>
          <w:szCs w:val="28"/>
          <w:highlight w:val="none"/>
          <w:u w:val="single"/>
        </w:rPr>
        <w:t xml:space="preserve">    </w:t>
      </w:r>
      <w:r>
        <w:rPr>
          <w:rFonts w:hint="eastAsia" w:ascii="宋体" w:hAnsi="宋体" w:cs="宋体"/>
          <w:color w:val="auto"/>
          <w:sz w:val="24"/>
          <w:szCs w:val="28"/>
          <w:highlight w:val="none"/>
        </w:rPr>
        <w:t>份，副本</w:t>
      </w:r>
      <w:r>
        <w:rPr>
          <w:rFonts w:hint="eastAsia" w:ascii="宋体" w:hAnsi="宋体" w:cs="宋体"/>
          <w:color w:val="auto"/>
          <w:sz w:val="24"/>
          <w:szCs w:val="28"/>
          <w:highlight w:val="none"/>
          <w:u w:val="single"/>
        </w:rPr>
        <w:t xml:space="preserve">    </w:t>
      </w:r>
      <w:r>
        <w:rPr>
          <w:rFonts w:hint="eastAsia" w:ascii="宋体" w:hAnsi="宋体" w:cs="宋体"/>
          <w:color w:val="auto"/>
          <w:sz w:val="24"/>
          <w:szCs w:val="28"/>
          <w:highlight w:val="none"/>
        </w:rPr>
        <w:t>份，电子文档</w:t>
      </w:r>
      <w:r>
        <w:rPr>
          <w:rFonts w:hint="eastAsia" w:ascii="宋体" w:hAnsi="宋体" w:cs="宋体"/>
          <w:color w:val="auto"/>
          <w:sz w:val="24"/>
          <w:szCs w:val="28"/>
          <w:highlight w:val="none"/>
          <w:u w:val="single"/>
        </w:rPr>
        <w:t xml:space="preserve">    </w:t>
      </w:r>
      <w:r>
        <w:rPr>
          <w:rFonts w:hint="eastAsia" w:ascii="宋体" w:hAnsi="宋体" w:cs="宋体"/>
          <w:color w:val="auto"/>
          <w:sz w:val="24"/>
          <w:szCs w:val="28"/>
          <w:highlight w:val="none"/>
        </w:rPr>
        <w:t>份。</w:t>
      </w:r>
    </w:p>
    <w:p w14:paraId="101306FD">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五、我方承诺：本次投标的投标有效期为</w:t>
      </w:r>
      <w:r>
        <w:rPr>
          <w:rFonts w:hint="eastAsia" w:ascii="宋体" w:hAnsi="宋体" w:cs="宋体"/>
          <w:color w:val="auto"/>
          <w:sz w:val="24"/>
          <w:highlight w:val="none"/>
        </w:rPr>
        <w:t>投标截止时间</w:t>
      </w:r>
      <w:r>
        <w:rPr>
          <w:rFonts w:hint="eastAsia" w:ascii="宋体" w:hAnsi="宋体" w:cs="宋体"/>
          <w:color w:val="auto"/>
          <w:sz w:val="24"/>
          <w:szCs w:val="28"/>
          <w:highlight w:val="none"/>
        </w:rPr>
        <w:t>起90天。</w:t>
      </w:r>
    </w:p>
    <w:p w14:paraId="11A22BC8">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六、我方投标报价为闭口价。即在投标有效期和合同有效期内，该报价固定不变。</w:t>
      </w:r>
    </w:p>
    <w:p w14:paraId="53FE0F1E">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七、如果我方中标，我方将履行</w:t>
      </w:r>
      <w:r>
        <w:rPr>
          <w:rFonts w:hint="eastAsia" w:ascii="宋体" w:hAnsi="宋体" w:cs="宋体"/>
          <w:color w:val="auto"/>
          <w:sz w:val="24"/>
          <w:szCs w:val="28"/>
          <w:highlight w:val="none"/>
          <w:lang w:eastAsia="zh-CN"/>
        </w:rPr>
        <w:t>公开遴选文件</w:t>
      </w:r>
      <w:r>
        <w:rPr>
          <w:rFonts w:hint="eastAsia" w:ascii="宋体" w:hAnsi="宋体" w:cs="宋体"/>
          <w:color w:val="auto"/>
          <w:sz w:val="24"/>
          <w:szCs w:val="28"/>
          <w:highlight w:val="none"/>
        </w:rPr>
        <w:t>中规定的各项要求以及我方投标文件的各项承诺，按《中华人民共和国政府采购法》、《中华人民共和国民法典》及合同约定条款承担我方责任。</w:t>
      </w:r>
    </w:p>
    <w:p w14:paraId="31F6C5E3">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八、我方未</w:t>
      </w:r>
      <w:r>
        <w:rPr>
          <w:rFonts w:hint="eastAsia" w:ascii="宋体" w:hAnsi="宋体" w:cs="宋体"/>
          <w:color w:val="auto"/>
          <w:sz w:val="24"/>
          <w:szCs w:val="24"/>
          <w:highlight w:val="none"/>
        </w:rPr>
        <w:t>为采购项目提供整体设计、规范编制或者项目管理、监理、检测等服务。</w:t>
      </w:r>
    </w:p>
    <w:p w14:paraId="135C786A">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九、我方理解，最低报价不是中标的唯一条件。</w:t>
      </w:r>
    </w:p>
    <w:p w14:paraId="1D36D070">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十、我方同意按有关规定及</w:t>
      </w:r>
      <w:r>
        <w:rPr>
          <w:rFonts w:hint="eastAsia" w:ascii="宋体" w:hAnsi="宋体" w:cs="宋体"/>
          <w:color w:val="auto"/>
          <w:sz w:val="24"/>
          <w:szCs w:val="28"/>
          <w:highlight w:val="none"/>
          <w:lang w:eastAsia="zh-CN"/>
        </w:rPr>
        <w:t>公开遴选文件</w:t>
      </w:r>
      <w:r>
        <w:rPr>
          <w:rFonts w:hint="eastAsia" w:ascii="宋体" w:hAnsi="宋体" w:cs="宋体"/>
          <w:color w:val="auto"/>
          <w:sz w:val="24"/>
          <w:szCs w:val="28"/>
          <w:highlight w:val="none"/>
        </w:rPr>
        <w:t>要求，交纳足额投标保证金。</w:t>
      </w:r>
    </w:p>
    <w:p w14:paraId="263D96E1">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十一、若我方中标，愿意按有关规定及</w:t>
      </w:r>
      <w:r>
        <w:rPr>
          <w:rFonts w:hint="eastAsia" w:ascii="宋体" w:hAnsi="宋体" w:cs="宋体"/>
          <w:color w:val="auto"/>
          <w:sz w:val="24"/>
          <w:szCs w:val="28"/>
          <w:highlight w:val="none"/>
          <w:lang w:eastAsia="zh-CN"/>
        </w:rPr>
        <w:t>公开遴选文件</w:t>
      </w:r>
      <w:r>
        <w:rPr>
          <w:rFonts w:hint="eastAsia" w:ascii="宋体" w:hAnsi="宋体" w:cs="宋体"/>
          <w:color w:val="auto"/>
          <w:sz w:val="24"/>
          <w:szCs w:val="28"/>
          <w:highlight w:val="none"/>
        </w:rPr>
        <w:t>要求缴纳采购代理服务费和交易服务费。</w:t>
      </w:r>
    </w:p>
    <w:p w14:paraId="20D33DEB">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8"/>
          <w:highlight w:val="none"/>
        </w:rPr>
      </w:pPr>
    </w:p>
    <w:p w14:paraId="2BA7F93D">
      <w:pPr>
        <w:tabs>
          <w:tab w:val="left" w:pos="6300"/>
        </w:tabs>
        <w:kinsoku/>
        <w:wordWrap/>
        <w:overflowPunct/>
        <w:topLinePunct w:val="0"/>
        <w:autoSpaceDE/>
        <w:autoSpaceDN/>
        <w:bidi w:val="0"/>
        <w:snapToGrid w:val="0"/>
        <w:spacing w:line="500" w:lineRule="exact"/>
        <w:ind w:firstLine="5460" w:firstLineChars="2275"/>
        <w:rPr>
          <w:rFonts w:ascii="宋体" w:hAnsi="宋体" w:cs="宋体"/>
          <w:color w:val="auto"/>
          <w:sz w:val="24"/>
          <w:szCs w:val="28"/>
          <w:highlight w:val="none"/>
        </w:rPr>
      </w:pPr>
      <w:r>
        <w:rPr>
          <w:rFonts w:hint="eastAsia" w:ascii="宋体" w:hAnsi="宋体" w:cs="宋体"/>
          <w:color w:val="auto"/>
          <w:sz w:val="24"/>
          <w:szCs w:val="28"/>
          <w:highlight w:val="none"/>
        </w:rPr>
        <w:t>（</w:t>
      </w:r>
      <w:r>
        <w:rPr>
          <w:rFonts w:hint="eastAsia" w:ascii="宋体" w:hAnsi="宋体" w:cs="宋体"/>
          <w:color w:val="auto"/>
          <w:sz w:val="24"/>
          <w:szCs w:val="28"/>
          <w:highlight w:val="none"/>
          <w:lang w:eastAsia="zh-CN"/>
        </w:rPr>
        <w:t>供应商</w:t>
      </w:r>
      <w:r>
        <w:rPr>
          <w:rFonts w:hint="eastAsia" w:ascii="宋体" w:hAnsi="宋体" w:cs="宋体"/>
          <w:color w:val="auto"/>
          <w:sz w:val="24"/>
          <w:szCs w:val="28"/>
          <w:highlight w:val="none"/>
        </w:rPr>
        <w:t>公章或自然人签署）</w:t>
      </w:r>
    </w:p>
    <w:p w14:paraId="00DA5CF3">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8"/>
          <w:highlight w:val="none"/>
        </w:rPr>
      </w:pPr>
    </w:p>
    <w:p w14:paraId="162E6A87">
      <w:pPr>
        <w:tabs>
          <w:tab w:val="left" w:pos="6300"/>
        </w:tabs>
        <w:kinsoku/>
        <w:wordWrap/>
        <w:overflowPunct/>
        <w:topLinePunct w:val="0"/>
        <w:autoSpaceDE/>
        <w:autoSpaceDN/>
        <w:bidi w:val="0"/>
        <w:snapToGrid w:val="0"/>
        <w:spacing w:line="500" w:lineRule="exact"/>
        <w:ind w:firstLine="5760" w:firstLineChars="2400"/>
        <w:rPr>
          <w:rFonts w:ascii="宋体" w:hAnsi="宋体" w:cs="宋体"/>
          <w:color w:val="auto"/>
          <w:sz w:val="24"/>
          <w:szCs w:val="28"/>
          <w:highlight w:val="none"/>
        </w:rPr>
      </w:pPr>
      <w:r>
        <w:rPr>
          <w:rFonts w:hint="eastAsia" w:ascii="宋体" w:hAnsi="宋体" w:cs="宋体"/>
          <w:color w:val="auto"/>
          <w:sz w:val="24"/>
          <w:szCs w:val="28"/>
          <w:highlight w:val="none"/>
        </w:rPr>
        <w:t>年    月   日</w:t>
      </w:r>
    </w:p>
    <w:p w14:paraId="4A4442B0">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0FE02C02">
      <w:pPr>
        <w:tabs>
          <w:tab w:val="left" w:pos="6300"/>
        </w:tabs>
        <w:kinsoku/>
        <w:wordWrap/>
        <w:overflowPunct/>
        <w:topLinePunct w:val="0"/>
        <w:autoSpaceDE/>
        <w:autoSpaceDN/>
        <w:bidi w:val="0"/>
        <w:snapToGrid w:val="0"/>
        <w:spacing w:line="500" w:lineRule="exact"/>
        <w:rPr>
          <w:rFonts w:hint="eastAsia" w:ascii="宋体" w:hAnsi="宋体"/>
          <w:color w:val="auto"/>
          <w:szCs w:val="28"/>
          <w:highlight w:val="none"/>
        </w:rPr>
      </w:pPr>
    </w:p>
    <w:p w14:paraId="1A3A8CB2">
      <w:pPr>
        <w:tabs>
          <w:tab w:val="left" w:pos="6300"/>
        </w:tabs>
        <w:kinsoku/>
        <w:wordWrap/>
        <w:overflowPunct/>
        <w:topLinePunct w:val="0"/>
        <w:autoSpaceDE/>
        <w:autoSpaceDN/>
        <w:bidi w:val="0"/>
        <w:snapToGrid w:val="0"/>
        <w:spacing w:line="500" w:lineRule="exact"/>
        <w:rPr>
          <w:rFonts w:ascii="宋体" w:hAnsi="宋体"/>
          <w:color w:val="auto"/>
          <w:highlight w:val="none"/>
        </w:rPr>
      </w:pPr>
      <w:r>
        <w:rPr>
          <w:rFonts w:hint="eastAsia" w:ascii="宋体" w:hAnsi="宋体"/>
          <w:color w:val="auto"/>
          <w:szCs w:val="28"/>
          <w:highlight w:val="none"/>
        </w:rPr>
        <w:t>（二）商务条款差异表</w:t>
      </w:r>
    </w:p>
    <w:p w14:paraId="29E853E8">
      <w:pPr>
        <w:tabs>
          <w:tab w:val="left" w:pos="6300"/>
        </w:tabs>
        <w:kinsoku/>
        <w:wordWrap/>
        <w:overflowPunct/>
        <w:topLinePunct w:val="0"/>
        <w:autoSpaceDE/>
        <w:autoSpaceDN/>
        <w:bidi w:val="0"/>
        <w:snapToGrid w:val="0"/>
        <w:spacing w:line="500" w:lineRule="exact"/>
        <w:rPr>
          <w:rFonts w:ascii="宋体" w:hAnsi="宋体" w:cs="宋体"/>
          <w:color w:val="auto"/>
          <w:sz w:val="24"/>
          <w:szCs w:val="28"/>
          <w:highlight w:val="none"/>
        </w:rPr>
      </w:pPr>
      <w:r>
        <w:rPr>
          <w:rFonts w:hint="eastAsia" w:ascii="宋体" w:hAnsi="宋体" w:cs="宋体"/>
          <w:color w:val="auto"/>
          <w:sz w:val="24"/>
          <w:szCs w:val="28"/>
          <w:highlight w:val="none"/>
        </w:rPr>
        <w:t>项目名称：</w:t>
      </w:r>
      <w:r>
        <w:rPr>
          <w:rFonts w:hint="eastAsia" w:ascii="宋体" w:hAnsi="宋体" w:eastAsia="宋体" w:cs="Times New Roman"/>
          <w:color w:val="auto"/>
          <w:kern w:val="2"/>
          <w:sz w:val="24"/>
          <w:szCs w:val="28"/>
          <w:highlight w:val="none"/>
          <w:lang w:val="en-US" w:eastAsia="zh-CN" w:bidi="ar-SA"/>
        </w:rPr>
        <w:t>重庆第二师范学院南山校区荟园食堂联合运营项目</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901"/>
        <w:gridCol w:w="3010"/>
        <w:gridCol w:w="2254"/>
      </w:tblGrid>
      <w:tr w14:paraId="591B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0" w:type="pct"/>
            <w:vAlign w:val="center"/>
          </w:tcPr>
          <w:p w14:paraId="0A28F10F">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bookmarkStart w:id="159" w:name="_Toc26981"/>
            <w:r>
              <w:rPr>
                <w:rFonts w:hint="eastAsia" w:ascii="宋体" w:hAnsi="宋体" w:cs="宋体"/>
                <w:color w:val="auto"/>
                <w:sz w:val="21"/>
                <w:szCs w:val="21"/>
                <w:highlight w:val="none"/>
              </w:rPr>
              <w:t>序号</w:t>
            </w:r>
            <w:bookmarkEnd w:id="159"/>
          </w:p>
        </w:tc>
        <w:tc>
          <w:tcPr>
            <w:tcW w:w="1542" w:type="pct"/>
            <w:vAlign w:val="center"/>
          </w:tcPr>
          <w:p w14:paraId="18722032">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bookmarkStart w:id="160" w:name="_Toc26639"/>
            <w:r>
              <w:rPr>
                <w:rFonts w:hint="eastAsia" w:ascii="宋体" w:hAnsi="宋体" w:cs="宋体"/>
                <w:color w:val="auto"/>
                <w:sz w:val="21"/>
                <w:szCs w:val="21"/>
                <w:highlight w:val="none"/>
              </w:rPr>
              <w:t>招标商务要求</w:t>
            </w:r>
            <w:bookmarkEnd w:id="160"/>
          </w:p>
        </w:tc>
        <w:tc>
          <w:tcPr>
            <w:tcW w:w="1600" w:type="pct"/>
            <w:vAlign w:val="center"/>
          </w:tcPr>
          <w:p w14:paraId="4B5A40E1">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bookmarkStart w:id="161" w:name="_Toc18429"/>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务应答</w:t>
            </w:r>
            <w:bookmarkEnd w:id="161"/>
          </w:p>
        </w:tc>
        <w:tc>
          <w:tcPr>
            <w:tcW w:w="1199" w:type="pct"/>
            <w:vAlign w:val="center"/>
          </w:tcPr>
          <w:p w14:paraId="598934D1">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bookmarkStart w:id="162" w:name="_Toc18205"/>
            <w:r>
              <w:rPr>
                <w:rFonts w:hint="eastAsia" w:ascii="宋体" w:hAnsi="宋体" w:cs="宋体"/>
                <w:color w:val="auto"/>
                <w:sz w:val="21"/>
                <w:szCs w:val="21"/>
                <w:highlight w:val="none"/>
              </w:rPr>
              <w:t>差异说明</w:t>
            </w:r>
            <w:bookmarkEnd w:id="162"/>
          </w:p>
        </w:tc>
      </w:tr>
      <w:tr w14:paraId="2EE3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3787BC17">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500CB58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6B32FE4F">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bookmarkStart w:id="163" w:name="_Toc5362"/>
            <w:r>
              <w:rPr>
                <w:rFonts w:hint="eastAsia" w:ascii="宋体" w:hAnsi="宋体" w:cs="宋体"/>
                <w:color w:val="auto"/>
                <w:sz w:val="21"/>
                <w:szCs w:val="21"/>
                <w:highlight w:val="none"/>
              </w:rPr>
              <w:t>提醒：请注明具体内容以及投标文件中具体内容的位置（页码）</w:t>
            </w:r>
            <w:bookmarkEnd w:id="163"/>
          </w:p>
        </w:tc>
        <w:tc>
          <w:tcPr>
            <w:tcW w:w="1199" w:type="pct"/>
            <w:vAlign w:val="center"/>
          </w:tcPr>
          <w:p w14:paraId="7AB50BEE">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587D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6386E68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04F9AE72">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62983608">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0B22E49E">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6146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220B30E9">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384BAE94">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6C8C2742">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393BA34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6823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701EBF70">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242FFF0D">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521926BC">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78EF2316">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213E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1967BD43">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6FBD36E6">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401A24B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24AC115D">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5BC4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54773A3D">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608E2A11">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62FE8D5E">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0883380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39F3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2B1C967C">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3EA5D4F1">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30A74340">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7D56EFFF">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0550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631AAC99">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2BC5B1EC">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35B789D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1D3AD07A">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4AF8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3DBBE3A8">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069F9E06">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62E0C4F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72A0CB1F">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1888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307C5D12">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2122F4A0">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73C78E89">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0E496CC8">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09FE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7FEA9F0A">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76E01AC6">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7B68E3E6">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43368701">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4E67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7FA77F06">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53166C8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008F73D0">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0CF268E5">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r w14:paraId="2D9B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vAlign w:val="center"/>
          </w:tcPr>
          <w:p w14:paraId="34AFAB15">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542" w:type="pct"/>
            <w:vAlign w:val="center"/>
          </w:tcPr>
          <w:p w14:paraId="0088F0C0">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600" w:type="pct"/>
            <w:vAlign w:val="center"/>
          </w:tcPr>
          <w:p w14:paraId="764633A2">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c>
          <w:tcPr>
            <w:tcW w:w="1199" w:type="pct"/>
            <w:vAlign w:val="center"/>
          </w:tcPr>
          <w:p w14:paraId="1199C9EF">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outlineLvl w:val="0"/>
              <w:rPr>
                <w:rFonts w:ascii="宋体" w:hAnsi="宋体" w:cs="宋体"/>
                <w:color w:val="auto"/>
                <w:sz w:val="21"/>
                <w:szCs w:val="21"/>
                <w:highlight w:val="none"/>
              </w:rPr>
            </w:pPr>
          </w:p>
        </w:tc>
      </w:tr>
    </w:tbl>
    <w:p w14:paraId="362F907C">
      <w:pPr>
        <w:kinsoku/>
        <w:wordWrap/>
        <w:overflowPunct/>
        <w:topLinePunct w:val="0"/>
        <w:autoSpaceDE/>
        <w:autoSpaceDN/>
        <w:bidi w:val="0"/>
        <w:spacing w:line="500" w:lineRule="exact"/>
        <w:ind w:firstLine="600" w:firstLineChars="250"/>
        <w:rPr>
          <w:rFonts w:ascii="宋体" w:hAnsi="宋体" w:cs="宋体"/>
          <w:color w:val="auto"/>
          <w:sz w:val="24"/>
          <w:szCs w:val="28"/>
          <w:highlight w:val="none"/>
        </w:rPr>
      </w:pPr>
    </w:p>
    <w:p w14:paraId="62383B1D">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5D81EABD">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注：</w:t>
      </w:r>
    </w:p>
    <w:p w14:paraId="15B1F324">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1.本表即为对本项目“第三篇 项目商务需求”中所列条款进行比较和响应；</w:t>
      </w:r>
    </w:p>
    <w:p w14:paraId="160A3CC2">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2.本表可扩展。</w:t>
      </w:r>
    </w:p>
    <w:p w14:paraId="70E915B7">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3.投标应答栏中应当注明具体内容，且必须标注具体内容在投标文件中的位置（页码）。</w:t>
      </w:r>
    </w:p>
    <w:p w14:paraId="785C5668">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40521CCE">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3480333F">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0A3831B5">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6CC6D9B6">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77AFC8CD">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6740CC63">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0F649FCB">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41046F9F">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7723B351">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70723B43">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39B66E90">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olor w:val="auto"/>
          <w:sz w:val="24"/>
          <w:szCs w:val="24"/>
          <w:highlight w:val="none"/>
        </w:rPr>
      </w:pPr>
    </w:p>
    <w:p w14:paraId="1530AB74">
      <w:pPr>
        <w:tabs>
          <w:tab w:val="left" w:pos="6300"/>
        </w:tabs>
        <w:kinsoku/>
        <w:wordWrap/>
        <w:overflowPunct/>
        <w:topLinePunct w:val="0"/>
        <w:autoSpaceDE/>
        <w:autoSpaceDN/>
        <w:bidi w:val="0"/>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 xml:space="preserve">（三）其他商务资料 </w:t>
      </w:r>
    </w:p>
    <w:p w14:paraId="05FF6045">
      <w:pPr>
        <w:kinsoku/>
        <w:wordWrap/>
        <w:overflowPunct/>
        <w:topLinePunct w:val="0"/>
        <w:autoSpaceDE/>
        <w:autoSpaceDN/>
        <w:bidi w:val="0"/>
        <w:spacing w:after="8" w:line="500" w:lineRule="exact"/>
        <w:ind w:left="149" w:right="112"/>
        <w:jc w:val="center"/>
        <w:outlineLvl w:val="1"/>
        <w:rPr>
          <w:rFonts w:ascii="仿宋" w:hAnsi="仿宋" w:eastAsia="仿宋" w:cs="仿宋"/>
          <w:b/>
          <w:color w:val="auto"/>
          <w:highlight w:val="none"/>
        </w:rPr>
      </w:pPr>
      <w:bookmarkStart w:id="164" w:name="_Toc20798"/>
      <w:bookmarkStart w:id="165" w:name="_Toc13147"/>
      <w:bookmarkStart w:id="166" w:name="_Toc17864"/>
      <w:bookmarkStart w:id="167" w:name="_Toc23756"/>
      <w:bookmarkStart w:id="168" w:name="_Toc4614"/>
      <w:r>
        <w:rPr>
          <w:rFonts w:hint="eastAsia" w:ascii="仿宋" w:hAnsi="仿宋" w:eastAsia="仿宋" w:cs="仿宋"/>
          <w:b/>
          <w:color w:val="auto"/>
          <w:highlight w:val="none"/>
        </w:rPr>
        <w:t>1.</w:t>
      </w:r>
      <w:r>
        <w:rPr>
          <w:rFonts w:hint="eastAsia" w:ascii="仿宋" w:hAnsi="仿宋" w:eastAsia="仿宋" w:cs="仿宋"/>
          <w:b/>
          <w:color w:val="auto"/>
          <w:highlight w:val="none"/>
          <w:lang w:eastAsia="zh-CN"/>
        </w:rPr>
        <w:t>供应商</w:t>
      </w:r>
      <w:r>
        <w:rPr>
          <w:rFonts w:hint="eastAsia" w:ascii="仿宋" w:hAnsi="仿宋" w:eastAsia="仿宋" w:cs="仿宋"/>
          <w:b/>
          <w:color w:val="auto"/>
          <w:highlight w:val="none"/>
        </w:rPr>
        <w:t>基本情况表</w:t>
      </w:r>
      <w:bookmarkEnd w:id="164"/>
      <w:bookmarkEnd w:id="165"/>
      <w:bookmarkEnd w:id="166"/>
      <w:bookmarkEnd w:id="167"/>
      <w:bookmarkEnd w:id="168"/>
    </w:p>
    <w:tbl>
      <w:tblPr>
        <w:tblStyle w:val="18"/>
        <w:tblW w:w="8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3"/>
        <w:gridCol w:w="1504"/>
        <w:gridCol w:w="1980"/>
        <w:gridCol w:w="1300"/>
        <w:gridCol w:w="1792"/>
      </w:tblGrid>
      <w:tr w14:paraId="09AE6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2043" w:type="dxa"/>
          </w:tcPr>
          <w:p w14:paraId="5D613FAF">
            <w:pPr>
              <w:pStyle w:val="35"/>
              <w:keepNext w:val="0"/>
              <w:keepLines w:val="0"/>
              <w:suppressLineNumbers w:val="0"/>
              <w:kinsoku/>
              <w:wordWrap/>
              <w:overflowPunct/>
              <w:topLinePunct w:val="0"/>
              <w:autoSpaceDE/>
              <w:autoSpaceDN/>
              <w:bidi w:val="0"/>
              <w:spacing w:before="116" w:beforeAutospacing="0" w:after="0" w:afterAutospacing="0" w:line="500" w:lineRule="exact"/>
              <w:ind w:left="407" w:right="398"/>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lang w:eastAsia="zh-CN"/>
              </w:rPr>
              <w:t>供应商</w:t>
            </w:r>
            <w:r>
              <w:rPr>
                <w:rFonts w:hint="eastAsia" w:ascii="仿宋" w:hAnsi="仿宋" w:eastAsia="仿宋" w:cs="仿宋"/>
                <w:color w:val="auto"/>
                <w:sz w:val="21"/>
                <w:szCs w:val="22"/>
                <w:highlight w:val="none"/>
              </w:rPr>
              <w:t>全称</w:t>
            </w:r>
          </w:p>
        </w:tc>
        <w:tc>
          <w:tcPr>
            <w:tcW w:w="6576" w:type="dxa"/>
            <w:gridSpan w:val="4"/>
          </w:tcPr>
          <w:p w14:paraId="31AEC7B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19842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2043" w:type="dxa"/>
          </w:tcPr>
          <w:p w14:paraId="2BB1A443">
            <w:pPr>
              <w:pStyle w:val="35"/>
              <w:keepNext w:val="0"/>
              <w:keepLines w:val="0"/>
              <w:suppressLineNumbers w:val="0"/>
              <w:kinsoku/>
              <w:wordWrap/>
              <w:overflowPunct/>
              <w:topLinePunct w:val="0"/>
              <w:autoSpaceDE/>
              <w:autoSpaceDN/>
              <w:bidi w:val="0"/>
              <w:spacing w:before="114" w:beforeAutospacing="0" w:after="0" w:afterAutospacing="0" w:line="500" w:lineRule="exact"/>
              <w:ind w:left="407" w:right="398"/>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注册资金</w:t>
            </w:r>
          </w:p>
        </w:tc>
        <w:tc>
          <w:tcPr>
            <w:tcW w:w="3484" w:type="dxa"/>
            <w:gridSpan w:val="2"/>
          </w:tcPr>
          <w:p w14:paraId="0496BFB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c>
          <w:tcPr>
            <w:tcW w:w="1300" w:type="dxa"/>
          </w:tcPr>
          <w:p w14:paraId="28932619">
            <w:pPr>
              <w:pStyle w:val="35"/>
              <w:keepNext w:val="0"/>
              <w:keepLines w:val="0"/>
              <w:suppressLineNumbers w:val="0"/>
              <w:kinsoku/>
              <w:wordWrap/>
              <w:overflowPunct/>
              <w:topLinePunct w:val="0"/>
              <w:autoSpaceDE/>
              <w:autoSpaceDN/>
              <w:bidi w:val="0"/>
              <w:spacing w:before="114" w:beforeAutospacing="0" w:after="0" w:afterAutospacing="0" w:line="500" w:lineRule="exact"/>
              <w:ind w:left="255" w:right="0"/>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成立时间</w:t>
            </w:r>
          </w:p>
        </w:tc>
        <w:tc>
          <w:tcPr>
            <w:tcW w:w="1792" w:type="dxa"/>
          </w:tcPr>
          <w:p w14:paraId="3F119F0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6A4CD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2043" w:type="dxa"/>
          </w:tcPr>
          <w:p w14:paraId="32B87645">
            <w:pPr>
              <w:pStyle w:val="35"/>
              <w:keepNext w:val="0"/>
              <w:keepLines w:val="0"/>
              <w:suppressLineNumbers w:val="0"/>
              <w:kinsoku/>
              <w:wordWrap/>
              <w:overflowPunct/>
              <w:topLinePunct w:val="0"/>
              <w:autoSpaceDE/>
              <w:autoSpaceDN/>
              <w:bidi w:val="0"/>
              <w:spacing w:before="116" w:beforeAutospacing="0" w:after="0" w:afterAutospacing="0" w:line="500" w:lineRule="exact"/>
              <w:ind w:left="407" w:right="398"/>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企业性质</w:t>
            </w:r>
          </w:p>
        </w:tc>
        <w:tc>
          <w:tcPr>
            <w:tcW w:w="3484" w:type="dxa"/>
            <w:gridSpan w:val="2"/>
          </w:tcPr>
          <w:p w14:paraId="13FF708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c>
          <w:tcPr>
            <w:tcW w:w="1300" w:type="dxa"/>
          </w:tcPr>
          <w:p w14:paraId="597BD5C2">
            <w:pPr>
              <w:pStyle w:val="35"/>
              <w:keepNext w:val="0"/>
              <w:keepLines w:val="0"/>
              <w:suppressLineNumbers w:val="0"/>
              <w:kinsoku/>
              <w:wordWrap/>
              <w:overflowPunct/>
              <w:topLinePunct w:val="0"/>
              <w:autoSpaceDE/>
              <w:autoSpaceDN/>
              <w:bidi w:val="0"/>
              <w:spacing w:before="116" w:beforeAutospacing="0" w:after="0" w:afterAutospacing="0" w:line="500" w:lineRule="exact"/>
              <w:ind w:left="255" w:right="0"/>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职工总数</w:t>
            </w:r>
          </w:p>
        </w:tc>
        <w:tc>
          <w:tcPr>
            <w:tcW w:w="1792" w:type="dxa"/>
          </w:tcPr>
          <w:p w14:paraId="1E39BAF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25024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2043" w:type="dxa"/>
          </w:tcPr>
          <w:p w14:paraId="715A9EB4">
            <w:pPr>
              <w:pStyle w:val="35"/>
              <w:keepNext w:val="0"/>
              <w:keepLines w:val="0"/>
              <w:suppressLineNumbers w:val="0"/>
              <w:kinsoku/>
              <w:wordWrap/>
              <w:overflowPunct/>
              <w:topLinePunct w:val="0"/>
              <w:autoSpaceDE/>
              <w:autoSpaceDN/>
              <w:bidi w:val="0"/>
              <w:spacing w:before="114" w:beforeAutospacing="0" w:after="0" w:afterAutospacing="0" w:line="500" w:lineRule="exact"/>
              <w:ind w:left="407" w:right="398"/>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注册地址</w:t>
            </w:r>
          </w:p>
        </w:tc>
        <w:tc>
          <w:tcPr>
            <w:tcW w:w="6576" w:type="dxa"/>
            <w:gridSpan w:val="4"/>
          </w:tcPr>
          <w:p w14:paraId="237E814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14A2D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2043" w:type="dxa"/>
          </w:tcPr>
          <w:p w14:paraId="2DB809AA">
            <w:pPr>
              <w:pStyle w:val="35"/>
              <w:keepNext w:val="0"/>
              <w:keepLines w:val="0"/>
              <w:suppressLineNumbers w:val="0"/>
              <w:kinsoku/>
              <w:wordWrap/>
              <w:overflowPunct/>
              <w:topLinePunct w:val="0"/>
              <w:autoSpaceDE/>
              <w:autoSpaceDN/>
              <w:bidi w:val="0"/>
              <w:spacing w:before="116" w:beforeAutospacing="0" w:after="0" w:afterAutospacing="0" w:line="500" w:lineRule="exact"/>
              <w:ind w:left="407" w:right="398"/>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公司网址</w:t>
            </w:r>
          </w:p>
        </w:tc>
        <w:tc>
          <w:tcPr>
            <w:tcW w:w="3484" w:type="dxa"/>
            <w:gridSpan w:val="2"/>
          </w:tcPr>
          <w:p w14:paraId="0DFCDDF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c>
          <w:tcPr>
            <w:tcW w:w="1300" w:type="dxa"/>
          </w:tcPr>
          <w:p w14:paraId="51D76419">
            <w:pPr>
              <w:pStyle w:val="35"/>
              <w:keepNext w:val="0"/>
              <w:keepLines w:val="0"/>
              <w:suppressLineNumbers w:val="0"/>
              <w:kinsoku/>
              <w:wordWrap/>
              <w:overflowPunct/>
              <w:topLinePunct w:val="0"/>
              <w:autoSpaceDE/>
              <w:autoSpaceDN/>
              <w:bidi w:val="0"/>
              <w:spacing w:before="116" w:beforeAutospacing="0" w:after="0" w:afterAutospacing="0" w:line="500" w:lineRule="exact"/>
              <w:ind w:left="255" w:right="0"/>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邮政编码</w:t>
            </w:r>
          </w:p>
        </w:tc>
        <w:tc>
          <w:tcPr>
            <w:tcW w:w="1792" w:type="dxa"/>
          </w:tcPr>
          <w:p w14:paraId="136A287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6E970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2043" w:type="dxa"/>
          </w:tcPr>
          <w:p w14:paraId="4AFC7C61">
            <w:pPr>
              <w:pStyle w:val="35"/>
              <w:keepNext w:val="0"/>
              <w:keepLines w:val="0"/>
              <w:suppressLineNumbers w:val="0"/>
              <w:kinsoku/>
              <w:wordWrap/>
              <w:overflowPunct/>
              <w:topLinePunct w:val="0"/>
              <w:autoSpaceDE/>
              <w:autoSpaceDN/>
              <w:bidi w:val="0"/>
              <w:spacing w:before="113" w:beforeAutospacing="0" w:after="0" w:afterAutospacing="0" w:line="500" w:lineRule="exact"/>
              <w:ind w:left="407" w:right="398"/>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lang w:eastAsia="zh-CN"/>
              </w:rPr>
              <w:t>供应商</w:t>
            </w:r>
            <w:r>
              <w:rPr>
                <w:rFonts w:hint="eastAsia" w:ascii="仿宋" w:hAnsi="仿宋" w:eastAsia="仿宋" w:cs="仿宋"/>
                <w:color w:val="auto"/>
                <w:sz w:val="21"/>
                <w:szCs w:val="22"/>
                <w:highlight w:val="none"/>
              </w:rPr>
              <w:t>电话</w:t>
            </w:r>
          </w:p>
        </w:tc>
        <w:tc>
          <w:tcPr>
            <w:tcW w:w="3484" w:type="dxa"/>
            <w:gridSpan w:val="2"/>
          </w:tcPr>
          <w:p w14:paraId="1412925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c>
          <w:tcPr>
            <w:tcW w:w="1300" w:type="dxa"/>
          </w:tcPr>
          <w:p w14:paraId="5732BAC5">
            <w:pPr>
              <w:pStyle w:val="35"/>
              <w:keepNext w:val="0"/>
              <w:keepLines w:val="0"/>
              <w:suppressLineNumbers w:val="0"/>
              <w:tabs>
                <w:tab w:val="left" w:pos="852"/>
              </w:tabs>
              <w:kinsoku/>
              <w:wordWrap/>
              <w:overflowPunct/>
              <w:topLinePunct w:val="0"/>
              <w:autoSpaceDE/>
              <w:autoSpaceDN/>
              <w:bidi w:val="0"/>
              <w:spacing w:before="113" w:beforeAutospacing="0" w:after="0" w:afterAutospacing="0" w:line="500" w:lineRule="exact"/>
              <w:ind w:left="286" w:right="0"/>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传</w:t>
            </w:r>
            <w:r>
              <w:rPr>
                <w:rFonts w:hint="eastAsia" w:ascii="仿宋" w:hAnsi="仿宋" w:eastAsia="仿宋" w:cs="仿宋"/>
                <w:color w:val="auto"/>
                <w:sz w:val="21"/>
                <w:szCs w:val="22"/>
                <w:highlight w:val="none"/>
              </w:rPr>
              <w:tab/>
            </w:r>
            <w:r>
              <w:rPr>
                <w:rFonts w:hint="eastAsia" w:ascii="仿宋" w:hAnsi="仿宋" w:eastAsia="仿宋" w:cs="仿宋"/>
                <w:color w:val="auto"/>
                <w:sz w:val="21"/>
                <w:szCs w:val="22"/>
                <w:highlight w:val="none"/>
              </w:rPr>
              <w:t>真</w:t>
            </w:r>
          </w:p>
        </w:tc>
        <w:tc>
          <w:tcPr>
            <w:tcW w:w="1792" w:type="dxa"/>
          </w:tcPr>
          <w:p w14:paraId="73C7921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3AE82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2" w:hRule="atLeast"/>
          <w:jc w:val="center"/>
        </w:trPr>
        <w:tc>
          <w:tcPr>
            <w:tcW w:w="2043" w:type="dxa"/>
          </w:tcPr>
          <w:p w14:paraId="01930D42">
            <w:pPr>
              <w:pStyle w:val="35"/>
              <w:keepNext w:val="0"/>
              <w:keepLines w:val="0"/>
              <w:suppressLineNumbers w:val="0"/>
              <w:kinsoku/>
              <w:wordWrap/>
              <w:overflowPunct/>
              <w:topLinePunct w:val="0"/>
              <w:autoSpaceDE/>
              <w:autoSpaceDN/>
              <w:bidi w:val="0"/>
              <w:spacing w:before="8" w:beforeAutospacing="0" w:after="0" w:afterAutospacing="0" w:line="500" w:lineRule="exact"/>
              <w:ind w:left="0" w:right="0"/>
              <w:rPr>
                <w:rFonts w:ascii="仿宋" w:hAnsi="仿宋" w:eastAsia="仿宋" w:cs="仿宋"/>
                <w:color w:val="auto"/>
                <w:sz w:val="15"/>
                <w:szCs w:val="22"/>
                <w:highlight w:val="none"/>
              </w:rPr>
            </w:pPr>
          </w:p>
          <w:p w14:paraId="458729CB">
            <w:pPr>
              <w:pStyle w:val="35"/>
              <w:keepNext w:val="0"/>
              <w:keepLines w:val="0"/>
              <w:suppressLineNumbers w:val="0"/>
              <w:kinsoku/>
              <w:wordWrap/>
              <w:overflowPunct/>
              <w:topLinePunct w:val="0"/>
              <w:autoSpaceDE/>
              <w:autoSpaceDN/>
              <w:bidi w:val="0"/>
              <w:spacing w:before="0" w:beforeAutospacing="0" w:after="0" w:afterAutospacing="0" w:line="500" w:lineRule="exact"/>
              <w:ind w:left="743" w:right="100" w:hanging="632"/>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法定代表人</w:t>
            </w:r>
          </w:p>
          <w:p w14:paraId="35887D98">
            <w:pPr>
              <w:pStyle w:val="35"/>
              <w:keepNext w:val="0"/>
              <w:keepLines w:val="0"/>
              <w:suppressLineNumbers w:val="0"/>
              <w:kinsoku/>
              <w:wordWrap/>
              <w:overflowPunct/>
              <w:topLinePunct w:val="0"/>
              <w:autoSpaceDE/>
              <w:autoSpaceDN/>
              <w:bidi w:val="0"/>
              <w:spacing w:before="0" w:beforeAutospacing="0" w:after="0" w:afterAutospacing="0" w:line="500" w:lineRule="exact"/>
              <w:ind w:left="743" w:right="100" w:hanging="632"/>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（单位负责人）</w:t>
            </w:r>
          </w:p>
        </w:tc>
        <w:tc>
          <w:tcPr>
            <w:tcW w:w="1504" w:type="dxa"/>
          </w:tcPr>
          <w:p w14:paraId="5BF1A851">
            <w:pPr>
              <w:pStyle w:val="35"/>
              <w:keepNext w:val="0"/>
              <w:keepLines w:val="0"/>
              <w:suppressLineNumbers w:val="0"/>
              <w:kinsoku/>
              <w:wordWrap/>
              <w:overflowPunct/>
              <w:topLinePunct w:val="0"/>
              <w:autoSpaceDE/>
              <w:autoSpaceDN/>
              <w:bidi w:val="0"/>
              <w:spacing w:before="3" w:beforeAutospacing="0" w:after="0" w:afterAutospacing="0" w:line="500" w:lineRule="exact"/>
              <w:ind w:left="0" w:right="0"/>
              <w:rPr>
                <w:rFonts w:ascii="仿宋" w:hAnsi="仿宋" w:eastAsia="仿宋" w:cs="仿宋"/>
                <w:color w:val="auto"/>
                <w:sz w:val="26"/>
                <w:szCs w:val="22"/>
                <w:highlight w:val="none"/>
              </w:rPr>
            </w:pPr>
          </w:p>
          <w:p w14:paraId="000F58B0">
            <w:pPr>
              <w:pStyle w:val="35"/>
              <w:keepNext w:val="0"/>
              <w:keepLines w:val="0"/>
              <w:suppressLineNumbers w:val="0"/>
              <w:tabs>
                <w:tab w:val="left" w:pos="462"/>
              </w:tabs>
              <w:kinsoku/>
              <w:wordWrap/>
              <w:overflowPunct/>
              <w:topLinePunct w:val="0"/>
              <w:autoSpaceDE/>
              <w:autoSpaceDN/>
              <w:bidi w:val="0"/>
              <w:spacing w:before="1" w:beforeAutospacing="0" w:after="0" w:afterAutospacing="0" w:line="500" w:lineRule="exact"/>
              <w:ind w:left="13" w:right="0"/>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姓</w:t>
            </w:r>
            <w:r>
              <w:rPr>
                <w:rFonts w:hint="eastAsia" w:ascii="仿宋" w:hAnsi="仿宋" w:eastAsia="仿宋" w:cs="仿宋"/>
                <w:color w:val="auto"/>
                <w:sz w:val="21"/>
                <w:szCs w:val="22"/>
                <w:highlight w:val="none"/>
              </w:rPr>
              <w:tab/>
            </w:r>
            <w:r>
              <w:rPr>
                <w:rFonts w:hint="eastAsia" w:ascii="仿宋" w:hAnsi="仿宋" w:eastAsia="仿宋" w:cs="仿宋"/>
                <w:color w:val="auto"/>
                <w:sz w:val="21"/>
                <w:szCs w:val="22"/>
                <w:highlight w:val="none"/>
              </w:rPr>
              <w:t>名</w:t>
            </w:r>
          </w:p>
        </w:tc>
        <w:tc>
          <w:tcPr>
            <w:tcW w:w="1980" w:type="dxa"/>
          </w:tcPr>
          <w:p w14:paraId="533F007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c>
          <w:tcPr>
            <w:tcW w:w="1300" w:type="dxa"/>
          </w:tcPr>
          <w:p w14:paraId="1FB3C27A">
            <w:pPr>
              <w:pStyle w:val="35"/>
              <w:keepNext w:val="0"/>
              <w:keepLines w:val="0"/>
              <w:suppressLineNumbers w:val="0"/>
              <w:kinsoku/>
              <w:wordWrap/>
              <w:overflowPunct/>
              <w:topLinePunct w:val="0"/>
              <w:autoSpaceDE/>
              <w:autoSpaceDN/>
              <w:bidi w:val="0"/>
              <w:spacing w:before="3" w:beforeAutospacing="0" w:after="0" w:afterAutospacing="0" w:line="500" w:lineRule="exact"/>
              <w:ind w:left="0" w:right="0"/>
              <w:rPr>
                <w:rFonts w:ascii="仿宋" w:hAnsi="仿宋" w:eastAsia="仿宋" w:cs="仿宋"/>
                <w:color w:val="auto"/>
                <w:sz w:val="26"/>
                <w:szCs w:val="22"/>
                <w:highlight w:val="none"/>
              </w:rPr>
            </w:pPr>
          </w:p>
          <w:p w14:paraId="748BFE0C">
            <w:pPr>
              <w:pStyle w:val="35"/>
              <w:keepNext w:val="0"/>
              <w:keepLines w:val="0"/>
              <w:suppressLineNumbers w:val="0"/>
              <w:tabs>
                <w:tab w:val="left" w:pos="852"/>
              </w:tabs>
              <w:kinsoku/>
              <w:wordWrap/>
              <w:overflowPunct/>
              <w:topLinePunct w:val="0"/>
              <w:autoSpaceDE/>
              <w:autoSpaceDN/>
              <w:bidi w:val="0"/>
              <w:spacing w:before="1" w:beforeAutospacing="0" w:after="0" w:afterAutospacing="0" w:line="500" w:lineRule="exact"/>
              <w:ind w:left="286" w:right="0"/>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职</w:t>
            </w:r>
            <w:r>
              <w:rPr>
                <w:rFonts w:hint="eastAsia" w:ascii="仿宋" w:hAnsi="仿宋" w:eastAsia="仿宋" w:cs="仿宋"/>
                <w:color w:val="auto"/>
                <w:sz w:val="21"/>
                <w:szCs w:val="22"/>
                <w:highlight w:val="none"/>
              </w:rPr>
              <w:tab/>
            </w:r>
            <w:r>
              <w:rPr>
                <w:rFonts w:hint="eastAsia" w:ascii="仿宋" w:hAnsi="仿宋" w:eastAsia="仿宋" w:cs="仿宋"/>
                <w:color w:val="auto"/>
                <w:sz w:val="21"/>
                <w:szCs w:val="22"/>
                <w:highlight w:val="none"/>
              </w:rPr>
              <w:t>务</w:t>
            </w:r>
          </w:p>
        </w:tc>
        <w:tc>
          <w:tcPr>
            <w:tcW w:w="1792" w:type="dxa"/>
          </w:tcPr>
          <w:p w14:paraId="38C25D2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08E2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2043" w:type="dxa"/>
            <w:vMerge w:val="restart"/>
          </w:tcPr>
          <w:p w14:paraId="7FDF9169">
            <w:pPr>
              <w:pStyle w:val="35"/>
              <w:keepNext w:val="0"/>
              <w:keepLines w:val="0"/>
              <w:suppressLineNumbers w:val="0"/>
              <w:kinsoku/>
              <w:wordWrap/>
              <w:overflowPunct/>
              <w:topLinePunct w:val="0"/>
              <w:autoSpaceDE/>
              <w:autoSpaceDN/>
              <w:bidi w:val="0"/>
              <w:spacing w:before="11" w:beforeAutospacing="0" w:after="0" w:afterAutospacing="0" w:line="500" w:lineRule="exact"/>
              <w:ind w:left="0" w:right="0"/>
              <w:rPr>
                <w:rFonts w:ascii="仿宋" w:hAnsi="仿宋" w:eastAsia="仿宋" w:cs="仿宋"/>
                <w:color w:val="auto"/>
                <w:szCs w:val="22"/>
                <w:highlight w:val="none"/>
              </w:rPr>
            </w:pPr>
          </w:p>
          <w:p w14:paraId="454CEFCD">
            <w:pPr>
              <w:pStyle w:val="35"/>
              <w:keepNext w:val="0"/>
              <w:keepLines w:val="0"/>
              <w:suppressLineNumbers w:val="0"/>
              <w:kinsoku/>
              <w:wordWrap/>
              <w:overflowPunct/>
              <w:topLinePunct w:val="0"/>
              <w:autoSpaceDE/>
              <w:autoSpaceDN/>
              <w:bidi w:val="0"/>
              <w:spacing w:before="1" w:beforeAutospacing="0" w:after="0" w:afterAutospacing="0" w:line="500" w:lineRule="exact"/>
              <w:ind w:left="638" w:right="0"/>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联系方式</w:t>
            </w:r>
          </w:p>
        </w:tc>
        <w:tc>
          <w:tcPr>
            <w:tcW w:w="1504" w:type="dxa"/>
          </w:tcPr>
          <w:p w14:paraId="11B6B068">
            <w:pPr>
              <w:pStyle w:val="35"/>
              <w:keepNext w:val="0"/>
              <w:keepLines w:val="0"/>
              <w:suppressLineNumbers w:val="0"/>
              <w:kinsoku/>
              <w:wordWrap/>
              <w:overflowPunct/>
              <w:topLinePunct w:val="0"/>
              <w:autoSpaceDE/>
              <w:autoSpaceDN/>
              <w:bidi w:val="0"/>
              <w:spacing w:before="116" w:beforeAutospacing="0" w:after="0" w:afterAutospacing="0" w:line="500" w:lineRule="exact"/>
              <w:ind w:left="13" w:right="0"/>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联系人姓名</w:t>
            </w:r>
          </w:p>
        </w:tc>
        <w:tc>
          <w:tcPr>
            <w:tcW w:w="1980" w:type="dxa"/>
          </w:tcPr>
          <w:p w14:paraId="3EE4F43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c>
          <w:tcPr>
            <w:tcW w:w="1300" w:type="dxa"/>
          </w:tcPr>
          <w:p w14:paraId="3CE1CB58">
            <w:pPr>
              <w:pStyle w:val="35"/>
              <w:keepNext w:val="0"/>
              <w:keepLines w:val="0"/>
              <w:suppressLineNumbers w:val="0"/>
              <w:tabs>
                <w:tab w:val="left" w:pos="852"/>
              </w:tabs>
              <w:kinsoku/>
              <w:wordWrap/>
              <w:overflowPunct/>
              <w:topLinePunct w:val="0"/>
              <w:autoSpaceDE/>
              <w:autoSpaceDN/>
              <w:bidi w:val="0"/>
              <w:spacing w:before="116" w:beforeAutospacing="0" w:after="0" w:afterAutospacing="0" w:line="500" w:lineRule="exact"/>
              <w:ind w:left="286" w:right="0"/>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职</w:t>
            </w:r>
            <w:r>
              <w:rPr>
                <w:rFonts w:hint="eastAsia" w:ascii="仿宋" w:hAnsi="仿宋" w:eastAsia="仿宋" w:cs="仿宋"/>
                <w:color w:val="auto"/>
                <w:sz w:val="21"/>
                <w:szCs w:val="22"/>
                <w:highlight w:val="none"/>
              </w:rPr>
              <w:tab/>
            </w:r>
            <w:r>
              <w:rPr>
                <w:rFonts w:hint="eastAsia" w:ascii="仿宋" w:hAnsi="仿宋" w:eastAsia="仿宋" w:cs="仿宋"/>
                <w:color w:val="auto"/>
                <w:sz w:val="21"/>
                <w:szCs w:val="22"/>
                <w:highlight w:val="none"/>
              </w:rPr>
              <w:t>务</w:t>
            </w:r>
          </w:p>
        </w:tc>
        <w:tc>
          <w:tcPr>
            <w:tcW w:w="1792" w:type="dxa"/>
          </w:tcPr>
          <w:p w14:paraId="0F35787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0B241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2043" w:type="dxa"/>
            <w:vMerge w:val="continue"/>
            <w:tcBorders>
              <w:top w:val="nil"/>
            </w:tcBorders>
          </w:tcPr>
          <w:p w14:paraId="62F7F5E9">
            <w:pPr>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
                <w:szCs w:val="2"/>
                <w:highlight w:val="none"/>
              </w:rPr>
            </w:pPr>
          </w:p>
        </w:tc>
        <w:tc>
          <w:tcPr>
            <w:tcW w:w="1504" w:type="dxa"/>
          </w:tcPr>
          <w:p w14:paraId="34085956">
            <w:pPr>
              <w:pStyle w:val="35"/>
              <w:keepNext w:val="0"/>
              <w:keepLines w:val="0"/>
              <w:suppressLineNumbers w:val="0"/>
              <w:kinsoku/>
              <w:wordWrap/>
              <w:overflowPunct/>
              <w:topLinePunct w:val="0"/>
              <w:autoSpaceDE/>
              <w:autoSpaceDN/>
              <w:bidi w:val="0"/>
              <w:spacing w:before="114" w:beforeAutospacing="0" w:after="0" w:afterAutospacing="0" w:line="500" w:lineRule="exact"/>
              <w:ind w:left="13" w:right="0"/>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联系电话</w:t>
            </w:r>
          </w:p>
        </w:tc>
        <w:tc>
          <w:tcPr>
            <w:tcW w:w="1980" w:type="dxa"/>
          </w:tcPr>
          <w:p w14:paraId="30EF078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c>
          <w:tcPr>
            <w:tcW w:w="1300" w:type="dxa"/>
          </w:tcPr>
          <w:p w14:paraId="71B43266">
            <w:pPr>
              <w:pStyle w:val="35"/>
              <w:keepNext w:val="0"/>
              <w:keepLines w:val="0"/>
              <w:suppressLineNumbers w:val="0"/>
              <w:tabs>
                <w:tab w:val="left" w:pos="852"/>
              </w:tabs>
              <w:kinsoku/>
              <w:wordWrap/>
              <w:overflowPunct/>
              <w:topLinePunct w:val="0"/>
              <w:autoSpaceDE/>
              <w:autoSpaceDN/>
              <w:bidi w:val="0"/>
              <w:spacing w:before="114" w:beforeAutospacing="0" w:after="0" w:afterAutospacing="0" w:line="500" w:lineRule="exact"/>
              <w:ind w:left="286" w:right="0"/>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邮</w:t>
            </w:r>
            <w:r>
              <w:rPr>
                <w:rFonts w:hint="eastAsia" w:ascii="仿宋" w:hAnsi="仿宋" w:eastAsia="仿宋" w:cs="仿宋"/>
                <w:color w:val="auto"/>
                <w:sz w:val="21"/>
                <w:szCs w:val="22"/>
                <w:highlight w:val="none"/>
              </w:rPr>
              <w:tab/>
            </w:r>
            <w:r>
              <w:rPr>
                <w:rFonts w:hint="eastAsia" w:ascii="仿宋" w:hAnsi="仿宋" w:eastAsia="仿宋" w:cs="仿宋"/>
                <w:color w:val="auto"/>
                <w:sz w:val="21"/>
                <w:szCs w:val="22"/>
                <w:highlight w:val="none"/>
              </w:rPr>
              <w:t>箱</w:t>
            </w:r>
          </w:p>
        </w:tc>
        <w:tc>
          <w:tcPr>
            <w:tcW w:w="1792" w:type="dxa"/>
          </w:tcPr>
          <w:p w14:paraId="62D0B78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08896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1" w:hRule="atLeast"/>
          <w:jc w:val="center"/>
        </w:trPr>
        <w:tc>
          <w:tcPr>
            <w:tcW w:w="2043" w:type="dxa"/>
            <w:vAlign w:val="center"/>
          </w:tcPr>
          <w:p w14:paraId="2D4F00CC">
            <w:pPr>
              <w:pStyle w:val="35"/>
              <w:keepNext w:val="0"/>
              <w:keepLines w:val="0"/>
              <w:suppressLineNumbers w:val="0"/>
              <w:kinsoku/>
              <w:wordWrap/>
              <w:overflowPunct/>
              <w:topLinePunct w:val="0"/>
              <w:autoSpaceDE/>
              <w:autoSpaceDN/>
              <w:bidi w:val="0"/>
              <w:spacing w:before="116" w:beforeAutospacing="0" w:after="0" w:afterAutospacing="0" w:line="500" w:lineRule="exact"/>
              <w:ind w:left="13" w:right="0"/>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主要业务范围</w:t>
            </w:r>
          </w:p>
        </w:tc>
        <w:tc>
          <w:tcPr>
            <w:tcW w:w="6576" w:type="dxa"/>
            <w:gridSpan w:val="4"/>
          </w:tcPr>
          <w:p w14:paraId="62931E3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636E9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3" w:hRule="atLeast"/>
          <w:jc w:val="center"/>
        </w:trPr>
        <w:tc>
          <w:tcPr>
            <w:tcW w:w="2043" w:type="dxa"/>
            <w:vAlign w:val="center"/>
          </w:tcPr>
          <w:p w14:paraId="5FA7D80A">
            <w:pPr>
              <w:pStyle w:val="35"/>
              <w:keepNext w:val="0"/>
              <w:keepLines w:val="0"/>
              <w:suppressLineNumbers w:val="0"/>
              <w:kinsoku/>
              <w:wordWrap/>
              <w:overflowPunct/>
              <w:topLinePunct w:val="0"/>
              <w:autoSpaceDE/>
              <w:autoSpaceDN/>
              <w:bidi w:val="0"/>
              <w:spacing w:before="116" w:beforeAutospacing="0" w:after="0" w:afterAutospacing="0" w:line="500" w:lineRule="exact"/>
              <w:ind w:left="13" w:right="0"/>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lang w:eastAsia="zh-CN"/>
              </w:rPr>
              <w:t>供应商</w:t>
            </w:r>
            <w:r>
              <w:rPr>
                <w:rFonts w:hint="eastAsia" w:ascii="仿宋" w:hAnsi="仿宋" w:eastAsia="仿宋" w:cs="仿宋"/>
                <w:color w:val="auto"/>
                <w:sz w:val="21"/>
                <w:szCs w:val="22"/>
                <w:highlight w:val="none"/>
              </w:rPr>
              <w:t>简介</w:t>
            </w:r>
          </w:p>
        </w:tc>
        <w:tc>
          <w:tcPr>
            <w:tcW w:w="6576" w:type="dxa"/>
            <w:gridSpan w:val="4"/>
          </w:tcPr>
          <w:p w14:paraId="2651899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3A0E5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jc w:val="center"/>
        </w:trPr>
        <w:tc>
          <w:tcPr>
            <w:tcW w:w="2043" w:type="dxa"/>
            <w:vAlign w:val="center"/>
          </w:tcPr>
          <w:p w14:paraId="587E4425">
            <w:pPr>
              <w:pStyle w:val="35"/>
              <w:keepNext w:val="0"/>
              <w:keepLines w:val="0"/>
              <w:suppressLineNumbers w:val="0"/>
              <w:kinsoku/>
              <w:wordWrap/>
              <w:overflowPunct/>
              <w:topLinePunct w:val="0"/>
              <w:autoSpaceDE/>
              <w:autoSpaceDN/>
              <w:bidi w:val="0"/>
              <w:spacing w:before="116" w:beforeAutospacing="0" w:after="0" w:afterAutospacing="0" w:line="500" w:lineRule="exact"/>
              <w:ind w:left="13" w:right="0"/>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近三年的主要业绩</w:t>
            </w:r>
          </w:p>
        </w:tc>
        <w:tc>
          <w:tcPr>
            <w:tcW w:w="6576" w:type="dxa"/>
            <w:gridSpan w:val="4"/>
          </w:tcPr>
          <w:p w14:paraId="38CA5CE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r w14:paraId="51CE6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jc w:val="center"/>
        </w:trPr>
        <w:tc>
          <w:tcPr>
            <w:tcW w:w="2043" w:type="dxa"/>
            <w:vAlign w:val="center"/>
          </w:tcPr>
          <w:p w14:paraId="45BD1E29">
            <w:pPr>
              <w:pStyle w:val="35"/>
              <w:keepNext w:val="0"/>
              <w:keepLines w:val="0"/>
              <w:suppressLineNumbers w:val="0"/>
              <w:kinsoku/>
              <w:wordWrap/>
              <w:overflowPunct/>
              <w:topLinePunct w:val="0"/>
              <w:autoSpaceDE/>
              <w:autoSpaceDN/>
              <w:bidi w:val="0"/>
              <w:spacing w:before="116" w:beforeAutospacing="0" w:after="0" w:afterAutospacing="0" w:line="500" w:lineRule="exact"/>
              <w:ind w:left="13" w:right="0"/>
              <w:jc w:val="center"/>
              <w:rPr>
                <w:rFonts w:ascii="仿宋" w:hAnsi="仿宋" w:eastAsia="仿宋" w:cs="仿宋"/>
                <w:color w:val="auto"/>
                <w:sz w:val="21"/>
                <w:szCs w:val="22"/>
                <w:highlight w:val="none"/>
              </w:rPr>
            </w:pPr>
            <w:r>
              <w:rPr>
                <w:rFonts w:hint="eastAsia" w:ascii="仿宋" w:hAnsi="仿宋" w:eastAsia="仿宋" w:cs="仿宋"/>
                <w:color w:val="auto"/>
                <w:sz w:val="21"/>
                <w:szCs w:val="22"/>
                <w:highlight w:val="none"/>
              </w:rPr>
              <w:t>备注</w:t>
            </w:r>
          </w:p>
        </w:tc>
        <w:tc>
          <w:tcPr>
            <w:tcW w:w="6576" w:type="dxa"/>
            <w:gridSpan w:val="4"/>
          </w:tcPr>
          <w:p w14:paraId="530DB5D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Cs w:val="22"/>
                <w:highlight w:val="none"/>
              </w:rPr>
            </w:pPr>
          </w:p>
        </w:tc>
      </w:tr>
    </w:tbl>
    <w:p w14:paraId="1110CF75">
      <w:pPr>
        <w:kinsoku/>
        <w:wordWrap/>
        <w:overflowPunct/>
        <w:topLinePunct w:val="0"/>
        <w:autoSpaceDE/>
        <w:autoSpaceDN/>
        <w:bidi w:val="0"/>
        <w:spacing w:before="168" w:line="500" w:lineRule="exact"/>
        <w:ind w:left="99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采购与招标代理机构（盖单位公章）：</w:t>
      </w:r>
    </w:p>
    <w:p w14:paraId="066349F9">
      <w:pPr>
        <w:kinsoku/>
        <w:wordWrap/>
        <w:overflowPunct/>
        <w:topLinePunct w:val="0"/>
        <w:autoSpaceDE/>
        <w:autoSpaceDN/>
        <w:bidi w:val="0"/>
        <w:spacing w:before="201" w:line="500" w:lineRule="exact"/>
        <w:ind w:left="99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法定代表人（单位负责人）或委托代理人（签字或盖章）：</w:t>
      </w:r>
    </w:p>
    <w:p w14:paraId="7E9FDA07">
      <w:pPr>
        <w:tabs>
          <w:tab w:val="left" w:pos="6545"/>
          <w:tab w:val="left" w:pos="7428"/>
          <w:tab w:val="left" w:pos="8312"/>
        </w:tabs>
        <w:kinsoku/>
        <w:wordWrap/>
        <w:overflowPunct/>
        <w:topLinePunct w:val="0"/>
        <w:autoSpaceDE/>
        <w:autoSpaceDN/>
        <w:bidi w:val="0"/>
        <w:spacing w:before="74" w:line="500" w:lineRule="exact"/>
        <w:ind w:left="5032"/>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ab/>
      </w:r>
      <w:r>
        <w:rPr>
          <w:rFonts w:hint="eastAsia" w:ascii="仿宋" w:hAnsi="仿宋" w:eastAsia="仿宋" w:cs="仿宋"/>
          <w:color w:val="auto"/>
          <w:spacing w:val="-27"/>
          <w:sz w:val="24"/>
          <w:szCs w:val="24"/>
          <w:highlight w:val="none"/>
        </w:rPr>
        <w:t>年</w:t>
      </w:r>
      <w:r>
        <w:rPr>
          <w:rFonts w:hint="eastAsia" w:ascii="仿宋" w:hAnsi="仿宋" w:eastAsia="仿宋" w:cs="仿宋"/>
          <w:color w:val="auto"/>
          <w:spacing w:val="-27"/>
          <w:sz w:val="24"/>
          <w:szCs w:val="24"/>
          <w:highlight w:val="none"/>
          <w:u w:val="single"/>
        </w:rPr>
        <w:tab/>
      </w:r>
      <w:r>
        <w:rPr>
          <w:rFonts w:hint="eastAsia" w:ascii="仿宋" w:hAnsi="仿宋" w:eastAsia="仿宋" w:cs="仿宋"/>
          <w:color w:val="auto"/>
          <w:spacing w:val="-29"/>
          <w:sz w:val="24"/>
          <w:szCs w:val="24"/>
          <w:highlight w:val="none"/>
        </w:rPr>
        <w:t>月</w:t>
      </w:r>
      <w:r>
        <w:rPr>
          <w:rFonts w:hint="eastAsia" w:ascii="仿宋" w:hAnsi="仿宋" w:eastAsia="仿宋" w:cs="仿宋"/>
          <w:color w:val="auto"/>
          <w:spacing w:val="-29"/>
          <w:sz w:val="24"/>
          <w:szCs w:val="24"/>
          <w:highlight w:val="none"/>
          <w:u w:val="single"/>
        </w:rPr>
        <w:tab/>
      </w:r>
      <w:r>
        <w:rPr>
          <w:rFonts w:hint="eastAsia" w:ascii="仿宋" w:hAnsi="仿宋" w:eastAsia="仿宋" w:cs="仿宋"/>
          <w:color w:val="auto"/>
          <w:sz w:val="24"/>
          <w:szCs w:val="24"/>
          <w:highlight w:val="none"/>
        </w:rPr>
        <w:t>日</w:t>
      </w:r>
    </w:p>
    <w:p w14:paraId="2850F118">
      <w:pPr>
        <w:kinsoku/>
        <w:wordWrap/>
        <w:overflowPunct/>
        <w:topLinePunct w:val="0"/>
        <w:autoSpaceDE/>
        <w:autoSpaceDN/>
        <w:bidi w:val="0"/>
        <w:spacing w:line="500" w:lineRule="exact"/>
        <w:rPr>
          <w:rFonts w:ascii="仿宋" w:hAnsi="仿宋" w:eastAsia="仿宋" w:cs="仿宋"/>
          <w:color w:val="auto"/>
          <w:sz w:val="21"/>
          <w:highlight w:val="none"/>
        </w:rPr>
        <w:sectPr>
          <w:pgSz w:w="11913" w:h="16850"/>
          <w:pgMar w:top="1361" w:right="1361" w:bottom="1361" w:left="1361" w:header="990" w:footer="683" w:gutter="0"/>
          <w:cols w:space="720" w:num="1"/>
        </w:sectPr>
      </w:pPr>
    </w:p>
    <w:p w14:paraId="484165EB">
      <w:pPr>
        <w:kinsoku/>
        <w:wordWrap/>
        <w:overflowPunct/>
        <w:topLinePunct w:val="0"/>
        <w:autoSpaceDE/>
        <w:autoSpaceDN/>
        <w:bidi w:val="0"/>
        <w:spacing w:before="159" w:after="8" w:line="500" w:lineRule="exact"/>
        <w:ind w:left="2728"/>
        <w:outlineLvl w:val="1"/>
        <w:rPr>
          <w:rFonts w:ascii="仿宋" w:hAnsi="仿宋" w:eastAsia="仿宋" w:cs="仿宋"/>
          <w:b/>
          <w:color w:val="auto"/>
          <w:highlight w:val="none"/>
        </w:rPr>
      </w:pPr>
      <w:bookmarkStart w:id="169" w:name="_Toc6246"/>
      <w:bookmarkStart w:id="170" w:name="_Toc11718"/>
      <w:bookmarkStart w:id="171" w:name="_Toc20096"/>
      <w:bookmarkStart w:id="172" w:name="_Toc25925"/>
      <w:bookmarkStart w:id="173" w:name="_Toc24946"/>
      <w:r>
        <w:rPr>
          <w:rFonts w:hint="eastAsia" w:ascii="仿宋" w:hAnsi="仿宋" w:eastAsia="仿宋" w:cs="仿宋"/>
          <w:b/>
          <w:color w:val="auto"/>
          <w:highlight w:val="none"/>
        </w:rPr>
        <w:t>2.项目全部人员组成表（格式）</w:t>
      </w:r>
      <w:bookmarkEnd w:id="169"/>
      <w:bookmarkEnd w:id="170"/>
      <w:bookmarkEnd w:id="171"/>
      <w:bookmarkEnd w:id="172"/>
      <w:bookmarkEnd w:id="173"/>
    </w:p>
    <w:p w14:paraId="243D3CD5">
      <w:pPr>
        <w:kinsoku/>
        <w:wordWrap/>
        <w:overflowPunct/>
        <w:topLinePunct w:val="0"/>
        <w:autoSpaceDE/>
        <w:autoSpaceDN/>
        <w:bidi w:val="0"/>
        <w:spacing w:before="61" w:line="500" w:lineRule="exact"/>
        <w:ind w:left="494"/>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rPr>
        <w:t>采购项目名称：</w:t>
      </w:r>
    </w:p>
    <w:tbl>
      <w:tblPr>
        <w:tblStyle w:val="18"/>
        <w:tblW w:w="90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7"/>
        <w:gridCol w:w="678"/>
        <w:gridCol w:w="485"/>
        <w:gridCol w:w="726"/>
        <w:gridCol w:w="686"/>
        <w:gridCol w:w="992"/>
        <w:gridCol w:w="1057"/>
        <w:gridCol w:w="582"/>
        <w:gridCol w:w="1133"/>
        <w:gridCol w:w="756"/>
        <w:gridCol w:w="754"/>
        <w:gridCol w:w="704"/>
      </w:tblGrid>
      <w:tr w14:paraId="18DF1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jc w:val="center"/>
        </w:trPr>
        <w:tc>
          <w:tcPr>
            <w:tcW w:w="487" w:type="dxa"/>
            <w:vAlign w:val="center"/>
          </w:tcPr>
          <w:p w14:paraId="4A6B6940">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678" w:type="dxa"/>
            <w:vAlign w:val="center"/>
          </w:tcPr>
          <w:p w14:paraId="4E67B9E8">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姓名</w:t>
            </w:r>
          </w:p>
        </w:tc>
        <w:tc>
          <w:tcPr>
            <w:tcW w:w="485" w:type="dxa"/>
            <w:vAlign w:val="center"/>
          </w:tcPr>
          <w:p w14:paraId="597CE09F">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性别</w:t>
            </w:r>
          </w:p>
        </w:tc>
        <w:tc>
          <w:tcPr>
            <w:tcW w:w="726" w:type="dxa"/>
            <w:vAlign w:val="center"/>
          </w:tcPr>
          <w:p w14:paraId="0ECA846B">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年龄</w:t>
            </w:r>
          </w:p>
        </w:tc>
        <w:tc>
          <w:tcPr>
            <w:tcW w:w="686" w:type="dxa"/>
            <w:vAlign w:val="center"/>
          </w:tcPr>
          <w:p w14:paraId="0EB59ADC">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学历</w:t>
            </w:r>
          </w:p>
        </w:tc>
        <w:tc>
          <w:tcPr>
            <w:tcW w:w="992" w:type="dxa"/>
            <w:vAlign w:val="center"/>
          </w:tcPr>
          <w:p w14:paraId="541EE07C">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从业年限</w:t>
            </w:r>
          </w:p>
        </w:tc>
        <w:tc>
          <w:tcPr>
            <w:tcW w:w="1057" w:type="dxa"/>
            <w:vAlign w:val="center"/>
          </w:tcPr>
          <w:p w14:paraId="2CCBE9A5">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拟派本项目的职务</w:t>
            </w:r>
          </w:p>
        </w:tc>
        <w:tc>
          <w:tcPr>
            <w:tcW w:w="582" w:type="dxa"/>
            <w:vAlign w:val="center"/>
          </w:tcPr>
          <w:p w14:paraId="2848AF11">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职称</w:t>
            </w:r>
          </w:p>
        </w:tc>
        <w:tc>
          <w:tcPr>
            <w:tcW w:w="1133" w:type="dxa"/>
            <w:vAlign w:val="center"/>
          </w:tcPr>
          <w:p w14:paraId="6279B5AD">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证书名称</w:t>
            </w:r>
          </w:p>
        </w:tc>
        <w:tc>
          <w:tcPr>
            <w:tcW w:w="756" w:type="dxa"/>
            <w:vAlign w:val="center"/>
          </w:tcPr>
          <w:p w14:paraId="1A20693F">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证号</w:t>
            </w:r>
          </w:p>
        </w:tc>
        <w:tc>
          <w:tcPr>
            <w:tcW w:w="754" w:type="dxa"/>
            <w:vAlign w:val="center"/>
          </w:tcPr>
          <w:p w14:paraId="10C371AA">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专业</w:t>
            </w:r>
          </w:p>
        </w:tc>
        <w:tc>
          <w:tcPr>
            <w:tcW w:w="704" w:type="dxa"/>
            <w:vAlign w:val="center"/>
          </w:tcPr>
          <w:p w14:paraId="4D80A596">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14:paraId="5A73A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5D93AA8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526C6B8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6D326CE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0118462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16D462E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60D68EC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4B14461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5B22FF4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29ABB5A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503C0AC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413C90E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6CD3033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0B4BB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487" w:type="dxa"/>
          </w:tcPr>
          <w:p w14:paraId="51C1FA1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3DAA452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39E35AD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32C5322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2B8FC99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7C92381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223BC93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5FE3224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2A8D455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13D4218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75D901C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07EA460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7C96B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765C589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0147680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6340967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4BD623F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4B2858D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64F00DC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0101435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1B9DD18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078A59C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216B23A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7F38516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58C8AE3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28B88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5A41B7F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5E00ABC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57FEBE1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24F982F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6E7F506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68A5223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30FB171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1C47DAB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55C75E0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19E63FD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2FB926B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00F6FBF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0173C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404F97C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1BFF5E0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35A60A5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509E46A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5CF38B2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0F4AE89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4A027B5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487E36A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5D1A0B0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671CA82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4C45923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64A158E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4B0C4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012A0A4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0FE717F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5CB8A54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13DC933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665EC12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503A4C6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5D89D42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1506FB7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0CEE7E2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09C4547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2D4ACBA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73A444A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3EDA3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6A02167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78C0D59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5375E7C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726C0AE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28E6EBC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7F6A6FD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21B3944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7848390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064B205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1835B08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1C07541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1E85012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066A1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87" w:type="dxa"/>
          </w:tcPr>
          <w:p w14:paraId="42B20D6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34F0CF8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4343C08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1BE0153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72FBB10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6165BC5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09D5FB7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2494D09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4D2A89D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6418799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2A1CA69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2D7F628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7F32E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1CB5C99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1028949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1A5FAB4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38718AC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70B5132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3A2FBAE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626E86E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61699F2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2375ADA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3F164E3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3CD0451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3179ED6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529C3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44DE9F2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0ED9D04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7859B27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639E538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38D0B73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0969BE3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3A567BF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57E3CD0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44972F7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584A67E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203E7F5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618D586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023EF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29257F1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697C78C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60739BA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650345B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418CAA5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2B47D77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18184A6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0BB2663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7ACD6DB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5C63F91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73415AD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2AEFA4A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676E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23269D1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21FA1DE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6F2860D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41C8DCE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78C6B3C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5E64071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08200A5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1AF08EF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21648AE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2BBACB5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608D823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2F78161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2BA91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52B9682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7A7CD51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7382B92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1B81112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4C39426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41CF715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29AD059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026899F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52AFC7E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1F25BD3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763ABEE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113F0CF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43409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87" w:type="dxa"/>
          </w:tcPr>
          <w:p w14:paraId="58D3370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7B43A0C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48B6D1D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494BF73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0B092EB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40CE9EA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29E2462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37FF662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5D54CF6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429E6EA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11066F6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4C39A97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388FC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6331106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3D05851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293EE66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027A3B1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0C929F8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28D3A0D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2632B35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4C34A92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636AC0F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7F12440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334AC04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102C30F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60EC0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1E154C3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78" w:type="dxa"/>
          </w:tcPr>
          <w:p w14:paraId="4768420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485" w:type="dxa"/>
          </w:tcPr>
          <w:p w14:paraId="0DA12EC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26" w:type="dxa"/>
          </w:tcPr>
          <w:p w14:paraId="5571363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686" w:type="dxa"/>
          </w:tcPr>
          <w:p w14:paraId="6E3BA21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992" w:type="dxa"/>
          </w:tcPr>
          <w:p w14:paraId="72F5709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057" w:type="dxa"/>
          </w:tcPr>
          <w:p w14:paraId="10A5262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582" w:type="dxa"/>
          </w:tcPr>
          <w:p w14:paraId="7F79A6C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133" w:type="dxa"/>
          </w:tcPr>
          <w:p w14:paraId="7AB83D4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6" w:type="dxa"/>
          </w:tcPr>
          <w:p w14:paraId="3187149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54" w:type="dxa"/>
          </w:tcPr>
          <w:p w14:paraId="7504FA92">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704" w:type="dxa"/>
          </w:tcPr>
          <w:p w14:paraId="1ED4AFE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bl>
    <w:p w14:paraId="42A621B7">
      <w:pPr>
        <w:kinsoku/>
        <w:wordWrap/>
        <w:overflowPunct/>
        <w:topLinePunct w:val="0"/>
        <w:autoSpaceDE/>
        <w:autoSpaceDN/>
        <w:bidi w:val="0"/>
        <w:spacing w:before="62" w:line="500" w:lineRule="exact"/>
        <w:ind w:left="99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采购与招标代理机构（盖单位公章）：</w:t>
      </w:r>
    </w:p>
    <w:p w14:paraId="4B6C731B">
      <w:pPr>
        <w:kinsoku/>
        <w:wordWrap/>
        <w:overflowPunct/>
        <w:topLinePunct w:val="0"/>
        <w:autoSpaceDE/>
        <w:autoSpaceDN/>
        <w:bidi w:val="0"/>
        <w:spacing w:before="203" w:line="500" w:lineRule="exact"/>
        <w:ind w:left="99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法定代表人（单位负责人）或委托代理人（签字或盖章）：</w:t>
      </w:r>
    </w:p>
    <w:p w14:paraId="3E975491">
      <w:pPr>
        <w:tabs>
          <w:tab w:val="left" w:pos="6545"/>
          <w:tab w:val="left" w:pos="7428"/>
          <w:tab w:val="left" w:pos="8312"/>
        </w:tabs>
        <w:kinsoku/>
        <w:wordWrap/>
        <w:overflowPunct/>
        <w:topLinePunct w:val="0"/>
        <w:autoSpaceDE/>
        <w:autoSpaceDN/>
        <w:bidi w:val="0"/>
        <w:spacing w:before="71" w:line="500" w:lineRule="exact"/>
        <w:ind w:left="5032"/>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ab/>
      </w:r>
      <w:r>
        <w:rPr>
          <w:rFonts w:hint="eastAsia" w:ascii="仿宋" w:hAnsi="仿宋" w:eastAsia="仿宋" w:cs="仿宋"/>
          <w:color w:val="auto"/>
          <w:spacing w:val="-27"/>
          <w:sz w:val="24"/>
          <w:szCs w:val="24"/>
          <w:highlight w:val="none"/>
        </w:rPr>
        <w:t>年</w:t>
      </w:r>
      <w:r>
        <w:rPr>
          <w:rFonts w:hint="eastAsia" w:ascii="仿宋" w:hAnsi="仿宋" w:eastAsia="仿宋" w:cs="仿宋"/>
          <w:color w:val="auto"/>
          <w:spacing w:val="-27"/>
          <w:sz w:val="24"/>
          <w:szCs w:val="24"/>
          <w:highlight w:val="none"/>
          <w:u w:val="single"/>
        </w:rPr>
        <w:tab/>
      </w:r>
      <w:r>
        <w:rPr>
          <w:rFonts w:hint="eastAsia" w:ascii="仿宋" w:hAnsi="仿宋" w:eastAsia="仿宋" w:cs="仿宋"/>
          <w:color w:val="auto"/>
          <w:spacing w:val="-29"/>
          <w:sz w:val="24"/>
          <w:szCs w:val="24"/>
          <w:highlight w:val="none"/>
        </w:rPr>
        <w:t>月</w:t>
      </w:r>
      <w:r>
        <w:rPr>
          <w:rFonts w:hint="eastAsia" w:ascii="仿宋" w:hAnsi="仿宋" w:eastAsia="仿宋" w:cs="仿宋"/>
          <w:color w:val="auto"/>
          <w:spacing w:val="-29"/>
          <w:sz w:val="24"/>
          <w:szCs w:val="24"/>
          <w:highlight w:val="none"/>
          <w:u w:val="single"/>
        </w:rPr>
        <w:tab/>
      </w:r>
      <w:r>
        <w:rPr>
          <w:rFonts w:hint="eastAsia" w:ascii="仿宋" w:hAnsi="仿宋" w:eastAsia="仿宋" w:cs="仿宋"/>
          <w:color w:val="auto"/>
          <w:sz w:val="24"/>
          <w:szCs w:val="24"/>
          <w:highlight w:val="none"/>
        </w:rPr>
        <w:t>日</w:t>
      </w:r>
    </w:p>
    <w:p w14:paraId="07306259">
      <w:pPr>
        <w:kinsoku/>
        <w:wordWrap/>
        <w:overflowPunct/>
        <w:topLinePunct w:val="0"/>
        <w:autoSpaceDE/>
        <w:autoSpaceDN/>
        <w:bidi w:val="0"/>
        <w:spacing w:line="500" w:lineRule="exact"/>
        <w:rPr>
          <w:rFonts w:ascii="宋体" w:hAnsi="宋体" w:cs="宋体"/>
          <w:bCs/>
          <w:color w:val="auto"/>
          <w:sz w:val="24"/>
          <w:szCs w:val="24"/>
          <w:highlight w:val="none"/>
        </w:rPr>
      </w:pPr>
    </w:p>
    <w:p w14:paraId="13956AF9">
      <w:pPr>
        <w:kinsoku/>
        <w:wordWrap/>
        <w:overflowPunct/>
        <w:topLinePunct w:val="0"/>
        <w:autoSpaceDE/>
        <w:autoSpaceDN/>
        <w:bidi w:val="0"/>
        <w:spacing w:line="500" w:lineRule="exact"/>
        <w:rPr>
          <w:rFonts w:ascii="宋体" w:hAnsi="宋体" w:cs="宋体"/>
          <w:bCs/>
          <w:color w:val="auto"/>
          <w:sz w:val="24"/>
          <w:szCs w:val="24"/>
          <w:highlight w:val="none"/>
        </w:rPr>
      </w:pPr>
      <w:r>
        <w:rPr>
          <w:rFonts w:hint="eastAsia" w:ascii="宋体" w:hAnsi="宋体" w:cs="宋体"/>
          <w:bCs/>
          <w:color w:val="auto"/>
          <w:sz w:val="24"/>
          <w:szCs w:val="24"/>
          <w:highlight w:val="none"/>
        </w:rPr>
        <w:t>说明：</w:t>
      </w:r>
    </w:p>
    <w:p w14:paraId="57518F9E">
      <w:pPr>
        <w:kinsoku/>
        <w:wordWrap/>
        <w:overflowPunct/>
        <w:topLinePunct w:val="0"/>
        <w:autoSpaceDE/>
        <w:autoSpaceDN/>
        <w:bidi w:val="0"/>
        <w:spacing w:line="500" w:lineRule="exact"/>
        <w:rPr>
          <w:rFonts w:ascii="宋体" w:hAnsi="宋体" w:cs="宋体"/>
          <w:bCs/>
          <w:color w:val="auto"/>
          <w:sz w:val="24"/>
          <w:szCs w:val="24"/>
          <w:highlight w:val="none"/>
        </w:rPr>
      </w:pPr>
      <w:r>
        <w:rPr>
          <w:rFonts w:hint="eastAsia" w:ascii="宋体" w:hAnsi="宋体" w:cs="宋体"/>
          <w:bCs/>
          <w:color w:val="auto"/>
          <w:sz w:val="24"/>
          <w:szCs w:val="24"/>
          <w:highlight w:val="none"/>
        </w:rPr>
        <w:t>1.</w:t>
      </w:r>
      <w:r>
        <w:rPr>
          <w:rFonts w:hint="eastAsia" w:ascii="宋体" w:hAnsi="宋体" w:cs="宋体"/>
          <w:bCs/>
          <w:color w:val="auto"/>
          <w:sz w:val="24"/>
          <w:szCs w:val="24"/>
          <w:highlight w:val="none"/>
          <w:lang w:eastAsia="zh-CN"/>
        </w:rPr>
        <w:t>成交供应商</w:t>
      </w:r>
      <w:r>
        <w:rPr>
          <w:rFonts w:hint="eastAsia" w:ascii="宋体" w:hAnsi="宋体" w:cs="宋体"/>
          <w:bCs/>
          <w:color w:val="auto"/>
          <w:sz w:val="24"/>
          <w:szCs w:val="24"/>
          <w:highlight w:val="none"/>
        </w:rPr>
        <w:t>达到开业条件后，须完整填报上表，并报采购人书面备案。上表人员包含但不限于项目</w:t>
      </w:r>
      <w:r>
        <w:rPr>
          <w:rFonts w:hint="eastAsia" w:ascii="宋体" w:hAnsi="宋体" w:cs="仿宋"/>
          <w:color w:val="auto"/>
          <w:sz w:val="24"/>
          <w:szCs w:val="24"/>
          <w:highlight w:val="none"/>
        </w:rPr>
        <w:t>负责人、厨师、厨工、管理人员、其他人员等在内的为本项目服务的所有档口工作人员及管理人员。</w:t>
      </w:r>
      <w:r>
        <w:rPr>
          <w:rFonts w:hint="eastAsia" w:ascii="宋体" w:hAnsi="宋体" w:cs="宋体"/>
          <w:bCs/>
          <w:color w:val="auto"/>
          <w:sz w:val="24"/>
          <w:szCs w:val="24"/>
          <w:highlight w:val="none"/>
        </w:rPr>
        <w:t>采购人定期或不定期对所有档口工作人员的聘用合同、缴纳社保的材料、上岗情况及工资流水进行查验。此表将作为查验的基础数据和依据。</w:t>
      </w:r>
    </w:p>
    <w:p w14:paraId="07DD605E">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仿宋"/>
          <w:color w:val="auto"/>
          <w:sz w:val="24"/>
          <w:szCs w:val="24"/>
          <w:highlight w:val="none"/>
        </w:rPr>
      </w:pPr>
      <w:r>
        <w:rPr>
          <w:rFonts w:hint="eastAsia" w:ascii="宋体" w:hAnsi="宋体" w:cs="仿宋"/>
          <w:color w:val="auto"/>
          <w:sz w:val="24"/>
          <w:szCs w:val="24"/>
          <w:highlight w:val="none"/>
        </w:rPr>
        <w:t>2.</w:t>
      </w:r>
      <w:r>
        <w:rPr>
          <w:rFonts w:hint="eastAsia" w:ascii="宋体" w:hAnsi="宋体" w:cs="仿宋"/>
          <w:color w:val="auto"/>
          <w:sz w:val="24"/>
          <w:szCs w:val="24"/>
          <w:highlight w:val="none"/>
          <w:lang w:eastAsia="zh-CN"/>
        </w:rPr>
        <w:t>成交供应商</w:t>
      </w:r>
      <w:r>
        <w:rPr>
          <w:rFonts w:hint="eastAsia" w:ascii="宋体" w:hAnsi="宋体" w:cs="仿宋"/>
          <w:color w:val="auto"/>
          <w:sz w:val="24"/>
          <w:szCs w:val="24"/>
          <w:highlight w:val="none"/>
        </w:rPr>
        <w:t>须依法用工，工资待遇和社会保险按国家规定执行；</w:t>
      </w:r>
      <w:r>
        <w:rPr>
          <w:rFonts w:hint="eastAsia" w:ascii="宋体" w:hAnsi="宋体" w:cs="仿宋"/>
          <w:color w:val="auto"/>
          <w:sz w:val="24"/>
          <w:szCs w:val="24"/>
          <w:highlight w:val="none"/>
          <w:lang w:eastAsia="zh-CN"/>
        </w:rPr>
        <w:t>成交供应商</w:t>
      </w:r>
      <w:r>
        <w:rPr>
          <w:rFonts w:hint="eastAsia" w:ascii="宋体" w:hAnsi="宋体" w:cs="仿宋"/>
          <w:color w:val="auto"/>
          <w:sz w:val="24"/>
          <w:szCs w:val="24"/>
          <w:highlight w:val="none"/>
        </w:rPr>
        <w:t>不得拖欠员工工资和第三方货物等经营款项，自行负责妥善处理各类纠纷（含用工纠纷）和投诉，并自行承担由此造成的一切经济、安全责任和法律责任；</w:t>
      </w:r>
      <w:r>
        <w:rPr>
          <w:rFonts w:hint="eastAsia" w:ascii="宋体" w:hAnsi="宋体" w:cs="仿宋"/>
          <w:color w:val="auto"/>
          <w:sz w:val="24"/>
          <w:szCs w:val="24"/>
          <w:highlight w:val="none"/>
          <w:lang w:eastAsia="zh-CN"/>
        </w:rPr>
        <w:t>成交供应商</w:t>
      </w:r>
      <w:r>
        <w:rPr>
          <w:rFonts w:hint="eastAsia" w:ascii="宋体" w:hAnsi="宋体" w:cs="仿宋"/>
          <w:color w:val="auto"/>
          <w:sz w:val="24"/>
          <w:szCs w:val="24"/>
          <w:highlight w:val="none"/>
        </w:rPr>
        <w:t>自行承担员工和经营范围内发生的人身财产安全、食品卫生、消防安全等事故造成的一切经济、行政和法律责任。</w:t>
      </w:r>
    </w:p>
    <w:p w14:paraId="412EBE6C">
      <w:pPr>
        <w:kinsoku/>
        <w:wordWrap/>
        <w:overflowPunct/>
        <w:topLinePunct w:val="0"/>
        <w:autoSpaceDE/>
        <w:autoSpaceDN/>
        <w:bidi w:val="0"/>
        <w:spacing w:before="62" w:line="500" w:lineRule="exact"/>
        <w:ind w:left="173" w:right="112"/>
        <w:jc w:val="center"/>
        <w:outlineLvl w:val="1"/>
        <w:rPr>
          <w:rFonts w:ascii="仿宋" w:hAnsi="仿宋" w:eastAsia="仿宋" w:cs="仿宋"/>
          <w:b/>
          <w:color w:val="auto"/>
          <w:highlight w:val="none"/>
        </w:rPr>
      </w:pPr>
      <w:bookmarkStart w:id="174" w:name="_Toc1951"/>
      <w:r>
        <w:rPr>
          <w:rFonts w:hint="eastAsia" w:ascii="仿宋" w:hAnsi="仿宋" w:eastAsia="仿宋" w:cs="仿宋"/>
          <w:b/>
          <w:color w:val="auto"/>
          <w:highlight w:val="none"/>
        </w:rPr>
        <w:t>3.项目业绩一览表（格式）</w:t>
      </w:r>
      <w:bookmarkEnd w:id="174"/>
    </w:p>
    <w:p w14:paraId="0F8DE5BB">
      <w:pPr>
        <w:kinsoku/>
        <w:wordWrap/>
        <w:overflowPunct/>
        <w:topLinePunct w:val="0"/>
        <w:autoSpaceDE/>
        <w:autoSpaceDN/>
        <w:bidi w:val="0"/>
        <w:spacing w:before="61" w:line="500" w:lineRule="exact"/>
        <w:ind w:left="494"/>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采购项目名称：</w:t>
      </w:r>
    </w:p>
    <w:tbl>
      <w:tblPr>
        <w:tblStyle w:val="18"/>
        <w:tblW w:w="91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3"/>
        <w:gridCol w:w="3225"/>
        <w:gridCol w:w="1624"/>
        <w:gridCol w:w="1977"/>
        <w:gridCol w:w="1254"/>
      </w:tblGrid>
      <w:tr w14:paraId="7FBE6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1083" w:type="dxa"/>
            <w:vAlign w:val="center"/>
          </w:tcPr>
          <w:p w14:paraId="4791C0F9">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3225" w:type="dxa"/>
            <w:vAlign w:val="center"/>
          </w:tcPr>
          <w:p w14:paraId="29E823F0">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项目名称</w:t>
            </w:r>
          </w:p>
        </w:tc>
        <w:tc>
          <w:tcPr>
            <w:tcW w:w="1624" w:type="dxa"/>
            <w:vAlign w:val="center"/>
          </w:tcPr>
          <w:p w14:paraId="7E86FABC">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委托单位</w:t>
            </w:r>
          </w:p>
        </w:tc>
        <w:tc>
          <w:tcPr>
            <w:tcW w:w="1977" w:type="dxa"/>
            <w:vAlign w:val="center"/>
          </w:tcPr>
          <w:p w14:paraId="25026845">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食堂经营面积（㎡）</w:t>
            </w:r>
          </w:p>
        </w:tc>
        <w:tc>
          <w:tcPr>
            <w:tcW w:w="1254" w:type="dxa"/>
            <w:vAlign w:val="center"/>
          </w:tcPr>
          <w:p w14:paraId="5ABB7CBC">
            <w:pPr>
              <w:pStyle w:val="35"/>
              <w:keepNext w:val="0"/>
              <w:keepLines w:val="0"/>
              <w:suppressLineNumbers w:val="0"/>
              <w:kinsoku/>
              <w:wordWrap/>
              <w:overflowPunct/>
              <w:topLinePunct w:val="0"/>
              <w:autoSpaceDE/>
              <w:autoSpaceDN/>
              <w:bidi w:val="0"/>
              <w:spacing w:before="60" w:beforeAutospacing="0" w:after="0" w:afterAutospacing="0" w:line="500" w:lineRule="exact"/>
              <w:ind w:left="0" w:right="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14:paraId="17C95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439F8DB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6016D5B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0B12211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4EECFA3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4FDBA30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16B51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jc w:val="center"/>
        </w:trPr>
        <w:tc>
          <w:tcPr>
            <w:tcW w:w="1083" w:type="dxa"/>
          </w:tcPr>
          <w:p w14:paraId="10EF8DF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6C0CA4B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3C4BA89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3564230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2B0818F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67EC6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1DFEE39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7321E87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68C0A35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2DF5EE8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14AF5C6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79D6C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0D5DA52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3E771EA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655CB6B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6B21475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7618C66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060FA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7EC7FEF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3012FDE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594EB40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10A28B8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359BE23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6CFDD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40857FC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6ED3AB6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43E1CF6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61136C5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769239D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46245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732907C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6CB172B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7CB30DE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3788859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3E57BA8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45429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083" w:type="dxa"/>
          </w:tcPr>
          <w:p w14:paraId="7CAA439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20CD2CB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7923B56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5A4670B0">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3F8A616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7D2CB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6F679F6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6848655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2924A02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3274523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375FE29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59182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6585773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2A0C87D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5C2C874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7CFD25B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3A7CCB1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13A1D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121480D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2B17C93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20D1153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0418AF0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42D08D0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33E0A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36BB56E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2323EAE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600691C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1602C23E">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7E3055F5">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43928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529E995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03F374BF">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588EDC39">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2109F27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6A00408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20E73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083" w:type="dxa"/>
          </w:tcPr>
          <w:p w14:paraId="49DF5D4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4E87623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2CB9288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7651211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083D56DA">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55F98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28CB317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4D031A9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4BBD823D">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3BB55223">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1622BE97">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57DC0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1B13911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676A4978">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2CAD899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2FCC319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27913996">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r w14:paraId="51E9E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83" w:type="dxa"/>
          </w:tcPr>
          <w:p w14:paraId="63EF486B">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3225" w:type="dxa"/>
          </w:tcPr>
          <w:p w14:paraId="027BB4B4">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624" w:type="dxa"/>
          </w:tcPr>
          <w:p w14:paraId="0C3E547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977" w:type="dxa"/>
          </w:tcPr>
          <w:p w14:paraId="1F65944C">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c>
          <w:tcPr>
            <w:tcW w:w="1254" w:type="dxa"/>
          </w:tcPr>
          <w:p w14:paraId="66864CC1">
            <w:pPr>
              <w:pStyle w:val="35"/>
              <w:keepNext w:val="0"/>
              <w:keepLines w:val="0"/>
              <w:suppressLineNumbers w:val="0"/>
              <w:kinsoku/>
              <w:wordWrap/>
              <w:overflowPunct/>
              <w:topLinePunct w:val="0"/>
              <w:autoSpaceDE/>
              <w:autoSpaceDN/>
              <w:bidi w:val="0"/>
              <w:spacing w:before="0" w:beforeAutospacing="0" w:after="0" w:afterAutospacing="0" w:line="500" w:lineRule="exact"/>
              <w:ind w:left="0" w:right="0"/>
              <w:rPr>
                <w:rFonts w:ascii="仿宋" w:hAnsi="仿宋" w:eastAsia="仿宋" w:cs="仿宋"/>
                <w:color w:val="auto"/>
                <w:sz w:val="21"/>
                <w:szCs w:val="21"/>
                <w:highlight w:val="none"/>
              </w:rPr>
            </w:pPr>
          </w:p>
        </w:tc>
      </w:tr>
    </w:tbl>
    <w:p w14:paraId="4BB448EC">
      <w:pPr>
        <w:kinsoku/>
        <w:wordWrap/>
        <w:overflowPunct/>
        <w:topLinePunct w:val="0"/>
        <w:autoSpaceDE/>
        <w:autoSpaceDN/>
        <w:bidi w:val="0"/>
        <w:spacing w:before="62" w:line="500" w:lineRule="exact"/>
        <w:ind w:left="998"/>
        <w:rPr>
          <w:rFonts w:ascii="仿宋" w:hAnsi="仿宋" w:eastAsia="仿宋" w:cs="仿宋"/>
          <w:color w:val="auto"/>
          <w:sz w:val="24"/>
          <w:szCs w:val="24"/>
          <w:highlight w:val="none"/>
        </w:rPr>
      </w:pPr>
    </w:p>
    <w:p w14:paraId="48DAD401">
      <w:pPr>
        <w:kinsoku/>
        <w:wordWrap/>
        <w:overflowPunct/>
        <w:topLinePunct w:val="0"/>
        <w:autoSpaceDE/>
        <w:autoSpaceDN/>
        <w:bidi w:val="0"/>
        <w:spacing w:before="62" w:line="500" w:lineRule="exact"/>
        <w:ind w:left="99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采购与招标代理机构（盖单位公章）：</w:t>
      </w:r>
    </w:p>
    <w:p w14:paraId="054BDBCD">
      <w:pPr>
        <w:kinsoku/>
        <w:wordWrap/>
        <w:overflowPunct/>
        <w:topLinePunct w:val="0"/>
        <w:autoSpaceDE/>
        <w:autoSpaceDN/>
        <w:bidi w:val="0"/>
        <w:spacing w:before="203" w:line="500" w:lineRule="exact"/>
        <w:ind w:left="99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法定代表人（单位负责人）或委托代理人（签字或盖章）：</w:t>
      </w:r>
    </w:p>
    <w:p w14:paraId="58F0CB50">
      <w:pPr>
        <w:tabs>
          <w:tab w:val="left" w:pos="6545"/>
          <w:tab w:val="left" w:pos="7428"/>
          <w:tab w:val="left" w:pos="8312"/>
        </w:tabs>
        <w:kinsoku/>
        <w:wordWrap/>
        <w:overflowPunct/>
        <w:topLinePunct w:val="0"/>
        <w:autoSpaceDE/>
        <w:autoSpaceDN/>
        <w:bidi w:val="0"/>
        <w:spacing w:before="71" w:line="500" w:lineRule="exact"/>
        <w:ind w:left="5032"/>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ab/>
      </w:r>
      <w:r>
        <w:rPr>
          <w:rFonts w:hint="eastAsia" w:ascii="仿宋" w:hAnsi="仿宋" w:eastAsia="仿宋" w:cs="仿宋"/>
          <w:color w:val="auto"/>
          <w:spacing w:val="-27"/>
          <w:sz w:val="24"/>
          <w:szCs w:val="24"/>
          <w:highlight w:val="none"/>
        </w:rPr>
        <w:t>年</w:t>
      </w:r>
      <w:r>
        <w:rPr>
          <w:rFonts w:hint="eastAsia" w:ascii="仿宋" w:hAnsi="仿宋" w:eastAsia="仿宋" w:cs="仿宋"/>
          <w:color w:val="auto"/>
          <w:spacing w:val="-27"/>
          <w:sz w:val="24"/>
          <w:szCs w:val="24"/>
          <w:highlight w:val="none"/>
          <w:u w:val="single"/>
        </w:rPr>
        <w:tab/>
      </w:r>
      <w:r>
        <w:rPr>
          <w:rFonts w:hint="eastAsia" w:ascii="仿宋" w:hAnsi="仿宋" w:eastAsia="仿宋" w:cs="仿宋"/>
          <w:color w:val="auto"/>
          <w:spacing w:val="-29"/>
          <w:sz w:val="24"/>
          <w:szCs w:val="24"/>
          <w:highlight w:val="none"/>
        </w:rPr>
        <w:t>月</w:t>
      </w:r>
      <w:r>
        <w:rPr>
          <w:rFonts w:hint="eastAsia" w:ascii="仿宋" w:hAnsi="仿宋" w:eastAsia="仿宋" w:cs="仿宋"/>
          <w:color w:val="auto"/>
          <w:spacing w:val="-29"/>
          <w:sz w:val="24"/>
          <w:szCs w:val="24"/>
          <w:highlight w:val="none"/>
          <w:u w:val="single"/>
        </w:rPr>
        <w:tab/>
      </w:r>
      <w:r>
        <w:rPr>
          <w:rFonts w:hint="eastAsia" w:ascii="仿宋" w:hAnsi="仿宋" w:eastAsia="仿宋" w:cs="仿宋"/>
          <w:color w:val="auto"/>
          <w:sz w:val="24"/>
          <w:szCs w:val="24"/>
          <w:highlight w:val="none"/>
        </w:rPr>
        <w:t>日</w:t>
      </w:r>
    </w:p>
    <w:p w14:paraId="0AC4694C">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宋体"/>
          <w:color w:val="auto"/>
          <w:sz w:val="24"/>
          <w:szCs w:val="24"/>
          <w:highlight w:val="none"/>
        </w:rPr>
      </w:pPr>
    </w:p>
    <w:p w14:paraId="7BDA9204">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宋体"/>
          <w:color w:val="auto"/>
          <w:sz w:val="24"/>
          <w:szCs w:val="24"/>
          <w:highlight w:val="none"/>
        </w:rPr>
      </w:pPr>
    </w:p>
    <w:p w14:paraId="73D69720">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宋体"/>
          <w:color w:val="auto"/>
          <w:sz w:val="24"/>
          <w:szCs w:val="24"/>
          <w:highlight w:val="none"/>
        </w:rPr>
      </w:pPr>
    </w:p>
    <w:p w14:paraId="07D11FDF">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宋体"/>
          <w:color w:val="auto"/>
          <w:sz w:val="24"/>
          <w:szCs w:val="24"/>
          <w:highlight w:val="none"/>
        </w:rPr>
      </w:pPr>
    </w:p>
    <w:p w14:paraId="21CB08E7">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宋体"/>
          <w:color w:val="auto"/>
          <w:sz w:val="24"/>
          <w:szCs w:val="24"/>
          <w:highlight w:val="none"/>
        </w:rPr>
      </w:pPr>
    </w:p>
    <w:p w14:paraId="5233893C">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仿宋"/>
          <w:color w:val="auto"/>
          <w:sz w:val="24"/>
          <w:szCs w:val="24"/>
          <w:highlight w:val="none"/>
        </w:rPr>
      </w:pPr>
      <w:r>
        <w:rPr>
          <w:rFonts w:hint="eastAsia" w:ascii="宋体" w:hAnsi="宋体" w:cs="宋体"/>
          <w:color w:val="auto"/>
          <w:sz w:val="24"/>
          <w:szCs w:val="24"/>
          <w:highlight w:val="none"/>
        </w:rPr>
        <w:t>（四）提供第四篇评分标准中商务部分要求的佐证材料或证明材料复印件（格式自拟）</w:t>
      </w:r>
    </w:p>
    <w:p w14:paraId="13D270D1">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仿宋"/>
          <w:color w:val="auto"/>
          <w:sz w:val="24"/>
          <w:szCs w:val="24"/>
          <w:highlight w:val="none"/>
        </w:rPr>
      </w:pPr>
    </w:p>
    <w:p w14:paraId="7A68AF59">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仿宋"/>
          <w:color w:val="auto"/>
          <w:sz w:val="24"/>
          <w:szCs w:val="24"/>
          <w:highlight w:val="none"/>
        </w:rPr>
      </w:pPr>
    </w:p>
    <w:p w14:paraId="7C91D42B">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仿宋"/>
          <w:color w:val="auto"/>
          <w:sz w:val="24"/>
          <w:szCs w:val="24"/>
          <w:highlight w:val="none"/>
        </w:rPr>
      </w:pPr>
    </w:p>
    <w:p w14:paraId="58B75FFA">
      <w:pPr>
        <w:widowControl w:val="0"/>
        <w:numPr>
          <w:ilvl w:val="0"/>
          <w:numId w:val="0"/>
        </w:numPr>
        <w:tabs>
          <w:tab w:val="left" w:pos="6300"/>
        </w:tabs>
        <w:kinsoku/>
        <w:wordWrap/>
        <w:overflowPunct/>
        <w:topLinePunct w:val="0"/>
        <w:autoSpaceDE/>
        <w:autoSpaceDN/>
        <w:bidi w:val="0"/>
        <w:snapToGrid w:val="0"/>
        <w:spacing w:line="500" w:lineRule="exact"/>
        <w:jc w:val="both"/>
        <w:rPr>
          <w:rFonts w:hint="eastAsia" w:ascii="宋体" w:hAnsi="宋体" w:cs="仿宋"/>
          <w:color w:val="auto"/>
          <w:sz w:val="24"/>
          <w:szCs w:val="24"/>
          <w:highlight w:val="none"/>
        </w:rPr>
      </w:pPr>
    </w:p>
    <w:p w14:paraId="6823285D">
      <w:pPr>
        <w:pStyle w:val="4"/>
        <w:pageBreakBefore/>
        <w:kinsoku/>
        <w:wordWrap/>
        <w:overflowPunct/>
        <w:topLinePunct w:val="0"/>
        <w:autoSpaceDE/>
        <w:autoSpaceDN/>
        <w:bidi w:val="0"/>
        <w:spacing w:line="500" w:lineRule="exact"/>
        <w:ind w:firstLine="562" w:firstLineChars="200"/>
        <w:rPr>
          <w:rFonts w:cs="宋体"/>
          <w:b/>
          <w:color w:val="auto"/>
          <w:szCs w:val="28"/>
          <w:highlight w:val="none"/>
        </w:rPr>
      </w:pPr>
      <w:bookmarkStart w:id="175" w:name="_Toc9237"/>
      <w:bookmarkStart w:id="176" w:name="_Toc76373911"/>
      <w:bookmarkStart w:id="177" w:name="_Toc493178792"/>
      <w:bookmarkStart w:id="178" w:name="_Toc16269"/>
      <w:bookmarkStart w:id="179" w:name="_Toc170207570"/>
      <w:bookmarkStart w:id="180" w:name="_Toc24907"/>
      <w:bookmarkStart w:id="181" w:name="_Toc20677"/>
      <w:bookmarkStart w:id="182" w:name="_Toc492721041"/>
      <w:bookmarkStart w:id="183" w:name="_Toc29740"/>
      <w:bookmarkStart w:id="184" w:name="_Toc3602"/>
      <w:bookmarkStart w:id="185" w:name="_Toc13199"/>
      <w:r>
        <w:rPr>
          <w:rFonts w:hint="eastAsia" w:cs="宋体"/>
          <w:b/>
          <w:color w:val="auto"/>
          <w:szCs w:val="28"/>
          <w:highlight w:val="none"/>
        </w:rPr>
        <w:t>四、其他</w:t>
      </w:r>
      <w:bookmarkEnd w:id="175"/>
      <w:bookmarkEnd w:id="176"/>
      <w:bookmarkEnd w:id="177"/>
      <w:bookmarkEnd w:id="178"/>
      <w:bookmarkEnd w:id="179"/>
      <w:bookmarkEnd w:id="180"/>
      <w:bookmarkEnd w:id="181"/>
      <w:bookmarkEnd w:id="182"/>
      <w:bookmarkEnd w:id="183"/>
      <w:bookmarkEnd w:id="184"/>
      <w:bookmarkEnd w:id="185"/>
    </w:p>
    <w:p w14:paraId="01908511">
      <w:pPr>
        <w:tabs>
          <w:tab w:val="left" w:pos="6300"/>
        </w:tabs>
        <w:kinsoku/>
        <w:wordWrap/>
        <w:overflowPunct/>
        <w:topLinePunct w:val="0"/>
        <w:autoSpaceDE/>
        <w:autoSpaceDN/>
        <w:bidi w:val="0"/>
        <w:snapToGrid w:val="0"/>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其他与项目有关的资料（自附）</w:t>
      </w:r>
    </w:p>
    <w:p w14:paraId="70643241">
      <w:pPr>
        <w:tabs>
          <w:tab w:val="left" w:pos="6300"/>
        </w:tabs>
        <w:kinsoku/>
        <w:wordWrap/>
        <w:overflowPunct/>
        <w:topLinePunct w:val="0"/>
        <w:autoSpaceDE/>
        <w:autoSpaceDN/>
        <w:bidi w:val="0"/>
        <w:snapToGrid w:val="0"/>
        <w:spacing w:line="500" w:lineRule="exact"/>
        <w:ind w:firstLine="480" w:firstLineChars="200"/>
        <w:rPr>
          <w:rFonts w:hint="eastAsia" w:ascii="宋体" w:hAnsi="宋体"/>
          <w:color w:val="auto"/>
          <w:sz w:val="24"/>
          <w:szCs w:val="24"/>
          <w:highlight w:val="none"/>
        </w:rPr>
      </w:pPr>
    </w:p>
    <w:p w14:paraId="7107DA72">
      <w:pPr>
        <w:tabs>
          <w:tab w:val="left" w:pos="6300"/>
        </w:tabs>
        <w:kinsoku/>
        <w:wordWrap/>
        <w:overflowPunct/>
        <w:topLinePunct w:val="0"/>
        <w:autoSpaceDE/>
        <w:autoSpaceDN/>
        <w:bidi w:val="0"/>
        <w:snapToGrid w:val="0"/>
        <w:spacing w:line="500" w:lineRule="exact"/>
        <w:ind w:firstLine="480" w:firstLineChars="200"/>
        <w:rPr>
          <w:rFonts w:hint="eastAsia" w:ascii="宋体" w:hAnsi="宋体"/>
          <w:color w:val="auto"/>
          <w:sz w:val="24"/>
          <w:szCs w:val="24"/>
          <w:highlight w:val="none"/>
        </w:rPr>
      </w:pPr>
    </w:p>
    <w:p w14:paraId="241EC237">
      <w:pPr>
        <w:pStyle w:val="4"/>
        <w:kinsoku/>
        <w:wordWrap/>
        <w:overflowPunct/>
        <w:topLinePunct w:val="0"/>
        <w:autoSpaceDE/>
        <w:autoSpaceDN/>
        <w:bidi w:val="0"/>
        <w:spacing w:line="500" w:lineRule="exact"/>
        <w:ind w:firstLine="482" w:firstLineChars="200"/>
        <w:rPr>
          <w:b/>
          <w:color w:val="auto"/>
          <w:szCs w:val="28"/>
          <w:highlight w:val="none"/>
        </w:rPr>
      </w:pPr>
      <w:bookmarkStart w:id="186" w:name="_Toc265"/>
      <w:bookmarkStart w:id="187" w:name="_Toc10255"/>
      <w:r>
        <w:rPr>
          <w:rFonts w:hint="eastAsia"/>
          <w:b/>
          <w:color w:val="auto"/>
          <w:sz w:val="24"/>
          <w:highlight w:val="none"/>
        </w:rPr>
        <w:t>五、资格文件</w:t>
      </w:r>
      <w:bookmarkEnd w:id="186"/>
      <w:bookmarkEnd w:id="187"/>
    </w:p>
    <w:p w14:paraId="54CC8A85">
      <w:pPr>
        <w:tabs>
          <w:tab w:val="left" w:pos="6300"/>
        </w:tabs>
        <w:kinsoku/>
        <w:wordWrap/>
        <w:overflowPunct/>
        <w:topLinePunct w:val="0"/>
        <w:autoSpaceDE/>
        <w:autoSpaceDN/>
        <w:bidi w:val="0"/>
        <w:snapToGrid w:val="0"/>
        <w:spacing w:line="500" w:lineRule="exact"/>
        <w:ind w:firstLine="570"/>
        <w:rPr>
          <w:rFonts w:ascii="宋体" w:hAnsi="宋体"/>
          <w:color w:val="auto"/>
          <w:sz w:val="24"/>
          <w:szCs w:val="24"/>
          <w:highlight w:val="none"/>
        </w:rPr>
      </w:pPr>
      <w:r>
        <w:rPr>
          <w:rFonts w:hint="eastAsia" w:ascii="宋体" w:hAnsi="宋体"/>
          <w:color w:val="auto"/>
          <w:sz w:val="24"/>
          <w:szCs w:val="24"/>
          <w:highlight w:val="none"/>
        </w:rPr>
        <w:t>（一）</w:t>
      </w:r>
      <w:r>
        <w:rPr>
          <w:rFonts w:hint="eastAsia" w:ascii="宋体" w:hAnsi="宋体" w:cs="宋体"/>
          <w:color w:val="auto"/>
          <w:sz w:val="21"/>
          <w:szCs w:val="21"/>
          <w:highlight w:val="none"/>
        </w:rPr>
        <w:t>企业法人</w:t>
      </w:r>
      <w:r>
        <w:rPr>
          <w:rFonts w:hint="eastAsia" w:ascii="宋体" w:hAnsi="宋体"/>
          <w:color w:val="auto"/>
          <w:sz w:val="24"/>
          <w:szCs w:val="24"/>
          <w:highlight w:val="none"/>
        </w:rPr>
        <w:t>营业执照（副本）</w:t>
      </w:r>
    </w:p>
    <w:p w14:paraId="5064FD58">
      <w:pPr>
        <w:kinsoku/>
        <w:wordWrap/>
        <w:overflowPunct/>
        <w:topLinePunct w:val="0"/>
        <w:autoSpaceDE/>
        <w:autoSpaceDN/>
        <w:bidi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（二）法定代表人身份证明书（格式）</w:t>
      </w:r>
    </w:p>
    <w:p w14:paraId="65E42422">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47BCD673">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招标项目名称：</w:t>
      </w:r>
      <w:r>
        <w:rPr>
          <w:rFonts w:hint="eastAsia" w:ascii="宋体" w:hAnsi="宋体" w:cs="宋体"/>
          <w:color w:val="auto"/>
          <w:sz w:val="24"/>
          <w:highlight w:val="none"/>
          <w:u w:val="single"/>
        </w:rPr>
        <w:t xml:space="preserve">                                                </w:t>
      </w:r>
    </w:p>
    <w:p w14:paraId="5509C1D3">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59100C44">
      <w:pPr>
        <w:tabs>
          <w:tab w:val="left" w:pos="6300"/>
        </w:tabs>
        <w:kinsoku/>
        <w:wordWrap/>
        <w:overflowPunct/>
        <w:topLinePunct w:val="0"/>
        <w:autoSpaceDE/>
        <w:autoSpaceDN/>
        <w:bidi w:val="0"/>
        <w:snapToGrid w:val="0"/>
        <w:spacing w:line="50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（采购代理机构名称）：</w:t>
      </w:r>
    </w:p>
    <w:p w14:paraId="3F5EE095">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（法定代表人姓名）在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名称）任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（职务名称）职务，是（</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的法定代表人。</w:t>
      </w:r>
    </w:p>
    <w:p w14:paraId="7A05B4E1">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098DF465">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特此证明。</w:t>
      </w:r>
    </w:p>
    <w:p w14:paraId="36178589">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71568FE4">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2C52E7BF">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w:t>
      </w:r>
    </w:p>
    <w:p w14:paraId="6C88CB40">
      <w:pPr>
        <w:tabs>
          <w:tab w:val="left" w:pos="6300"/>
        </w:tabs>
        <w:kinsoku/>
        <w:wordWrap/>
        <w:overflowPunct/>
        <w:topLinePunct w:val="0"/>
        <w:autoSpaceDE/>
        <w:autoSpaceDN/>
        <w:bidi w:val="0"/>
        <w:snapToGrid w:val="0"/>
        <w:spacing w:line="500" w:lineRule="exact"/>
        <w:ind w:firstLine="5848" w:firstLineChars="2437"/>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公章）</w:t>
      </w:r>
    </w:p>
    <w:p w14:paraId="5F21A6F0">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226DA53A">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 xml:space="preserve">                                             年   月   日</w:t>
      </w:r>
    </w:p>
    <w:p w14:paraId="3052B8CB">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法定代表人电话：XXXXXXX      电子邮箱：XXXXXX@XXXXX（若授权他人办理并签署投标文件的可不填写）</w:t>
      </w:r>
    </w:p>
    <w:p w14:paraId="3C9483DB">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（附：法定代表人身份证正反面复印件）</w:t>
      </w:r>
    </w:p>
    <w:p w14:paraId="5DDF598F">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492F1439">
      <w:pPr>
        <w:kinsoku/>
        <w:wordWrap/>
        <w:overflowPunct/>
        <w:topLinePunct w:val="0"/>
        <w:autoSpaceDE/>
        <w:autoSpaceDN/>
        <w:bidi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（三）法定代表人授权委托书（格式）</w:t>
      </w:r>
    </w:p>
    <w:p w14:paraId="566B8FBD">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 xml:space="preserve">    </w:t>
      </w:r>
    </w:p>
    <w:p w14:paraId="709D7177">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szCs w:val="28"/>
          <w:highlight w:val="none"/>
        </w:rPr>
        <w:t>招标项目名称</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p>
    <w:p w14:paraId="237C666B">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0159223F">
      <w:pPr>
        <w:tabs>
          <w:tab w:val="left" w:pos="6300"/>
        </w:tabs>
        <w:kinsoku/>
        <w:wordWrap/>
        <w:overflowPunct/>
        <w:topLinePunct w:val="0"/>
        <w:autoSpaceDE/>
        <w:autoSpaceDN/>
        <w:bidi w:val="0"/>
        <w:snapToGrid w:val="0"/>
        <w:spacing w:line="50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（采购代理机构名称）：</w:t>
      </w:r>
    </w:p>
    <w:p w14:paraId="7173E460">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法定代表人名称）是</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名称）的法定代表人，特授权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（被授权人姓名及身份证代码）代表我单位全权办理上述项目的投标、谈判、签约等具体工作，并签署全部有关文件、协议及合同。</w:t>
      </w:r>
    </w:p>
    <w:p w14:paraId="171E0286">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我单位对被授权人的签署负全部责任。</w:t>
      </w:r>
    </w:p>
    <w:p w14:paraId="0E33FB23">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在撤销授权的书面通知以前，本授权书一直有效。被授权人在授权书有效期内签署的所有文件不因授权的撤销而失效。</w:t>
      </w:r>
    </w:p>
    <w:p w14:paraId="2AF706E3">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7630F90A">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7A47106E">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 xml:space="preserve">被授权人：                                 </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法定代表人：</w:t>
      </w:r>
    </w:p>
    <w:p w14:paraId="79E9CF8B">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8"/>
          <w:highlight w:val="none"/>
        </w:rPr>
      </w:pPr>
      <w:r>
        <w:rPr>
          <w:rFonts w:hint="eastAsia" w:ascii="宋体" w:hAnsi="宋体" w:cs="宋体"/>
          <w:color w:val="auto"/>
          <w:sz w:val="24"/>
          <w:szCs w:val="28"/>
          <w:highlight w:val="none"/>
        </w:rPr>
        <w:t>（签署或盖章）                                （签署或盖章）</w:t>
      </w:r>
    </w:p>
    <w:p w14:paraId="72AACB48">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szCs w:val="28"/>
          <w:highlight w:val="none"/>
        </w:rPr>
      </w:pPr>
    </w:p>
    <w:p w14:paraId="465431E3">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p>
    <w:p w14:paraId="3D33AD79">
      <w:pPr>
        <w:tabs>
          <w:tab w:val="left" w:pos="6300"/>
        </w:tabs>
        <w:kinsoku/>
        <w:wordWrap/>
        <w:overflowPunct/>
        <w:topLinePunct w:val="0"/>
        <w:autoSpaceDE/>
        <w:autoSpaceDN/>
        <w:bidi w:val="0"/>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（附：被授权人身份证正反面复印件）</w:t>
      </w:r>
    </w:p>
    <w:p w14:paraId="4BB00151">
      <w:pPr>
        <w:tabs>
          <w:tab w:val="left" w:pos="6300"/>
        </w:tabs>
        <w:kinsoku/>
        <w:wordWrap/>
        <w:overflowPunct/>
        <w:topLinePunct w:val="0"/>
        <w:autoSpaceDE/>
        <w:autoSpaceDN/>
        <w:bidi w:val="0"/>
        <w:snapToGrid w:val="0"/>
        <w:spacing w:line="500" w:lineRule="exact"/>
        <w:ind w:right="480" w:firstLine="570"/>
        <w:jc w:val="righ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公章）</w:t>
      </w:r>
    </w:p>
    <w:p w14:paraId="36DB068C">
      <w:pPr>
        <w:tabs>
          <w:tab w:val="left" w:pos="6300"/>
        </w:tabs>
        <w:kinsoku/>
        <w:wordWrap/>
        <w:overflowPunct/>
        <w:topLinePunct w:val="0"/>
        <w:autoSpaceDE/>
        <w:autoSpaceDN/>
        <w:bidi w:val="0"/>
        <w:snapToGrid w:val="0"/>
        <w:spacing w:line="500" w:lineRule="exact"/>
        <w:ind w:right="480" w:firstLine="570"/>
        <w:jc w:val="right"/>
        <w:rPr>
          <w:rFonts w:ascii="宋体" w:hAnsi="宋体" w:cs="宋体"/>
          <w:color w:val="auto"/>
          <w:sz w:val="24"/>
          <w:highlight w:val="none"/>
        </w:rPr>
      </w:pPr>
      <w:r>
        <w:rPr>
          <w:rFonts w:hint="eastAsia" w:ascii="宋体" w:hAnsi="宋体" w:cs="宋体"/>
          <w:color w:val="auto"/>
          <w:sz w:val="24"/>
          <w:highlight w:val="none"/>
        </w:rPr>
        <w:t>年   月   日</w:t>
      </w:r>
    </w:p>
    <w:p w14:paraId="5B1D42A2">
      <w:pPr>
        <w:tabs>
          <w:tab w:val="left" w:pos="6300"/>
        </w:tabs>
        <w:kinsoku/>
        <w:wordWrap/>
        <w:overflowPunct/>
        <w:topLinePunct w:val="0"/>
        <w:autoSpaceDE/>
        <w:autoSpaceDN/>
        <w:bidi w:val="0"/>
        <w:snapToGrid w:val="0"/>
        <w:spacing w:line="500" w:lineRule="exact"/>
        <w:ind w:right="720" w:firstLine="570"/>
        <w:jc w:val="right"/>
        <w:rPr>
          <w:rFonts w:ascii="宋体" w:hAnsi="宋体" w:cs="宋体"/>
          <w:color w:val="auto"/>
          <w:sz w:val="24"/>
          <w:highlight w:val="none"/>
        </w:rPr>
      </w:pPr>
    </w:p>
    <w:p w14:paraId="6CCBA3BD">
      <w:pPr>
        <w:tabs>
          <w:tab w:val="left" w:pos="6300"/>
        </w:tabs>
        <w:kinsoku/>
        <w:wordWrap/>
        <w:overflowPunct/>
        <w:topLinePunct w:val="0"/>
        <w:autoSpaceDE/>
        <w:autoSpaceDN/>
        <w:bidi w:val="0"/>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被授权人电话：XXXXXXX     电子邮箱：XXXXXX@XXXXX（若法定代表人办理并签署投标文件的可不填写）</w:t>
      </w:r>
    </w:p>
    <w:p w14:paraId="65AE1C0D">
      <w:pPr>
        <w:tabs>
          <w:tab w:val="left" w:pos="6300"/>
        </w:tabs>
        <w:kinsoku/>
        <w:wordWrap/>
        <w:overflowPunct/>
        <w:topLinePunct w:val="0"/>
        <w:autoSpaceDE/>
        <w:autoSpaceDN/>
        <w:bidi w:val="0"/>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注：若为法定代表人办理并签署投标文件的，不提供此文件。</w:t>
      </w:r>
    </w:p>
    <w:p w14:paraId="71A9B57E">
      <w:pPr>
        <w:tabs>
          <w:tab w:val="left" w:pos="6300"/>
        </w:tabs>
        <w:kinsoku/>
        <w:wordWrap/>
        <w:overflowPunct/>
        <w:topLinePunct w:val="0"/>
        <w:autoSpaceDE/>
        <w:autoSpaceDN/>
        <w:bidi w:val="0"/>
        <w:snapToGrid w:val="0"/>
        <w:spacing w:line="500" w:lineRule="exact"/>
        <w:ind w:firstLine="480" w:firstLineChars="200"/>
        <w:rPr>
          <w:rFonts w:hint="eastAsia" w:ascii="宋体" w:hAnsi="宋体"/>
          <w:color w:val="auto"/>
          <w:sz w:val="24"/>
          <w:szCs w:val="24"/>
          <w:highlight w:val="none"/>
        </w:rPr>
      </w:pPr>
    </w:p>
    <w:p w14:paraId="0D4AFDBD">
      <w:pPr>
        <w:tabs>
          <w:tab w:val="left" w:pos="6300"/>
        </w:tabs>
        <w:kinsoku/>
        <w:wordWrap/>
        <w:overflowPunct/>
        <w:topLinePunct w:val="0"/>
        <w:autoSpaceDE/>
        <w:autoSpaceDN/>
        <w:bidi w:val="0"/>
        <w:snapToGrid w:val="0"/>
        <w:spacing w:line="500" w:lineRule="exact"/>
        <w:rPr>
          <w:rFonts w:hint="eastAsia" w:ascii="宋体" w:hAnsi="宋体"/>
          <w:color w:val="auto"/>
          <w:sz w:val="24"/>
          <w:szCs w:val="24"/>
          <w:highlight w:val="none"/>
        </w:rPr>
      </w:pPr>
    </w:p>
    <w:p w14:paraId="459B8868">
      <w:pPr>
        <w:kinsoku/>
        <w:wordWrap/>
        <w:overflowPunct/>
        <w:topLinePunct w:val="0"/>
        <w:autoSpaceDE/>
        <w:autoSpaceDN/>
        <w:bidi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（四）基本资格条件承诺函</w:t>
      </w:r>
    </w:p>
    <w:p w14:paraId="6B1AB6F1">
      <w:pPr>
        <w:kinsoku/>
        <w:wordWrap/>
        <w:overflowPunct/>
        <w:topLinePunct w:val="0"/>
        <w:autoSpaceDE/>
        <w:autoSpaceDN/>
        <w:bidi w:val="0"/>
        <w:spacing w:line="500" w:lineRule="exact"/>
        <w:ind w:firstLine="723" w:firstLineChars="200"/>
        <w:jc w:val="center"/>
        <w:outlineLvl w:val="0"/>
        <w:rPr>
          <w:rFonts w:ascii="宋体" w:hAnsi="宋体" w:cs="宋体"/>
          <w:b/>
          <w:bCs/>
          <w:color w:val="auto"/>
          <w:sz w:val="36"/>
          <w:szCs w:val="36"/>
          <w:highlight w:val="none"/>
        </w:rPr>
      </w:pPr>
      <w:bookmarkStart w:id="188" w:name="_Toc24361"/>
      <w:r>
        <w:rPr>
          <w:rFonts w:hint="eastAsia" w:ascii="宋体" w:hAnsi="宋体" w:cs="宋体"/>
          <w:b/>
          <w:bCs/>
          <w:color w:val="auto"/>
          <w:sz w:val="36"/>
          <w:szCs w:val="36"/>
          <w:highlight w:val="none"/>
        </w:rPr>
        <w:t>基本资格条件承诺函</w:t>
      </w:r>
      <w:bookmarkEnd w:id="188"/>
    </w:p>
    <w:p w14:paraId="0FADCE4D">
      <w:pPr>
        <w:tabs>
          <w:tab w:val="left" w:pos="6300"/>
        </w:tabs>
        <w:kinsoku/>
        <w:wordWrap/>
        <w:overflowPunct/>
        <w:topLinePunct w:val="0"/>
        <w:autoSpaceDE/>
        <w:autoSpaceDN/>
        <w:bidi w:val="0"/>
        <w:snapToGrid w:val="0"/>
        <w:spacing w:line="500" w:lineRule="exact"/>
        <w:rPr>
          <w:color w:val="auto"/>
          <w:sz w:val="24"/>
          <w:highlight w:val="none"/>
        </w:rPr>
      </w:pPr>
    </w:p>
    <w:p w14:paraId="6B8F700A">
      <w:pPr>
        <w:tabs>
          <w:tab w:val="left" w:pos="6300"/>
        </w:tabs>
        <w:kinsoku/>
        <w:wordWrap/>
        <w:overflowPunct/>
        <w:topLinePunct w:val="0"/>
        <w:autoSpaceDE/>
        <w:autoSpaceDN/>
        <w:bidi w:val="0"/>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（采购代理机构名称）：</w:t>
      </w:r>
    </w:p>
    <w:p w14:paraId="631D2BAA">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名称）郑重承诺：</w:t>
      </w:r>
    </w:p>
    <w:p w14:paraId="689DF48C">
      <w:pPr>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1.我方具有良好的商业信誉和健全的财务会计制度，具有履行合同所必需的设备和专业技术能力，具</w:t>
      </w:r>
      <w:r>
        <w:rPr>
          <w:rFonts w:hint="eastAsia" w:ascii="宋体" w:hAnsi="宋体" w:cs="宋体"/>
          <w:color w:val="auto"/>
          <w:sz w:val="24"/>
          <w:szCs w:val="24"/>
          <w:highlight w:val="none"/>
          <w:lang w:val="zh-CN"/>
        </w:rPr>
        <w:t>有依法缴纳税收和社会保障金的良好记录</w:t>
      </w:r>
      <w:r>
        <w:rPr>
          <w:rFonts w:hint="eastAsia" w:ascii="宋体" w:hAnsi="宋体" w:cs="宋体"/>
          <w:color w:val="auto"/>
          <w:sz w:val="24"/>
          <w:szCs w:val="24"/>
          <w:highlight w:val="none"/>
        </w:rPr>
        <w:t>，参加本项目采购活动前三年内无重大违法活动记录。</w:t>
      </w:r>
    </w:p>
    <w:p w14:paraId="6131CD85">
      <w:pPr>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2.我方未列入在信用中国网站（www.creditchina.gov.cn）“失信被执行人”、“重大税收违法案件当事人名单”中，也未列入中国政府采购网（www.ccgp.gov.cn）“政府采购严重违法失信行为记录名单”中。</w:t>
      </w:r>
    </w:p>
    <w:p w14:paraId="49766545">
      <w:pPr>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3.我方在采购项目评审（评标）环节结束后，随时接受采购人、采购代理机构的检查验证，配合提供相关证明材料，证明符合《中华人民共和国政府采购法》规定的</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基本资格条件。</w:t>
      </w:r>
    </w:p>
    <w:p w14:paraId="1EFBA67A">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我方对以上承诺负全部法律责任。</w:t>
      </w:r>
    </w:p>
    <w:p w14:paraId="5F676C5C">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特此承诺。</w:t>
      </w:r>
    </w:p>
    <w:p w14:paraId="0621F7E6">
      <w:pPr>
        <w:tabs>
          <w:tab w:val="left" w:pos="6300"/>
        </w:tabs>
        <w:kinsoku/>
        <w:wordWrap/>
        <w:overflowPunct/>
        <w:topLinePunct w:val="0"/>
        <w:autoSpaceDE/>
        <w:autoSpaceDN/>
        <w:bidi w:val="0"/>
        <w:snapToGrid w:val="0"/>
        <w:spacing w:line="500" w:lineRule="exact"/>
        <w:rPr>
          <w:rFonts w:ascii="宋体" w:hAnsi="宋体" w:cs="宋体"/>
          <w:color w:val="auto"/>
          <w:sz w:val="24"/>
          <w:szCs w:val="24"/>
          <w:highlight w:val="none"/>
        </w:rPr>
      </w:pPr>
    </w:p>
    <w:p w14:paraId="1DB0819B">
      <w:pPr>
        <w:tabs>
          <w:tab w:val="left" w:pos="6300"/>
        </w:tabs>
        <w:kinsoku/>
        <w:wordWrap/>
        <w:overflowPunct/>
        <w:topLinePunct w:val="0"/>
        <w:autoSpaceDE/>
        <w:autoSpaceDN/>
        <w:bidi w:val="0"/>
        <w:snapToGrid w:val="0"/>
        <w:spacing w:line="500" w:lineRule="exact"/>
        <w:ind w:right="424" w:firstLine="570"/>
        <w:jc w:val="right"/>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公章）</w:t>
      </w:r>
    </w:p>
    <w:p w14:paraId="482E8F0F">
      <w:pPr>
        <w:kinsoku/>
        <w:wordWrap/>
        <w:overflowPunct/>
        <w:topLinePunct w:val="0"/>
        <w:autoSpaceDE/>
        <w:autoSpaceDN/>
        <w:bidi w:val="0"/>
        <w:spacing w:line="500" w:lineRule="exact"/>
        <w:ind w:firstLine="7440" w:firstLineChars="3100"/>
        <w:rPr>
          <w:rFonts w:ascii="宋体" w:hAnsi="宋体" w:cs="宋体"/>
          <w:color w:val="auto"/>
          <w:sz w:val="24"/>
          <w:szCs w:val="28"/>
          <w:highlight w:val="none"/>
        </w:rPr>
      </w:pPr>
      <w:r>
        <w:rPr>
          <w:rFonts w:hint="eastAsia" w:ascii="宋体" w:hAnsi="宋体" w:cs="宋体"/>
          <w:color w:val="auto"/>
          <w:sz w:val="24"/>
          <w:szCs w:val="24"/>
          <w:highlight w:val="none"/>
        </w:rPr>
        <w:t>年   月   日</w:t>
      </w:r>
    </w:p>
    <w:p w14:paraId="7BA8B086">
      <w:pPr>
        <w:kinsoku/>
        <w:wordWrap/>
        <w:overflowPunct/>
        <w:topLinePunct w:val="0"/>
        <w:autoSpaceDE/>
        <w:autoSpaceDN/>
        <w:bidi w:val="0"/>
        <w:spacing w:before="1" w:line="500" w:lineRule="exact"/>
        <w:jc w:val="center"/>
        <w:outlineLvl w:val="1"/>
        <w:rPr>
          <w:rFonts w:hint="eastAsia" w:ascii="宋体" w:hAnsi="宋体" w:cs="宋体"/>
          <w:b/>
          <w:color w:val="auto"/>
          <w:sz w:val="32"/>
          <w:highlight w:val="none"/>
        </w:rPr>
      </w:pPr>
      <w:bookmarkStart w:id="189" w:name="_Toc21600"/>
      <w:bookmarkStart w:id="190" w:name="_Toc10682"/>
      <w:bookmarkStart w:id="191" w:name="_Toc29540"/>
      <w:bookmarkStart w:id="192" w:name="_Toc21343"/>
    </w:p>
    <w:p w14:paraId="0B65B502">
      <w:pPr>
        <w:kinsoku/>
        <w:wordWrap/>
        <w:overflowPunct/>
        <w:topLinePunct w:val="0"/>
        <w:autoSpaceDE/>
        <w:autoSpaceDN/>
        <w:bidi w:val="0"/>
        <w:spacing w:before="1" w:line="500" w:lineRule="exact"/>
        <w:jc w:val="center"/>
        <w:outlineLvl w:val="1"/>
        <w:rPr>
          <w:rFonts w:hint="eastAsia" w:ascii="宋体" w:hAnsi="宋体" w:cs="宋体"/>
          <w:b/>
          <w:color w:val="auto"/>
          <w:sz w:val="32"/>
          <w:highlight w:val="none"/>
        </w:rPr>
      </w:pPr>
    </w:p>
    <w:p w14:paraId="41099350">
      <w:pPr>
        <w:kinsoku/>
        <w:wordWrap/>
        <w:overflowPunct/>
        <w:topLinePunct w:val="0"/>
        <w:autoSpaceDE/>
        <w:autoSpaceDN/>
        <w:bidi w:val="0"/>
        <w:spacing w:before="1" w:line="500" w:lineRule="exact"/>
        <w:jc w:val="center"/>
        <w:outlineLvl w:val="1"/>
        <w:rPr>
          <w:rFonts w:hint="eastAsia" w:ascii="宋体" w:hAnsi="宋体" w:cs="宋体"/>
          <w:b/>
          <w:color w:val="auto"/>
          <w:sz w:val="32"/>
          <w:highlight w:val="none"/>
        </w:rPr>
      </w:pPr>
    </w:p>
    <w:p w14:paraId="6DEB8CF3">
      <w:pPr>
        <w:kinsoku/>
        <w:wordWrap/>
        <w:overflowPunct/>
        <w:topLinePunct w:val="0"/>
        <w:autoSpaceDE/>
        <w:autoSpaceDN/>
        <w:bidi w:val="0"/>
        <w:spacing w:before="1" w:line="500" w:lineRule="exact"/>
        <w:jc w:val="center"/>
        <w:outlineLvl w:val="1"/>
        <w:rPr>
          <w:rFonts w:hint="eastAsia" w:ascii="宋体" w:hAnsi="宋体" w:cs="宋体"/>
          <w:b/>
          <w:color w:val="auto"/>
          <w:sz w:val="32"/>
          <w:highlight w:val="none"/>
        </w:rPr>
      </w:pPr>
    </w:p>
    <w:p w14:paraId="1F79134D">
      <w:pPr>
        <w:kinsoku/>
        <w:wordWrap/>
        <w:overflowPunct/>
        <w:topLinePunct w:val="0"/>
        <w:autoSpaceDE/>
        <w:autoSpaceDN/>
        <w:bidi w:val="0"/>
        <w:spacing w:before="1" w:line="500" w:lineRule="exact"/>
        <w:jc w:val="center"/>
        <w:outlineLvl w:val="1"/>
        <w:rPr>
          <w:rFonts w:hint="eastAsia" w:ascii="宋体" w:hAnsi="宋体" w:cs="宋体"/>
          <w:b/>
          <w:color w:val="auto"/>
          <w:sz w:val="32"/>
          <w:highlight w:val="none"/>
        </w:rPr>
      </w:pPr>
    </w:p>
    <w:p w14:paraId="0AC93F9A">
      <w:pPr>
        <w:kinsoku/>
        <w:wordWrap/>
        <w:overflowPunct/>
        <w:topLinePunct w:val="0"/>
        <w:autoSpaceDE/>
        <w:autoSpaceDN/>
        <w:bidi w:val="0"/>
        <w:spacing w:before="1" w:line="500" w:lineRule="exact"/>
        <w:jc w:val="center"/>
        <w:outlineLvl w:val="1"/>
        <w:rPr>
          <w:rFonts w:hint="eastAsia" w:ascii="宋体" w:hAnsi="宋体" w:cs="宋体"/>
          <w:b/>
          <w:color w:val="auto"/>
          <w:sz w:val="32"/>
          <w:highlight w:val="none"/>
        </w:rPr>
      </w:pPr>
    </w:p>
    <w:p w14:paraId="21FD3C92">
      <w:pPr>
        <w:kinsoku/>
        <w:wordWrap/>
        <w:overflowPunct/>
        <w:topLinePunct w:val="0"/>
        <w:autoSpaceDE/>
        <w:autoSpaceDN/>
        <w:bidi w:val="0"/>
        <w:spacing w:before="1" w:line="500" w:lineRule="exact"/>
        <w:jc w:val="center"/>
        <w:outlineLvl w:val="1"/>
        <w:rPr>
          <w:rFonts w:ascii="宋体" w:hAnsi="宋体" w:cs="宋体"/>
          <w:b/>
          <w:color w:val="auto"/>
          <w:highlight w:val="none"/>
        </w:rPr>
      </w:pPr>
      <w:bookmarkStart w:id="193" w:name="_Toc468"/>
      <w:r>
        <w:rPr>
          <w:rFonts w:hint="eastAsia" w:ascii="宋体" w:hAnsi="宋体" w:cs="宋体"/>
          <w:b/>
          <w:color w:val="auto"/>
          <w:sz w:val="32"/>
          <w:highlight w:val="none"/>
        </w:rPr>
        <w:t>廉洁承诺函</w:t>
      </w:r>
      <w:r>
        <w:rPr>
          <w:rFonts w:hint="eastAsia" w:ascii="宋体" w:hAnsi="宋体" w:cs="宋体"/>
          <w:b/>
          <w:color w:val="auto"/>
          <w:highlight w:val="none"/>
        </w:rPr>
        <w:t>（格式）</w:t>
      </w:r>
      <w:bookmarkEnd w:id="189"/>
      <w:bookmarkEnd w:id="190"/>
      <w:bookmarkEnd w:id="191"/>
      <w:bookmarkEnd w:id="192"/>
      <w:bookmarkEnd w:id="193"/>
    </w:p>
    <w:p w14:paraId="44201326">
      <w:pPr>
        <w:kinsoku/>
        <w:wordWrap/>
        <w:overflowPunct/>
        <w:topLinePunct w:val="0"/>
        <w:autoSpaceDE/>
        <w:autoSpaceDN/>
        <w:bidi w:val="0"/>
        <w:spacing w:line="500" w:lineRule="exact"/>
        <w:rPr>
          <w:rFonts w:ascii="宋体" w:hAnsi="宋体" w:cs="宋体"/>
          <w:color w:val="auto"/>
          <w:sz w:val="24"/>
          <w:szCs w:val="24"/>
          <w:highlight w:val="none"/>
        </w:rPr>
      </w:pPr>
    </w:p>
    <w:p w14:paraId="4300CB12">
      <w:pPr>
        <w:kinsoku/>
        <w:wordWrap/>
        <w:overflowPunct/>
        <w:topLinePunct w:val="0"/>
        <w:autoSpaceDE/>
        <w:autoSpaceDN/>
        <w:bidi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u w:val="single"/>
        </w:rPr>
        <w:t>重庆</w:t>
      </w:r>
      <w:r>
        <w:rPr>
          <w:rFonts w:hint="eastAsia" w:ascii="宋体" w:hAnsi="宋体" w:cs="宋体"/>
          <w:color w:val="auto"/>
          <w:sz w:val="24"/>
          <w:szCs w:val="24"/>
          <w:highlight w:val="none"/>
          <w:u w:val="single"/>
          <w:lang w:eastAsia="zh-CN"/>
        </w:rPr>
        <w:t>第二师范学院</w:t>
      </w:r>
      <w:r>
        <w:rPr>
          <w:rFonts w:hint="eastAsia" w:ascii="宋体" w:hAnsi="宋体" w:cs="宋体"/>
          <w:color w:val="auto"/>
          <w:sz w:val="24"/>
          <w:szCs w:val="24"/>
          <w:highlight w:val="none"/>
        </w:rPr>
        <w:t>：</w:t>
      </w:r>
    </w:p>
    <w:p w14:paraId="02191D8F">
      <w:pPr>
        <w:kinsoku/>
        <w:wordWrap/>
        <w:overflowPunct/>
        <w:topLinePunct w:val="0"/>
        <w:autoSpaceDE/>
        <w:autoSpaceDN/>
        <w:bidi w:val="0"/>
        <w:spacing w:line="5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为了充分体现公平竞争、诚信投标行为，我单位对参加（项目名称）</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的招标活动作出如下承诺：</w:t>
      </w:r>
    </w:p>
    <w:p w14:paraId="3B7EFB0E">
      <w:pPr>
        <w:kinsoku/>
        <w:wordWrap/>
        <w:overflowPunct/>
        <w:topLinePunct w:val="0"/>
        <w:autoSpaceDE/>
        <w:autoSpaceDN/>
        <w:bidi w:val="0"/>
        <w:spacing w:line="5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严格遵守国家政府采购法及相关法律、法规，没有围标、串标、资质挂靠等违法、违规行为。</w:t>
      </w:r>
    </w:p>
    <w:p w14:paraId="60312244">
      <w:pPr>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我方提交的所有资格审查文件、资料都是准确、真实、合法、有效的，如有虚假或隐瞒，我方愿意承担一切法律责任。</w:t>
      </w:r>
    </w:p>
    <w:p w14:paraId="11095EE4">
      <w:pPr>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不参与不正当竞争，不向采购人、采购组织机构、评标专家以及行业监督部门行贿以谋取不正当利益。</w:t>
      </w:r>
    </w:p>
    <w:p w14:paraId="58A399F7">
      <w:pPr>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我方未为招标项目提供整体设计、规范编制或者项目管理、监理、检测等服务。</w:t>
      </w:r>
    </w:p>
    <w:p w14:paraId="159EC091">
      <w:pPr>
        <w:kinsoku/>
        <w:wordWrap/>
        <w:overflowPunct/>
        <w:topLinePunct w:val="0"/>
        <w:autoSpaceDE/>
        <w:autoSpaceDN/>
        <w:bidi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主动接受行业监督部门、采购人及社会各界的监督，如有违反，接受相应处罚，直至被追究法律责任。</w:t>
      </w:r>
    </w:p>
    <w:p w14:paraId="4EB86F45">
      <w:pPr>
        <w:kinsoku/>
        <w:wordWrap/>
        <w:overflowPunct/>
        <w:topLinePunct w:val="0"/>
        <w:autoSpaceDE/>
        <w:autoSpaceDN/>
        <w:bidi w:val="0"/>
        <w:spacing w:line="500" w:lineRule="exact"/>
        <w:rPr>
          <w:rFonts w:ascii="宋体" w:hAnsi="宋体" w:cs="宋体"/>
          <w:color w:val="auto"/>
          <w:sz w:val="24"/>
          <w:szCs w:val="24"/>
          <w:highlight w:val="none"/>
        </w:rPr>
      </w:pPr>
    </w:p>
    <w:p w14:paraId="134E4D00">
      <w:pPr>
        <w:kinsoku/>
        <w:wordWrap/>
        <w:overflowPunct/>
        <w:topLinePunct w:val="0"/>
        <w:autoSpaceDE/>
        <w:autoSpaceDN/>
        <w:bidi w:val="0"/>
        <w:spacing w:line="500" w:lineRule="exact"/>
        <w:rPr>
          <w:rFonts w:ascii="宋体" w:hAnsi="宋体" w:cs="宋体"/>
          <w:color w:val="auto"/>
          <w:sz w:val="24"/>
          <w:szCs w:val="24"/>
          <w:highlight w:val="none"/>
        </w:rPr>
      </w:pPr>
    </w:p>
    <w:p w14:paraId="6317D8C2">
      <w:pPr>
        <w:kinsoku/>
        <w:wordWrap/>
        <w:overflowPunct/>
        <w:topLinePunct w:val="0"/>
        <w:autoSpaceDE/>
        <w:autoSpaceDN/>
        <w:bidi w:val="0"/>
        <w:spacing w:line="500" w:lineRule="exact"/>
        <w:rPr>
          <w:rFonts w:ascii="宋体" w:hAnsi="宋体" w:cs="宋体"/>
          <w:color w:val="auto"/>
          <w:sz w:val="24"/>
          <w:szCs w:val="24"/>
          <w:highlight w:val="none"/>
        </w:rPr>
      </w:pPr>
    </w:p>
    <w:p w14:paraId="218445D0">
      <w:pPr>
        <w:kinsoku/>
        <w:wordWrap/>
        <w:overflowPunct/>
        <w:topLinePunct w:val="0"/>
        <w:autoSpaceDE/>
        <w:autoSpaceDN/>
        <w:bidi w:val="0"/>
        <w:spacing w:line="500" w:lineRule="exact"/>
        <w:rPr>
          <w:rFonts w:ascii="宋体" w:hAnsi="宋体" w:cs="宋体"/>
          <w:color w:val="auto"/>
          <w:sz w:val="24"/>
          <w:szCs w:val="24"/>
          <w:highlight w:val="none"/>
        </w:rPr>
      </w:pPr>
    </w:p>
    <w:p w14:paraId="3D431058">
      <w:pPr>
        <w:kinsoku/>
        <w:wordWrap/>
        <w:overflowPunct/>
        <w:topLinePunct w:val="0"/>
        <w:autoSpaceDE/>
        <w:autoSpaceDN/>
        <w:bidi w:val="0"/>
        <w:spacing w:before="203" w:line="500" w:lineRule="exact"/>
        <w:ind w:left="998"/>
        <w:rPr>
          <w:rFonts w:ascii="宋体" w:hAnsi="宋体" w:cs="宋体"/>
          <w:color w:val="auto"/>
          <w:sz w:val="24"/>
          <w:szCs w:val="24"/>
          <w:highlight w:val="none"/>
        </w:rPr>
      </w:pPr>
      <w:r>
        <w:rPr>
          <w:rFonts w:hint="eastAsia" w:ascii="宋体" w:hAnsi="宋体" w:cs="宋体"/>
          <w:color w:val="auto"/>
          <w:sz w:val="24"/>
          <w:szCs w:val="24"/>
          <w:highlight w:val="none"/>
        </w:rPr>
        <w:t>法定代表人（单位负责人）或委托代理人（签字或盖章）：</w:t>
      </w:r>
    </w:p>
    <w:p w14:paraId="3D5E194A">
      <w:pPr>
        <w:tabs>
          <w:tab w:val="left" w:pos="6545"/>
          <w:tab w:val="left" w:pos="7428"/>
          <w:tab w:val="left" w:pos="8312"/>
        </w:tabs>
        <w:kinsoku/>
        <w:wordWrap/>
        <w:overflowPunct/>
        <w:topLinePunct w:val="0"/>
        <w:autoSpaceDE/>
        <w:autoSpaceDN/>
        <w:bidi w:val="0"/>
        <w:spacing w:before="71" w:line="500" w:lineRule="exact"/>
        <w:ind w:left="5032"/>
        <w:rPr>
          <w:rFonts w:ascii="仿宋" w:hAnsi="仿宋" w:eastAsia="仿宋" w:cs="仿宋"/>
          <w:color w:val="auto"/>
          <w:sz w:val="24"/>
          <w:szCs w:val="24"/>
          <w:highlight w:val="none"/>
        </w:rPr>
      </w:pPr>
      <w:r>
        <w:rPr>
          <w:rFonts w:hint="eastAsia" w:ascii="宋体" w:hAnsi="宋体" w:cs="宋体"/>
          <w:color w:val="auto"/>
          <w:sz w:val="24"/>
          <w:szCs w:val="24"/>
          <w:highlight w:val="none"/>
          <w:u w:val="single"/>
        </w:rPr>
        <w:tab/>
      </w:r>
      <w:r>
        <w:rPr>
          <w:rFonts w:hint="eastAsia" w:ascii="宋体" w:hAnsi="宋体" w:cs="宋体"/>
          <w:color w:val="auto"/>
          <w:spacing w:val="-27"/>
          <w:sz w:val="24"/>
          <w:szCs w:val="24"/>
          <w:highlight w:val="none"/>
        </w:rPr>
        <w:t>年</w:t>
      </w:r>
      <w:r>
        <w:rPr>
          <w:rFonts w:hint="eastAsia" w:ascii="宋体" w:hAnsi="宋体" w:cs="宋体"/>
          <w:color w:val="auto"/>
          <w:spacing w:val="-27"/>
          <w:sz w:val="24"/>
          <w:szCs w:val="24"/>
          <w:highlight w:val="none"/>
          <w:u w:val="single"/>
        </w:rPr>
        <w:tab/>
      </w:r>
      <w:r>
        <w:rPr>
          <w:rFonts w:hint="eastAsia" w:ascii="宋体" w:hAnsi="宋体" w:cs="宋体"/>
          <w:color w:val="auto"/>
          <w:spacing w:val="-29"/>
          <w:sz w:val="24"/>
          <w:szCs w:val="24"/>
          <w:highlight w:val="none"/>
        </w:rPr>
        <w:t>月</w:t>
      </w:r>
      <w:r>
        <w:rPr>
          <w:rFonts w:hint="eastAsia" w:ascii="宋体" w:hAnsi="宋体" w:cs="宋体"/>
          <w:color w:val="auto"/>
          <w:spacing w:val="-29"/>
          <w:sz w:val="24"/>
          <w:szCs w:val="24"/>
          <w:highlight w:val="none"/>
          <w:u w:val="single"/>
        </w:rPr>
        <w:tab/>
      </w:r>
      <w:r>
        <w:rPr>
          <w:rFonts w:hint="eastAsia" w:ascii="宋体" w:hAnsi="宋体" w:cs="宋体"/>
          <w:color w:val="auto"/>
          <w:sz w:val="24"/>
          <w:szCs w:val="24"/>
          <w:highlight w:val="none"/>
        </w:rPr>
        <w:t>日</w:t>
      </w:r>
    </w:p>
    <w:p w14:paraId="0E795C4B">
      <w:pPr>
        <w:kinsoku/>
        <w:wordWrap/>
        <w:overflowPunct/>
        <w:topLinePunct w:val="0"/>
        <w:autoSpaceDE/>
        <w:autoSpaceDN/>
        <w:bidi w:val="0"/>
        <w:spacing w:line="500" w:lineRule="exact"/>
        <w:rPr>
          <w:rFonts w:ascii="仿宋" w:hAnsi="仿宋" w:eastAsia="仿宋" w:cs="仿宋"/>
          <w:color w:val="auto"/>
          <w:sz w:val="24"/>
          <w:szCs w:val="24"/>
          <w:highlight w:val="none"/>
        </w:rPr>
        <w:sectPr>
          <w:pgSz w:w="11913" w:h="16850"/>
          <w:pgMar w:top="1361" w:right="1361" w:bottom="1361" w:left="1361" w:header="990" w:footer="683" w:gutter="0"/>
          <w:cols w:space="720" w:num="1"/>
        </w:sectPr>
      </w:pPr>
    </w:p>
    <w:p w14:paraId="32750EA1">
      <w:pPr>
        <w:tabs>
          <w:tab w:val="left" w:pos="6300"/>
        </w:tabs>
        <w:kinsoku/>
        <w:wordWrap/>
        <w:overflowPunct/>
        <w:topLinePunct w:val="0"/>
        <w:autoSpaceDE/>
        <w:autoSpaceDN/>
        <w:bidi w:val="0"/>
        <w:snapToGrid w:val="0"/>
        <w:spacing w:line="500" w:lineRule="exact"/>
        <w:ind w:firstLine="602" w:firstLineChars="200"/>
        <w:jc w:val="center"/>
        <w:rPr>
          <w:rFonts w:hint="eastAsia" w:ascii="宋体" w:hAnsi="宋体"/>
          <w:b/>
          <w:bCs/>
          <w:color w:val="auto"/>
          <w:sz w:val="30"/>
          <w:szCs w:val="30"/>
          <w:highlight w:val="none"/>
          <w:lang w:eastAsia="zh-CN"/>
        </w:rPr>
      </w:pPr>
      <w:r>
        <w:rPr>
          <w:rFonts w:hint="eastAsia" w:ascii="宋体" w:hAnsi="宋体" w:cs="宋体"/>
          <w:b/>
          <w:bCs/>
          <w:color w:val="auto"/>
          <w:sz w:val="30"/>
          <w:szCs w:val="30"/>
          <w:highlight w:val="none"/>
        </w:rPr>
        <w:t>重庆</w:t>
      </w:r>
      <w:r>
        <w:rPr>
          <w:rFonts w:hint="eastAsia" w:ascii="宋体" w:hAnsi="宋体" w:cs="宋体"/>
          <w:b/>
          <w:bCs/>
          <w:color w:val="auto"/>
          <w:sz w:val="30"/>
          <w:szCs w:val="30"/>
          <w:highlight w:val="none"/>
          <w:lang w:eastAsia="zh-CN"/>
        </w:rPr>
        <w:t>第二师范学院南山校区荟园</w:t>
      </w:r>
      <w:r>
        <w:rPr>
          <w:rFonts w:hint="eastAsia" w:ascii="宋体" w:hAnsi="宋体"/>
          <w:b/>
          <w:bCs/>
          <w:color w:val="auto"/>
          <w:sz w:val="30"/>
          <w:szCs w:val="30"/>
          <w:highlight w:val="none"/>
        </w:rPr>
        <w:t>学生食堂</w:t>
      </w:r>
      <w:r>
        <w:rPr>
          <w:rFonts w:hint="eastAsia" w:ascii="宋体" w:hAnsi="宋体"/>
          <w:b/>
          <w:bCs/>
          <w:color w:val="auto"/>
          <w:sz w:val="30"/>
          <w:szCs w:val="30"/>
          <w:highlight w:val="none"/>
          <w:lang w:eastAsia="zh-CN"/>
        </w:rPr>
        <w:t>一楼（二、三楼）</w:t>
      </w:r>
    </w:p>
    <w:p w14:paraId="684B88C0">
      <w:pPr>
        <w:tabs>
          <w:tab w:val="left" w:pos="6300"/>
        </w:tabs>
        <w:kinsoku/>
        <w:wordWrap/>
        <w:overflowPunct/>
        <w:topLinePunct w:val="0"/>
        <w:autoSpaceDE/>
        <w:autoSpaceDN/>
        <w:bidi w:val="0"/>
        <w:snapToGrid w:val="0"/>
        <w:spacing w:line="500" w:lineRule="exact"/>
        <w:ind w:firstLine="602" w:firstLineChars="200"/>
        <w:jc w:val="center"/>
        <w:rPr>
          <w:rFonts w:ascii="宋体" w:hAnsi="宋体" w:cs="宋体"/>
          <w:b/>
          <w:bCs/>
          <w:color w:val="auto"/>
          <w:sz w:val="30"/>
          <w:szCs w:val="30"/>
          <w:highlight w:val="none"/>
        </w:rPr>
      </w:pPr>
      <w:r>
        <w:rPr>
          <w:rFonts w:hint="eastAsia" w:ascii="宋体" w:hAnsi="宋体"/>
          <w:b/>
          <w:bCs/>
          <w:color w:val="auto"/>
          <w:sz w:val="30"/>
          <w:szCs w:val="30"/>
          <w:highlight w:val="none"/>
        </w:rPr>
        <w:t>经营服务外包项目</w:t>
      </w:r>
      <w:r>
        <w:rPr>
          <w:rFonts w:hint="eastAsia" w:ascii="宋体" w:hAnsi="宋体" w:cs="宋体"/>
          <w:b/>
          <w:bCs/>
          <w:color w:val="auto"/>
          <w:sz w:val="30"/>
          <w:szCs w:val="30"/>
          <w:highlight w:val="none"/>
        </w:rPr>
        <w:t>食品卫生安全责任书</w:t>
      </w:r>
    </w:p>
    <w:p w14:paraId="06912DEB">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根据《中华人民共和国食品卫生法》，推进和规范</w:t>
      </w:r>
      <w:r>
        <w:rPr>
          <w:rFonts w:hint="eastAsia" w:ascii="宋体" w:hAnsi="宋体" w:cs="宋体"/>
          <w:color w:val="auto"/>
          <w:sz w:val="24"/>
          <w:szCs w:val="24"/>
          <w:highlight w:val="none"/>
          <w:lang w:eastAsia="zh-CN"/>
        </w:rPr>
        <w:t>学校</w:t>
      </w:r>
      <w:r>
        <w:rPr>
          <w:rFonts w:hint="eastAsia" w:ascii="宋体" w:hAnsi="宋体" w:cs="宋体"/>
          <w:color w:val="auto"/>
          <w:sz w:val="24"/>
          <w:szCs w:val="24"/>
          <w:highlight w:val="none"/>
        </w:rPr>
        <w:t>的食品卫生安全管理，保障师生身体健康，维护师生的权益，确保学校正常的教学秩序，特签订本食品卫生安全责任书。</w:t>
      </w:r>
    </w:p>
    <w:p w14:paraId="065D6651">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一、责任目标</w:t>
      </w:r>
    </w:p>
    <w:p w14:paraId="784A9948">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安全责任单位所经营的食品符合国家的相关规定，确保不发生食品卫生和疫病等方面的问题，确保食品卫生安全。所经营的食品造成食品中毒或其他食源性疾患的，一切经济和法律后果都由安全责任单位承担，学校将追究其法律责任，并终止经营合同，处以《食品卫生法》规定的同等处罚。</w:t>
      </w:r>
    </w:p>
    <w:p w14:paraId="0FFCF5AC">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二、安全责任单位责任</w:t>
      </w:r>
    </w:p>
    <w:p w14:paraId="1240E5E1">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1.认真贯彻落实关于食品卫生的法律、法规、规章制度和安全操作规范；遵守学校制定的规章制度，严格履行经营合同。</w:t>
      </w:r>
    </w:p>
    <w:p w14:paraId="265C8D58">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2.开业必须办理卫生许可证，从业人员必须持有健康证方可上岗。经营户必须将卫生许可证、健康证、营业执照在经营场所显著位置上墙。</w:t>
      </w:r>
    </w:p>
    <w:p w14:paraId="002C01A9">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3.制定、完善和落实食品卫生防疫管理制度和操作规程，组织工作人员进行食品卫生防疫的知识宣传和教育培训。</w:t>
      </w:r>
    </w:p>
    <w:p w14:paraId="7013973B">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4.对经营的食品、饮料等需向管理部门上交检验报告。不得经营无食品检验合格证的食品，经营的定型包装食品应具有品名、厂名、厂址、生产日期、保质期、质量安全等标志。</w:t>
      </w:r>
    </w:p>
    <w:p w14:paraId="0C42BA6B">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5.不得经营过期、变质食品,食品原料及成品必须符合卫生标准要求。</w:t>
      </w:r>
    </w:p>
    <w:p w14:paraId="7B935CAE">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6.保持经营场所内外环境整洁，采取消除苍蝇、老鼠、蟑螂和其它有害昆虫及孳生条件的措施。</w:t>
      </w:r>
    </w:p>
    <w:p w14:paraId="2CC619EA">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7.保证盛具、餐具的严格消毒，使用的洗涤剂、消毒液应当对人体安全无害。</w:t>
      </w:r>
    </w:p>
    <w:p w14:paraId="25E34242">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8.使用食品添加剂，必须符合食品添加剂使用卫生标准和卫生管理办法的规定，反之，不得使用。</w:t>
      </w:r>
    </w:p>
    <w:p w14:paraId="023BE989">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9.认真开展食品卫生的自我检查，并自觉接受监督和管理部门的检查，检查中发现问题，应及时采取措施整改，并提出整改报告。</w:t>
      </w:r>
    </w:p>
    <w:p w14:paraId="0EA140DB">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本责任书自食堂档口交接之日起执行，至合同期满结束。</w:t>
      </w:r>
    </w:p>
    <w:p w14:paraId="7933F8CD">
      <w:pPr>
        <w:tabs>
          <w:tab w:val="left" w:pos="6300"/>
        </w:tabs>
        <w:kinsoku/>
        <w:wordWrap/>
        <w:overflowPunct/>
        <w:topLinePunct w:val="0"/>
        <w:autoSpaceDE/>
        <w:autoSpaceDN/>
        <w:bidi w:val="0"/>
        <w:snapToGrid w:val="0"/>
        <w:spacing w:line="500" w:lineRule="exact"/>
        <w:ind w:firstLine="480" w:firstLineChars="200"/>
        <w:jc w:val="right"/>
        <w:rPr>
          <w:rFonts w:ascii="宋体" w:hAnsi="宋体" w:cs="宋体"/>
          <w:color w:val="auto"/>
          <w:sz w:val="24"/>
          <w:szCs w:val="24"/>
          <w:highlight w:val="none"/>
        </w:rPr>
      </w:pPr>
      <w:r>
        <w:rPr>
          <w:rFonts w:hint="eastAsia" w:ascii="宋体" w:hAnsi="宋体" w:cs="宋体"/>
          <w:color w:val="auto"/>
          <w:sz w:val="24"/>
          <w:szCs w:val="24"/>
          <w:highlight w:val="none"/>
        </w:rPr>
        <w:t>安全责任单位（盖章）：</w:t>
      </w:r>
    </w:p>
    <w:p w14:paraId="2C1A9FAF">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p w14:paraId="40D9A7B8">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p>
    <w:p w14:paraId="7DF9DBAF">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p>
    <w:p w14:paraId="6D6F1D35">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p>
    <w:p w14:paraId="20CACE17">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p>
    <w:p w14:paraId="158740E9">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p>
    <w:p w14:paraId="1E04FD49">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p>
    <w:p w14:paraId="1D1E5D1D">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p>
    <w:p w14:paraId="69EA3EBC">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p>
    <w:p w14:paraId="498E4CA0">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p>
    <w:p w14:paraId="18964B1F">
      <w:pPr>
        <w:tabs>
          <w:tab w:val="left" w:pos="6300"/>
        </w:tabs>
        <w:kinsoku/>
        <w:wordWrap/>
        <w:overflowPunct/>
        <w:topLinePunct w:val="0"/>
        <w:autoSpaceDE/>
        <w:autoSpaceDN/>
        <w:bidi w:val="0"/>
        <w:snapToGrid w:val="0"/>
        <w:spacing w:line="500" w:lineRule="exact"/>
        <w:ind w:firstLine="480" w:firstLineChars="200"/>
        <w:jc w:val="right"/>
        <w:rPr>
          <w:rFonts w:hint="eastAsia" w:ascii="宋体" w:hAnsi="宋体" w:cs="宋体"/>
          <w:color w:val="auto"/>
          <w:sz w:val="24"/>
          <w:szCs w:val="24"/>
          <w:highlight w:val="none"/>
        </w:rPr>
      </w:pPr>
    </w:p>
    <w:p w14:paraId="3B16AF8C">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（五）其他证明文件</w:t>
      </w:r>
    </w:p>
    <w:p w14:paraId="497BECCC">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（六）投标保证金和</w:t>
      </w:r>
      <w:r>
        <w:rPr>
          <w:rFonts w:hint="eastAsia" w:ascii="宋体" w:hAnsi="宋体" w:cs="宋体"/>
          <w:color w:val="auto"/>
          <w:sz w:val="24"/>
          <w:szCs w:val="28"/>
          <w:highlight w:val="none"/>
          <w:lang w:eastAsia="zh-CN"/>
        </w:rPr>
        <w:t>公开遴选文件</w:t>
      </w:r>
      <w:r>
        <w:rPr>
          <w:rFonts w:hint="eastAsia" w:ascii="宋体" w:hAnsi="宋体" w:cs="宋体"/>
          <w:color w:val="auto"/>
          <w:sz w:val="24"/>
          <w:szCs w:val="28"/>
          <w:highlight w:val="none"/>
        </w:rPr>
        <w:t>购买费</w:t>
      </w:r>
    </w:p>
    <w:p w14:paraId="05D8227A">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1.</w:t>
      </w:r>
      <w:r>
        <w:rPr>
          <w:rFonts w:hint="eastAsia" w:ascii="宋体" w:hAnsi="宋体" w:cs="宋体"/>
          <w:color w:val="auto"/>
          <w:sz w:val="24"/>
          <w:szCs w:val="28"/>
          <w:highlight w:val="none"/>
          <w:lang w:eastAsia="zh-CN"/>
        </w:rPr>
        <w:t>公开遴选文件</w:t>
      </w:r>
      <w:r>
        <w:rPr>
          <w:rFonts w:hint="eastAsia" w:ascii="宋体" w:hAnsi="宋体" w:cs="宋体"/>
          <w:color w:val="auto"/>
          <w:sz w:val="24"/>
          <w:szCs w:val="28"/>
          <w:highlight w:val="none"/>
        </w:rPr>
        <w:t>购买费、投标保证金缴纳凭据</w:t>
      </w:r>
    </w:p>
    <w:p w14:paraId="1A2A9916">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2.</w:t>
      </w:r>
      <w:r>
        <w:rPr>
          <w:rFonts w:hint="eastAsia" w:ascii="宋体" w:hAnsi="宋体" w:cs="宋体"/>
          <w:color w:val="auto"/>
          <w:sz w:val="24"/>
          <w:szCs w:val="28"/>
          <w:highlight w:val="none"/>
          <w:lang w:eastAsia="zh-CN"/>
        </w:rPr>
        <w:t>供应商</w:t>
      </w:r>
      <w:r>
        <w:rPr>
          <w:rFonts w:hint="eastAsia" w:ascii="宋体" w:hAnsi="宋体" w:cs="宋体"/>
          <w:color w:val="auto"/>
          <w:sz w:val="24"/>
          <w:szCs w:val="28"/>
          <w:highlight w:val="none"/>
        </w:rPr>
        <w:t>提供</w:t>
      </w:r>
      <w:r>
        <w:rPr>
          <w:rFonts w:hint="eastAsia" w:ascii="宋体" w:hAnsi="宋体" w:cs="宋体"/>
          <w:color w:val="auto"/>
          <w:sz w:val="24"/>
          <w:szCs w:val="28"/>
          <w:highlight w:val="none"/>
          <w:lang w:eastAsia="zh-CN"/>
        </w:rPr>
        <w:t>公开遴选文件</w:t>
      </w:r>
      <w:r>
        <w:rPr>
          <w:rFonts w:hint="eastAsia" w:ascii="宋体" w:hAnsi="宋体" w:cs="宋体"/>
          <w:color w:val="auto"/>
          <w:sz w:val="24"/>
          <w:szCs w:val="28"/>
          <w:highlight w:val="none"/>
        </w:rPr>
        <w:t>购买费发票信息表。</w:t>
      </w:r>
    </w:p>
    <w:p w14:paraId="23056AAF">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p>
    <w:p w14:paraId="0938E06D">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lang w:eastAsia="zh-CN"/>
        </w:rPr>
        <w:t>公开遴选文件</w:t>
      </w:r>
      <w:r>
        <w:rPr>
          <w:rFonts w:hint="eastAsia" w:ascii="宋体" w:hAnsi="宋体" w:cs="宋体"/>
          <w:color w:val="auto"/>
          <w:sz w:val="24"/>
          <w:szCs w:val="28"/>
          <w:highlight w:val="none"/>
        </w:rPr>
        <w:t>购买费发票开票信息如下</w:t>
      </w:r>
    </w:p>
    <w:tbl>
      <w:tblPr>
        <w:tblStyle w:val="18"/>
        <w:tblW w:w="9797" w:type="dxa"/>
        <w:jc w:val="center"/>
        <w:tblLayout w:type="autofit"/>
        <w:tblCellMar>
          <w:top w:w="0" w:type="dxa"/>
          <w:left w:w="108" w:type="dxa"/>
          <w:bottom w:w="0" w:type="dxa"/>
          <w:right w:w="108" w:type="dxa"/>
        </w:tblCellMar>
      </w:tblPr>
      <w:tblGrid>
        <w:gridCol w:w="859"/>
        <w:gridCol w:w="1460"/>
        <w:gridCol w:w="1650"/>
        <w:gridCol w:w="2125"/>
        <w:gridCol w:w="1469"/>
        <w:gridCol w:w="2234"/>
      </w:tblGrid>
      <w:tr w14:paraId="22E6A0D4">
        <w:tblPrEx>
          <w:tblCellMar>
            <w:top w:w="0" w:type="dxa"/>
            <w:left w:w="108" w:type="dxa"/>
            <w:bottom w:w="0" w:type="dxa"/>
            <w:right w:w="108" w:type="dxa"/>
          </w:tblCellMar>
        </w:tblPrEx>
        <w:trPr>
          <w:trHeight w:val="634"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536FFFD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rPr>
                <w:rFonts w:ascii="宋体" w:hAnsi="宋体"/>
                <w:color w:val="auto"/>
                <w:sz w:val="24"/>
                <w:szCs w:val="22"/>
                <w:highlight w:val="none"/>
              </w:rPr>
            </w:pPr>
            <w:r>
              <w:rPr>
                <w:rFonts w:hint="eastAsia" w:ascii="宋体" w:hAnsi="宋体"/>
                <w:color w:val="auto"/>
                <w:sz w:val="24"/>
                <w:szCs w:val="22"/>
                <w:highlight w:val="none"/>
              </w:rPr>
              <w:t>序号</w:t>
            </w:r>
          </w:p>
        </w:tc>
        <w:tc>
          <w:tcPr>
            <w:tcW w:w="1460" w:type="dxa"/>
            <w:tcBorders>
              <w:top w:val="single" w:color="auto" w:sz="4" w:space="0"/>
              <w:left w:val="nil"/>
              <w:bottom w:val="single" w:color="auto" w:sz="4" w:space="0"/>
              <w:right w:val="single" w:color="auto" w:sz="4" w:space="0"/>
            </w:tcBorders>
            <w:vAlign w:val="center"/>
          </w:tcPr>
          <w:p w14:paraId="59A0FB5E">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rPr>
                <w:rFonts w:ascii="宋体" w:hAnsi="宋体"/>
                <w:color w:val="auto"/>
                <w:sz w:val="24"/>
                <w:szCs w:val="22"/>
                <w:highlight w:val="none"/>
              </w:rPr>
            </w:pPr>
            <w:r>
              <w:rPr>
                <w:rFonts w:hint="eastAsia" w:ascii="宋体" w:hAnsi="宋体"/>
                <w:color w:val="auto"/>
                <w:sz w:val="24"/>
                <w:szCs w:val="22"/>
                <w:highlight w:val="none"/>
                <w:lang w:eastAsia="zh-CN"/>
              </w:rPr>
              <w:t>供应商</w:t>
            </w:r>
            <w:r>
              <w:rPr>
                <w:rFonts w:hint="eastAsia" w:ascii="宋体" w:hAnsi="宋体"/>
                <w:color w:val="auto"/>
                <w:sz w:val="24"/>
                <w:szCs w:val="22"/>
                <w:highlight w:val="none"/>
              </w:rPr>
              <w:t>名称</w:t>
            </w:r>
          </w:p>
        </w:tc>
        <w:tc>
          <w:tcPr>
            <w:tcW w:w="1650" w:type="dxa"/>
            <w:tcBorders>
              <w:top w:val="single" w:color="auto" w:sz="4" w:space="0"/>
              <w:left w:val="nil"/>
              <w:bottom w:val="single" w:color="auto" w:sz="4" w:space="0"/>
              <w:right w:val="single" w:color="auto" w:sz="4" w:space="0"/>
            </w:tcBorders>
            <w:vAlign w:val="center"/>
          </w:tcPr>
          <w:p w14:paraId="0CC9CB99">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rPr>
                <w:rFonts w:ascii="宋体" w:hAnsi="宋体"/>
                <w:color w:val="auto"/>
                <w:sz w:val="24"/>
                <w:szCs w:val="22"/>
                <w:highlight w:val="none"/>
              </w:rPr>
            </w:pPr>
            <w:r>
              <w:rPr>
                <w:rFonts w:hint="eastAsia" w:ascii="宋体" w:hAnsi="宋体"/>
                <w:color w:val="auto"/>
                <w:sz w:val="24"/>
                <w:szCs w:val="22"/>
                <w:highlight w:val="none"/>
              </w:rPr>
              <w:t>基本账户开户行</w:t>
            </w:r>
          </w:p>
        </w:tc>
        <w:tc>
          <w:tcPr>
            <w:tcW w:w="2125" w:type="dxa"/>
            <w:tcBorders>
              <w:top w:val="single" w:color="auto" w:sz="4" w:space="0"/>
              <w:left w:val="nil"/>
              <w:bottom w:val="single" w:color="auto" w:sz="4" w:space="0"/>
              <w:right w:val="single" w:color="auto" w:sz="4" w:space="0"/>
            </w:tcBorders>
            <w:vAlign w:val="center"/>
          </w:tcPr>
          <w:p w14:paraId="33F13053">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rPr>
                <w:rFonts w:ascii="宋体" w:hAnsi="宋体"/>
                <w:color w:val="auto"/>
                <w:sz w:val="24"/>
                <w:szCs w:val="22"/>
                <w:highlight w:val="none"/>
              </w:rPr>
            </w:pPr>
            <w:r>
              <w:rPr>
                <w:rFonts w:hint="eastAsia" w:ascii="宋体" w:hAnsi="宋体"/>
                <w:color w:val="auto"/>
                <w:sz w:val="24"/>
                <w:szCs w:val="22"/>
                <w:highlight w:val="none"/>
              </w:rPr>
              <w:t>基本账户账号（卡号）</w:t>
            </w:r>
          </w:p>
        </w:tc>
        <w:tc>
          <w:tcPr>
            <w:tcW w:w="1469" w:type="dxa"/>
            <w:tcBorders>
              <w:top w:val="single" w:color="auto" w:sz="4" w:space="0"/>
              <w:left w:val="nil"/>
              <w:bottom w:val="single" w:color="auto" w:sz="4" w:space="0"/>
              <w:right w:val="single" w:color="auto" w:sz="4" w:space="0"/>
            </w:tcBorders>
            <w:vAlign w:val="center"/>
          </w:tcPr>
          <w:p w14:paraId="5956082A">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rPr>
                <w:rFonts w:ascii="宋体" w:hAnsi="宋体"/>
                <w:color w:val="auto"/>
                <w:sz w:val="24"/>
                <w:szCs w:val="22"/>
                <w:highlight w:val="none"/>
              </w:rPr>
            </w:pPr>
            <w:r>
              <w:rPr>
                <w:rFonts w:hint="eastAsia" w:ascii="宋体" w:hAnsi="宋体"/>
                <w:color w:val="auto"/>
                <w:sz w:val="24"/>
                <w:szCs w:val="22"/>
                <w:highlight w:val="none"/>
              </w:rPr>
              <w:t>统一社会信用代码</w:t>
            </w:r>
          </w:p>
        </w:tc>
        <w:tc>
          <w:tcPr>
            <w:tcW w:w="2234" w:type="dxa"/>
            <w:tcBorders>
              <w:top w:val="single" w:color="auto" w:sz="4" w:space="0"/>
              <w:left w:val="single" w:color="auto" w:sz="4" w:space="0"/>
              <w:bottom w:val="single" w:color="auto" w:sz="4" w:space="0"/>
              <w:right w:val="single" w:color="auto" w:sz="4" w:space="0"/>
            </w:tcBorders>
            <w:vAlign w:val="center"/>
          </w:tcPr>
          <w:p w14:paraId="78002D31">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rPr>
                <w:rFonts w:ascii="宋体" w:hAnsi="宋体"/>
                <w:color w:val="auto"/>
                <w:sz w:val="24"/>
                <w:szCs w:val="22"/>
                <w:highlight w:val="none"/>
              </w:rPr>
            </w:pPr>
            <w:r>
              <w:rPr>
                <w:rFonts w:hint="eastAsia" w:ascii="宋体" w:hAnsi="宋体"/>
                <w:color w:val="auto"/>
                <w:sz w:val="24"/>
                <w:szCs w:val="22"/>
                <w:highlight w:val="none"/>
              </w:rPr>
              <w:t>授权委托人联系电话（须为手机号）</w:t>
            </w:r>
          </w:p>
        </w:tc>
      </w:tr>
      <w:tr w14:paraId="0991044E">
        <w:tblPrEx>
          <w:tblCellMar>
            <w:top w:w="0" w:type="dxa"/>
            <w:left w:w="108" w:type="dxa"/>
            <w:bottom w:w="0" w:type="dxa"/>
            <w:right w:w="108" w:type="dxa"/>
          </w:tblCellMar>
        </w:tblPrEx>
        <w:trPr>
          <w:trHeight w:val="600" w:hRule="atLeast"/>
          <w:jc w:val="center"/>
        </w:trPr>
        <w:tc>
          <w:tcPr>
            <w:tcW w:w="859" w:type="dxa"/>
            <w:tcBorders>
              <w:top w:val="nil"/>
              <w:left w:val="single" w:color="auto" w:sz="4" w:space="0"/>
              <w:bottom w:val="single" w:color="auto" w:sz="4" w:space="0"/>
              <w:right w:val="single" w:color="auto" w:sz="4" w:space="0"/>
            </w:tcBorders>
            <w:vAlign w:val="center"/>
          </w:tcPr>
          <w:p w14:paraId="4DEADE97">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jc w:val="center"/>
              <w:rPr>
                <w:rFonts w:ascii="宋体" w:hAnsi="宋体"/>
                <w:color w:val="auto"/>
                <w:sz w:val="24"/>
                <w:szCs w:val="22"/>
                <w:highlight w:val="none"/>
              </w:rPr>
            </w:pPr>
          </w:p>
        </w:tc>
        <w:tc>
          <w:tcPr>
            <w:tcW w:w="1460" w:type="dxa"/>
            <w:tcBorders>
              <w:top w:val="nil"/>
              <w:left w:val="nil"/>
              <w:bottom w:val="single" w:color="auto" w:sz="4" w:space="0"/>
              <w:right w:val="single" w:color="auto" w:sz="4" w:space="0"/>
            </w:tcBorders>
            <w:vAlign w:val="center"/>
          </w:tcPr>
          <w:p w14:paraId="1705FFCB">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firstLine="570"/>
              <w:jc w:val="center"/>
              <w:rPr>
                <w:rFonts w:ascii="宋体" w:hAnsi="宋体"/>
                <w:color w:val="auto"/>
                <w:sz w:val="24"/>
                <w:szCs w:val="22"/>
                <w:highlight w:val="none"/>
              </w:rPr>
            </w:pPr>
          </w:p>
        </w:tc>
        <w:tc>
          <w:tcPr>
            <w:tcW w:w="1650" w:type="dxa"/>
            <w:tcBorders>
              <w:top w:val="nil"/>
              <w:left w:val="nil"/>
              <w:bottom w:val="single" w:color="auto" w:sz="4" w:space="0"/>
              <w:right w:val="single" w:color="auto" w:sz="4" w:space="0"/>
            </w:tcBorders>
            <w:vAlign w:val="center"/>
          </w:tcPr>
          <w:p w14:paraId="69550BC9">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firstLine="570"/>
              <w:jc w:val="center"/>
              <w:rPr>
                <w:rFonts w:ascii="宋体" w:hAnsi="宋体"/>
                <w:color w:val="auto"/>
                <w:sz w:val="24"/>
                <w:szCs w:val="22"/>
                <w:highlight w:val="none"/>
              </w:rPr>
            </w:pPr>
          </w:p>
        </w:tc>
        <w:tc>
          <w:tcPr>
            <w:tcW w:w="2125" w:type="dxa"/>
            <w:tcBorders>
              <w:top w:val="nil"/>
              <w:left w:val="nil"/>
              <w:bottom w:val="single" w:color="auto" w:sz="4" w:space="0"/>
              <w:right w:val="single" w:color="auto" w:sz="4" w:space="0"/>
            </w:tcBorders>
            <w:vAlign w:val="center"/>
          </w:tcPr>
          <w:p w14:paraId="1663D324">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firstLine="570"/>
              <w:jc w:val="center"/>
              <w:rPr>
                <w:rFonts w:ascii="宋体" w:hAnsi="宋体"/>
                <w:color w:val="auto"/>
                <w:sz w:val="24"/>
                <w:szCs w:val="22"/>
                <w:highlight w:val="none"/>
              </w:rPr>
            </w:pPr>
          </w:p>
        </w:tc>
        <w:tc>
          <w:tcPr>
            <w:tcW w:w="1469" w:type="dxa"/>
            <w:tcBorders>
              <w:top w:val="single" w:color="auto" w:sz="4" w:space="0"/>
              <w:left w:val="nil"/>
              <w:bottom w:val="single" w:color="auto" w:sz="4" w:space="0"/>
              <w:right w:val="single" w:color="auto" w:sz="4" w:space="0"/>
            </w:tcBorders>
            <w:vAlign w:val="center"/>
          </w:tcPr>
          <w:p w14:paraId="747377FD">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firstLine="570"/>
              <w:jc w:val="center"/>
              <w:rPr>
                <w:rFonts w:ascii="宋体" w:hAnsi="宋体"/>
                <w:color w:val="auto"/>
                <w:sz w:val="24"/>
                <w:szCs w:val="22"/>
                <w:highlight w:val="none"/>
              </w:rPr>
            </w:pPr>
          </w:p>
        </w:tc>
        <w:tc>
          <w:tcPr>
            <w:tcW w:w="2234" w:type="dxa"/>
            <w:tcBorders>
              <w:top w:val="nil"/>
              <w:left w:val="single" w:color="auto" w:sz="4" w:space="0"/>
              <w:bottom w:val="single" w:color="auto" w:sz="4" w:space="0"/>
              <w:right w:val="single" w:color="auto" w:sz="4" w:space="0"/>
            </w:tcBorders>
            <w:vAlign w:val="center"/>
          </w:tcPr>
          <w:p w14:paraId="7DBD3560">
            <w:pPr>
              <w:keepNext w:val="0"/>
              <w:keepLines w:val="0"/>
              <w:suppressLineNumbers w:val="0"/>
              <w:tabs>
                <w:tab w:val="left" w:pos="6300"/>
              </w:tabs>
              <w:kinsoku/>
              <w:wordWrap/>
              <w:overflowPunct/>
              <w:topLinePunct w:val="0"/>
              <w:autoSpaceDE/>
              <w:autoSpaceDN/>
              <w:bidi w:val="0"/>
              <w:snapToGrid w:val="0"/>
              <w:spacing w:before="0" w:beforeAutospacing="0" w:after="0" w:afterAutospacing="0" w:line="500" w:lineRule="exact"/>
              <w:ind w:left="0" w:right="0" w:firstLine="570"/>
              <w:jc w:val="center"/>
              <w:rPr>
                <w:rFonts w:ascii="宋体" w:hAnsi="宋体"/>
                <w:color w:val="auto"/>
                <w:sz w:val="24"/>
                <w:szCs w:val="22"/>
                <w:highlight w:val="none"/>
              </w:rPr>
            </w:pPr>
          </w:p>
        </w:tc>
      </w:tr>
    </w:tbl>
    <w:p w14:paraId="1DC4E411">
      <w:pPr>
        <w:tabs>
          <w:tab w:val="left" w:pos="6300"/>
        </w:tabs>
        <w:kinsoku/>
        <w:wordWrap/>
        <w:overflowPunct/>
        <w:topLinePunct w:val="0"/>
        <w:autoSpaceDE/>
        <w:autoSpaceDN/>
        <w:bidi w:val="0"/>
        <w:snapToGrid w:val="0"/>
        <w:spacing w:line="500" w:lineRule="exact"/>
        <w:ind w:firstLine="480" w:firstLineChars="200"/>
        <w:rPr>
          <w:rFonts w:ascii="宋体" w:hAnsi="宋体" w:cs="宋体"/>
          <w:color w:val="auto"/>
          <w:sz w:val="24"/>
          <w:szCs w:val="28"/>
          <w:highlight w:val="none"/>
        </w:rPr>
      </w:pPr>
    </w:p>
    <w:p w14:paraId="0E50DB4F">
      <w:pPr>
        <w:tabs>
          <w:tab w:val="left" w:pos="6300"/>
        </w:tabs>
        <w:kinsoku/>
        <w:wordWrap/>
        <w:overflowPunct/>
        <w:topLinePunct w:val="0"/>
        <w:autoSpaceDE/>
        <w:autoSpaceDN/>
        <w:bidi w:val="0"/>
        <w:snapToGrid w:val="0"/>
        <w:spacing w:line="500" w:lineRule="exact"/>
        <w:ind w:firstLine="570"/>
        <w:jc w:val="left"/>
        <w:rPr>
          <w:rFonts w:ascii="宋体" w:hAnsi="宋体" w:cs="宋体"/>
          <w:color w:val="auto"/>
          <w:sz w:val="24"/>
          <w:highlight w:val="none"/>
        </w:rPr>
      </w:pPr>
    </w:p>
    <w:p w14:paraId="1DD53917">
      <w:pPr>
        <w:tabs>
          <w:tab w:val="left" w:pos="6300"/>
        </w:tabs>
        <w:kinsoku/>
        <w:wordWrap/>
        <w:overflowPunct/>
        <w:topLinePunct w:val="0"/>
        <w:autoSpaceDE/>
        <w:autoSpaceDN/>
        <w:bidi w:val="0"/>
        <w:snapToGrid w:val="0"/>
        <w:spacing w:line="500" w:lineRule="exact"/>
        <w:jc w:val="center"/>
        <w:rPr>
          <w:rFonts w:hint="eastAsia" w:ascii="宋体" w:hAnsi="宋体" w:cs="宋体"/>
          <w:color w:val="auto"/>
          <w:highlight w:val="none"/>
        </w:rPr>
      </w:pPr>
    </w:p>
    <w:p w14:paraId="43A69661">
      <w:pPr>
        <w:tabs>
          <w:tab w:val="left" w:pos="6300"/>
        </w:tabs>
        <w:kinsoku/>
        <w:wordWrap/>
        <w:overflowPunct/>
        <w:topLinePunct w:val="0"/>
        <w:autoSpaceDE/>
        <w:autoSpaceDN/>
        <w:bidi w:val="0"/>
        <w:snapToGrid w:val="0"/>
        <w:spacing w:line="500" w:lineRule="exact"/>
        <w:jc w:val="center"/>
        <w:rPr>
          <w:rFonts w:hint="eastAsia" w:ascii="宋体" w:hAnsi="宋体" w:cs="宋体"/>
          <w:color w:val="auto"/>
          <w:highlight w:val="none"/>
        </w:rPr>
      </w:pPr>
    </w:p>
    <w:p w14:paraId="46989E98">
      <w:pPr>
        <w:tabs>
          <w:tab w:val="left" w:pos="6300"/>
        </w:tabs>
        <w:kinsoku/>
        <w:wordWrap/>
        <w:overflowPunct/>
        <w:topLinePunct w:val="0"/>
        <w:autoSpaceDE/>
        <w:autoSpaceDN/>
        <w:bidi w:val="0"/>
        <w:snapToGrid w:val="0"/>
        <w:spacing w:line="500" w:lineRule="exact"/>
        <w:jc w:val="center"/>
        <w:rPr>
          <w:rFonts w:hint="eastAsia" w:ascii="宋体" w:hAnsi="宋体" w:cs="宋体"/>
          <w:color w:val="auto"/>
          <w:highlight w:val="none"/>
        </w:rPr>
      </w:pPr>
    </w:p>
    <w:p w14:paraId="2EBF3A3C">
      <w:pPr>
        <w:tabs>
          <w:tab w:val="left" w:pos="6300"/>
        </w:tabs>
        <w:kinsoku/>
        <w:wordWrap/>
        <w:overflowPunct/>
        <w:topLinePunct w:val="0"/>
        <w:autoSpaceDE/>
        <w:autoSpaceDN/>
        <w:bidi w:val="0"/>
        <w:snapToGrid w:val="0"/>
        <w:spacing w:line="500" w:lineRule="exact"/>
        <w:jc w:val="center"/>
        <w:rPr>
          <w:rFonts w:hint="eastAsia" w:ascii="宋体" w:hAnsi="宋体" w:cs="宋体"/>
          <w:color w:val="auto"/>
          <w:highlight w:val="none"/>
        </w:rPr>
      </w:pPr>
    </w:p>
    <w:p w14:paraId="56B43BBE">
      <w:pPr>
        <w:tabs>
          <w:tab w:val="left" w:pos="6300"/>
        </w:tabs>
        <w:kinsoku/>
        <w:wordWrap/>
        <w:overflowPunct/>
        <w:topLinePunct w:val="0"/>
        <w:autoSpaceDE/>
        <w:autoSpaceDN/>
        <w:bidi w:val="0"/>
        <w:snapToGrid w:val="0"/>
        <w:spacing w:line="500" w:lineRule="exact"/>
        <w:jc w:val="center"/>
        <w:rPr>
          <w:rFonts w:hint="eastAsia" w:ascii="宋体" w:hAnsi="宋体" w:cs="宋体"/>
          <w:color w:val="auto"/>
          <w:highlight w:val="none"/>
        </w:rPr>
      </w:pPr>
      <w:r>
        <w:rPr>
          <w:rFonts w:hint="eastAsia" w:ascii="宋体" w:hAnsi="宋体" w:cs="宋体"/>
          <w:color w:val="auto"/>
          <w:highlight w:val="none"/>
        </w:rPr>
        <w:t>（结束）</w:t>
      </w:r>
    </w:p>
    <w:p w14:paraId="752806E3">
      <w:pPr>
        <w:tabs>
          <w:tab w:val="left" w:pos="6300"/>
        </w:tabs>
        <w:kinsoku/>
        <w:wordWrap/>
        <w:overflowPunct/>
        <w:topLinePunct w:val="0"/>
        <w:autoSpaceDE/>
        <w:autoSpaceDN/>
        <w:bidi w:val="0"/>
        <w:snapToGrid w:val="0"/>
        <w:spacing w:line="500" w:lineRule="exact"/>
        <w:jc w:val="center"/>
        <w:rPr>
          <w:rFonts w:hint="eastAsia" w:ascii="宋体" w:hAnsi="宋体" w:cs="宋体"/>
          <w:color w:val="auto"/>
          <w:highlight w:val="none"/>
        </w:rPr>
      </w:pPr>
    </w:p>
    <w:sectPr>
      <w:footerReference r:id="rId6" w:type="default"/>
      <w:footerReference r:id="rId7"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808C04C1-75C6-40D2-BE38-6F388EB8C0EB}"/>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2" w:fontKey="{C20C0FAD-F37E-4C1B-9B47-7E38A588CBF1}"/>
  </w:font>
  <w:font w:name="方正仿宋_GBK">
    <w:panose1 w:val="02000000000000000000"/>
    <w:charset w:val="86"/>
    <w:family w:val="script"/>
    <w:pitch w:val="default"/>
    <w:sig w:usb0="00000001" w:usb1="080E0000" w:usb2="00000000" w:usb3="00000000" w:csb0="00040000" w:csb1="00000000"/>
    <w:embedRegular r:id="rId3" w:fontKey="{4B28FF23-CFC8-4B6A-81C5-8E2689C9F8D3}"/>
  </w:font>
  <w:font w:name="微软雅黑">
    <w:panose1 w:val="020B0503020204020204"/>
    <w:charset w:val="86"/>
    <w:family w:val="swiss"/>
    <w:pitch w:val="default"/>
    <w:sig w:usb0="80000287" w:usb1="2ACF3C50" w:usb2="00000016" w:usb3="00000000" w:csb0="0004001F" w:csb1="00000000"/>
    <w:embedRegular r:id="rId4" w:fontKey="{97444C6C-EF81-408B-BB7D-A88EF85DC3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842FD">
    <w:pPr>
      <w:pStyle w:val="13"/>
      <w:jc w:val="center"/>
      <w:rPr>
        <w:rFonts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E43A4">
                          <w:pPr>
                            <w:pStyle w:val="13"/>
                            <w:jc w:val="center"/>
                          </w:pPr>
                          <w:r>
                            <w:rPr>
                              <w:rFonts w:ascii="宋体" w:hAnsi="宋体"/>
                              <w:sz w:val="21"/>
                              <w:szCs w:val="21"/>
                            </w:rPr>
                            <w:fldChar w:fldCharType="begin"/>
                          </w:r>
                          <w:r>
                            <w:rPr>
                              <w:rStyle w:val="20"/>
                              <w:rFonts w:ascii="宋体" w:hAnsi="宋体"/>
                              <w:sz w:val="21"/>
                              <w:szCs w:val="21"/>
                            </w:rPr>
                            <w:instrText xml:space="preserve"> PAGE </w:instrText>
                          </w:r>
                          <w:r>
                            <w:rPr>
                              <w:rFonts w:ascii="宋体" w:hAnsi="宋体"/>
                              <w:sz w:val="21"/>
                              <w:szCs w:val="21"/>
                            </w:rPr>
                            <w:fldChar w:fldCharType="separate"/>
                          </w:r>
                          <w:r>
                            <w:rPr>
                              <w:rStyle w:val="20"/>
                              <w:rFonts w:ascii="宋体" w:hAnsi="宋体"/>
                              <w:sz w:val="21"/>
                              <w:szCs w:val="21"/>
                            </w:rPr>
                            <w:t>- 17 -</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B2E43A4">
                    <w:pPr>
                      <w:pStyle w:val="13"/>
                      <w:jc w:val="center"/>
                    </w:pPr>
                    <w:r>
                      <w:rPr>
                        <w:rFonts w:ascii="宋体" w:hAnsi="宋体"/>
                        <w:sz w:val="21"/>
                        <w:szCs w:val="21"/>
                      </w:rPr>
                      <w:fldChar w:fldCharType="begin"/>
                    </w:r>
                    <w:r>
                      <w:rPr>
                        <w:rStyle w:val="20"/>
                        <w:rFonts w:ascii="宋体" w:hAnsi="宋体"/>
                        <w:sz w:val="21"/>
                        <w:szCs w:val="21"/>
                      </w:rPr>
                      <w:instrText xml:space="preserve"> PAGE </w:instrText>
                    </w:r>
                    <w:r>
                      <w:rPr>
                        <w:rFonts w:ascii="宋体" w:hAnsi="宋体"/>
                        <w:sz w:val="21"/>
                        <w:szCs w:val="21"/>
                      </w:rPr>
                      <w:fldChar w:fldCharType="separate"/>
                    </w:r>
                    <w:r>
                      <w:rPr>
                        <w:rStyle w:val="20"/>
                        <w:rFonts w:ascii="宋体" w:hAnsi="宋体"/>
                        <w:sz w:val="21"/>
                        <w:szCs w:val="21"/>
                      </w:rPr>
                      <w:t>- 17 -</w:t>
                    </w:r>
                    <w:r>
                      <w:rPr>
                        <w:rFonts w:ascii="宋体" w:hAnsi="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03B7E">
    <w:pPr>
      <w:pStyle w:val="13"/>
      <w:framePr w:wrap="around" w:vAnchor="text" w:hAnchor="margin" w:xAlign="center" w:y="1"/>
      <w:rPr>
        <w:rStyle w:val="20"/>
      </w:rPr>
    </w:pPr>
    <w:r>
      <w:fldChar w:fldCharType="begin"/>
    </w:r>
    <w:r>
      <w:rPr>
        <w:rStyle w:val="20"/>
      </w:rPr>
      <w:instrText xml:space="preserve">PAGE  </w:instrText>
    </w:r>
    <w:r>
      <w:fldChar w:fldCharType="end"/>
    </w:r>
  </w:p>
  <w:p w14:paraId="163B9816">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FDEC8">
    <w:pPr>
      <w:pStyle w:val="13"/>
      <w:jc w:val="center"/>
      <w:rPr>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A6F694">
                          <w:pPr>
                            <w:pStyle w:val="13"/>
                            <w:jc w:val="center"/>
                          </w:pPr>
                          <w:r>
                            <w:rPr>
                              <w:sz w:val="24"/>
                            </w:rPr>
                            <w:fldChar w:fldCharType="begin"/>
                          </w:r>
                          <w:r>
                            <w:rPr>
                              <w:rStyle w:val="20"/>
                              <w:sz w:val="24"/>
                            </w:rPr>
                            <w:instrText xml:space="preserve"> PAGE </w:instrText>
                          </w:r>
                          <w:r>
                            <w:rPr>
                              <w:sz w:val="24"/>
                            </w:rPr>
                            <w:fldChar w:fldCharType="separate"/>
                          </w:r>
                          <w:r>
                            <w:rPr>
                              <w:rStyle w:val="20"/>
                              <w:sz w:val="24"/>
                            </w:rPr>
                            <w:t>- 63 -</w:t>
                          </w:r>
                          <w:r>
                            <w:rPr>
                              <w:sz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4AA6F694">
                    <w:pPr>
                      <w:pStyle w:val="13"/>
                      <w:jc w:val="center"/>
                    </w:pPr>
                    <w:r>
                      <w:rPr>
                        <w:sz w:val="24"/>
                      </w:rPr>
                      <w:fldChar w:fldCharType="begin"/>
                    </w:r>
                    <w:r>
                      <w:rPr>
                        <w:rStyle w:val="20"/>
                        <w:sz w:val="24"/>
                      </w:rPr>
                      <w:instrText xml:space="preserve"> PAGE </w:instrText>
                    </w:r>
                    <w:r>
                      <w:rPr>
                        <w:sz w:val="24"/>
                      </w:rPr>
                      <w:fldChar w:fldCharType="separate"/>
                    </w:r>
                    <w:r>
                      <w:rPr>
                        <w:rStyle w:val="20"/>
                        <w:sz w:val="24"/>
                      </w:rPr>
                      <w:t>- 63 -</w:t>
                    </w:r>
                    <w:r>
                      <w:rPr>
                        <w:sz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039FA">
    <w:pPr>
      <w:pStyle w:val="13"/>
      <w:jc w:val="center"/>
      <w:rPr>
        <w:rStyle w:val="20"/>
        <w:rFonts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FE562">
                          <w:pPr>
                            <w:pStyle w:val="13"/>
                            <w:jc w:val="center"/>
                          </w:pPr>
                          <w:r>
                            <w:rPr>
                              <w:rFonts w:ascii="宋体" w:hAnsi="宋体"/>
                              <w:sz w:val="21"/>
                              <w:szCs w:val="21"/>
                            </w:rPr>
                            <w:fldChar w:fldCharType="begin"/>
                          </w:r>
                          <w:r>
                            <w:rPr>
                              <w:rStyle w:val="20"/>
                              <w:rFonts w:ascii="宋体" w:hAnsi="宋体"/>
                              <w:sz w:val="21"/>
                              <w:szCs w:val="21"/>
                            </w:rPr>
                            <w:instrText xml:space="preserve"> PAGE </w:instrText>
                          </w:r>
                          <w:r>
                            <w:rPr>
                              <w:rFonts w:ascii="宋体" w:hAnsi="宋体"/>
                              <w:sz w:val="21"/>
                              <w:szCs w:val="21"/>
                            </w:rPr>
                            <w:fldChar w:fldCharType="separate"/>
                          </w:r>
                          <w:r>
                            <w:rPr>
                              <w:rStyle w:val="20"/>
                              <w:rFonts w:ascii="宋体" w:hAnsi="宋体"/>
                              <w:sz w:val="21"/>
                              <w:szCs w:val="21"/>
                            </w:rPr>
                            <w:t>- 50 -</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CAFE562">
                    <w:pPr>
                      <w:pStyle w:val="13"/>
                      <w:jc w:val="center"/>
                    </w:pPr>
                    <w:r>
                      <w:rPr>
                        <w:rFonts w:ascii="宋体" w:hAnsi="宋体"/>
                        <w:sz w:val="21"/>
                        <w:szCs w:val="21"/>
                      </w:rPr>
                      <w:fldChar w:fldCharType="begin"/>
                    </w:r>
                    <w:r>
                      <w:rPr>
                        <w:rStyle w:val="20"/>
                        <w:rFonts w:ascii="宋体" w:hAnsi="宋体"/>
                        <w:sz w:val="21"/>
                        <w:szCs w:val="21"/>
                      </w:rPr>
                      <w:instrText xml:space="preserve"> PAGE </w:instrText>
                    </w:r>
                    <w:r>
                      <w:rPr>
                        <w:rFonts w:ascii="宋体" w:hAnsi="宋体"/>
                        <w:sz w:val="21"/>
                        <w:szCs w:val="21"/>
                      </w:rPr>
                      <w:fldChar w:fldCharType="separate"/>
                    </w:r>
                    <w:r>
                      <w:rPr>
                        <w:rStyle w:val="20"/>
                        <w:rFonts w:ascii="宋体" w:hAnsi="宋体"/>
                        <w:sz w:val="21"/>
                        <w:szCs w:val="21"/>
                      </w:rPr>
                      <w:t>- 50 -</w:t>
                    </w:r>
                    <w:r>
                      <w:rPr>
                        <w:rFonts w:ascii="宋体" w:hAnsi="宋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2365E">
    <w:pPr>
      <w:pStyle w:val="13"/>
      <w:framePr w:wrap="around" w:vAnchor="text" w:hAnchor="margin" w:xAlign="right" w:y="1"/>
      <w:rPr>
        <w:rStyle w:val="20"/>
      </w:rPr>
    </w:pPr>
    <w:r>
      <w:fldChar w:fldCharType="begin"/>
    </w:r>
    <w:r>
      <w:rPr>
        <w:rStyle w:val="20"/>
      </w:rPr>
      <w:instrText xml:space="preserve">PAGE  </w:instrText>
    </w:r>
    <w:r>
      <w:fldChar w:fldCharType="end"/>
    </w:r>
  </w:p>
  <w:p w14:paraId="096C532E">
    <w:pPr>
      <w:pStyle w:val="1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2B337"/>
    <w:multiLevelType w:val="singleLevel"/>
    <w:tmpl w:val="9502B337"/>
    <w:lvl w:ilvl="0" w:tentative="0">
      <w:start w:val="2"/>
      <w:numFmt w:val="chineseCounting"/>
      <w:suff w:val="nothing"/>
      <w:lvlText w:val="%1、"/>
      <w:lvlJc w:val="left"/>
      <w:pPr>
        <w:ind w:left="191"/>
      </w:pPr>
      <w:rPr>
        <w:rFonts w:hint="eastAsia"/>
      </w:rPr>
    </w:lvl>
  </w:abstractNum>
  <w:abstractNum w:abstractNumId="1">
    <w:nsid w:val="9DDF550F"/>
    <w:multiLevelType w:val="singleLevel"/>
    <w:tmpl w:val="9DDF550F"/>
    <w:lvl w:ilvl="0" w:tentative="0">
      <w:start w:val="1"/>
      <w:numFmt w:val="decimal"/>
      <w:suff w:val="nothing"/>
      <w:lvlText w:val="（%1）"/>
      <w:lvlJc w:val="left"/>
    </w:lvl>
  </w:abstractNum>
  <w:abstractNum w:abstractNumId="2">
    <w:nsid w:val="B0B5AB52"/>
    <w:multiLevelType w:val="singleLevel"/>
    <w:tmpl w:val="B0B5AB52"/>
    <w:lvl w:ilvl="0" w:tentative="0">
      <w:start w:val="1"/>
      <w:numFmt w:val="chineseCounting"/>
      <w:suff w:val="nothing"/>
      <w:lvlText w:val="（%1）"/>
      <w:lvlJc w:val="left"/>
      <w:pPr>
        <w:ind w:left="421" w:leftChars="0" w:firstLine="0" w:firstLineChars="0"/>
      </w:pPr>
      <w:rPr>
        <w:rFonts w:hint="eastAsia"/>
      </w:rPr>
    </w:lvl>
  </w:abstractNum>
  <w:abstractNum w:abstractNumId="3">
    <w:nsid w:val="E586597D"/>
    <w:multiLevelType w:val="singleLevel"/>
    <w:tmpl w:val="E586597D"/>
    <w:lvl w:ilvl="0" w:tentative="0">
      <w:start w:val="1"/>
      <w:numFmt w:val="chineseCounting"/>
      <w:suff w:val="nothing"/>
      <w:lvlText w:val="%1、"/>
      <w:lvlJc w:val="left"/>
      <w:rPr>
        <w:rFonts w:hint="eastAsia"/>
      </w:rPr>
    </w:lvl>
  </w:abstractNum>
  <w:abstractNum w:abstractNumId="4">
    <w:nsid w:val="EAC332BD"/>
    <w:multiLevelType w:val="singleLevel"/>
    <w:tmpl w:val="EAC332BD"/>
    <w:lvl w:ilvl="0" w:tentative="0">
      <w:start w:val="4"/>
      <w:numFmt w:val="chineseCounting"/>
      <w:suff w:val="nothing"/>
      <w:lvlText w:val="（%1）"/>
      <w:lvlJc w:val="left"/>
      <w:rPr>
        <w:rFonts w:hint="eastAsia"/>
      </w:rPr>
    </w:lvl>
  </w:abstractNum>
  <w:abstractNum w:abstractNumId="5">
    <w:nsid w:val="02CA8B9A"/>
    <w:multiLevelType w:val="singleLevel"/>
    <w:tmpl w:val="02CA8B9A"/>
    <w:lvl w:ilvl="0" w:tentative="0">
      <w:start w:val="1"/>
      <w:numFmt w:val="decimal"/>
      <w:lvlText w:val="%1."/>
      <w:lvlJc w:val="left"/>
      <w:pPr>
        <w:tabs>
          <w:tab w:val="left" w:pos="312"/>
        </w:tabs>
      </w:pPr>
    </w:lvl>
  </w:abstractNum>
  <w:abstractNum w:abstractNumId="6">
    <w:nsid w:val="34CBB025"/>
    <w:multiLevelType w:val="singleLevel"/>
    <w:tmpl w:val="34CBB025"/>
    <w:lvl w:ilvl="0" w:tentative="0">
      <w:start w:val="1"/>
      <w:numFmt w:val="decimal"/>
      <w:lvlText w:val="%1."/>
      <w:lvlJc w:val="left"/>
      <w:pPr>
        <w:tabs>
          <w:tab w:val="left" w:pos="312"/>
        </w:tabs>
      </w:pPr>
    </w:lvl>
  </w:abstractNum>
  <w:abstractNum w:abstractNumId="7">
    <w:nsid w:val="4465215C"/>
    <w:multiLevelType w:val="multilevel"/>
    <w:tmpl w:val="4465215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
    <w:nsid w:val="57D70DF6"/>
    <w:multiLevelType w:val="multilevel"/>
    <w:tmpl w:val="57D70DF6"/>
    <w:lvl w:ilvl="0" w:tentative="0">
      <w:start w:val="5"/>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62094328"/>
    <w:multiLevelType w:val="multilevel"/>
    <w:tmpl w:val="62094328"/>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num>
  <w:num w:numId="3">
    <w:abstractNumId w:val="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lNDdhNTYwMTVlYjI3NjY1ZGY2MGVlYzkzYzFmYmEifQ=="/>
  </w:docVars>
  <w:rsids>
    <w:rsidRoot w:val="00FD651A"/>
    <w:rsid w:val="000069E2"/>
    <w:rsid w:val="00007C13"/>
    <w:rsid w:val="00007EC1"/>
    <w:rsid w:val="00017371"/>
    <w:rsid w:val="00017619"/>
    <w:rsid w:val="00017FA2"/>
    <w:rsid w:val="00022B02"/>
    <w:rsid w:val="000237E6"/>
    <w:rsid w:val="00027137"/>
    <w:rsid w:val="000419F8"/>
    <w:rsid w:val="00066FFE"/>
    <w:rsid w:val="00067506"/>
    <w:rsid w:val="00072234"/>
    <w:rsid w:val="00075643"/>
    <w:rsid w:val="000848A0"/>
    <w:rsid w:val="0008680F"/>
    <w:rsid w:val="00093208"/>
    <w:rsid w:val="00096D91"/>
    <w:rsid w:val="00096F4B"/>
    <w:rsid w:val="000A06B6"/>
    <w:rsid w:val="000A6268"/>
    <w:rsid w:val="000D5F8C"/>
    <w:rsid w:val="000E15D8"/>
    <w:rsid w:val="000E2A00"/>
    <w:rsid w:val="000E5413"/>
    <w:rsid w:val="000F5952"/>
    <w:rsid w:val="001005CC"/>
    <w:rsid w:val="0011322D"/>
    <w:rsid w:val="00121D52"/>
    <w:rsid w:val="00123D5C"/>
    <w:rsid w:val="00127818"/>
    <w:rsid w:val="00130793"/>
    <w:rsid w:val="00142253"/>
    <w:rsid w:val="00142C08"/>
    <w:rsid w:val="001467FD"/>
    <w:rsid w:val="0015321C"/>
    <w:rsid w:val="00163235"/>
    <w:rsid w:val="001932A7"/>
    <w:rsid w:val="00195FA0"/>
    <w:rsid w:val="00197B8E"/>
    <w:rsid w:val="001A0EC5"/>
    <w:rsid w:val="001A4D61"/>
    <w:rsid w:val="001B2BA0"/>
    <w:rsid w:val="001B2F5A"/>
    <w:rsid w:val="001B5559"/>
    <w:rsid w:val="001C29B7"/>
    <w:rsid w:val="001C6A87"/>
    <w:rsid w:val="001D593D"/>
    <w:rsid w:val="001D6EED"/>
    <w:rsid w:val="001E2084"/>
    <w:rsid w:val="001E5D5A"/>
    <w:rsid w:val="001F3A76"/>
    <w:rsid w:val="00220ADA"/>
    <w:rsid w:val="0022259A"/>
    <w:rsid w:val="0023513C"/>
    <w:rsid w:val="00236EDA"/>
    <w:rsid w:val="00241F36"/>
    <w:rsid w:val="002503C8"/>
    <w:rsid w:val="00252A55"/>
    <w:rsid w:val="002532EF"/>
    <w:rsid w:val="00261CF2"/>
    <w:rsid w:val="00264CF1"/>
    <w:rsid w:val="0026540A"/>
    <w:rsid w:val="00266E52"/>
    <w:rsid w:val="00267DAC"/>
    <w:rsid w:val="00271548"/>
    <w:rsid w:val="0027243D"/>
    <w:rsid w:val="002831BD"/>
    <w:rsid w:val="00284FBE"/>
    <w:rsid w:val="00292A85"/>
    <w:rsid w:val="002953BC"/>
    <w:rsid w:val="00295D70"/>
    <w:rsid w:val="002D0684"/>
    <w:rsid w:val="002D424B"/>
    <w:rsid w:val="002D753A"/>
    <w:rsid w:val="002F1B7E"/>
    <w:rsid w:val="002F7B84"/>
    <w:rsid w:val="003125AC"/>
    <w:rsid w:val="00314037"/>
    <w:rsid w:val="00325C59"/>
    <w:rsid w:val="00340A11"/>
    <w:rsid w:val="003606D4"/>
    <w:rsid w:val="00365AAC"/>
    <w:rsid w:val="0036769C"/>
    <w:rsid w:val="00373B96"/>
    <w:rsid w:val="003744E1"/>
    <w:rsid w:val="00374FA1"/>
    <w:rsid w:val="00380DEC"/>
    <w:rsid w:val="00382A6F"/>
    <w:rsid w:val="003A49DA"/>
    <w:rsid w:val="003A69EF"/>
    <w:rsid w:val="003C2245"/>
    <w:rsid w:val="003D30AB"/>
    <w:rsid w:val="003D36EE"/>
    <w:rsid w:val="003D469E"/>
    <w:rsid w:val="003E1754"/>
    <w:rsid w:val="004032F2"/>
    <w:rsid w:val="0041113C"/>
    <w:rsid w:val="00415012"/>
    <w:rsid w:val="00415B60"/>
    <w:rsid w:val="00417FD8"/>
    <w:rsid w:val="00424F9E"/>
    <w:rsid w:val="00425873"/>
    <w:rsid w:val="004349ED"/>
    <w:rsid w:val="00435077"/>
    <w:rsid w:val="00436C77"/>
    <w:rsid w:val="00441C52"/>
    <w:rsid w:val="004437E3"/>
    <w:rsid w:val="0044475B"/>
    <w:rsid w:val="00446A70"/>
    <w:rsid w:val="004474DD"/>
    <w:rsid w:val="004618B2"/>
    <w:rsid w:val="0046749C"/>
    <w:rsid w:val="00487A44"/>
    <w:rsid w:val="004A74DF"/>
    <w:rsid w:val="004B0EE0"/>
    <w:rsid w:val="004C435D"/>
    <w:rsid w:val="004D36A0"/>
    <w:rsid w:val="004E1975"/>
    <w:rsid w:val="004E2C5A"/>
    <w:rsid w:val="004E3C9D"/>
    <w:rsid w:val="004E5156"/>
    <w:rsid w:val="004E5DCC"/>
    <w:rsid w:val="004E6AF4"/>
    <w:rsid w:val="004F1CF4"/>
    <w:rsid w:val="00507608"/>
    <w:rsid w:val="005076B1"/>
    <w:rsid w:val="00512E7E"/>
    <w:rsid w:val="00524818"/>
    <w:rsid w:val="005265D5"/>
    <w:rsid w:val="00533FFC"/>
    <w:rsid w:val="00540E3D"/>
    <w:rsid w:val="005560BA"/>
    <w:rsid w:val="00580965"/>
    <w:rsid w:val="005833B9"/>
    <w:rsid w:val="00597AF7"/>
    <w:rsid w:val="005B20A0"/>
    <w:rsid w:val="005C5E57"/>
    <w:rsid w:val="005D2C24"/>
    <w:rsid w:val="00601A33"/>
    <w:rsid w:val="00606DE1"/>
    <w:rsid w:val="0061450F"/>
    <w:rsid w:val="006172D9"/>
    <w:rsid w:val="0062260C"/>
    <w:rsid w:val="00623E38"/>
    <w:rsid w:val="00624B3A"/>
    <w:rsid w:val="00641982"/>
    <w:rsid w:val="0064567C"/>
    <w:rsid w:val="00654910"/>
    <w:rsid w:val="00655574"/>
    <w:rsid w:val="006845A7"/>
    <w:rsid w:val="006A250B"/>
    <w:rsid w:val="006B0527"/>
    <w:rsid w:val="006C11FA"/>
    <w:rsid w:val="006C5349"/>
    <w:rsid w:val="006D1EEC"/>
    <w:rsid w:val="006E70F1"/>
    <w:rsid w:val="006F145E"/>
    <w:rsid w:val="006F4AC4"/>
    <w:rsid w:val="006F7F66"/>
    <w:rsid w:val="0072024E"/>
    <w:rsid w:val="00731E85"/>
    <w:rsid w:val="007325E1"/>
    <w:rsid w:val="00732CF5"/>
    <w:rsid w:val="00735113"/>
    <w:rsid w:val="00745C1A"/>
    <w:rsid w:val="007472B3"/>
    <w:rsid w:val="0076095C"/>
    <w:rsid w:val="00766D67"/>
    <w:rsid w:val="00771688"/>
    <w:rsid w:val="00776BCF"/>
    <w:rsid w:val="00782AA9"/>
    <w:rsid w:val="00793FCF"/>
    <w:rsid w:val="00794A28"/>
    <w:rsid w:val="007957B5"/>
    <w:rsid w:val="00797664"/>
    <w:rsid w:val="007A2726"/>
    <w:rsid w:val="007A5126"/>
    <w:rsid w:val="007B5AE5"/>
    <w:rsid w:val="007C7E5A"/>
    <w:rsid w:val="007D4476"/>
    <w:rsid w:val="007D69D4"/>
    <w:rsid w:val="007D6A1C"/>
    <w:rsid w:val="007E72D6"/>
    <w:rsid w:val="007F27B1"/>
    <w:rsid w:val="00801B6A"/>
    <w:rsid w:val="00813084"/>
    <w:rsid w:val="0081669E"/>
    <w:rsid w:val="0082378C"/>
    <w:rsid w:val="008277AD"/>
    <w:rsid w:val="008313A0"/>
    <w:rsid w:val="00834727"/>
    <w:rsid w:val="00834BFB"/>
    <w:rsid w:val="00834D47"/>
    <w:rsid w:val="00890175"/>
    <w:rsid w:val="008A1097"/>
    <w:rsid w:val="008A3E72"/>
    <w:rsid w:val="008A470E"/>
    <w:rsid w:val="008B43C7"/>
    <w:rsid w:val="008C6F7D"/>
    <w:rsid w:val="008E1BC9"/>
    <w:rsid w:val="008E28E2"/>
    <w:rsid w:val="008F1437"/>
    <w:rsid w:val="008F4056"/>
    <w:rsid w:val="0090392F"/>
    <w:rsid w:val="009118BB"/>
    <w:rsid w:val="00911C84"/>
    <w:rsid w:val="00923B4F"/>
    <w:rsid w:val="00924D78"/>
    <w:rsid w:val="00935DFF"/>
    <w:rsid w:val="0095210E"/>
    <w:rsid w:val="0098091D"/>
    <w:rsid w:val="009818BA"/>
    <w:rsid w:val="00983D55"/>
    <w:rsid w:val="00987611"/>
    <w:rsid w:val="0099247D"/>
    <w:rsid w:val="00994D94"/>
    <w:rsid w:val="009A1674"/>
    <w:rsid w:val="009A540A"/>
    <w:rsid w:val="009B715A"/>
    <w:rsid w:val="009B71B3"/>
    <w:rsid w:val="009C1B0C"/>
    <w:rsid w:val="009C1EA4"/>
    <w:rsid w:val="009C7487"/>
    <w:rsid w:val="009D0122"/>
    <w:rsid w:val="009D3CB1"/>
    <w:rsid w:val="009E36D5"/>
    <w:rsid w:val="009E5014"/>
    <w:rsid w:val="009E751B"/>
    <w:rsid w:val="00A024B8"/>
    <w:rsid w:val="00A05DE3"/>
    <w:rsid w:val="00A15859"/>
    <w:rsid w:val="00A17B1E"/>
    <w:rsid w:val="00A212CC"/>
    <w:rsid w:val="00A25566"/>
    <w:rsid w:val="00A32CD2"/>
    <w:rsid w:val="00A42088"/>
    <w:rsid w:val="00A56C2F"/>
    <w:rsid w:val="00A63D72"/>
    <w:rsid w:val="00A86928"/>
    <w:rsid w:val="00A91D73"/>
    <w:rsid w:val="00A9275D"/>
    <w:rsid w:val="00AA0134"/>
    <w:rsid w:val="00AA64AE"/>
    <w:rsid w:val="00AB0DCF"/>
    <w:rsid w:val="00AB5341"/>
    <w:rsid w:val="00AC4913"/>
    <w:rsid w:val="00AD3C5E"/>
    <w:rsid w:val="00AD6591"/>
    <w:rsid w:val="00AE31C8"/>
    <w:rsid w:val="00AE5B8A"/>
    <w:rsid w:val="00AE680C"/>
    <w:rsid w:val="00B02885"/>
    <w:rsid w:val="00B02D2E"/>
    <w:rsid w:val="00B101DF"/>
    <w:rsid w:val="00B1225C"/>
    <w:rsid w:val="00B16159"/>
    <w:rsid w:val="00B16A29"/>
    <w:rsid w:val="00B2211C"/>
    <w:rsid w:val="00B41478"/>
    <w:rsid w:val="00B42120"/>
    <w:rsid w:val="00B448CD"/>
    <w:rsid w:val="00B47789"/>
    <w:rsid w:val="00B538B3"/>
    <w:rsid w:val="00B56C77"/>
    <w:rsid w:val="00B602EC"/>
    <w:rsid w:val="00B6538F"/>
    <w:rsid w:val="00B66D99"/>
    <w:rsid w:val="00B73AD0"/>
    <w:rsid w:val="00B92707"/>
    <w:rsid w:val="00B94102"/>
    <w:rsid w:val="00BD385C"/>
    <w:rsid w:val="00BD3973"/>
    <w:rsid w:val="00C13CE0"/>
    <w:rsid w:val="00C250BE"/>
    <w:rsid w:val="00C25138"/>
    <w:rsid w:val="00C35960"/>
    <w:rsid w:val="00C45E72"/>
    <w:rsid w:val="00C75833"/>
    <w:rsid w:val="00C82FFC"/>
    <w:rsid w:val="00C861CA"/>
    <w:rsid w:val="00C87C65"/>
    <w:rsid w:val="00C9715A"/>
    <w:rsid w:val="00CA1044"/>
    <w:rsid w:val="00CB3734"/>
    <w:rsid w:val="00CB5B83"/>
    <w:rsid w:val="00CB6C00"/>
    <w:rsid w:val="00CC0C87"/>
    <w:rsid w:val="00CC5F34"/>
    <w:rsid w:val="00CD7FE8"/>
    <w:rsid w:val="00CE2972"/>
    <w:rsid w:val="00D01030"/>
    <w:rsid w:val="00D0327F"/>
    <w:rsid w:val="00D104ED"/>
    <w:rsid w:val="00D13F8A"/>
    <w:rsid w:val="00D143AC"/>
    <w:rsid w:val="00D167BD"/>
    <w:rsid w:val="00D20189"/>
    <w:rsid w:val="00D2697B"/>
    <w:rsid w:val="00D276F1"/>
    <w:rsid w:val="00D30752"/>
    <w:rsid w:val="00D31755"/>
    <w:rsid w:val="00D35D1D"/>
    <w:rsid w:val="00D5244B"/>
    <w:rsid w:val="00D6024B"/>
    <w:rsid w:val="00D75C2D"/>
    <w:rsid w:val="00D768AE"/>
    <w:rsid w:val="00D9676D"/>
    <w:rsid w:val="00DC4693"/>
    <w:rsid w:val="00DD7B11"/>
    <w:rsid w:val="00DE1D94"/>
    <w:rsid w:val="00DE4887"/>
    <w:rsid w:val="00DE4C10"/>
    <w:rsid w:val="00E13510"/>
    <w:rsid w:val="00E157BD"/>
    <w:rsid w:val="00E209EA"/>
    <w:rsid w:val="00E321BE"/>
    <w:rsid w:val="00E35A34"/>
    <w:rsid w:val="00E60D2C"/>
    <w:rsid w:val="00E815EC"/>
    <w:rsid w:val="00E87B68"/>
    <w:rsid w:val="00EA0502"/>
    <w:rsid w:val="00EA7AC4"/>
    <w:rsid w:val="00EB37E1"/>
    <w:rsid w:val="00EC7221"/>
    <w:rsid w:val="00EC78CD"/>
    <w:rsid w:val="00EE261F"/>
    <w:rsid w:val="00EE4180"/>
    <w:rsid w:val="00EF30C8"/>
    <w:rsid w:val="00F04F13"/>
    <w:rsid w:val="00F05347"/>
    <w:rsid w:val="00F05469"/>
    <w:rsid w:val="00F10E00"/>
    <w:rsid w:val="00F20C58"/>
    <w:rsid w:val="00F30A8F"/>
    <w:rsid w:val="00F4027F"/>
    <w:rsid w:val="00F53D3B"/>
    <w:rsid w:val="00F674C4"/>
    <w:rsid w:val="00F84195"/>
    <w:rsid w:val="00FA4245"/>
    <w:rsid w:val="00FB051A"/>
    <w:rsid w:val="00FB3F57"/>
    <w:rsid w:val="00FD651A"/>
    <w:rsid w:val="00FE1FC1"/>
    <w:rsid w:val="013D2B70"/>
    <w:rsid w:val="016A39A8"/>
    <w:rsid w:val="01E87AB2"/>
    <w:rsid w:val="02BD183E"/>
    <w:rsid w:val="05A94C4C"/>
    <w:rsid w:val="05B66939"/>
    <w:rsid w:val="05DA2F9A"/>
    <w:rsid w:val="05E47F1E"/>
    <w:rsid w:val="067C4614"/>
    <w:rsid w:val="07F37A05"/>
    <w:rsid w:val="08ED37F1"/>
    <w:rsid w:val="099C2417"/>
    <w:rsid w:val="0A9B63EE"/>
    <w:rsid w:val="0AEE0402"/>
    <w:rsid w:val="0B7B260B"/>
    <w:rsid w:val="0BEF6F31"/>
    <w:rsid w:val="0C2030B4"/>
    <w:rsid w:val="0C8A5B50"/>
    <w:rsid w:val="0D42622D"/>
    <w:rsid w:val="0D762AC3"/>
    <w:rsid w:val="0EFD2C22"/>
    <w:rsid w:val="0FFB52BD"/>
    <w:rsid w:val="120F79CD"/>
    <w:rsid w:val="12BA5FDA"/>
    <w:rsid w:val="13412C30"/>
    <w:rsid w:val="14683122"/>
    <w:rsid w:val="14BE0166"/>
    <w:rsid w:val="15527BC8"/>
    <w:rsid w:val="162F634E"/>
    <w:rsid w:val="170E074B"/>
    <w:rsid w:val="17CC2370"/>
    <w:rsid w:val="18795716"/>
    <w:rsid w:val="189B2C73"/>
    <w:rsid w:val="192A37C4"/>
    <w:rsid w:val="19EC6401"/>
    <w:rsid w:val="19F07F15"/>
    <w:rsid w:val="1A152509"/>
    <w:rsid w:val="1A165D80"/>
    <w:rsid w:val="1A4906BD"/>
    <w:rsid w:val="1B4C68DD"/>
    <w:rsid w:val="1CE332FA"/>
    <w:rsid w:val="1CEE2905"/>
    <w:rsid w:val="1EEA5051"/>
    <w:rsid w:val="1EEE1347"/>
    <w:rsid w:val="1F097CC7"/>
    <w:rsid w:val="1F902F56"/>
    <w:rsid w:val="217F4844"/>
    <w:rsid w:val="228B65E1"/>
    <w:rsid w:val="23277BC3"/>
    <w:rsid w:val="23762869"/>
    <w:rsid w:val="247B1F0C"/>
    <w:rsid w:val="25323514"/>
    <w:rsid w:val="27C35385"/>
    <w:rsid w:val="287A63F6"/>
    <w:rsid w:val="29015BC3"/>
    <w:rsid w:val="29096E5C"/>
    <w:rsid w:val="295A5D35"/>
    <w:rsid w:val="2B0A2BB7"/>
    <w:rsid w:val="2BFE65E7"/>
    <w:rsid w:val="2CF160A0"/>
    <w:rsid w:val="2D3D02FC"/>
    <w:rsid w:val="2D614E83"/>
    <w:rsid w:val="2F355E09"/>
    <w:rsid w:val="2F542244"/>
    <w:rsid w:val="30712820"/>
    <w:rsid w:val="307D2EFB"/>
    <w:rsid w:val="3080762A"/>
    <w:rsid w:val="31C900A8"/>
    <w:rsid w:val="338A0C71"/>
    <w:rsid w:val="33BE052E"/>
    <w:rsid w:val="34025B93"/>
    <w:rsid w:val="34AD7EA2"/>
    <w:rsid w:val="373D641A"/>
    <w:rsid w:val="388075BE"/>
    <w:rsid w:val="38C904AC"/>
    <w:rsid w:val="3A205A77"/>
    <w:rsid w:val="3B093DAE"/>
    <w:rsid w:val="3B2F65C0"/>
    <w:rsid w:val="3BA87168"/>
    <w:rsid w:val="3BDB00D3"/>
    <w:rsid w:val="3C2B480E"/>
    <w:rsid w:val="3E717E28"/>
    <w:rsid w:val="3F474FAC"/>
    <w:rsid w:val="3FE34F9A"/>
    <w:rsid w:val="42397657"/>
    <w:rsid w:val="42B95547"/>
    <w:rsid w:val="43590106"/>
    <w:rsid w:val="440C49ED"/>
    <w:rsid w:val="4428221C"/>
    <w:rsid w:val="44853090"/>
    <w:rsid w:val="44903F7B"/>
    <w:rsid w:val="45EB767B"/>
    <w:rsid w:val="46695A1E"/>
    <w:rsid w:val="470D12CF"/>
    <w:rsid w:val="475D44C1"/>
    <w:rsid w:val="477276E1"/>
    <w:rsid w:val="47E96F16"/>
    <w:rsid w:val="485D18DA"/>
    <w:rsid w:val="489C26F2"/>
    <w:rsid w:val="49802948"/>
    <w:rsid w:val="4A595660"/>
    <w:rsid w:val="4A8F1ECD"/>
    <w:rsid w:val="4AA30F88"/>
    <w:rsid w:val="4AE72A13"/>
    <w:rsid w:val="4B5F0424"/>
    <w:rsid w:val="4C5E767C"/>
    <w:rsid w:val="4D376B5D"/>
    <w:rsid w:val="4D81379B"/>
    <w:rsid w:val="4D863560"/>
    <w:rsid w:val="4EE2390A"/>
    <w:rsid w:val="503D2758"/>
    <w:rsid w:val="50DD04E1"/>
    <w:rsid w:val="51B76861"/>
    <w:rsid w:val="524826D7"/>
    <w:rsid w:val="52A77B62"/>
    <w:rsid w:val="535934E3"/>
    <w:rsid w:val="564F3623"/>
    <w:rsid w:val="56852D8E"/>
    <w:rsid w:val="571B10B2"/>
    <w:rsid w:val="571F6B1E"/>
    <w:rsid w:val="58541988"/>
    <w:rsid w:val="585E3D51"/>
    <w:rsid w:val="58A551AF"/>
    <w:rsid w:val="590539BB"/>
    <w:rsid w:val="591C731D"/>
    <w:rsid w:val="59704774"/>
    <w:rsid w:val="59C211B7"/>
    <w:rsid w:val="5B0E56C8"/>
    <w:rsid w:val="5B715D19"/>
    <w:rsid w:val="5BDE5701"/>
    <w:rsid w:val="5D552D03"/>
    <w:rsid w:val="5E0F5BCE"/>
    <w:rsid w:val="5E1C74BD"/>
    <w:rsid w:val="5EB85739"/>
    <w:rsid w:val="604C2CCB"/>
    <w:rsid w:val="6451137A"/>
    <w:rsid w:val="64DF03E0"/>
    <w:rsid w:val="658B51F2"/>
    <w:rsid w:val="663A22F7"/>
    <w:rsid w:val="66693AD5"/>
    <w:rsid w:val="67F202C5"/>
    <w:rsid w:val="683E6C2D"/>
    <w:rsid w:val="69414181"/>
    <w:rsid w:val="696920DC"/>
    <w:rsid w:val="6C740366"/>
    <w:rsid w:val="6D782CCD"/>
    <w:rsid w:val="6E4B0CCC"/>
    <w:rsid w:val="6FA66AC6"/>
    <w:rsid w:val="70A367DC"/>
    <w:rsid w:val="7112326A"/>
    <w:rsid w:val="723E657D"/>
    <w:rsid w:val="73D84F4E"/>
    <w:rsid w:val="744064BD"/>
    <w:rsid w:val="75357D54"/>
    <w:rsid w:val="75F56491"/>
    <w:rsid w:val="763C0462"/>
    <w:rsid w:val="765B35EC"/>
    <w:rsid w:val="78527801"/>
    <w:rsid w:val="78B04187"/>
    <w:rsid w:val="79D40F68"/>
    <w:rsid w:val="7A3E2457"/>
    <w:rsid w:val="7AD11AD6"/>
    <w:rsid w:val="7B461212"/>
    <w:rsid w:val="7C6A0BEF"/>
    <w:rsid w:val="7CD54C77"/>
    <w:rsid w:val="7DBE2ECB"/>
    <w:rsid w:val="7E8164D1"/>
    <w:rsid w:val="7F3A5D75"/>
    <w:rsid w:val="7F660B7F"/>
    <w:rsid w:val="7F72738C"/>
    <w:rsid w:val="7FE81DFF"/>
    <w:rsid w:val="7FF81F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link w:val="34"/>
    <w:qFormat/>
    <w:uiPriority w:val="0"/>
    <w:pPr>
      <w:keepNext/>
      <w:tabs>
        <w:tab w:val="left" w:pos="3360"/>
      </w:tabs>
      <w:snapToGrid w:val="0"/>
      <w:spacing w:beforeLines="100" w:afterLines="50" w:line="800" w:lineRule="atLeast"/>
      <w:jc w:val="center"/>
      <w:outlineLvl w:val="0"/>
    </w:pPr>
    <w:rPr>
      <w:rFonts w:eastAsia="黑体"/>
      <w:sz w:val="44"/>
    </w:rPr>
  </w:style>
  <w:style w:type="paragraph" w:styleId="4">
    <w:name w:val="heading 2"/>
    <w:basedOn w:val="1"/>
    <w:next w:val="1"/>
    <w:link w:val="22"/>
    <w:qFormat/>
    <w:uiPriority w:val="0"/>
    <w:pPr>
      <w:keepNext/>
      <w:keepLines/>
      <w:adjustRightInd w:val="0"/>
      <w:snapToGrid w:val="0"/>
      <w:spacing w:line="360" w:lineRule="auto"/>
      <w:outlineLvl w:val="1"/>
    </w:pPr>
    <w:rPr>
      <w:rFonts w:ascii="宋体" w:hAnsi="宋体"/>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cs="Calibri"/>
      <w:kern w:val="2"/>
      <w:sz w:val="21"/>
      <w:szCs w:val="22"/>
    </w:rPr>
    <w:tblPr>
      <w:tblCellMar>
        <w:top w:w="0" w:type="dxa"/>
        <w:left w:w="108" w:type="dxa"/>
        <w:bottom w:w="0" w:type="dxa"/>
        <w:right w:w="108" w:type="dxa"/>
      </w:tblCellMar>
    </w:tblPr>
  </w:style>
  <w:style w:type="paragraph" w:styleId="5">
    <w:name w:val="Normal Indent"/>
    <w:basedOn w:val="1"/>
    <w:qFormat/>
    <w:uiPriority w:val="0"/>
    <w:pPr>
      <w:adjustRightInd w:val="0"/>
      <w:snapToGrid w:val="0"/>
      <w:spacing w:line="360" w:lineRule="auto"/>
      <w:ind w:firstLine="420"/>
    </w:pPr>
    <w:rPr>
      <w:sz w:val="24"/>
    </w:rPr>
  </w:style>
  <w:style w:type="paragraph" w:styleId="6">
    <w:name w:val="annotation text"/>
    <w:basedOn w:val="1"/>
    <w:qFormat/>
    <w:uiPriority w:val="0"/>
    <w:pPr>
      <w:jc w:val="left"/>
    </w:pPr>
  </w:style>
  <w:style w:type="paragraph" w:styleId="7">
    <w:name w:val="Body Text"/>
    <w:basedOn w:val="1"/>
    <w:next w:val="1"/>
    <w:qFormat/>
    <w:uiPriority w:val="0"/>
    <w:rPr>
      <w:rFonts w:ascii="仿宋_GB2312" w:eastAsia="仿宋_GB2312"/>
      <w:sz w:val="32"/>
    </w:rPr>
  </w:style>
  <w:style w:type="paragraph" w:styleId="8">
    <w:name w:val="Body Text Indent"/>
    <w:basedOn w:val="1"/>
    <w:qFormat/>
    <w:uiPriority w:val="0"/>
    <w:pPr>
      <w:spacing w:line="700" w:lineRule="exact"/>
      <w:ind w:left="960"/>
    </w:pPr>
    <w:rPr>
      <w:sz w:val="44"/>
    </w:rPr>
  </w:style>
  <w:style w:type="paragraph" w:styleId="9">
    <w:name w:val="toc 3"/>
    <w:basedOn w:val="1"/>
    <w:next w:val="1"/>
    <w:qFormat/>
    <w:uiPriority w:val="39"/>
    <w:pPr>
      <w:ind w:left="840" w:leftChars="400"/>
    </w:pPr>
  </w:style>
  <w:style w:type="paragraph" w:styleId="10">
    <w:name w:val="Date"/>
    <w:basedOn w:val="1"/>
    <w:next w:val="1"/>
    <w:link w:val="23"/>
    <w:qFormat/>
    <w:uiPriority w:val="0"/>
  </w:style>
  <w:style w:type="paragraph" w:styleId="11">
    <w:name w:val="Body Text Indent 2"/>
    <w:basedOn w:val="1"/>
    <w:link w:val="24"/>
    <w:qFormat/>
    <w:uiPriority w:val="0"/>
    <w:pPr>
      <w:spacing w:after="120" w:line="480" w:lineRule="auto"/>
      <w:ind w:left="420" w:leftChars="200"/>
    </w:pPr>
  </w:style>
  <w:style w:type="paragraph" w:styleId="12">
    <w:name w:val="Balloon Text"/>
    <w:basedOn w:val="1"/>
    <w:link w:val="25"/>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20">
    <w:name w:val="page number"/>
    <w:basedOn w:val="19"/>
    <w:qFormat/>
    <w:uiPriority w:val="0"/>
  </w:style>
  <w:style w:type="character" w:styleId="21">
    <w:name w:val="Hyperlink"/>
    <w:qFormat/>
    <w:uiPriority w:val="99"/>
    <w:rPr>
      <w:color w:val="0000FF"/>
      <w:u w:val="single"/>
    </w:rPr>
  </w:style>
  <w:style w:type="character" w:customStyle="1" w:styleId="22">
    <w:name w:val="标题 2 Char"/>
    <w:link w:val="4"/>
    <w:qFormat/>
    <w:uiPriority w:val="0"/>
    <w:rPr>
      <w:rFonts w:ascii="宋体" w:hAnsi="宋体" w:eastAsia="宋体"/>
      <w:kern w:val="2"/>
      <w:sz w:val="28"/>
      <w:lang w:bidi="ar-SA"/>
    </w:rPr>
  </w:style>
  <w:style w:type="character" w:customStyle="1" w:styleId="23">
    <w:name w:val="日期 Char1"/>
    <w:link w:val="10"/>
    <w:qFormat/>
    <w:uiPriority w:val="0"/>
    <w:rPr>
      <w:rFonts w:eastAsia="宋体"/>
      <w:kern w:val="2"/>
      <w:sz w:val="28"/>
      <w:lang w:bidi="ar-SA"/>
    </w:rPr>
  </w:style>
  <w:style w:type="character" w:customStyle="1" w:styleId="24">
    <w:name w:val="正文文本缩进 2 Char"/>
    <w:link w:val="11"/>
    <w:qFormat/>
    <w:uiPriority w:val="0"/>
    <w:rPr>
      <w:kern w:val="2"/>
      <w:sz w:val="28"/>
    </w:rPr>
  </w:style>
  <w:style w:type="character" w:customStyle="1" w:styleId="25">
    <w:name w:val="批注框文本 Char"/>
    <w:link w:val="12"/>
    <w:qFormat/>
    <w:uiPriority w:val="0"/>
    <w:rPr>
      <w:kern w:val="2"/>
      <w:sz w:val="18"/>
      <w:szCs w:val="18"/>
    </w:rPr>
  </w:style>
  <w:style w:type="character" w:customStyle="1" w:styleId="26">
    <w:name w:val="页眉 Char"/>
    <w:link w:val="14"/>
    <w:qFormat/>
    <w:uiPriority w:val="0"/>
    <w:rPr>
      <w:kern w:val="2"/>
      <w:sz w:val="18"/>
      <w:szCs w:val="18"/>
    </w:rPr>
  </w:style>
  <w:style w:type="character" w:customStyle="1" w:styleId="27">
    <w:name w:val="日期 Char"/>
    <w:qFormat/>
    <w:uiPriority w:val="0"/>
    <w:rPr>
      <w:kern w:val="2"/>
      <w:sz w:val="28"/>
    </w:rPr>
  </w:style>
  <w:style w:type="character" w:customStyle="1" w:styleId="28">
    <w:name w:val="无"/>
    <w:qFormat/>
    <w:uiPriority w:val="0"/>
  </w:style>
  <w:style w:type="paragraph" w:styleId="29">
    <w:name w:val="List Paragraph"/>
    <w:basedOn w:val="1"/>
    <w:qFormat/>
    <w:uiPriority w:val="34"/>
    <w:pPr>
      <w:ind w:firstLine="420" w:firstLineChars="200"/>
    </w:pPr>
  </w:style>
  <w:style w:type="paragraph" w:customStyle="1" w:styleId="30">
    <w:name w:val="TOC 标题1"/>
    <w:basedOn w:val="3"/>
    <w:next w:val="1"/>
    <w:qFormat/>
    <w:uiPriority w:val="39"/>
    <w:pPr>
      <w:keepLines/>
      <w:widowControl/>
      <w:tabs>
        <w:tab w:val="clear" w:pos="3360"/>
      </w:tabs>
      <w:snapToGrid/>
      <w:spacing w:beforeLines="0" w:afterLines="0" w:line="276" w:lineRule="auto"/>
      <w:jc w:val="left"/>
      <w:outlineLvl w:val="9"/>
    </w:pPr>
    <w:rPr>
      <w:rFonts w:ascii="Cambria" w:hAnsi="Cambria" w:eastAsia="宋体"/>
      <w:b/>
      <w:bCs/>
      <w:color w:val="365F91"/>
      <w:kern w:val="0"/>
      <w:sz w:val="28"/>
      <w:szCs w:val="28"/>
    </w:rPr>
  </w:style>
  <w:style w:type="paragraph" w:customStyle="1" w:styleId="31">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2">
    <w:name w:val="图例"/>
    <w:basedOn w:val="1"/>
    <w:qFormat/>
    <w:uiPriority w:val="0"/>
    <w:pPr>
      <w:spacing w:before="120" w:after="120" w:line="360" w:lineRule="auto"/>
      <w:jc w:val="center"/>
    </w:pPr>
    <w:rPr>
      <w:rFonts w:eastAsia="仿宋_GB2312"/>
      <w:b/>
      <w:sz w:val="24"/>
    </w:rPr>
  </w:style>
  <w:style w:type="paragraph" w:customStyle="1" w:styleId="33">
    <w:name w:val="1"/>
    <w:basedOn w:val="1"/>
    <w:qFormat/>
    <w:uiPriority w:val="99"/>
    <w:rPr>
      <w:rFonts w:ascii="Tahoma" w:hAnsi="Tahoma"/>
      <w:sz w:val="24"/>
    </w:rPr>
  </w:style>
  <w:style w:type="character" w:customStyle="1" w:styleId="34">
    <w:name w:val="标题 1 Char"/>
    <w:link w:val="3"/>
    <w:qFormat/>
    <w:uiPriority w:val="0"/>
    <w:rPr>
      <w:rFonts w:eastAsia="黑体"/>
      <w:sz w:val="44"/>
    </w:rPr>
  </w:style>
  <w:style w:type="paragraph" w:customStyle="1" w:styleId="35">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64D217-8B90-4907-AB14-D4F832E59129}">
  <ds:schemaRefs/>
</ds:datastoreItem>
</file>

<file path=docProps/app.xml><?xml version="1.0" encoding="utf-8"?>
<Properties xmlns="http://schemas.openxmlformats.org/officeDocument/2006/extended-properties" xmlns:vt="http://schemas.openxmlformats.org/officeDocument/2006/docPropsVTypes">
  <Template>Normal</Template>
  <Company>Users</Company>
  <Pages>69</Pages>
  <Words>3198</Words>
  <Characters>3473</Characters>
  <Lines>245</Lines>
  <Paragraphs>69</Paragraphs>
  <TotalTime>42</TotalTime>
  <ScaleCrop>false</ScaleCrop>
  <LinksUpToDate>false</LinksUpToDate>
  <CharactersWithSpaces>3677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2022-07-12T09:00:00Z</dcterms:created>
  <dc:creator>微软用户</dc:creator>
  <cp:lastModifiedBy>J1an9X1n</cp:lastModifiedBy>
  <cp:lastPrinted>2025-06-17T08:48:00Z</cp:lastPrinted>
  <dcterms:modified xsi:type="dcterms:W3CDTF">2025-06-24T05:14:49Z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D116C8159B974323A4E1169CBC03E5F2_13</vt:lpwstr>
  </property>
  <property fmtid="{D5CDD505-2E9C-101B-9397-08002B2CF9AE}" pid="4" name="KSOTemplateDocerSaveRecord">
    <vt:lpwstr>eyJoZGlkIjoiYTAwMzBjNTZhMjRkMjdhMTU4ZmU5MzVmYzNkN2Q5NzYiLCJ1c2VySWQiOiI1OTEyNDQzNDIifQ==</vt:lpwstr>
  </property>
</Properties>
</file>