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D9AC2">
      <w:pPr>
        <w:jc w:val="center"/>
        <w:rPr>
          <w:rFonts w:ascii="宋体" w:hAnsi="宋体"/>
          <w:b/>
          <w:color w:val="auto"/>
          <w:sz w:val="44"/>
          <w:szCs w:val="44"/>
          <w:highlight w:val="none"/>
        </w:rPr>
      </w:pPr>
      <w:bookmarkStart w:id="0" w:name="_Toc287620665"/>
    </w:p>
    <w:p w14:paraId="5328E379">
      <w:pPr>
        <w:spacing w:line="360" w:lineRule="auto"/>
        <w:jc w:val="center"/>
        <w:rPr>
          <w:rFonts w:hint="eastAsia" w:ascii="宋体" w:hAnsi="宋体" w:eastAsia="宋体"/>
          <w:b/>
          <w:bCs/>
          <w:color w:val="auto"/>
          <w:kern w:val="0"/>
          <w:sz w:val="52"/>
          <w:szCs w:val="52"/>
          <w:highlight w:val="none"/>
          <w:u w:val="none"/>
          <w:lang w:eastAsia="zh-CN"/>
        </w:rPr>
      </w:pPr>
      <w:r>
        <w:rPr>
          <w:rFonts w:hint="eastAsia" w:ascii="宋体" w:hAnsi="宋体"/>
          <w:b/>
          <w:bCs/>
          <w:color w:val="auto"/>
          <w:kern w:val="0"/>
          <w:sz w:val="52"/>
          <w:szCs w:val="52"/>
          <w:highlight w:val="none"/>
          <w:u w:val="none"/>
          <w:lang w:eastAsia="zh-CN"/>
        </w:rPr>
        <w:t>长安锦绣城商业2栋、18栋（七十二行）屋面防水维修工程</w:t>
      </w:r>
    </w:p>
    <w:p w14:paraId="72C30F1E">
      <w:pPr>
        <w:autoSpaceDE w:val="0"/>
        <w:autoSpaceDN w:val="0"/>
        <w:adjustRightInd w:val="0"/>
        <w:snapToGrid w:val="0"/>
        <w:spacing w:line="360" w:lineRule="auto"/>
        <w:jc w:val="left"/>
        <w:rPr>
          <w:rFonts w:ascii="宋体" w:hAnsi="宋体"/>
          <w:color w:val="auto"/>
          <w:kern w:val="0"/>
          <w:sz w:val="20"/>
          <w:szCs w:val="20"/>
          <w:highlight w:val="none"/>
        </w:rPr>
      </w:pPr>
    </w:p>
    <w:p w14:paraId="4A03B6BB">
      <w:pPr>
        <w:autoSpaceDE w:val="0"/>
        <w:autoSpaceDN w:val="0"/>
        <w:adjustRightInd w:val="0"/>
        <w:snapToGrid w:val="0"/>
        <w:spacing w:line="360" w:lineRule="auto"/>
        <w:jc w:val="left"/>
        <w:rPr>
          <w:rFonts w:ascii="宋体" w:hAnsi="宋体"/>
          <w:color w:val="auto"/>
          <w:kern w:val="0"/>
          <w:sz w:val="20"/>
          <w:szCs w:val="20"/>
          <w:highlight w:val="none"/>
        </w:rPr>
      </w:pPr>
    </w:p>
    <w:p w14:paraId="75198097">
      <w:pPr>
        <w:autoSpaceDE w:val="0"/>
        <w:autoSpaceDN w:val="0"/>
        <w:adjustRightInd w:val="0"/>
        <w:snapToGrid w:val="0"/>
        <w:spacing w:line="360" w:lineRule="auto"/>
        <w:jc w:val="left"/>
        <w:rPr>
          <w:rFonts w:ascii="宋体" w:hAnsi="宋体"/>
          <w:color w:val="auto"/>
          <w:kern w:val="0"/>
          <w:sz w:val="20"/>
          <w:szCs w:val="20"/>
          <w:highlight w:val="none"/>
        </w:rPr>
      </w:pPr>
    </w:p>
    <w:p w14:paraId="6C763D0A">
      <w:pPr>
        <w:autoSpaceDE w:val="0"/>
        <w:autoSpaceDN w:val="0"/>
        <w:adjustRightInd w:val="0"/>
        <w:snapToGrid w:val="0"/>
        <w:spacing w:line="360" w:lineRule="auto"/>
        <w:jc w:val="left"/>
        <w:rPr>
          <w:rFonts w:ascii="宋体" w:hAnsi="宋体"/>
          <w:color w:val="auto"/>
          <w:kern w:val="0"/>
          <w:sz w:val="20"/>
          <w:szCs w:val="20"/>
          <w:highlight w:val="none"/>
        </w:rPr>
      </w:pPr>
    </w:p>
    <w:p w14:paraId="061C395A">
      <w:pPr>
        <w:pStyle w:val="17"/>
        <w:rPr>
          <w:rFonts w:ascii="宋体" w:hAnsi="宋体"/>
          <w:color w:val="auto"/>
          <w:kern w:val="0"/>
          <w:sz w:val="20"/>
          <w:szCs w:val="20"/>
          <w:highlight w:val="none"/>
        </w:rPr>
      </w:pPr>
    </w:p>
    <w:p w14:paraId="6DA74E45">
      <w:pPr>
        <w:rPr>
          <w:rFonts w:ascii="宋体" w:hAnsi="宋体"/>
          <w:color w:val="auto"/>
          <w:kern w:val="0"/>
          <w:sz w:val="20"/>
          <w:szCs w:val="20"/>
          <w:highlight w:val="none"/>
        </w:rPr>
      </w:pPr>
    </w:p>
    <w:p w14:paraId="1F4F06E9">
      <w:pPr>
        <w:pStyle w:val="17"/>
        <w:rPr>
          <w:color w:val="auto"/>
          <w:highlight w:val="none"/>
        </w:rPr>
      </w:pPr>
    </w:p>
    <w:p w14:paraId="0C4B3818">
      <w:pPr>
        <w:rPr>
          <w:color w:val="auto"/>
          <w:highlight w:val="none"/>
        </w:rPr>
      </w:pPr>
    </w:p>
    <w:p w14:paraId="5C4800F0">
      <w:pPr>
        <w:autoSpaceDE w:val="0"/>
        <w:autoSpaceDN w:val="0"/>
        <w:adjustRightInd w:val="0"/>
        <w:snapToGrid w:val="0"/>
        <w:spacing w:line="360" w:lineRule="auto"/>
        <w:jc w:val="left"/>
        <w:rPr>
          <w:rFonts w:ascii="宋体" w:hAnsi="宋体"/>
          <w:color w:val="auto"/>
          <w:kern w:val="0"/>
          <w:sz w:val="20"/>
          <w:szCs w:val="20"/>
          <w:highlight w:val="none"/>
        </w:rPr>
      </w:pPr>
      <w:bookmarkStart w:id="970" w:name="_GoBack"/>
      <w:bookmarkEnd w:id="970"/>
    </w:p>
    <w:p w14:paraId="26DB69B7">
      <w:pPr>
        <w:autoSpaceDE w:val="0"/>
        <w:autoSpaceDN w:val="0"/>
        <w:adjustRightInd w:val="0"/>
        <w:snapToGrid w:val="0"/>
        <w:spacing w:line="360" w:lineRule="auto"/>
        <w:jc w:val="center"/>
        <w:rPr>
          <w:rFonts w:ascii="宋体" w:hAnsi="宋体"/>
          <w:b/>
          <w:bCs/>
          <w:color w:val="auto"/>
          <w:kern w:val="0"/>
          <w:sz w:val="72"/>
          <w:szCs w:val="72"/>
          <w:highlight w:val="none"/>
        </w:rPr>
      </w:pPr>
      <w:r>
        <w:rPr>
          <w:rFonts w:ascii="宋体" w:hAnsi="宋体"/>
          <w:b/>
          <w:bCs/>
          <w:color w:val="auto"/>
          <w:kern w:val="0"/>
          <w:sz w:val="72"/>
          <w:szCs w:val="72"/>
          <w:highlight w:val="none"/>
        </w:rPr>
        <w:t>施</w:t>
      </w:r>
      <w:r>
        <w:rPr>
          <w:rFonts w:hint="eastAsia" w:ascii="宋体" w:hAnsi="宋体"/>
          <w:b/>
          <w:bCs/>
          <w:color w:val="auto"/>
          <w:kern w:val="0"/>
          <w:sz w:val="72"/>
          <w:szCs w:val="72"/>
          <w:highlight w:val="none"/>
        </w:rPr>
        <w:t xml:space="preserve"> </w:t>
      </w:r>
      <w:r>
        <w:rPr>
          <w:rFonts w:ascii="宋体" w:hAnsi="宋体"/>
          <w:b/>
          <w:bCs/>
          <w:color w:val="auto"/>
          <w:kern w:val="0"/>
          <w:sz w:val="72"/>
          <w:szCs w:val="72"/>
          <w:highlight w:val="none"/>
        </w:rPr>
        <w:t>工</w:t>
      </w:r>
      <w:r>
        <w:rPr>
          <w:rFonts w:hint="eastAsia" w:ascii="宋体" w:hAnsi="宋体"/>
          <w:b/>
          <w:bCs/>
          <w:color w:val="auto"/>
          <w:kern w:val="0"/>
          <w:sz w:val="72"/>
          <w:szCs w:val="72"/>
          <w:highlight w:val="none"/>
        </w:rPr>
        <w:t xml:space="preserve"> </w:t>
      </w:r>
      <w:r>
        <w:rPr>
          <w:rFonts w:ascii="宋体" w:hAnsi="宋体"/>
          <w:b/>
          <w:bCs/>
          <w:color w:val="auto"/>
          <w:kern w:val="0"/>
          <w:sz w:val="72"/>
          <w:szCs w:val="72"/>
          <w:highlight w:val="none"/>
        </w:rPr>
        <w:t>招</w:t>
      </w:r>
      <w:r>
        <w:rPr>
          <w:rFonts w:hint="eastAsia" w:ascii="宋体" w:hAnsi="宋体"/>
          <w:b/>
          <w:bCs/>
          <w:color w:val="auto"/>
          <w:kern w:val="0"/>
          <w:sz w:val="72"/>
          <w:szCs w:val="72"/>
          <w:highlight w:val="none"/>
        </w:rPr>
        <w:t xml:space="preserve"> </w:t>
      </w:r>
      <w:r>
        <w:rPr>
          <w:rFonts w:ascii="宋体" w:hAnsi="宋体"/>
          <w:b/>
          <w:bCs/>
          <w:color w:val="auto"/>
          <w:kern w:val="0"/>
          <w:sz w:val="72"/>
          <w:szCs w:val="72"/>
          <w:highlight w:val="none"/>
        </w:rPr>
        <w:t>标</w:t>
      </w:r>
      <w:r>
        <w:rPr>
          <w:rFonts w:hint="eastAsia" w:ascii="宋体" w:hAnsi="宋体"/>
          <w:b/>
          <w:bCs/>
          <w:color w:val="auto"/>
          <w:kern w:val="0"/>
          <w:sz w:val="72"/>
          <w:szCs w:val="72"/>
          <w:highlight w:val="none"/>
        </w:rPr>
        <w:t xml:space="preserve"> </w:t>
      </w:r>
      <w:r>
        <w:rPr>
          <w:rFonts w:ascii="宋体" w:hAnsi="宋体"/>
          <w:b/>
          <w:bCs/>
          <w:color w:val="auto"/>
          <w:kern w:val="0"/>
          <w:sz w:val="72"/>
          <w:szCs w:val="72"/>
          <w:highlight w:val="none"/>
        </w:rPr>
        <w:t>文</w:t>
      </w:r>
      <w:r>
        <w:rPr>
          <w:rFonts w:hint="eastAsia" w:ascii="宋体" w:hAnsi="宋体"/>
          <w:b/>
          <w:bCs/>
          <w:color w:val="auto"/>
          <w:kern w:val="0"/>
          <w:sz w:val="72"/>
          <w:szCs w:val="72"/>
          <w:highlight w:val="none"/>
        </w:rPr>
        <w:t xml:space="preserve"> </w:t>
      </w:r>
      <w:r>
        <w:rPr>
          <w:rFonts w:ascii="宋体" w:hAnsi="宋体"/>
          <w:b/>
          <w:bCs/>
          <w:color w:val="auto"/>
          <w:kern w:val="0"/>
          <w:sz w:val="72"/>
          <w:szCs w:val="72"/>
          <w:highlight w:val="none"/>
        </w:rPr>
        <w:t>件</w:t>
      </w:r>
    </w:p>
    <w:p w14:paraId="5ED09ADC">
      <w:pPr>
        <w:autoSpaceDE w:val="0"/>
        <w:autoSpaceDN w:val="0"/>
        <w:adjustRightInd w:val="0"/>
        <w:snapToGrid w:val="0"/>
        <w:spacing w:line="360" w:lineRule="auto"/>
        <w:jc w:val="left"/>
        <w:rPr>
          <w:rFonts w:ascii="宋体" w:hAnsi="宋体"/>
          <w:color w:val="auto"/>
          <w:kern w:val="0"/>
          <w:sz w:val="10"/>
          <w:szCs w:val="10"/>
          <w:highlight w:val="none"/>
        </w:rPr>
      </w:pPr>
    </w:p>
    <w:p w14:paraId="5BDE6BD7">
      <w:pPr>
        <w:autoSpaceDE w:val="0"/>
        <w:autoSpaceDN w:val="0"/>
        <w:adjustRightInd w:val="0"/>
        <w:snapToGrid w:val="0"/>
        <w:spacing w:line="360" w:lineRule="auto"/>
        <w:jc w:val="left"/>
        <w:rPr>
          <w:rFonts w:ascii="宋体" w:hAnsi="宋体"/>
          <w:color w:val="auto"/>
          <w:kern w:val="0"/>
          <w:sz w:val="20"/>
          <w:szCs w:val="20"/>
          <w:highlight w:val="none"/>
        </w:rPr>
      </w:pPr>
    </w:p>
    <w:p w14:paraId="6A714881">
      <w:pPr>
        <w:autoSpaceDE w:val="0"/>
        <w:autoSpaceDN w:val="0"/>
        <w:adjustRightInd w:val="0"/>
        <w:snapToGrid w:val="0"/>
        <w:spacing w:line="360" w:lineRule="auto"/>
        <w:jc w:val="left"/>
        <w:rPr>
          <w:rFonts w:ascii="宋体" w:hAnsi="宋体"/>
          <w:color w:val="auto"/>
          <w:kern w:val="0"/>
          <w:sz w:val="20"/>
          <w:szCs w:val="20"/>
          <w:highlight w:val="none"/>
        </w:rPr>
      </w:pPr>
    </w:p>
    <w:p w14:paraId="14ECBB17">
      <w:pPr>
        <w:autoSpaceDE w:val="0"/>
        <w:autoSpaceDN w:val="0"/>
        <w:adjustRightInd w:val="0"/>
        <w:snapToGrid w:val="0"/>
        <w:spacing w:line="360" w:lineRule="auto"/>
        <w:jc w:val="left"/>
        <w:rPr>
          <w:rFonts w:ascii="宋体" w:hAnsi="宋体"/>
          <w:color w:val="auto"/>
          <w:kern w:val="0"/>
          <w:sz w:val="20"/>
          <w:szCs w:val="20"/>
          <w:highlight w:val="none"/>
        </w:rPr>
      </w:pPr>
    </w:p>
    <w:p w14:paraId="43A27E85">
      <w:pPr>
        <w:autoSpaceDE w:val="0"/>
        <w:autoSpaceDN w:val="0"/>
        <w:adjustRightInd w:val="0"/>
        <w:snapToGrid w:val="0"/>
        <w:spacing w:line="360" w:lineRule="auto"/>
        <w:jc w:val="left"/>
        <w:rPr>
          <w:rFonts w:ascii="宋体" w:hAnsi="宋体"/>
          <w:color w:val="auto"/>
          <w:kern w:val="0"/>
          <w:sz w:val="20"/>
          <w:szCs w:val="20"/>
          <w:highlight w:val="none"/>
        </w:rPr>
      </w:pPr>
    </w:p>
    <w:p w14:paraId="5BFF5DC2">
      <w:pPr>
        <w:autoSpaceDE w:val="0"/>
        <w:autoSpaceDN w:val="0"/>
        <w:adjustRightInd w:val="0"/>
        <w:snapToGrid w:val="0"/>
        <w:spacing w:line="360" w:lineRule="auto"/>
        <w:rPr>
          <w:rFonts w:ascii="宋体" w:hAnsi="宋体"/>
          <w:color w:val="auto"/>
          <w:kern w:val="0"/>
          <w:sz w:val="20"/>
          <w:szCs w:val="20"/>
          <w:highlight w:val="none"/>
        </w:rPr>
      </w:pPr>
    </w:p>
    <w:p w14:paraId="27BFE946">
      <w:pPr>
        <w:pStyle w:val="17"/>
        <w:rPr>
          <w:color w:val="auto"/>
          <w:highlight w:val="none"/>
        </w:rPr>
      </w:pPr>
    </w:p>
    <w:p w14:paraId="15F035E8">
      <w:pPr>
        <w:autoSpaceDE w:val="0"/>
        <w:autoSpaceDN w:val="0"/>
        <w:adjustRightInd w:val="0"/>
        <w:snapToGrid w:val="0"/>
        <w:spacing w:line="360" w:lineRule="auto"/>
        <w:jc w:val="left"/>
        <w:rPr>
          <w:rFonts w:ascii="宋体" w:hAnsi="宋体"/>
          <w:color w:val="auto"/>
          <w:kern w:val="0"/>
          <w:sz w:val="20"/>
          <w:szCs w:val="20"/>
          <w:highlight w:val="none"/>
        </w:rPr>
      </w:pPr>
    </w:p>
    <w:p w14:paraId="6539C4AF">
      <w:pPr>
        <w:autoSpaceDE w:val="0"/>
        <w:autoSpaceDN w:val="0"/>
        <w:adjustRightInd w:val="0"/>
        <w:snapToGrid w:val="0"/>
        <w:spacing w:line="360" w:lineRule="auto"/>
        <w:rPr>
          <w:rFonts w:ascii="宋体" w:hAnsi="宋体"/>
          <w:color w:val="auto"/>
          <w:kern w:val="0"/>
          <w:sz w:val="20"/>
          <w:szCs w:val="20"/>
          <w:highlight w:val="none"/>
        </w:rPr>
      </w:pPr>
    </w:p>
    <w:p w14:paraId="2F991C8D">
      <w:pPr>
        <w:autoSpaceDE w:val="0"/>
        <w:autoSpaceDN w:val="0"/>
        <w:adjustRightInd w:val="0"/>
        <w:snapToGrid w:val="0"/>
        <w:spacing w:line="360" w:lineRule="auto"/>
        <w:rPr>
          <w:rFonts w:ascii="宋体" w:hAnsi="宋体"/>
          <w:color w:val="auto"/>
          <w:kern w:val="0"/>
          <w:sz w:val="20"/>
          <w:szCs w:val="20"/>
          <w:highlight w:val="none"/>
        </w:rPr>
      </w:pPr>
    </w:p>
    <w:p w14:paraId="5C979862">
      <w:pPr>
        <w:autoSpaceDE w:val="0"/>
        <w:autoSpaceDN w:val="0"/>
        <w:adjustRightInd w:val="0"/>
        <w:snapToGrid w:val="0"/>
        <w:spacing w:line="360" w:lineRule="auto"/>
        <w:rPr>
          <w:rFonts w:ascii="宋体" w:hAnsi="宋体"/>
          <w:color w:val="auto"/>
          <w:kern w:val="0"/>
          <w:sz w:val="20"/>
          <w:szCs w:val="20"/>
          <w:highlight w:val="none"/>
        </w:rPr>
      </w:pPr>
    </w:p>
    <w:p w14:paraId="00412C5D">
      <w:pPr>
        <w:tabs>
          <w:tab w:val="left" w:pos="6252"/>
        </w:tabs>
        <w:autoSpaceDE w:val="0"/>
        <w:autoSpaceDN w:val="0"/>
        <w:adjustRightInd w:val="0"/>
        <w:snapToGrid w:val="0"/>
        <w:spacing w:line="360" w:lineRule="auto"/>
        <w:jc w:val="center"/>
        <w:rPr>
          <w:rFonts w:ascii="宋体" w:hAnsi="宋体"/>
          <w:b/>
          <w:bCs w:val="0"/>
          <w:color w:val="auto"/>
          <w:spacing w:val="8"/>
          <w:kern w:val="0"/>
          <w:sz w:val="28"/>
          <w:szCs w:val="28"/>
          <w:highlight w:val="none"/>
        </w:rPr>
      </w:pPr>
      <w:r>
        <w:rPr>
          <w:rFonts w:ascii="宋体" w:hAnsi="宋体"/>
          <w:b/>
          <w:bCs w:val="0"/>
          <w:color w:val="auto"/>
          <w:spacing w:val="8"/>
          <w:kern w:val="0"/>
          <w:sz w:val="28"/>
          <w:szCs w:val="28"/>
          <w:highlight w:val="none"/>
        </w:rPr>
        <w:t>招标人：</w:t>
      </w:r>
      <w:r>
        <w:rPr>
          <w:rFonts w:hint="eastAsia" w:ascii="宋体" w:hAnsi="宋体"/>
          <w:b/>
          <w:bCs w:val="0"/>
          <w:color w:val="auto"/>
          <w:spacing w:val="8"/>
          <w:kern w:val="0"/>
          <w:sz w:val="28"/>
          <w:szCs w:val="28"/>
          <w:highlight w:val="none"/>
          <w:u w:val="single"/>
        </w:rPr>
        <w:t>重庆长安智慧城市运营管理有限公司</w:t>
      </w:r>
      <w:r>
        <w:rPr>
          <w:rFonts w:ascii="宋体" w:hAnsi="宋体"/>
          <w:b/>
          <w:bCs w:val="0"/>
          <w:color w:val="auto"/>
          <w:spacing w:val="8"/>
          <w:kern w:val="0"/>
          <w:sz w:val="28"/>
          <w:szCs w:val="28"/>
          <w:highlight w:val="none"/>
        </w:rPr>
        <w:t>（盖单位法人章）</w:t>
      </w:r>
    </w:p>
    <w:p w14:paraId="74578EAB">
      <w:pPr>
        <w:tabs>
          <w:tab w:val="left" w:pos="6252"/>
        </w:tabs>
        <w:autoSpaceDE w:val="0"/>
        <w:autoSpaceDN w:val="0"/>
        <w:adjustRightInd w:val="0"/>
        <w:snapToGrid w:val="0"/>
        <w:spacing w:line="360" w:lineRule="auto"/>
        <w:jc w:val="center"/>
        <w:rPr>
          <w:rFonts w:ascii="宋体" w:hAnsi="宋体"/>
          <w:b/>
          <w:color w:val="auto"/>
          <w:kern w:val="0"/>
          <w:sz w:val="28"/>
          <w:szCs w:val="28"/>
          <w:highlight w:val="none"/>
        </w:rPr>
      </w:pPr>
      <w:r>
        <w:rPr>
          <w:rFonts w:ascii="宋体" w:hAnsi="宋体"/>
          <w:b/>
          <w:bCs w:val="0"/>
          <w:color w:val="auto"/>
          <w:spacing w:val="8"/>
          <w:kern w:val="0"/>
          <w:sz w:val="28"/>
          <w:szCs w:val="28"/>
          <w:highlight w:val="none"/>
        </w:rPr>
        <w:t>招标代理机构：</w:t>
      </w:r>
      <w:r>
        <w:rPr>
          <w:rFonts w:hint="eastAsia" w:ascii="宋体" w:hAnsi="宋体"/>
          <w:b/>
          <w:bCs w:val="0"/>
          <w:color w:val="auto"/>
          <w:kern w:val="0"/>
          <w:sz w:val="28"/>
          <w:szCs w:val="28"/>
          <w:highlight w:val="none"/>
          <w:u w:val="single"/>
        </w:rPr>
        <w:t>凌辉建设工程咨询有限公司</w:t>
      </w:r>
      <w:r>
        <w:rPr>
          <w:rFonts w:ascii="宋体" w:hAnsi="宋体"/>
          <w:b/>
          <w:bCs w:val="0"/>
          <w:color w:val="auto"/>
          <w:spacing w:val="8"/>
          <w:kern w:val="0"/>
          <w:sz w:val="28"/>
          <w:szCs w:val="28"/>
          <w:highlight w:val="none"/>
        </w:rPr>
        <w:t>（盖单位法人章）</w:t>
      </w:r>
    </w:p>
    <w:p w14:paraId="13442485">
      <w:pPr>
        <w:autoSpaceDE w:val="0"/>
        <w:autoSpaceDN w:val="0"/>
        <w:adjustRightInd w:val="0"/>
        <w:snapToGrid w:val="0"/>
        <w:spacing w:line="360" w:lineRule="auto"/>
        <w:rPr>
          <w:rFonts w:ascii="宋体" w:hAnsi="宋体"/>
          <w:b/>
          <w:color w:val="auto"/>
          <w:kern w:val="0"/>
          <w:sz w:val="20"/>
          <w:szCs w:val="20"/>
          <w:highlight w:val="none"/>
        </w:rPr>
      </w:pPr>
    </w:p>
    <w:p w14:paraId="6F54A8C0">
      <w:pPr>
        <w:tabs>
          <w:tab w:val="left" w:pos="6252"/>
        </w:tabs>
        <w:autoSpaceDE w:val="0"/>
        <w:autoSpaceDN w:val="0"/>
        <w:adjustRightInd w:val="0"/>
        <w:snapToGrid w:val="0"/>
        <w:spacing w:line="360" w:lineRule="auto"/>
        <w:jc w:val="center"/>
        <w:rPr>
          <w:rFonts w:ascii="宋体" w:hAnsi="宋体"/>
          <w:bCs/>
          <w:color w:val="auto"/>
          <w:spacing w:val="8"/>
          <w:kern w:val="0"/>
          <w:sz w:val="28"/>
          <w:szCs w:val="28"/>
          <w:highlight w:val="none"/>
        </w:rPr>
      </w:pPr>
      <w:bookmarkStart w:id="1" w:name="_Toc509218549"/>
      <w:bookmarkStart w:id="2" w:name="_Toc536797277"/>
      <w:bookmarkStart w:id="3" w:name="_Toc536621766"/>
      <w:bookmarkStart w:id="4" w:name="_Toc536796736"/>
      <w:bookmarkStart w:id="5" w:name="_Toc13210649"/>
      <w:r>
        <w:rPr>
          <w:rFonts w:hint="eastAsia" w:ascii="宋体" w:hAnsi="宋体"/>
          <w:b/>
          <w:color w:val="auto"/>
          <w:spacing w:val="8"/>
          <w:kern w:val="0"/>
          <w:sz w:val="28"/>
          <w:szCs w:val="28"/>
          <w:highlight w:val="none"/>
          <w:u w:val="single"/>
          <w:lang w:val="en-US" w:eastAsia="zh-CN"/>
        </w:rPr>
        <w:t>2025</w:t>
      </w:r>
      <w:r>
        <w:rPr>
          <w:rFonts w:ascii="宋体" w:hAnsi="宋体"/>
          <w:b/>
          <w:color w:val="auto"/>
          <w:spacing w:val="8"/>
          <w:kern w:val="0"/>
          <w:sz w:val="28"/>
          <w:szCs w:val="28"/>
          <w:highlight w:val="none"/>
        </w:rPr>
        <w:t>年</w:t>
      </w:r>
      <w:r>
        <w:rPr>
          <w:rFonts w:hint="eastAsia" w:ascii="宋体" w:hAnsi="宋体"/>
          <w:b/>
          <w:color w:val="auto"/>
          <w:spacing w:val="8"/>
          <w:kern w:val="0"/>
          <w:sz w:val="28"/>
          <w:szCs w:val="28"/>
          <w:highlight w:val="none"/>
          <w:u w:val="single"/>
          <w:lang w:val="en-US" w:eastAsia="zh-CN"/>
        </w:rPr>
        <w:t>7</w:t>
      </w:r>
      <w:r>
        <w:rPr>
          <w:rFonts w:ascii="宋体" w:hAnsi="宋体"/>
          <w:b/>
          <w:color w:val="auto"/>
          <w:spacing w:val="8"/>
          <w:kern w:val="0"/>
          <w:sz w:val="28"/>
          <w:szCs w:val="28"/>
          <w:highlight w:val="none"/>
        </w:rPr>
        <w:t>月</w:t>
      </w:r>
      <w:bookmarkEnd w:id="1"/>
      <w:bookmarkEnd w:id="2"/>
      <w:bookmarkEnd w:id="3"/>
      <w:bookmarkEnd w:id="4"/>
      <w:bookmarkEnd w:id="5"/>
    </w:p>
    <w:p w14:paraId="323602FB">
      <w:pPr>
        <w:pStyle w:val="2"/>
        <w:spacing w:line="360" w:lineRule="auto"/>
        <w:jc w:val="center"/>
        <w:rPr>
          <w:rFonts w:ascii="宋体" w:hAnsi="宋体"/>
          <w:color w:val="auto"/>
          <w:w w:val="99"/>
          <w:kern w:val="0"/>
          <w:sz w:val="24"/>
          <w:highlight w:val="none"/>
        </w:rPr>
        <w:sectPr>
          <w:headerReference r:id="rId4" w:type="default"/>
          <w:footerReference r:id="rId5" w:type="default"/>
          <w:pgSz w:w="11907" w:h="16840"/>
          <w:pgMar w:top="1304" w:right="1134" w:bottom="1304" w:left="1304" w:header="851" w:footer="992" w:gutter="0"/>
          <w:pgNumType w:fmt="numberInDash" w:start="1"/>
          <w:cols w:space="720" w:num="1"/>
          <w:docGrid w:linePitch="312" w:charSpace="0"/>
        </w:sectPr>
      </w:pPr>
    </w:p>
    <w:p w14:paraId="2F8AD0C2">
      <w:pPr>
        <w:pStyle w:val="119"/>
        <w:jc w:val="center"/>
        <w:rPr>
          <w:rFonts w:ascii="宋体" w:hAnsi="宋体"/>
          <w:color w:val="auto"/>
          <w:sz w:val="56"/>
          <w:szCs w:val="56"/>
          <w:highlight w:val="none"/>
        </w:rPr>
      </w:pPr>
      <w:bookmarkStart w:id="6" w:name="_Toc28843"/>
      <w:bookmarkStart w:id="7" w:name="_Toc5767"/>
      <w:r>
        <w:rPr>
          <w:rFonts w:ascii="宋体" w:hAnsi="宋体"/>
          <w:color w:val="auto"/>
          <w:sz w:val="56"/>
          <w:szCs w:val="56"/>
          <w:highlight w:val="none"/>
          <w:lang w:val="zh-CN"/>
        </w:rPr>
        <w:t>目</w:t>
      </w:r>
      <w:r>
        <w:rPr>
          <w:rFonts w:hint="eastAsia" w:ascii="宋体" w:hAnsi="宋体"/>
          <w:color w:val="auto"/>
          <w:sz w:val="56"/>
          <w:szCs w:val="56"/>
          <w:highlight w:val="none"/>
          <w:lang w:val="zh-CN"/>
        </w:rPr>
        <w:t xml:space="preserve"> </w:t>
      </w:r>
      <w:r>
        <w:rPr>
          <w:rFonts w:ascii="宋体" w:hAnsi="宋体"/>
          <w:color w:val="auto"/>
          <w:sz w:val="56"/>
          <w:szCs w:val="56"/>
          <w:highlight w:val="none"/>
          <w:lang w:val="zh-CN"/>
        </w:rPr>
        <w:t>录</w:t>
      </w:r>
      <w:bookmarkEnd w:id="6"/>
      <w:bookmarkEnd w:id="7"/>
    </w:p>
    <w:p w14:paraId="688689A0">
      <w:pPr>
        <w:pStyle w:val="31"/>
        <w:keepNext w:val="0"/>
        <w:keepLines w:val="0"/>
        <w:pageBreakBefore w:val="0"/>
        <w:widowControl w:val="0"/>
        <w:tabs>
          <w:tab w:val="right" w:leader="dot" w:pos="9459"/>
        </w:tabs>
        <w:kinsoku/>
        <w:wordWrap/>
        <w:overflowPunct/>
        <w:topLinePunct w:val="0"/>
        <w:autoSpaceDE/>
        <w:autoSpaceDN/>
        <w:bidi w:val="0"/>
        <w:adjustRightInd/>
        <w:snapToGrid/>
        <w:spacing w:line="480" w:lineRule="auto"/>
        <w:textAlignment w:val="auto"/>
        <w:rPr>
          <w:rFonts w:ascii="宋体" w:hAnsi="宋体"/>
          <w:color w:val="auto"/>
          <w:highlight w:val="none"/>
        </w:rPr>
      </w:pPr>
    </w:p>
    <w:p w14:paraId="578CFFCB">
      <w:pPr>
        <w:pStyle w:val="31"/>
        <w:keepNext w:val="0"/>
        <w:keepLines w:val="0"/>
        <w:pageBreakBefore w:val="0"/>
        <w:widowControl w:val="0"/>
        <w:tabs>
          <w:tab w:val="right" w:leader="dot" w:pos="9459"/>
        </w:tabs>
        <w:kinsoku/>
        <w:wordWrap/>
        <w:overflowPunct/>
        <w:topLinePunct w:val="0"/>
        <w:autoSpaceDE/>
        <w:autoSpaceDN/>
        <w:bidi w:val="0"/>
        <w:adjustRightInd/>
        <w:snapToGrid/>
        <w:spacing w:line="480" w:lineRule="auto"/>
        <w:textAlignment w:val="auto"/>
        <w:rPr>
          <w:rFonts w:ascii="Calibri" w:hAnsi="Calibri"/>
          <w:b w:val="0"/>
          <w:bCs w:val="0"/>
          <w:caps w:val="0"/>
          <w:color w:val="auto"/>
          <w:sz w:val="28"/>
          <w:szCs w:val="32"/>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r>
        <w:rPr>
          <w:color w:val="auto"/>
          <w:sz w:val="24"/>
          <w:szCs w:val="24"/>
          <w:highlight w:val="none"/>
        </w:rPr>
        <w:fldChar w:fldCharType="begin"/>
      </w:r>
      <w:r>
        <w:rPr>
          <w:color w:val="auto"/>
          <w:sz w:val="24"/>
          <w:szCs w:val="24"/>
          <w:highlight w:val="none"/>
        </w:rPr>
        <w:instrText xml:space="preserve"> HYPERLINK \l "_Toc57905811" </w:instrText>
      </w:r>
      <w:r>
        <w:rPr>
          <w:color w:val="auto"/>
          <w:sz w:val="24"/>
          <w:szCs w:val="24"/>
          <w:highlight w:val="none"/>
        </w:rPr>
        <w:fldChar w:fldCharType="separate"/>
      </w:r>
      <w:r>
        <w:rPr>
          <w:rStyle w:val="53"/>
          <w:rFonts w:hint="eastAsia" w:ascii="宋体" w:hAnsi="宋体"/>
          <w:snapToGrid w:val="0"/>
          <w:color w:val="auto"/>
          <w:kern w:val="0"/>
          <w:sz w:val="24"/>
          <w:szCs w:val="24"/>
          <w:highlight w:val="none"/>
        </w:rPr>
        <w:t>第一章</w:t>
      </w:r>
      <w:r>
        <w:rPr>
          <w:rStyle w:val="53"/>
          <w:rFonts w:ascii="宋体" w:hAnsi="宋体"/>
          <w:snapToGrid w:val="0"/>
          <w:color w:val="auto"/>
          <w:kern w:val="0"/>
          <w:sz w:val="24"/>
          <w:szCs w:val="24"/>
          <w:highlight w:val="none"/>
        </w:rPr>
        <w:t xml:space="preserve">  </w:t>
      </w:r>
      <w:r>
        <w:rPr>
          <w:rStyle w:val="53"/>
          <w:rFonts w:hint="eastAsia" w:ascii="宋体" w:hAnsi="宋体"/>
          <w:snapToGrid w:val="0"/>
          <w:color w:val="auto"/>
          <w:kern w:val="0"/>
          <w:sz w:val="24"/>
          <w:szCs w:val="24"/>
          <w:highlight w:val="none"/>
        </w:rPr>
        <w:t>招标公告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_Toc57905811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color w:val="auto"/>
          <w:sz w:val="24"/>
          <w:szCs w:val="24"/>
          <w:highlight w:val="none"/>
        </w:rPr>
        <w:fldChar w:fldCharType="end"/>
      </w:r>
    </w:p>
    <w:p w14:paraId="0A3A7CDA">
      <w:pPr>
        <w:pStyle w:val="31"/>
        <w:keepNext w:val="0"/>
        <w:keepLines w:val="0"/>
        <w:pageBreakBefore w:val="0"/>
        <w:widowControl w:val="0"/>
        <w:tabs>
          <w:tab w:val="right" w:leader="dot" w:pos="9459"/>
        </w:tabs>
        <w:kinsoku/>
        <w:wordWrap/>
        <w:overflowPunct/>
        <w:topLinePunct w:val="0"/>
        <w:autoSpaceDE/>
        <w:autoSpaceDN/>
        <w:bidi w:val="0"/>
        <w:adjustRightInd/>
        <w:snapToGrid/>
        <w:spacing w:line="480" w:lineRule="auto"/>
        <w:textAlignment w:val="auto"/>
        <w:rPr>
          <w:rFonts w:ascii="Calibri" w:hAnsi="Calibri"/>
          <w:b w:val="0"/>
          <w:bCs w:val="0"/>
          <w:caps w:val="0"/>
          <w:color w:val="auto"/>
          <w:sz w:val="28"/>
          <w:szCs w:val="32"/>
          <w:highlight w:val="none"/>
        </w:rPr>
      </w:pPr>
      <w:r>
        <w:rPr>
          <w:color w:val="auto"/>
          <w:sz w:val="24"/>
          <w:szCs w:val="24"/>
          <w:highlight w:val="none"/>
        </w:rPr>
        <w:fldChar w:fldCharType="begin"/>
      </w:r>
      <w:r>
        <w:rPr>
          <w:color w:val="auto"/>
          <w:sz w:val="24"/>
          <w:szCs w:val="24"/>
          <w:highlight w:val="none"/>
        </w:rPr>
        <w:instrText xml:space="preserve"> HYPERLINK \l "_Toc57905828" </w:instrText>
      </w:r>
      <w:r>
        <w:rPr>
          <w:color w:val="auto"/>
          <w:sz w:val="24"/>
          <w:szCs w:val="24"/>
          <w:highlight w:val="none"/>
        </w:rPr>
        <w:fldChar w:fldCharType="separate"/>
      </w:r>
      <w:r>
        <w:rPr>
          <w:rStyle w:val="53"/>
          <w:rFonts w:hint="eastAsia" w:ascii="宋体" w:hAnsi="宋体"/>
          <w:snapToGrid w:val="0"/>
          <w:color w:val="auto"/>
          <w:kern w:val="0"/>
          <w:sz w:val="24"/>
          <w:szCs w:val="24"/>
          <w:highlight w:val="none"/>
        </w:rPr>
        <w:t>第二章</w:t>
      </w:r>
      <w:r>
        <w:rPr>
          <w:rStyle w:val="53"/>
          <w:rFonts w:ascii="宋体" w:hAnsi="宋体"/>
          <w:snapToGrid w:val="0"/>
          <w:color w:val="auto"/>
          <w:kern w:val="0"/>
          <w:sz w:val="24"/>
          <w:szCs w:val="24"/>
          <w:highlight w:val="none"/>
        </w:rPr>
        <w:t xml:space="preserve">  </w:t>
      </w:r>
      <w:r>
        <w:rPr>
          <w:rStyle w:val="53"/>
          <w:rFonts w:hint="eastAsia" w:ascii="宋体" w:hAnsi="宋体"/>
          <w:snapToGrid w:val="0"/>
          <w:color w:val="auto"/>
          <w:kern w:val="0"/>
          <w:sz w:val="24"/>
          <w:szCs w:val="24"/>
          <w:highlight w:val="none"/>
        </w:rPr>
        <w:t>投标人须知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_Toc57905828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color w:val="auto"/>
          <w:sz w:val="24"/>
          <w:szCs w:val="24"/>
          <w:highlight w:val="none"/>
        </w:rPr>
        <w:fldChar w:fldCharType="end"/>
      </w:r>
    </w:p>
    <w:p w14:paraId="786E9CC7">
      <w:pPr>
        <w:pStyle w:val="31"/>
        <w:keepNext w:val="0"/>
        <w:keepLines w:val="0"/>
        <w:pageBreakBefore w:val="0"/>
        <w:widowControl w:val="0"/>
        <w:tabs>
          <w:tab w:val="right" w:leader="dot" w:pos="9459"/>
        </w:tabs>
        <w:kinsoku/>
        <w:wordWrap/>
        <w:overflowPunct/>
        <w:topLinePunct w:val="0"/>
        <w:autoSpaceDE/>
        <w:autoSpaceDN/>
        <w:bidi w:val="0"/>
        <w:adjustRightInd/>
        <w:snapToGrid/>
        <w:spacing w:line="480" w:lineRule="auto"/>
        <w:textAlignment w:val="auto"/>
        <w:rPr>
          <w:rFonts w:ascii="Calibri" w:hAnsi="Calibri"/>
          <w:b w:val="0"/>
          <w:bCs w:val="0"/>
          <w:caps w:val="0"/>
          <w:color w:val="auto"/>
          <w:sz w:val="28"/>
          <w:szCs w:val="32"/>
          <w:highlight w:val="none"/>
        </w:rPr>
      </w:pPr>
      <w:r>
        <w:rPr>
          <w:color w:val="auto"/>
          <w:sz w:val="24"/>
          <w:szCs w:val="24"/>
          <w:highlight w:val="none"/>
        </w:rPr>
        <w:fldChar w:fldCharType="begin"/>
      </w:r>
      <w:r>
        <w:rPr>
          <w:color w:val="auto"/>
          <w:sz w:val="24"/>
          <w:szCs w:val="24"/>
          <w:highlight w:val="none"/>
        </w:rPr>
        <w:instrText xml:space="preserve"> HYPERLINK \l "_Toc57905884" </w:instrText>
      </w:r>
      <w:r>
        <w:rPr>
          <w:color w:val="auto"/>
          <w:sz w:val="24"/>
          <w:szCs w:val="24"/>
          <w:highlight w:val="none"/>
        </w:rPr>
        <w:fldChar w:fldCharType="separate"/>
      </w:r>
      <w:r>
        <w:rPr>
          <w:rStyle w:val="53"/>
          <w:rFonts w:hint="eastAsia" w:ascii="宋体" w:hAnsi="宋体"/>
          <w:snapToGrid w:val="0"/>
          <w:color w:val="auto"/>
          <w:kern w:val="0"/>
          <w:sz w:val="24"/>
          <w:szCs w:val="24"/>
          <w:highlight w:val="none"/>
        </w:rPr>
        <w:t>第三章</w:t>
      </w:r>
      <w:r>
        <w:rPr>
          <w:rStyle w:val="53"/>
          <w:rFonts w:ascii="宋体" w:hAnsi="宋体"/>
          <w:snapToGrid w:val="0"/>
          <w:color w:val="auto"/>
          <w:kern w:val="0"/>
          <w:sz w:val="24"/>
          <w:szCs w:val="24"/>
          <w:highlight w:val="none"/>
        </w:rPr>
        <w:t xml:space="preserve">  </w:t>
      </w:r>
      <w:r>
        <w:rPr>
          <w:rStyle w:val="53"/>
          <w:rFonts w:hint="eastAsia" w:ascii="宋体" w:hAnsi="宋体"/>
          <w:snapToGrid w:val="0"/>
          <w:color w:val="auto"/>
          <w:kern w:val="0"/>
          <w:sz w:val="24"/>
          <w:szCs w:val="24"/>
          <w:highlight w:val="none"/>
        </w:rPr>
        <w:t>评标办法（</w:t>
      </w:r>
      <w:r>
        <w:rPr>
          <w:rStyle w:val="53"/>
          <w:rFonts w:hint="eastAsia" w:ascii="宋体" w:hAnsi="宋体"/>
          <w:snapToGrid w:val="0"/>
          <w:color w:val="auto"/>
          <w:kern w:val="0"/>
          <w:sz w:val="24"/>
          <w:szCs w:val="24"/>
          <w:highlight w:val="none"/>
          <w:lang w:val="en-US" w:eastAsia="zh-CN"/>
        </w:rPr>
        <w:t>综合评估法</w:t>
      </w:r>
      <w:r>
        <w:rPr>
          <w:rStyle w:val="53"/>
          <w:rFonts w:hint="eastAsia" w:ascii="宋体" w:hAnsi="宋体"/>
          <w:snapToGrid w:val="0"/>
          <w:color w:val="auto"/>
          <w:kern w:val="0"/>
          <w:sz w:val="24"/>
          <w:szCs w:val="24"/>
          <w:highlight w:val="none"/>
        </w:rPr>
        <w:t>）</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_Toc57905884 \h </w:instrText>
      </w:r>
      <w:r>
        <w:rPr>
          <w:color w:val="auto"/>
          <w:sz w:val="24"/>
          <w:szCs w:val="24"/>
          <w:highlight w:val="none"/>
        </w:rPr>
        <w:fldChar w:fldCharType="separate"/>
      </w:r>
      <w:r>
        <w:rPr>
          <w:color w:val="auto"/>
          <w:sz w:val="24"/>
          <w:szCs w:val="24"/>
          <w:highlight w:val="none"/>
        </w:rPr>
        <w:t>30</w:t>
      </w:r>
      <w:r>
        <w:rPr>
          <w:color w:val="auto"/>
          <w:sz w:val="24"/>
          <w:szCs w:val="24"/>
          <w:highlight w:val="none"/>
        </w:rPr>
        <w:fldChar w:fldCharType="end"/>
      </w:r>
      <w:r>
        <w:rPr>
          <w:color w:val="auto"/>
          <w:sz w:val="24"/>
          <w:szCs w:val="24"/>
          <w:highlight w:val="none"/>
        </w:rPr>
        <w:fldChar w:fldCharType="end"/>
      </w:r>
    </w:p>
    <w:p w14:paraId="30EF14F9">
      <w:pPr>
        <w:pStyle w:val="31"/>
        <w:keepNext w:val="0"/>
        <w:keepLines w:val="0"/>
        <w:pageBreakBefore w:val="0"/>
        <w:widowControl w:val="0"/>
        <w:tabs>
          <w:tab w:val="right" w:leader="dot" w:pos="9459"/>
        </w:tabs>
        <w:kinsoku/>
        <w:wordWrap/>
        <w:overflowPunct/>
        <w:topLinePunct w:val="0"/>
        <w:autoSpaceDE/>
        <w:autoSpaceDN/>
        <w:bidi w:val="0"/>
        <w:adjustRightInd/>
        <w:snapToGrid/>
        <w:spacing w:line="480" w:lineRule="auto"/>
        <w:textAlignment w:val="auto"/>
        <w:rPr>
          <w:rFonts w:ascii="Calibri" w:hAnsi="Calibri"/>
          <w:b w:val="0"/>
          <w:bCs w:val="0"/>
          <w:caps w:val="0"/>
          <w:color w:val="auto"/>
          <w:sz w:val="28"/>
          <w:szCs w:val="32"/>
          <w:highlight w:val="none"/>
        </w:rPr>
      </w:pPr>
      <w:r>
        <w:rPr>
          <w:color w:val="auto"/>
          <w:sz w:val="24"/>
          <w:szCs w:val="24"/>
          <w:highlight w:val="none"/>
        </w:rPr>
        <w:fldChar w:fldCharType="begin"/>
      </w:r>
      <w:r>
        <w:rPr>
          <w:color w:val="auto"/>
          <w:sz w:val="24"/>
          <w:szCs w:val="24"/>
          <w:highlight w:val="none"/>
        </w:rPr>
        <w:instrText xml:space="preserve"> HYPERLINK \l "_Toc57905906" </w:instrText>
      </w:r>
      <w:r>
        <w:rPr>
          <w:color w:val="auto"/>
          <w:sz w:val="24"/>
          <w:szCs w:val="24"/>
          <w:highlight w:val="none"/>
        </w:rPr>
        <w:fldChar w:fldCharType="separate"/>
      </w:r>
      <w:r>
        <w:rPr>
          <w:rStyle w:val="53"/>
          <w:rFonts w:hint="eastAsia" w:ascii="宋体" w:hAnsi="宋体"/>
          <w:color w:val="auto"/>
          <w:kern w:val="0"/>
          <w:sz w:val="24"/>
          <w:szCs w:val="24"/>
          <w:highlight w:val="none"/>
        </w:rPr>
        <w:t>第四章</w:t>
      </w:r>
      <w:r>
        <w:rPr>
          <w:rStyle w:val="53"/>
          <w:rFonts w:ascii="宋体" w:hAnsi="宋体"/>
          <w:color w:val="auto"/>
          <w:kern w:val="0"/>
          <w:sz w:val="24"/>
          <w:szCs w:val="24"/>
          <w:highlight w:val="none"/>
        </w:rPr>
        <w:t xml:space="preserve">  </w:t>
      </w:r>
      <w:r>
        <w:rPr>
          <w:rStyle w:val="53"/>
          <w:rFonts w:hint="eastAsia" w:ascii="宋体" w:hAnsi="宋体"/>
          <w:color w:val="auto"/>
          <w:kern w:val="0"/>
          <w:sz w:val="24"/>
          <w:szCs w:val="24"/>
          <w:highlight w:val="none"/>
        </w:rPr>
        <w:t>合同条款及格式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_Toc57905906 \h </w:instrText>
      </w:r>
      <w:r>
        <w:rPr>
          <w:color w:val="auto"/>
          <w:sz w:val="24"/>
          <w:szCs w:val="24"/>
          <w:highlight w:val="none"/>
        </w:rPr>
        <w:fldChar w:fldCharType="separate"/>
      </w:r>
      <w:r>
        <w:rPr>
          <w:color w:val="auto"/>
          <w:sz w:val="24"/>
          <w:szCs w:val="24"/>
          <w:highlight w:val="none"/>
        </w:rPr>
        <w:t>40</w:t>
      </w:r>
      <w:r>
        <w:rPr>
          <w:color w:val="auto"/>
          <w:sz w:val="24"/>
          <w:szCs w:val="24"/>
          <w:highlight w:val="none"/>
        </w:rPr>
        <w:fldChar w:fldCharType="end"/>
      </w:r>
      <w:r>
        <w:rPr>
          <w:color w:val="auto"/>
          <w:sz w:val="24"/>
          <w:szCs w:val="24"/>
          <w:highlight w:val="none"/>
        </w:rPr>
        <w:fldChar w:fldCharType="end"/>
      </w:r>
    </w:p>
    <w:p w14:paraId="007CA543">
      <w:pPr>
        <w:pStyle w:val="31"/>
        <w:keepNext w:val="0"/>
        <w:keepLines w:val="0"/>
        <w:pageBreakBefore w:val="0"/>
        <w:widowControl w:val="0"/>
        <w:tabs>
          <w:tab w:val="right" w:leader="dot" w:pos="9459"/>
        </w:tabs>
        <w:kinsoku/>
        <w:wordWrap/>
        <w:overflowPunct/>
        <w:topLinePunct w:val="0"/>
        <w:autoSpaceDE/>
        <w:autoSpaceDN/>
        <w:bidi w:val="0"/>
        <w:adjustRightInd/>
        <w:snapToGrid/>
        <w:spacing w:line="480" w:lineRule="auto"/>
        <w:textAlignment w:val="auto"/>
        <w:rPr>
          <w:rFonts w:ascii="Calibri" w:hAnsi="Calibri"/>
          <w:b w:val="0"/>
          <w:bCs w:val="0"/>
          <w:caps w:val="0"/>
          <w:color w:val="auto"/>
          <w:sz w:val="28"/>
          <w:szCs w:val="32"/>
          <w:highlight w:val="none"/>
        </w:rPr>
      </w:pPr>
      <w:r>
        <w:rPr>
          <w:color w:val="auto"/>
          <w:sz w:val="24"/>
          <w:szCs w:val="24"/>
          <w:highlight w:val="none"/>
        </w:rPr>
        <w:fldChar w:fldCharType="begin"/>
      </w:r>
      <w:r>
        <w:rPr>
          <w:color w:val="auto"/>
          <w:sz w:val="24"/>
          <w:szCs w:val="24"/>
          <w:highlight w:val="none"/>
        </w:rPr>
        <w:instrText xml:space="preserve"> HYPERLINK \l "_Toc57905910" </w:instrText>
      </w:r>
      <w:r>
        <w:rPr>
          <w:color w:val="auto"/>
          <w:sz w:val="24"/>
          <w:szCs w:val="24"/>
          <w:highlight w:val="none"/>
        </w:rPr>
        <w:fldChar w:fldCharType="separate"/>
      </w:r>
      <w:r>
        <w:rPr>
          <w:rStyle w:val="53"/>
          <w:rFonts w:hint="eastAsia" w:ascii="宋体" w:hAnsi="宋体"/>
          <w:color w:val="auto"/>
          <w:sz w:val="24"/>
          <w:szCs w:val="24"/>
          <w:highlight w:val="none"/>
        </w:rPr>
        <w:t>第五章</w:t>
      </w:r>
      <w:r>
        <w:rPr>
          <w:rStyle w:val="53"/>
          <w:rFonts w:ascii="宋体" w:hAnsi="宋体"/>
          <w:color w:val="auto"/>
          <w:sz w:val="24"/>
          <w:szCs w:val="24"/>
          <w:highlight w:val="none"/>
        </w:rPr>
        <w:t xml:space="preserve">  </w:t>
      </w:r>
      <w:r>
        <w:rPr>
          <w:rStyle w:val="53"/>
          <w:rFonts w:hint="eastAsia" w:ascii="宋体" w:hAnsi="宋体"/>
          <w:color w:val="auto"/>
          <w:sz w:val="24"/>
          <w:szCs w:val="24"/>
          <w:highlight w:val="none"/>
        </w:rPr>
        <w:t>工程量清单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_Toc57905910 \h </w:instrText>
      </w:r>
      <w:r>
        <w:rPr>
          <w:color w:val="auto"/>
          <w:sz w:val="24"/>
          <w:szCs w:val="24"/>
          <w:highlight w:val="none"/>
        </w:rPr>
        <w:fldChar w:fldCharType="separate"/>
      </w:r>
      <w:r>
        <w:rPr>
          <w:color w:val="auto"/>
          <w:sz w:val="24"/>
          <w:szCs w:val="24"/>
          <w:highlight w:val="none"/>
        </w:rPr>
        <w:t>41</w:t>
      </w:r>
      <w:r>
        <w:rPr>
          <w:color w:val="auto"/>
          <w:sz w:val="24"/>
          <w:szCs w:val="24"/>
          <w:highlight w:val="none"/>
        </w:rPr>
        <w:fldChar w:fldCharType="end"/>
      </w:r>
      <w:r>
        <w:rPr>
          <w:color w:val="auto"/>
          <w:sz w:val="24"/>
          <w:szCs w:val="24"/>
          <w:highlight w:val="none"/>
        </w:rPr>
        <w:fldChar w:fldCharType="end"/>
      </w:r>
    </w:p>
    <w:p w14:paraId="0F06FEE2">
      <w:pPr>
        <w:pStyle w:val="31"/>
        <w:keepNext w:val="0"/>
        <w:keepLines w:val="0"/>
        <w:pageBreakBefore w:val="0"/>
        <w:widowControl w:val="0"/>
        <w:tabs>
          <w:tab w:val="right" w:leader="dot" w:pos="9459"/>
        </w:tabs>
        <w:kinsoku/>
        <w:wordWrap/>
        <w:overflowPunct/>
        <w:topLinePunct w:val="0"/>
        <w:autoSpaceDE/>
        <w:autoSpaceDN/>
        <w:bidi w:val="0"/>
        <w:adjustRightInd/>
        <w:snapToGrid/>
        <w:spacing w:line="480" w:lineRule="auto"/>
        <w:textAlignment w:val="auto"/>
        <w:rPr>
          <w:rFonts w:ascii="Calibri" w:hAnsi="Calibri"/>
          <w:b w:val="0"/>
          <w:bCs w:val="0"/>
          <w:caps w:val="0"/>
          <w:color w:val="auto"/>
          <w:sz w:val="28"/>
          <w:szCs w:val="32"/>
          <w:highlight w:val="none"/>
        </w:rPr>
      </w:pPr>
      <w:r>
        <w:rPr>
          <w:color w:val="auto"/>
          <w:sz w:val="24"/>
          <w:szCs w:val="24"/>
          <w:highlight w:val="none"/>
        </w:rPr>
        <w:fldChar w:fldCharType="begin"/>
      </w:r>
      <w:r>
        <w:rPr>
          <w:color w:val="auto"/>
          <w:sz w:val="24"/>
          <w:szCs w:val="24"/>
          <w:highlight w:val="none"/>
        </w:rPr>
        <w:instrText xml:space="preserve"> HYPERLINK \l "_Toc57905912" </w:instrText>
      </w:r>
      <w:r>
        <w:rPr>
          <w:color w:val="auto"/>
          <w:sz w:val="24"/>
          <w:szCs w:val="24"/>
          <w:highlight w:val="none"/>
        </w:rPr>
        <w:fldChar w:fldCharType="separate"/>
      </w:r>
      <w:r>
        <w:rPr>
          <w:rStyle w:val="53"/>
          <w:rFonts w:hint="eastAsia" w:ascii="宋体" w:hAnsi="宋体"/>
          <w:color w:val="auto"/>
          <w:sz w:val="24"/>
          <w:szCs w:val="24"/>
          <w:highlight w:val="none"/>
        </w:rPr>
        <w:t>第六章</w:t>
      </w:r>
      <w:r>
        <w:rPr>
          <w:rStyle w:val="53"/>
          <w:rFonts w:ascii="宋体" w:hAnsi="宋体"/>
          <w:color w:val="auto"/>
          <w:sz w:val="24"/>
          <w:szCs w:val="24"/>
          <w:highlight w:val="none"/>
        </w:rPr>
        <w:t xml:space="preserve">  </w:t>
      </w:r>
      <w:r>
        <w:rPr>
          <w:rStyle w:val="53"/>
          <w:rFonts w:hint="eastAsia" w:ascii="宋体" w:hAnsi="宋体"/>
          <w:color w:val="auto"/>
          <w:sz w:val="24"/>
          <w:szCs w:val="24"/>
          <w:highlight w:val="none"/>
        </w:rPr>
        <w:t>图纸</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_Toc57905912 \h </w:instrText>
      </w:r>
      <w:r>
        <w:rPr>
          <w:color w:val="auto"/>
          <w:sz w:val="24"/>
          <w:szCs w:val="24"/>
          <w:highlight w:val="none"/>
        </w:rPr>
        <w:fldChar w:fldCharType="separate"/>
      </w:r>
      <w:r>
        <w:rPr>
          <w:color w:val="auto"/>
          <w:sz w:val="24"/>
          <w:szCs w:val="24"/>
          <w:highlight w:val="none"/>
        </w:rPr>
        <w:t>66</w:t>
      </w:r>
      <w:r>
        <w:rPr>
          <w:color w:val="auto"/>
          <w:sz w:val="24"/>
          <w:szCs w:val="24"/>
          <w:highlight w:val="none"/>
        </w:rPr>
        <w:fldChar w:fldCharType="end"/>
      </w:r>
      <w:r>
        <w:rPr>
          <w:color w:val="auto"/>
          <w:sz w:val="24"/>
          <w:szCs w:val="24"/>
          <w:highlight w:val="none"/>
        </w:rPr>
        <w:fldChar w:fldCharType="end"/>
      </w:r>
    </w:p>
    <w:p w14:paraId="37A4F73E">
      <w:pPr>
        <w:pStyle w:val="31"/>
        <w:keepNext w:val="0"/>
        <w:keepLines w:val="0"/>
        <w:pageBreakBefore w:val="0"/>
        <w:widowControl w:val="0"/>
        <w:tabs>
          <w:tab w:val="right" w:leader="dot" w:pos="9459"/>
        </w:tabs>
        <w:kinsoku/>
        <w:wordWrap/>
        <w:overflowPunct/>
        <w:topLinePunct w:val="0"/>
        <w:autoSpaceDE/>
        <w:autoSpaceDN/>
        <w:bidi w:val="0"/>
        <w:adjustRightInd/>
        <w:snapToGrid/>
        <w:spacing w:line="480" w:lineRule="auto"/>
        <w:textAlignment w:val="auto"/>
        <w:rPr>
          <w:rFonts w:ascii="Calibri" w:hAnsi="Calibri"/>
          <w:b w:val="0"/>
          <w:bCs w:val="0"/>
          <w:caps w:val="0"/>
          <w:color w:val="auto"/>
          <w:sz w:val="28"/>
          <w:szCs w:val="32"/>
          <w:highlight w:val="none"/>
        </w:rPr>
      </w:pPr>
      <w:r>
        <w:rPr>
          <w:color w:val="auto"/>
          <w:sz w:val="24"/>
          <w:szCs w:val="24"/>
          <w:highlight w:val="none"/>
        </w:rPr>
        <w:fldChar w:fldCharType="begin"/>
      </w:r>
      <w:r>
        <w:rPr>
          <w:color w:val="auto"/>
          <w:sz w:val="24"/>
          <w:szCs w:val="24"/>
          <w:highlight w:val="none"/>
        </w:rPr>
        <w:instrText xml:space="preserve"> HYPERLINK \l "_Toc57905914" </w:instrText>
      </w:r>
      <w:r>
        <w:rPr>
          <w:color w:val="auto"/>
          <w:sz w:val="24"/>
          <w:szCs w:val="24"/>
          <w:highlight w:val="none"/>
        </w:rPr>
        <w:fldChar w:fldCharType="separate"/>
      </w:r>
      <w:r>
        <w:rPr>
          <w:rStyle w:val="53"/>
          <w:rFonts w:hint="eastAsia" w:ascii="宋体" w:hAnsi="宋体"/>
          <w:color w:val="auto"/>
          <w:sz w:val="24"/>
          <w:szCs w:val="24"/>
          <w:highlight w:val="none"/>
        </w:rPr>
        <w:t>第七章</w:t>
      </w:r>
      <w:r>
        <w:rPr>
          <w:rStyle w:val="53"/>
          <w:rFonts w:ascii="宋体" w:hAnsi="宋体"/>
          <w:color w:val="auto"/>
          <w:sz w:val="24"/>
          <w:szCs w:val="24"/>
          <w:highlight w:val="none"/>
        </w:rPr>
        <w:t xml:space="preserve">  </w:t>
      </w:r>
      <w:r>
        <w:rPr>
          <w:rStyle w:val="53"/>
          <w:rFonts w:hint="eastAsia" w:ascii="宋体" w:hAnsi="宋体"/>
          <w:color w:val="auto"/>
          <w:sz w:val="24"/>
          <w:szCs w:val="24"/>
          <w:highlight w:val="none"/>
        </w:rPr>
        <w:t>技术标准和要求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_Toc57905914 \h </w:instrText>
      </w:r>
      <w:r>
        <w:rPr>
          <w:color w:val="auto"/>
          <w:sz w:val="24"/>
          <w:szCs w:val="24"/>
          <w:highlight w:val="none"/>
        </w:rPr>
        <w:fldChar w:fldCharType="separate"/>
      </w:r>
      <w:r>
        <w:rPr>
          <w:color w:val="auto"/>
          <w:sz w:val="24"/>
          <w:szCs w:val="24"/>
          <w:highlight w:val="none"/>
        </w:rPr>
        <w:t>68</w:t>
      </w:r>
      <w:r>
        <w:rPr>
          <w:color w:val="auto"/>
          <w:sz w:val="24"/>
          <w:szCs w:val="24"/>
          <w:highlight w:val="none"/>
        </w:rPr>
        <w:fldChar w:fldCharType="end"/>
      </w:r>
      <w:r>
        <w:rPr>
          <w:color w:val="auto"/>
          <w:sz w:val="24"/>
          <w:szCs w:val="24"/>
          <w:highlight w:val="none"/>
        </w:rPr>
        <w:fldChar w:fldCharType="end"/>
      </w:r>
    </w:p>
    <w:p w14:paraId="5BFFA2FA">
      <w:pPr>
        <w:pStyle w:val="31"/>
        <w:keepNext w:val="0"/>
        <w:keepLines w:val="0"/>
        <w:pageBreakBefore w:val="0"/>
        <w:widowControl w:val="0"/>
        <w:tabs>
          <w:tab w:val="right" w:leader="dot" w:pos="9459"/>
        </w:tabs>
        <w:kinsoku/>
        <w:wordWrap/>
        <w:overflowPunct/>
        <w:topLinePunct w:val="0"/>
        <w:autoSpaceDE/>
        <w:autoSpaceDN/>
        <w:bidi w:val="0"/>
        <w:adjustRightInd/>
        <w:snapToGrid/>
        <w:spacing w:line="480" w:lineRule="auto"/>
        <w:textAlignment w:val="auto"/>
        <w:rPr>
          <w:rFonts w:ascii="Calibri" w:hAnsi="Calibri"/>
          <w:b w:val="0"/>
          <w:bCs w:val="0"/>
          <w:caps w:val="0"/>
          <w:color w:val="auto"/>
          <w:sz w:val="21"/>
          <w:szCs w:val="22"/>
          <w:highlight w:val="none"/>
        </w:rPr>
      </w:pPr>
      <w:r>
        <w:rPr>
          <w:color w:val="auto"/>
          <w:sz w:val="24"/>
          <w:szCs w:val="24"/>
          <w:highlight w:val="none"/>
        </w:rPr>
        <w:fldChar w:fldCharType="begin"/>
      </w:r>
      <w:r>
        <w:rPr>
          <w:color w:val="auto"/>
          <w:sz w:val="24"/>
          <w:szCs w:val="24"/>
          <w:highlight w:val="none"/>
        </w:rPr>
        <w:instrText xml:space="preserve"> HYPERLINK \l "_Toc57905916" </w:instrText>
      </w:r>
      <w:r>
        <w:rPr>
          <w:color w:val="auto"/>
          <w:sz w:val="24"/>
          <w:szCs w:val="24"/>
          <w:highlight w:val="none"/>
        </w:rPr>
        <w:fldChar w:fldCharType="separate"/>
      </w:r>
      <w:r>
        <w:rPr>
          <w:rStyle w:val="53"/>
          <w:rFonts w:hint="eastAsia" w:ascii="宋体" w:hAnsi="宋体"/>
          <w:color w:val="auto"/>
          <w:sz w:val="24"/>
          <w:szCs w:val="24"/>
          <w:highlight w:val="none"/>
        </w:rPr>
        <w:t>第八章</w:t>
      </w:r>
      <w:r>
        <w:rPr>
          <w:rStyle w:val="53"/>
          <w:rFonts w:ascii="宋体" w:hAnsi="宋体"/>
          <w:color w:val="auto"/>
          <w:sz w:val="24"/>
          <w:szCs w:val="24"/>
          <w:highlight w:val="none"/>
        </w:rPr>
        <w:t xml:space="preserve">  </w:t>
      </w:r>
      <w:r>
        <w:rPr>
          <w:rStyle w:val="53"/>
          <w:rFonts w:hint="eastAsia" w:ascii="宋体" w:hAnsi="宋体"/>
          <w:color w:val="auto"/>
          <w:sz w:val="24"/>
          <w:szCs w:val="24"/>
          <w:highlight w:val="none"/>
        </w:rPr>
        <w:t>投标文件格式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_Toc57905916 \h </w:instrText>
      </w:r>
      <w:r>
        <w:rPr>
          <w:color w:val="auto"/>
          <w:sz w:val="24"/>
          <w:szCs w:val="24"/>
          <w:highlight w:val="none"/>
        </w:rPr>
        <w:fldChar w:fldCharType="separate"/>
      </w:r>
      <w:r>
        <w:rPr>
          <w:color w:val="auto"/>
          <w:sz w:val="24"/>
          <w:szCs w:val="24"/>
          <w:highlight w:val="none"/>
        </w:rPr>
        <w:t>70</w:t>
      </w:r>
      <w:r>
        <w:rPr>
          <w:color w:val="auto"/>
          <w:sz w:val="24"/>
          <w:szCs w:val="24"/>
          <w:highlight w:val="none"/>
        </w:rPr>
        <w:fldChar w:fldCharType="end"/>
      </w:r>
      <w:r>
        <w:rPr>
          <w:color w:val="auto"/>
          <w:sz w:val="24"/>
          <w:szCs w:val="24"/>
          <w:highlight w:val="none"/>
        </w:rPr>
        <w:fldChar w:fldCharType="end"/>
      </w:r>
    </w:p>
    <w:p w14:paraId="5E2FA1A5">
      <w:pPr>
        <w:pStyle w:val="22"/>
        <w:tabs>
          <w:tab w:val="right" w:leader="dot" w:pos="9459"/>
        </w:tabs>
        <w:rPr>
          <w:rFonts w:ascii="Calibri" w:hAnsi="Calibri"/>
          <w:i w:val="0"/>
          <w:iCs w:val="0"/>
          <w:color w:val="auto"/>
          <w:sz w:val="21"/>
          <w:szCs w:val="22"/>
          <w:highlight w:val="none"/>
        </w:rPr>
      </w:pPr>
    </w:p>
    <w:p w14:paraId="6AB819F1">
      <w:pPr>
        <w:rPr>
          <w:rFonts w:ascii="宋体" w:hAnsi="宋体"/>
          <w:color w:val="auto"/>
          <w:highlight w:val="none"/>
        </w:rPr>
      </w:pPr>
      <w:r>
        <w:rPr>
          <w:rFonts w:ascii="宋体" w:hAnsi="宋体"/>
          <w:bCs/>
          <w:color w:val="auto"/>
          <w:szCs w:val="20"/>
          <w:highlight w:val="none"/>
          <w:lang w:val="zh-CN"/>
        </w:rPr>
        <w:fldChar w:fldCharType="end"/>
      </w:r>
    </w:p>
    <w:bookmarkEnd w:id="0"/>
    <w:p w14:paraId="41349DC3">
      <w:pPr>
        <w:spacing w:line="20" w:lineRule="exact"/>
        <w:rPr>
          <w:rFonts w:ascii="宋体" w:hAnsi="宋体"/>
          <w:color w:val="auto"/>
          <w:highlight w:val="none"/>
        </w:rPr>
      </w:pPr>
      <w:bookmarkStart w:id="8" w:name="_Toc430530414"/>
    </w:p>
    <w:p w14:paraId="75E205EF">
      <w:pPr>
        <w:spacing w:line="20" w:lineRule="exact"/>
        <w:jc w:val="left"/>
        <w:rPr>
          <w:rFonts w:ascii="宋体" w:hAnsi="宋体"/>
          <w:color w:val="auto"/>
          <w:highlight w:val="none"/>
        </w:rPr>
        <w:sectPr>
          <w:footerReference r:id="rId6" w:type="default"/>
          <w:pgSz w:w="11907" w:h="16840"/>
          <w:pgMar w:top="1304" w:right="1134" w:bottom="1304" w:left="1304" w:header="851" w:footer="992" w:gutter="0"/>
          <w:pgNumType w:fmt="numberInDash" w:start="1"/>
          <w:cols w:space="720" w:num="1"/>
          <w:docGrid w:linePitch="312" w:charSpace="0"/>
        </w:sectPr>
      </w:pPr>
    </w:p>
    <w:bookmarkEnd w:id="8"/>
    <w:p w14:paraId="0B9425EB">
      <w:pPr>
        <w:spacing w:line="360" w:lineRule="auto"/>
        <w:rPr>
          <w:rFonts w:ascii="宋体" w:hAnsi="宋体"/>
          <w:color w:val="auto"/>
          <w:highlight w:val="none"/>
        </w:rPr>
      </w:pPr>
    </w:p>
    <w:p w14:paraId="7246FF21">
      <w:pPr>
        <w:pStyle w:val="2"/>
        <w:spacing w:before="0" w:after="0" w:line="480" w:lineRule="auto"/>
        <w:jc w:val="center"/>
        <w:rPr>
          <w:rFonts w:ascii="宋体" w:hAnsi="宋体"/>
          <w:color w:val="auto"/>
          <w:sz w:val="52"/>
          <w:szCs w:val="52"/>
          <w:highlight w:val="none"/>
        </w:rPr>
      </w:pPr>
      <w:bookmarkStart w:id="9" w:name="_Toc57905810"/>
      <w:bookmarkStart w:id="10" w:name="_Toc9936"/>
      <w:bookmarkStart w:id="11" w:name="_Toc509218690"/>
      <w:r>
        <w:rPr>
          <w:rFonts w:hint="eastAsia" w:ascii="宋体" w:hAnsi="宋体"/>
          <w:color w:val="auto"/>
          <w:sz w:val="52"/>
          <w:szCs w:val="52"/>
          <w:highlight w:val="none"/>
        </w:rPr>
        <w:t>第 一 卷</w:t>
      </w:r>
      <w:bookmarkEnd w:id="9"/>
      <w:bookmarkEnd w:id="10"/>
      <w:bookmarkEnd w:id="11"/>
    </w:p>
    <w:p w14:paraId="71758075">
      <w:pPr>
        <w:spacing w:line="200" w:lineRule="exact"/>
        <w:rPr>
          <w:rFonts w:ascii="宋体" w:hAnsi="宋体"/>
          <w:color w:val="auto"/>
          <w:highlight w:val="none"/>
        </w:rPr>
      </w:pPr>
      <w:r>
        <w:rPr>
          <w:rFonts w:ascii="宋体" w:hAnsi="宋体"/>
          <w:color w:val="auto"/>
          <w:highlight w:val="none"/>
        </w:rPr>
        <w:br w:type="page"/>
      </w:r>
    </w:p>
    <w:p w14:paraId="77B2130D">
      <w:pPr>
        <w:pStyle w:val="2"/>
        <w:spacing w:line="360" w:lineRule="auto"/>
        <w:jc w:val="center"/>
        <w:rPr>
          <w:rFonts w:ascii="宋体" w:hAnsi="宋体"/>
          <w:snapToGrid w:val="0"/>
          <w:color w:val="auto"/>
          <w:kern w:val="0"/>
          <w:highlight w:val="none"/>
        </w:rPr>
      </w:pPr>
      <w:bookmarkStart w:id="12" w:name="_Toc224103298"/>
      <w:bookmarkStart w:id="13" w:name="_Toc430530415"/>
      <w:bookmarkStart w:id="14" w:name="_Toc287620666"/>
      <w:bookmarkStart w:id="15" w:name="_Toc12819"/>
      <w:bookmarkStart w:id="16" w:name="_Toc277082535"/>
      <w:bookmarkStart w:id="17" w:name="_Toc509218691"/>
      <w:bookmarkStart w:id="18" w:name="_Toc287607727"/>
      <w:bookmarkStart w:id="19" w:name="_Toc57905811"/>
      <w:r>
        <w:rPr>
          <w:rFonts w:ascii="宋体" w:hAnsi="宋体"/>
          <w:snapToGrid w:val="0"/>
          <w:color w:val="auto"/>
          <w:kern w:val="0"/>
          <w:highlight w:val="none"/>
        </w:rPr>
        <w:t>第一章  招标公告</w:t>
      </w:r>
      <w:bookmarkEnd w:id="12"/>
      <w:bookmarkEnd w:id="13"/>
      <w:bookmarkEnd w:id="14"/>
      <w:bookmarkEnd w:id="15"/>
      <w:bookmarkEnd w:id="16"/>
      <w:bookmarkEnd w:id="17"/>
      <w:bookmarkEnd w:id="18"/>
      <w:bookmarkEnd w:id="19"/>
    </w:p>
    <w:p w14:paraId="2DA77940">
      <w:pPr>
        <w:autoSpaceDE w:val="0"/>
        <w:autoSpaceDN w:val="0"/>
        <w:adjustRightInd w:val="0"/>
        <w:snapToGrid w:val="0"/>
        <w:spacing w:line="360" w:lineRule="auto"/>
        <w:jc w:val="center"/>
        <w:rPr>
          <w:rFonts w:ascii="宋体" w:hAnsi="宋体"/>
          <w:b/>
          <w:bCs/>
          <w:snapToGrid w:val="0"/>
          <w:color w:val="auto"/>
          <w:kern w:val="0"/>
          <w:sz w:val="28"/>
          <w:szCs w:val="28"/>
          <w:highlight w:val="none"/>
        </w:rPr>
      </w:pPr>
      <w:r>
        <w:rPr>
          <w:rFonts w:hint="eastAsia" w:ascii="宋体" w:hAnsi="宋体"/>
          <w:b/>
          <w:bCs/>
          <w:snapToGrid w:val="0"/>
          <w:color w:val="auto"/>
          <w:kern w:val="0"/>
          <w:sz w:val="28"/>
          <w:szCs w:val="28"/>
          <w:highlight w:val="none"/>
          <w:u w:val="single"/>
          <w:lang w:eastAsia="zh-CN"/>
        </w:rPr>
        <w:t>长安锦绣城商业2栋、18栋（七十二行）屋面防水维修工程</w:t>
      </w:r>
      <w:r>
        <w:rPr>
          <w:rFonts w:ascii="宋体" w:hAnsi="宋体"/>
          <w:b/>
          <w:bCs/>
          <w:snapToGrid w:val="0"/>
          <w:color w:val="auto"/>
          <w:w w:val="99"/>
          <w:kern w:val="0"/>
          <w:sz w:val="28"/>
          <w:szCs w:val="28"/>
          <w:highlight w:val="none"/>
        </w:rPr>
        <w:t>招标公告</w:t>
      </w:r>
    </w:p>
    <w:p w14:paraId="5850DDAA">
      <w:pPr>
        <w:pStyle w:val="3"/>
        <w:spacing w:before="100" w:after="100" w:line="460" w:lineRule="exact"/>
        <w:rPr>
          <w:rFonts w:ascii="宋体" w:hAnsi="宋体"/>
          <w:snapToGrid w:val="0"/>
          <w:color w:val="auto"/>
          <w:sz w:val="28"/>
          <w:szCs w:val="28"/>
          <w:highlight w:val="none"/>
        </w:rPr>
      </w:pPr>
      <w:bookmarkStart w:id="20" w:name="_Toc277082536"/>
      <w:bookmarkStart w:id="21" w:name="_Toc430530416"/>
      <w:bookmarkStart w:id="22" w:name="_Toc287620667"/>
      <w:bookmarkStart w:id="23" w:name="_Toc57905812"/>
      <w:bookmarkStart w:id="24" w:name="_Toc287607728"/>
      <w:bookmarkStart w:id="25" w:name="_Toc200359238"/>
      <w:bookmarkStart w:id="26" w:name="_Toc200359427"/>
      <w:bookmarkStart w:id="27" w:name="_Toc27491"/>
      <w:bookmarkStart w:id="28" w:name="_Toc224103299"/>
      <w:bookmarkStart w:id="29" w:name="_Toc509218692"/>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招标条件</w:t>
      </w:r>
      <w:bookmarkEnd w:id="20"/>
      <w:bookmarkEnd w:id="21"/>
      <w:bookmarkEnd w:id="22"/>
      <w:bookmarkEnd w:id="23"/>
      <w:bookmarkEnd w:id="24"/>
      <w:bookmarkEnd w:id="25"/>
      <w:bookmarkEnd w:id="26"/>
      <w:bookmarkEnd w:id="27"/>
      <w:bookmarkEnd w:id="28"/>
      <w:bookmarkEnd w:id="29"/>
    </w:p>
    <w:p w14:paraId="44A29443">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本招标项目</w:t>
      </w:r>
      <w:r>
        <w:rPr>
          <w:rFonts w:hint="eastAsia" w:ascii="宋体" w:hAnsi="宋体"/>
          <w:snapToGrid w:val="0"/>
          <w:color w:val="auto"/>
          <w:kern w:val="0"/>
          <w:szCs w:val="21"/>
          <w:highlight w:val="none"/>
          <w:u w:val="single"/>
          <w:lang w:eastAsia="zh-CN"/>
        </w:rPr>
        <w:t>长安锦绣城商业2栋、18栋（七十二行）屋面防水维修工程</w:t>
      </w:r>
      <w:r>
        <w:rPr>
          <w:rFonts w:ascii="宋体" w:hAnsi="宋体"/>
          <w:snapToGrid w:val="0"/>
          <w:color w:val="auto"/>
          <w:kern w:val="0"/>
          <w:szCs w:val="21"/>
          <w:highlight w:val="none"/>
        </w:rPr>
        <w:t>，项目业主为</w:t>
      </w:r>
      <w:r>
        <w:rPr>
          <w:rFonts w:hint="eastAsia" w:ascii="宋体" w:hAnsi="宋体"/>
          <w:snapToGrid w:val="0"/>
          <w:color w:val="auto"/>
          <w:kern w:val="0"/>
          <w:szCs w:val="21"/>
          <w:highlight w:val="none"/>
          <w:u w:val="single"/>
        </w:rPr>
        <w:t>重庆长安智慧城市运营管理有限公司</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lang w:val="en-US" w:eastAsia="zh-CN"/>
        </w:rPr>
        <w:t>专项维修资金</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lang w:val="en-US" w:eastAsia="zh-CN"/>
        </w:rPr>
        <w:t>100%</w:t>
      </w:r>
      <w:r>
        <w:rPr>
          <w:rFonts w:ascii="宋体" w:hAnsi="宋体"/>
          <w:snapToGrid w:val="0"/>
          <w:color w:val="auto"/>
          <w:kern w:val="0"/>
          <w:szCs w:val="21"/>
          <w:highlight w:val="none"/>
        </w:rPr>
        <w:t>，招标人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rPr>
        <w:t>重庆长安智慧城市运营管理有限公司</w:t>
      </w:r>
      <w:r>
        <w:rPr>
          <w:rFonts w:ascii="宋体" w:hAnsi="宋体"/>
          <w:snapToGrid w:val="0"/>
          <w:color w:val="auto"/>
          <w:kern w:val="0"/>
          <w:position w:val="-2"/>
          <w:szCs w:val="21"/>
          <w:highlight w:val="none"/>
        </w:rPr>
        <w:t>。项目已具备招标条件，现对</w:t>
      </w:r>
      <w:r>
        <w:rPr>
          <w:rFonts w:hint="eastAsia" w:ascii="宋体" w:hAnsi="宋体"/>
          <w:snapToGrid w:val="0"/>
          <w:color w:val="auto"/>
          <w:kern w:val="0"/>
          <w:position w:val="-2"/>
          <w:szCs w:val="21"/>
          <w:highlight w:val="none"/>
          <w:u w:val="single"/>
        </w:rPr>
        <w:t>该项目的施工</w:t>
      </w:r>
      <w:r>
        <w:rPr>
          <w:rFonts w:ascii="宋体" w:hAnsi="宋体"/>
          <w:snapToGrid w:val="0"/>
          <w:color w:val="auto"/>
          <w:kern w:val="0"/>
          <w:position w:val="-2"/>
          <w:szCs w:val="21"/>
          <w:highlight w:val="none"/>
        </w:rPr>
        <w:t>进行公开招标。</w:t>
      </w:r>
    </w:p>
    <w:p w14:paraId="5B76DD23">
      <w:pPr>
        <w:pStyle w:val="3"/>
        <w:spacing w:before="100" w:after="100" w:line="460" w:lineRule="exact"/>
        <w:rPr>
          <w:rFonts w:ascii="宋体" w:hAnsi="宋体"/>
          <w:snapToGrid w:val="0"/>
          <w:color w:val="auto"/>
          <w:sz w:val="28"/>
          <w:szCs w:val="28"/>
          <w:highlight w:val="none"/>
        </w:rPr>
      </w:pPr>
      <w:bookmarkStart w:id="30" w:name="_Toc509218693"/>
      <w:bookmarkStart w:id="31" w:name="_Toc287607729"/>
      <w:bookmarkStart w:id="32" w:name="_Toc277082537"/>
      <w:bookmarkStart w:id="33" w:name="_Toc16344"/>
      <w:bookmarkStart w:id="34" w:name="_Toc57905813"/>
      <w:bookmarkStart w:id="35" w:name="_Toc200359239"/>
      <w:bookmarkStart w:id="36" w:name="_Toc224103300"/>
      <w:bookmarkStart w:id="37" w:name="_Toc430530417"/>
      <w:bookmarkStart w:id="38" w:name="_Toc200359428"/>
      <w:bookmarkStart w:id="39" w:name="_Toc287620668"/>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项目概况与招标范围</w:t>
      </w:r>
      <w:bookmarkEnd w:id="30"/>
      <w:bookmarkEnd w:id="31"/>
      <w:bookmarkEnd w:id="32"/>
      <w:bookmarkEnd w:id="33"/>
      <w:bookmarkEnd w:id="34"/>
      <w:bookmarkEnd w:id="35"/>
      <w:bookmarkEnd w:id="36"/>
      <w:bookmarkEnd w:id="37"/>
      <w:bookmarkEnd w:id="38"/>
      <w:bookmarkEnd w:id="39"/>
    </w:p>
    <w:p w14:paraId="6EA950C6">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2.1 建设地点：</w:t>
      </w:r>
      <w:r>
        <w:rPr>
          <w:rFonts w:hint="eastAsia" w:ascii="宋体" w:hAnsi="宋体"/>
          <w:snapToGrid w:val="0"/>
          <w:color w:val="auto"/>
          <w:kern w:val="0"/>
          <w:szCs w:val="21"/>
          <w:highlight w:val="none"/>
          <w:u w:val="single"/>
        </w:rPr>
        <w:t>重庆市渝北区龙溪街道龙华大道99号商业2栋18栋屋面(七十二行屋面)</w:t>
      </w:r>
    </w:p>
    <w:p w14:paraId="4A9D1A73">
      <w:pPr>
        <w:tabs>
          <w:tab w:val="left" w:pos="3840"/>
          <w:tab w:val="left" w:pos="5300"/>
        </w:tabs>
        <w:autoSpaceDE w:val="0"/>
        <w:autoSpaceDN w:val="0"/>
        <w:adjustRightInd w:val="0"/>
        <w:snapToGrid w:val="0"/>
        <w:spacing w:line="460" w:lineRule="exact"/>
        <w:ind w:firstLine="420" w:firstLineChars="200"/>
        <w:jc w:val="left"/>
        <w:rPr>
          <w:rFonts w:hint="default" w:ascii="宋体" w:hAnsi="宋体"/>
          <w:snapToGrid w:val="0"/>
          <w:color w:val="auto"/>
          <w:kern w:val="0"/>
          <w:szCs w:val="21"/>
          <w:highlight w:val="none"/>
          <w:u w:val="single"/>
          <w:lang w:val="en-US" w:eastAsia="zh-CN"/>
        </w:rPr>
      </w:pPr>
      <w:r>
        <w:rPr>
          <w:rFonts w:hint="eastAsia" w:ascii="宋体" w:hAnsi="宋体"/>
          <w:snapToGrid w:val="0"/>
          <w:color w:val="auto"/>
          <w:kern w:val="0"/>
          <w:szCs w:val="21"/>
          <w:highlight w:val="none"/>
        </w:rPr>
        <w:t>2.2 项目概况与建设规模</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u w:val="single"/>
        </w:rPr>
        <w:t>长安锦绣城小区位于重庆市渝北区龙溪街道龙华大道99号商业2栋18栋屋面(七十二</w:t>
      </w:r>
      <w:r>
        <w:rPr>
          <w:rFonts w:hint="eastAsia" w:ascii="宋体" w:hAnsi="宋体"/>
          <w:snapToGrid w:val="0"/>
          <w:color w:val="auto"/>
          <w:kern w:val="0"/>
          <w:szCs w:val="21"/>
          <w:highlight w:val="none"/>
          <w:u w:val="single"/>
          <w:lang w:val="en-US" w:eastAsia="zh-CN"/>
        </w:rPr>
        <w:t>行</w:t>
      </w:r>
      <w:r>
        <w:rPr>
          <w:rFonts w:hint="eastAsia" w:ascii="宋体" w:hAnsi="宋体"/>
          <w:snapToGrid w:val="0"/>
          <w:color w:val="auto"/>
          <w:kern w:val="0"/>
          <w:szCs w:val="21"/>
          <w:highlight w:val="none"/>
          <w:u w:val="single"/>
        </w:rPr>
        <w:t>屋面)经业主反馈多处户内漏水</w:t>
      </w: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u w:val="single"/>
        </w:rPr>
        <w:t>目前工程师目测观测到渗漏范围较大</w:t>
      </w: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u w:val="single"/>
        </w:rPr>
        <w:t>目前</w:t>
      </w:r>
      <w:r>
        <w:rPr>
          <w:rFonts w:hint="eastAsia" w:ascii="宋体" w:hAnsi="宋体"/>
          <w:snapToGrid w:val="0"/>
          <w:color w:val="auto"/>
          <w:kern w:val="0"/>
          <w:szCs w:val="21"/>
          <w:highlight w:val="none"/>
          <w:u w:val="single"/>
          <w:lang w:val="en-US" w:eastAsia="zh-CN"/>
        </w:rPr>
        <w:t>漏</w:t>
      </w:r>
      <w:r>
        <w:rPr>
          <w:rFonts w:hint="eastAsia" w:ascii="宋体" w:hAnsi="宋体"/>
          <w:snapToGrid w:val="0"/>
          <w:color w:val="auto"/>
          <w:kern w:val="0"/>
          <w:szCs w:val="21"/>
          <w:highlight w:val="none"/>
          <w:u w:val="single"/>
        </w:rPr>
        <w:t>水情况已对商业经营、生活造成了一定的影响</w:t>
      </w: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u w:val="single"/>
        </w:rPr>
        <w:t>渗漏情况若持续扩大将直接影响商业无法正常经营生活。</w:t>
      </w:r>
      <w:r>
        <w:rPr>
          <w:rFonts w:hint="eastAsia" w:ascii="宋体" w:hAnsi="宋体"/>
          <w:snapToGrid w:val="0"/>
          <w:color w:val="auto"/>
          <w:kern w:val="0"/>
          <w:szCs w:val="21"/>
          <w:highlight w:val="none"/>
          <w:u w:val="single"/>
          <w:lang w:val="en-US" w:eastAsia="zh-CN"/>
        </w:rPr>
        <w:t>需要使用专项维修资金进行维修，具体详见本项目工程量清单。</w:t>
      </w:r>
    </w:p>
    <w:p w14:paraId="24977027">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auto"/>
          <w:kern w:val="0"/>
          <w:szCs w:val="21"/>
          <w:highlight w:val="none"/>
          <w:u w:val="single"/>
          <w:lang w:val="en-US" w:eastAsia="zh-CN"/>
        </w:rPr>
      </w:pPr>
      <w:r>
        <w:rPr>
          <w:rFonts w:hint="eastAsia" w:ascii="宋体" w:hAnsi="宋体"/>
          <w:snapToGrid w:val="0"/>
          <w:color w:val="auto"/>
          <w:kern w:val="0"/>
          <w:szCs w:val="21"/>
          <w:highlight w:val="none"/>
        </w:rPr>
        <w:t>2.3 本次招标项目合同估算金额：</w:t>
      </w:r>
      <w:r>
        <w:rPr>
          <w:rFonts w:hint="eastAsia" w:ascii="宋体" w:hAnsi="宋体"/>
          <w:snapToGrid w:val="0"/>
          <w:color w:val="auto"/>
          <w:kern w:val="0"/>
          <w:szCs w:val="21"/>
          <w:highlight w:val="none"/>
          <w:u w:val="single"/>
          <w:lang w:val="en-US" w:eastAsia="zh-CN"/>
        </w:rPr>
        <w:t>310104.44元</w:t>
      </w:r>
    </w:p>
    <w:p w14:paraId="38F36A36">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u w:val="single"/>
          <w:lang w:eastAsia="zh-CN"/>
        </w:rPr>
      </w:pPr>
      <w:r>
        <w:rPr>
          <w:rFonts w:hint="eastAsia" w:ascii="宋体" w:hAnsi="宋体"/>
          <w:snapToGrid w:val="0"/>
          <w:color w:val="auto"/>
          <w:kern w:val="0"/>
          <w:szCs w:val="21"/>
          <w:highlight w:val="none"/>
        </w:rPr>
        <w:t>2.4 招标范围：</w:t>
      </w:r>
      <w:r>
        <w:rPr>
          <w:rFonts w:hint="eastAsia" w:ascii="宋体" w:hAnsi="宋体"/>
          <w:snapToGrid w:val="0"/>
          <w:color w:val="auto"/>
          <w:kern w:val="0"/>
          <w:szCs w:val="21"/>
          <w:highlight w:val="none"/>
          <w:u w:val="single"/>
        </w:rPr>
        <w:t>包含工程量清单、招标文件（含答疑、补遗、澄清通知）等范围内的全部工程内容, 具体以招标人提供的工程量清单的内容为准</w:t>
      </w:r>
      <w:r>
        <w:rPr>
          <w:rFonts w:hint="eastAsia" w:ascii="宋体" w:hAnsi="宋体"/>
          <w:snapToGrid w:val="0"/>
          <w:color w:val="auto"/>
          <w:kern w:val="0"/>
          <w:szCs w:val="21"/>
          <w:highlight w:val="none"/>
          <w:u w:val="single"/>
          <w:lang w:eastAsia="zh-CN"/>
        </w:rPr>
        <w:t>。</w:t>
      </w:r>
    </w:p>
    <w:p w14:paraId="06F52899">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2.5 工期要求：</w:t>
      </w:r>
      <w:r>
        <w:rPr>
          <w:rFonts w:hint="eastAsia" w:ascii="宋体" w:hAnsi="宋体"/>
          <w:snapToGrid w:val="0"/>
          <w:color w:val="auto"/>
          <w:kern w:val="0"/>
          <w:szCs w:val="21"/>
          <w:highlight w:val="none"/>
          <w:u w:val="single"/>
          <w:lang w:val="en-US" w:eastAsia="zh-CN"/>
        </w:rPr>
        <w:t>45</w:t>
      </w:r>
      <w:r>
        <w:rPr>
          <w:rFonts w:hint="eastAsia" w:ascii="宋体" w:hAnsi="宋体"/>
          <w:snapToGrid w:val="0"/>
          <w:color w:val="auto"/>
          <w:kern w:val="0"/>
          <w:szCs w:val="21"/>
          <w:highlight w:val="none"/>
          <w:u w:val="single"/>
        </w:rPr>
        <w:t>日历天</w:t>
      </w:r>
      <w:r>
        <w:rPr>
          <w:rFonts w:hint="eastAsia" w:ascii="宋体" w:hAnsi="宋体"/>
          <w:snapToGrid w:val="0"/>
          <w:color w:val="auto"/>
          <w:kern w:val="0"/>
          <w:szCs w:val="21"/>
          <w:highlight w:val="none"/>
          <w:u w:val="none"/>
          <w:lang w:eastAsia="zh-CN"/>
        </w:rPr>
        <w:t>，</w:t>
      </w:r>
      <w:r>
        <w:rPr>
          <w:rFonts w:hint="eastAsia" w:ascii="宋体" w:hAnsi="宋体"/>
          <w:snapToGrid w:val="0"/>
          <w:color w:val="auto"/>
          <w:kern w:val="0"/>
          <w:szCs w:val="21"/>
          <w:highlight w:val="none"/>
        </w:rPr>
        <w:t>质保期</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u w:val="single"/>
        </w:rPr>
        <w:t>五年</w:t>
      </w:r>
    </w:p>
    <w:p w14:paraId="6B26875B">
      <w:pPr>
        <w:pStyle w:val="3"/>
        <w:spacing w:before="100" w:after="100" w:line="460" w:lineRule="exact"/>
        <w:rPr>
          <w:rFonts w:ascii="宋体" w:hAnsi="宋体"/>
          <w:snapToGrid w:val="0"/>
          <w:color w:val="auto"/>
          <w:sz w:val="28"/>
          <w:szCs w:val="28"/>
          <w:highlight w:val="none"/>
        </w:rPr>
      </w:pPr>
      <w:bookmarkStart w:id="40" w:name="_Toc509218694"/>
      <w:bookmarkStart w:id="41" w:name="_Toc200359240"/>
      <w:bookmarkStart w:id="42" w:name="_Toc287620669"/>
      <w:bookmarkStart w:id="43" w:name="_Toc430530418"/>
      <w:bookmarkStart w:id="44" w:name="_Toc224103301"/>
      <w:bookmarkStart w:id="45" w:name="_Toc287607730"/>
      <w:bookmarkStart w:id="46" w:name="_Toc277082538"/>
      <w:bookmarkStart w:id="47" w:name="_Toc19513"/>
      <w:bookmarkStart w:id="48" w:name="_Toc57905814"/>
      <w:bookmarkStart w:id="49" w:name="_Toc200359429"/>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投标人资格要求</w:t>
      </w:r>
      <w:bookmarkEnd w:id="40"/>
      <w:bookmarkEnd w:id="41"/>
      <w:bookmarkEnd w:id="42"/>
      <w:bookmarkEnd w:id="43"/>
      <w:bookmarkEnd w:id="44"/>
      <w:bookmarkEnd w:id="45"/>
      <w:bookmarkEnd w:id="46"/>
      <w:bookmarkEnd w:id="47"/>
      <w:bookmarkEnd w:id="48"/>
      <w:bookmarkEnd w:id="49"/>
    </w:p>
    <w:p w14:paraId="5E5BA4F3">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本次招标要求投标人须具备</w:t>
      </w:r>
      <w:r>
        <w:rPr>
          <w:rFonts w:hint="eastAsia" w:ascii="宋体" w:hAnsi="宋体"/>
          <w:snapToGrid w:val="0"/>
          <w:color w:val="auto"/>
          <w:kern w:val="0"/>
          <w:szCs w:val="21"/>
          <w:highlight w:val="none"/>
        </w:rPr>
        <w:t>以下条件：</w:t>
      </w:r>
    </w:p>
    <w:p w14:paraId="72DE932E">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3.1.1 本次招标要求投标人具备的资质条件：</w:t>
      </w:r>
      <w:r>
        <w:rPr>
          <w:rFonts w:hint="eastAsia" w:ascii="宋体" w:hAnsi="宋体"/>
          <w:snapToGrid w:val="0"/>
          <w:color w:val="auto"/>
          <w:kern w:val="0"/>
          <w:szCs w:val="21"/>
          <w:highlight w:val="none"/>
          <w:u w:val="single"/>
        </w:rPr>
        <w:t>具备建设行政主管部门颁发的有效的防水防腐保温工程专业承包</w:t>
      </w:r>
      <w:r>
        <w:rPr>
          <w:rFonts w:hint="eastAsia" w:ascii="宋体" w:hAnsi="宋体"/>
          <w:snapToGrid w:val="0"/>
          <w:color w:val="auto"/>
          <w:kern w:val="0"/>
          <w:szCs w:val="21"/>
          <w:highlight w:val="none"/>
          <w:u w:val="single"/>
          <w:lang w:val="en-US" w:eastAsia="zh-CN"/>
        </w:rPr>
        <w:t>二</w:t>
      </w:r>
      <w:r>
        <w:rPr>
          <w:rFonts w:hint="eastAsia" w:ascii="宋体" w:hAnsi="宋体"/>
          <w:snapToGrid w:val="0"/>
          <w:color w:val="auto"/>
          <w:kern w:val="0"/>
          <w:szCs w:val="21"/>
          <w:highlight w:val="none"/>
          <w:u w:val="single"/>
        </w:rPr>
        <w:t>级及以上资质</w:t>
      </w:r>
      <w:r>
        <w:rPr>
          <w:rFonts w:hint="eastAsia" w:ascii="宋体" w:hAnsi="宋体"/>
          <w:snapToGrid w:val="0"/>
          <w:color w:val="auto"/>
          <w:kern w:val="0"/>
          <w:szCs w:val="21"/>
          <w:highlight w:val="none"/>
        </w:rPr>
        <w:t>；</w:t>
      </w:r>
    </w:p>
    <w:p w14:paraId="403E662F">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3.1.2 本次招标要求投标人具备的业绩条件：</w:t>
      </w:r>
      <w:r>
        <w:rPr>
          <w:rFonts w:hint="eastAsia" w:ascii="宋体" w:hAnsi="宋体"/>
          <w:snapToGrid w:val="0"/>
          <w:color w:val="auto"/>
          <w:kern w:val="0"/>
          <w:szCs w:val="21"/>
          <w:highlight w:val="none"/>
          <w:u w:val="single"/>
        </w:rPr>
        <w:t>详见招标文件第二章投标人须知前附表第1.4.1项内容</w:t>
      </w:r>
      <w:r>
        <w:rPr>
          <w:rFonts w:hint="eastAsia" w:ascii="宋体" w:hAnsi="宋体"/>
          <w:snapToGrid w:val="0"/>
          <w:color w:val="auto"/>
          <w:kern w:val="0"/>
          <w:szCs w:val="21"/>
          <w:highlight w:val="none"/>
        </w:rPr>
        <w:t>；</w:t>
      </w:r>
    </w:p>
    <w:p w14:paraId="7A5E7C6D">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szCs w:val="21"/>
          <w:highlight w:val="none"/>
        </w:rPr>
      </w:pPr>
      <w:r>
        <w:rPr>
          <w:rFonts w:hint="eastAsia" w:ascii="宋体" w:hAnsi="宋体"/>
          <w:snapToGrid w:val="0"/>
          <w:color w:val="auto"/>
          <w:kern w:val="0"/>
          <w:szCs w:val="21"/>
          <w:highlight w:val="none"/>
        </w:rPr>
        <w:t>3.1.3 投标人还应在人员、设备、资金等方面具有相应的施工能力，详见招标文件第二章投标人须知前附表第1.4.1项内容。</w:t>
      </w:r>
    </w:p>
    <w:p w14:paraId="405D9255">
      <w:pPr>
        <w:tabs>
          <w:tab w:val="left" w:pos="3045"/>
          <w:tab w:val="left" w:pos="8310"/>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  本次招标</w:t>
      </w:r>
      <w:r>
        <w:rPr>
          <w:rFonts w:hint="eastAsia" w:ascii="宋体" w:hAnsi="宋体"/>
          <w:snapToGrid w:val="0"/>
          <w:color w:val="auto"/>
          <w:kern w:val="0"/>
          <w:szCs w:val="21"/>
          <w:highlight w:val="none"/>
        </w:rPr>
        <w:t>不接受</w:t>
      </w:r>
      <w:r>
        <w:rPr>
          <w:rFonts w:ascii="宋体" w:hAnsi="宋体"/>
          <w:snapToGrid w:val="0"/>
          <w:color w:val="auto"/>
          <w:kern w:val="0"/>
          <w:szCs w:val="21"/>
          <w:highlight w:val="none"/>
        </w:rPr>
        <w:t>联合体投标。</w:t>
      </w:r>
    </w:p>
    <w:p w14:paraId="35E1CD94">
      <w:pPr>
        <w:pStyle w:val="3"/>
        <w:spacing w:before="100" w:after="100" w:line="460" w:lineRule="exact"/>
        <w:rPr>
          <w:rFonts w:ascii="宋体" w:hAnsi="宋体"/>
          <w:snapToGrid w:val="0"/>
          <w:color w:val="auto"/>
          <w:sz w:val="28"/>
          <w:szCs w:val="28"/>
          <w:highlight w:val="none"/>
        </w:rPr>
      </w:pPr>
      <w:bookmarkStart w:id="50" w:name="_Toc430530419"/>
      <w:bookmarkStart w:id="51" w:name="_Toc200359241"/>
      <w:bookmarkStart w:id="52" w:name="_Toc509218695"/>
      <w:bookmarkStart w:id="53" w:name="_Toc287607731"/>
      <w:bookmarkStart w:id="54" w:name="_Toc287620670"/>
      <w:bookmarkStart w:id="55" w:name="_Toc277082539"/>
      <w:bookmarkStart w:id="56" w:name="_Toc200359430"/>
      <w:bookmarkStart w:id="57" w:name="_Toc224103302"/>
      <w:bookmarkStart w:id="58" w:name="_Toc57905815"/>
      <w:bookmarkStart w:id="59" w:name="_Toc10508"/>
      <w:r>
        <w:rPr>
          <w:rFonts w:ascii="宋体" w:hAnsi="宋体"/>
          <w:snapToGrid w:val="0"/>
          <w:color w:val="auto"/>
          <w:sz w:val="28"/>
          <w:szCs w:val="28"/>
          <w:highlight w:val="none"/>
        </w:rPr>
        <w:t xml:space="preserve">4.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招标文件的获取</w:t>
      </w:r>
      <w:bookmarkEnd w:id="50"/>
      <w:bookmarkEnd w:id="51"/>
      <w:bookmarkEnd w:id="52"/>
      <w:bookmarkEnd w:id="53"/>
      <w:bookmarkEnd w:id="54"/>
      <w:bookmarkEnd w:id="55"/>
      <w:bookmarkEnd w:id="56"/>
      <w:bookmarkEnd w:id="57"/>
      <w:bookmarkEnd w:id="58"/>
      <w:bookmarkEnd w:id="59"/>
    </w:p>
    <w:p w14:paraId="3F0F54BB">
      <w:pPr>
        <w:pageBreakBefore w:val="0"/>
        <w:kinsoku/>
        <w:wordWrap/>
        <w:overflowPunct/>
        <w:topLinePunct w:val="0"/>
        <w:autoSpaceDE/>
        <w:autoSpaceDN/>
        <w:bidi w:val="0"/>
        <w:adjustRightInd/>
        <w:snapToGrid w:val="0"/>
        <w:spacing w:line="540" w:lineRule="exact"/>
        <w:ind w:firstLine="420" w:firstLineChars="200"/>
        <w:jc w:val="left"/>
        <w:textAlignment w:val="auto"/>
        <w:rPr>
          <w:rFonts w:hint="eastAsia" w:ascii="宋体" w:hAnsi="宋体"/>
          <w:snapToGrid w:val="0"/>
          <w:color w:val="auto"/>
          <w:kern w:val="0"/>
          <w:szCs w:val="21"/>
          <w:highlight w:val="none"/>
          <w:lang w:eastAsia="zh-CN"/>
        </w:rPr>
      </w:pPr>
      <w:r>
        <w:rPr>
          <w:rFonts w:hint="eastAsia" w:ascii="宋体" w:hAnsi="宋体"/>
          <w:snapToGrid w:val="0"/>
          <w:color w:val="auto"/>
          <w:kern w:val="0"/>
          <w:szCs w:val="21"/>
          <w:highlight w:val="none"/>
        </w:rPr>
        <w:t xml:space="preserve">4.1  </w:t>
      </w:r>
      <w:r>
        <w:rPr>
          <w:rFonts w:hint="eastAsia" w:ascii="宋体" w:hAnsi="宋体"/>
          <w:snapToGrid w:val="0"/>
          <w:color w:val="auto"/>
          <w:kern w:val="0"/>
          <w:szCs w:val="21"/>
          <w:highlight w:val="none"/>
          <w:lang w:val="en-US" w:eastAsia="zh-CN"/>
        </w:rPr>
        <w:t>投标人</w:t>
      </w:r>
      <w:r>
        <w:rPr>
          <w:rFonts w:hint="eastAsia" w:ascii="宋体" w:hAnsi="宋体"/>
          <w:snapToGrid w:val="0"/>
          <w:color w:val="auto"/>
          <w:kern w:val="0"/>
          <w:szCs w:val="21"/>
          <w:highlight w:val="none"/>
        </w:rPr>
        <w:t>应通过“行采家”平台（https://www.gec123.com）进行注册，成为行采家平台</w:t>
      </w:r>
      <w:r>
        <w:rPr>
          <w:rFonts w:hint="eastAsia" w:ascii="宋体" w:hAnsi="宋体"/>
          <w:snapToGrid w:val="0"/>
          <w:color w:val="auto"/>
          <w:kern w:val="0"/>
          <w:szCs w:val="21"/>
          <w:highlight w:val="none"/>
          <w:lang w:val="en-US" w:eastAsia="zh-CN"/>
        </w:rPr>
        <w:t>的投标人</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凡有意参加投标</w:t>
      </w:r>
      <w:r>
        <w:rPr>
          <w:rFonts w:hint="eastAsia" w:ascii="宋体" w:hAnsi="宋体"/>
          <w:snapToGrid w:val="0"/>
          <w:color w:val="auto"/>
          <w:kern w:val="0"/>
          <w:szCs w:val="21"/>
          <w:highlight w:val="none"/>
          <w:lang w:val="en-US" w:eastAsia="zh-CN"/>
        </w:rPr>
        <w:t>人</w:t>
      </w:r>
      <w:r>
        <w:rPr>
          <w:rFonts w:ascii="宋体" w:hAnsi="宋体"/>
          <w:snapToGrid w:val="0"/>
          <w:color w:val="auto"/>
          <w:kern w:val="0"/>
          <w:szCs w:val="21"/>
          <w:highlight w:val="none"/>
        </w:rPr>
        <w:t>，请于</w:t>
      </w:r>
      <w:r>
        <w:rPr>
          <w:rFonts w:hint="eastAsia" w:ascii="宋体" w:hAnsi="宋体"/>
          <w:snapToGrid w:val="0"/>
          <w:color w:val="auto"/>
          <w:kern w:val="0"/>
          <w:szCs w:val="21"/>
          <w:highlight w:val="none"/>
          <w:u w:val="single"/>
          <w:lang w:val="en-US" w:eastAsia="zh-CN"/>
        </w:rPr>
        <w:t>2025</w:t>
      </w:r>
      <w:r>
        <w:rPr>
          <w:rFonts w:hint="eastAsia" w:ascii="宋体" w:hAnsi="宋体"/>
          <w:snapToGrid w:val="0"/>
          <w:color w:val="auto"/>
          <w:kern w:val="0"/>
          <w:szCs w:val="21"/>
          <w:highlight w:val="none"/>
          <w:u w:val="none"/>
          <w:lang w:val="en-US" w:eastAsia="zh-CN"/>
        </w:rPr>
        <w:t>年</w:t>
      </w:r>
      <w:r>
        <w:rPr>
          <w:rFonts w:hint="eastAsia" w:ascii="宋体" w:hAnsi="宋体"/>
          <w:snapToGrid w:val="0"/>
          <w:color w:val="auto"/>
          <w:kern w:val="0"/>
          <w:szCs w:val="21"/>
          <w:highlight w:val="none"/>
          <w:u w:val="single"/>
          <w:lang w:val="en-US" w:eastAsia="zh-CN"/>
        </w:rPr>
        <w:t>7</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24</w:t>
      </w:r>
      <w:r>
        <w:rPr>
          <w:rFonts w:ascii="宋体" w:hAnsi="宋体"/>
          <w:snapToGrid w:val="0"/>
          <w:color w:val="auto"/>
          <w:kern w:val="0"/>
          <w:szCs w:val="21"/>
          <w:highlight w:val="none"/>
        </w:rPr>
        <w:t>日</w:t>
      </w:r>
      <w:r>
        <w:rPr>
          <w:rFonts w:hint="eastAsia" w:ascii="宋体" w:hAnsi="宋体"/>
          <w:snapToGrid w:val="0"/>
          <w:color w:val="auto"/>
          <w:kern w:val="0"/>
          <w:szCs w:val="21"/>
          <w:highlight w:val="none"/>
          <w:lang w:val="en-US" w:eastAsia="zh-CN"/>
        </w:rPr>
        <w:t>至</w:t>
      </w:r>
      <w:r>
        <w:rPr>
          <w:rFonts w:hint="eastAsia" w:ascii="宋体" w:hAnsi="宋体"/>
          <w:snapToGrid w:val="0"/>
          <w:color w:val="auto"/>
          <w:kern w:val="0"/>
          <w:szCs w:val="21"/>
          <w:highlight w:val="none"/>
          <w:u w:val="single"/>
          <w:lang w:val="en-US" w:eastAsia="zh-CN"/>
        </w:rPr>
        <w:t>2025</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8</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3</w:t>
      </w:r>
      <w:r>
        <w:rPr>
          <w:rFonts w:ascii="宋体" w:hAnsi="宋体"/>
          <w:snapToGrid w:val="0"/>
          <w:color w:val="auto"/>
          <w:kern w:val="0"/>
          <w:szCs w:val="21"/>
          <w:highlight w:val="none"/>
        </w:rPr>
        <w:t>日</w:t>
      </w:r>
      <w:r>
        <w:rPr>
          <w:rFonts w:hint="eastAsia" w:ascii="宋体" w:hAnsi="宋体"/>
          <w:snapToGrid w:val="0"/>
          <w:color w:val="auto"/>
          <w:kern w:val="0"/>
          <w:szCs w:val="21"/>
          <w:highlight w:val="none"/>
          <w:lang w:val="en-US" w:eastAsia="zh-CN"/>
        </w:rPr>
        <w:t>17时30分内</w:t>
      </w:r>
      <w:r>
        <w:rPr>
          <w:rFonts w:hint="eastAsia" w:ascii="宋体" w:hAnsi="宋体"/>
          <w:snapToGrid w:val="0"/>
          <w:color w:val="auto"/>
          <w:kern w:val="0"/>
          <w:szCs w:val="21"/>
          <w:highlight w:val="none"/>
        </w:rPr>
        <w:t>向</w:t>
      </w:r>
      <w:r>
        <w:rPr>
          <w:rFonts w:hint="eastAsia" w:ascii="宋体" w:hAnsi="宋体"/>
          <w:snapToGrid w:val="0"/>
          <w:color w:val="auto"/>
          <w:kern w:val="0"/>
          <w:szCs w:val="21"/>
          <w:highlight w:val="none"/>
          <w:lang w:val="en-US" w:eastAsia="zh-CN"/>
        </w:rPr>
        <w:t>招标代理机构进行报名，并</w:t>
      </w:r>
      <w:r>
        <w:rPr>
          <w:rFonts w:hint="eastAsia" w:ascii="宋体" w:hAnsi="宋体"/>
          <w:snapToGrid w:val="0"/>
          <w:color w:val="auto"/>
          <w:kern w:val="0"/>
          <w:szCs w:val="21"/>
          <w:highlight w:val="none"/>
        </w:rPr>
        <w:t>购买</w:t>
      </w:r>
      <w:r>
        <w:rPr>
          <w:rFonts w:hint="eastAsia" w:ascii="宋体" w:hAnsi="宋体"/>
          <w:snapToGrid w:val="0"/>
          <w:color w:val="auto"/>
          <w:kern w:val="0"/>
          <w:szCs w:val="21"/>
          <w:highlight w:val="none"/>
          <w:lang w:val="en-US" w:eastAsia="zh-CN"/>
        </w:rPr>
        <w:t>招标</w:t>
      </w:r>
      <w:r>
        <w:rPr>
          <w:rFonts w:hint="eastAsia" w:ascii="宋体" w:hAnsi="宋体"/>
          <w:snapToGrid w:val="0"/>
          <w:color w:val="auto"/>
          <w:kern w:val="0"/>
          <w:szCs w:val="21"/>
          <w:highlight w:val="none"/>
        </w:rPr>
        <w:t>文件</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招标文件费用：500.00元（售后不退）。</w:t>
      </w:r>
    </w:p>
    <w:p w14:paraId="7D9B6A07">
      <w:pPr>
        <w:pageBreakBefore w:val="0"/>
        <w:kinsoku/>
        <w:wordWrap/>
        <w:overflowPunct/>
        <w:topLinePunct w:val="0"/>
        <w:autoSpaceDE/>
        <w:autoSpaceDN/>
        <w:bidi w:val="0"/>
        <w:adjustRightInd/>
        <w:snapToGrid w:val="0"/>
        <w:spacing w:line="540" w:lineRule="exact"/>
        <w:ind w:firstLine="420" w:firstLineChars="200"/>
        <w:jc w:val="left"/>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 xml:space="preserve">4.2  </w:t>
      </w:r>
      <w:r>
        <w:rPr>
          <w:rFonts w:hint="eastAsia" w:ascii="宋体" w:hAnsi="宋体"/>
          <w:b w:val="0"/>
          <w:bCs w:val="0"/>
          <w:snapToGrid w:val="0"/>
          <w:color w:val="auto"/>
          <w:kern w:val="0"/>
          <w:szCs w:val="21"/>
          <w:highlight w:val="none"/>
          <w:lang w:val="en-US" w:eastAsia="zh-CN"/>
        </w:rPr>
        <w:t>报名及购买方式</w:t>
      </w:r>
      <w:r>
        <w:rPr>
          <w:rFonts w:hint="eastAsia" w:ascii="宋体" w:hAnsi="宋体"/>
          <w:snapToGrid w:val="0"/>
          <w:color w:val="auto"/>
          <w:kern w:val="0"/>
          <w:szCs w:val="21"/>
          <w:highlight w:val="none"/>
          <w:lang w:val="en-US" w:eastAsia="zh-CN"/>
        </w:rPr>
        <w:t>：</w:t>
      </w:r>
      <w:r>
        <w:rPr>
          <w:rFonts w:ascii="宋体" w:hAnsi="宋体"/>
          <w:snapToGrid w:val="0"/>
          <w:color w:val="auto"/>
          <w:kern w:val="0"/>
          <w:szCs w:val="21"/>
          <w:highlight w:val="none"/>
        </w:rPr>
        <w:t>投标</w:t>
      </w:r>
      <w:r>
        <w:rPr>
          <w:rFonts w:hint="eastAsia" w:ascii="宋体" w:hAnsi="宋体"/>
          <w:snapToGrid w:val="0"/>
          <w:color w:val="auto"/>
          <w:kern w:val="0"/>
          <w:szCs w:val="21"/>
          <w:highlight w:val="none"/>
          <w:lang w:val="en-US" w:eastAsia="zh-CN"/>
        </w:rPr>
        <w:t>人</w:t>
      </w:r>
      <w:r>
        <w:rPr>
          <w:rFonts w:hint="eastAsia" w:ascii="宋体" w:hAnsi="宋体"/>
          <w:snapToGrid w:val="0"/>
          <w:color w:val="auto"/>
          <w:kern w:val="0"/>
          <w:szCs w:val="21"/>
          <w:highlight w:val="none"/>
        </w:rPr>
        <w:t>将</w:t>
      </w:r>
      <w:r>
        <w:rPr>
          <w:rFonts w:hint="eastAsia" w:ascii="宋体" w:hAnsi="宋体"/>
          <w:snapToGrid w:val="0"/>
          <w:color w:val="auto"/>
          <w:kern w:val="0"/>
          <w:szCs w:val="21"/>
          <w:highlight w:val="none"/>
          <w:lang w:val="en-US" w:eastAsia="zh-CN"/>
        </w:rPr>
        <w:t>《招标文件发售登记表》</w:t>
      </w:r>
      <w:r>
        <w:rPr>
          <w:rFonts w:hint="eastAsia" w:ascii="宋体" w:hAnsi="宋体"/>
          <w:snapToGrid w:val="0"/>
          <w:color w:val="auto"/>
          <w:kern w:val="0"/>
          <w:szCs w:val="21"/>
          <w:highlight w:val="none"/>
        </w:rPr>
        <w:t>购买费用汇至以下账户，并将</w:t>
      </w:r>
      <w:r>
        <w:rPr>
          <w:rFonts w:hint="eastAsia" w:ascii="宋体" w:hAnsi="宋体"/>
          <w:snapToGrid w:val="0"/>
          <w:color w:val="auto"/>
          <w:kern w:val="0"/>
          <w:szCs w:val="21"/>
          <w:highlight w:val="none"/>
          <w:lang w:val="en-US" w:eastAsia="zh-CN"/>
        </w:rPr>
        <w:t>《招标文件发售登记表》加盖投标人公章、《营业执照》加盖投标人公章、《汇款凭证》</w:t>
      </w:r>
      <w:r>
        <w:rPr>
          <w:rFonts w:hint="eastAsia" w:ascii="宋体" w:hAnsi="宋体"/>
          <w:snapToGrid w:val="0"/>
          <w:color w:val="auto"/>
          <w:kern w:val="0"/>
          <w:szCs w:val="21"/>
          <w:highlight w:val="none"/>
        </w:rPr>
        <w:t>扫描后发送至邮箱：</w:t>
      </w:r>
      <w:r>
        <w:rPr>
          <w:rFonts w:hint="eastAsia" w:ascii="宋体" w:hAnsi="宋体"/>
          <w:snapToGrid w:val="0"/>
          <w:color w:val="auto"/>
          <w:kern w:val="0"/>
          <w:szCs w:val="21"/>
          <w:highlight w:val="none"/>
          <w:lang w:val="en-US" w:eastAsia="zh-CN"/>
        </w:rPr>
        <w:t>952484964</w:t>
      </w:r>
      <w:r>
        <w:rPr>
          <w:rFonts w:hint="eastAsia" w:ascii="宋体" w:hAnsi="宋体"/>
          <w:snapToGrid w:val="0"/>
          <w:color w:val="auto"/>
          <w:kern w:val="0"/>
          <w:szCs w:val="21"/>
          <w:highlight w:val="none"/>
        </w:rPr>
        <w:t>@qq.com。</w:t>
      </w:r>
    </w:p>
    <w:p w14:paraId="72CF7301">
      <w:pPr>
        <w:pageBreakBefore w:val="0"/>
        <w:kinsoku/>
        <w:wordWrap/>
        <w:overflowPunct/>
        <w:topLinePunct w:val="0"/>
        <w:autoSpaceDE/>
        <w:autoSpaceDN/>
        <w:bidi w:val="0"/>
        <w:adjustRightInd/>
        <w:snapToGrid w:val="0"/>
        <w:spacing w:line="540" w:lineRule="exact"/>
        <w:ind w:firstLine="420" w:firstLineChars="200"/>
        <w:jc w:val="left"/>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户名：凌辉建设工程咨询有限公司重庆分公司</w:t>
      </w:r>
    </w:p>
    <w:p w14:paraId="29CD1B58">
      <w:pPr>
        <w:pageBreakBefore w:val="0"/>
        <w:kinsoku/>
        <w:wordWrap/>
        <w:overflowPunct/>
        <w:topLinePunct w:val="0"/>
        <w:autoSpaceDE/>
        <w:autoSpaceDN/>
        <w:bidi w:val="0"/>
        <w:adjustRightInd/>
        <w:snapToGrid w:val="0"/>
        <w:spacing w:line="540" w:lineRule="exact"/>
        <w:ind w:firstLine="420" w:firstLineChars="200"/>
        <w:jc w:val="left"/>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账号：31011401040004837</w:t>
      </w:r>
    </w:p>
    <w:p w14:paraId="75FDF900">
      <w:pPr>
        <w:pageBreakBefore w:val="0"/>
        <w:kinsoku/>
        <w:wordWrap/>
        <w:overflowPunct/>
        <w:topLinePunct w:val="0"/>
        <w:autoSpaceDE/>
        <w:autoSpaceDN/>
        <w:bidi w:val="0"/>
        <w:adjustRightInd/>
        <w:snapToGrid w:val="0"/>
        <w:spacing w:line="540" w:lineRule="exact"/>
        <w:ind w:firstLine="420" w:firstLineChars="200"/>
        <w:jc w:val="left"/>
        <w:textAlignment w:val="auto"/>
        <w:rPr>
          <w:rFonts w:hint="default"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rPr>
        <w:t>开户行：中国农业银行股份有限公司重庆渝中鹅岭支行</w:t>
      </w:r>
    </w:p>
    <w:p w14:paraId="3563A8BB">
      <w:pPr>
        <w:pStyle w:val="3"/>
        <w:spacing w:before="100" w:after="100" w:line="460" w:lineRule="exact"/>
        <w:rPr>
          <w:rFonts w:ascii="宋体" w:hAnsi="宋体"/>
          <w:snapToGrid w:val="0"/>
          <w:color w:val="auto"/>
          <w:sz w:val="28"/>
          <w:szCs w:val="28"/>
          <w:highlight w:val="none"/>
        </w:rPr>
      </w:pPr>
      <w:bookmarkStart w:id="60" w:name="_Toc277082540"/>
      <w:bookmarkStart w:id="61" w:name="_Toc287607732"/>
      <w:bookmarkStart w:id="62" w:name="_Toc57905816"/>
      <w:bookmarkStart w:id="63" w:name="_Toc287620671"/>
      <w:bookmarkStart w:id="64" w:name="_Toc200359431"/>
      <w:bookmarkStart w:id="65" w:name="_Toc509218696"/>
      <w:bookmarkStart w:id="66" w:name="_Toc224103303"/>
      <w:bookmarkStart w:id="67" w:name="_Toc430530420"/>
      <w:bookmarkStart w:id="68" w:name="_Toc200359242"/>
      <w:bookmarkStart w:id="69" w:name="_Toc28449"/>
      <w:r>
        <w:rPr>
          <w:rFonts w:ascii="宋体" w:hAnsi="宋体"/>
          <w:snapToGrid w:val="0"/>
          <w:color w:val="auto"/>
          <w:sz w:val="28"/>
          <w:szCs w:val="28"/>
          <w:highlight w:val="none"/>
        </w:rPr>
        <w:t xml:space="preserve">5.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投标文件的递交</w:t>
      </w:r>
      <w:bookmarkEnd w:id="60"/>
      <w:bookmarkEnd w:id="61"/>
      <w:bookmarkEnd w:id="62"/>
      <w:bookmarkEnd w:id="63"/>
      <w:bookmarkEnd w:id="64"/>
      <w:bookmarkEnd w:id="65"/>
      <w:bookmarkEnd w:id="66"/>
      <w:bookmarkEnd w:id="67"/>
      <w:bookmarkEnd w:id="68"/>
      <w:bookmarkEnd w:id="69"/>
    </w:p>
    <w:p w14:paraId="0E1E4E46">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5.1  投标文件递交的截止时间（投标截止时间，下同）为</w:t>
      </w:r>
      <w:r>
        <w:rPr>
          <w:rFonts w:hint="eastAsia" w:ascii="宋体" w:hAnsi="宋体"/>
          <w:snapToGrid w:val="0"/>
          <w:color w:val="auto"/>
          <w:kern w:val="0"/>
          <w:szCs w:val="21"/>
          <w:highlight w:val="none"/>
          <w:u w:val="single"/>
          <w:lang w:val="en-US" w:eastAsia="zh-CN"/>
        </w:rPr>
        <w:t>2025</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8</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14</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lang w:val="en-US" w:eastAsia="zh-CN"/>
        </w:rPr>
        <w:t>10</w:t>
      </w:r>
      <w:r>
        <w:rPr>
          <w:rFonts w:ascii="宋体" w:hAnsi="宋体"/>
          <w:snapToGrid w:val="0"/>
          <w:color w:val="auto"/>
          <w:kern w:val="0"/>
          <w:szCs w:val="21"/>
          <w:highlight w:val="none"/>
        </w:rPr>
        <w:t>时</w:t>
      </w:r>
      <w:r>
        <w:rPr>
          <w:rFonts w:hint="eastAsia" w:ascii="宋体" w:hAnsi="宋体"/>
          <w:snapToGrid w:val="0"/>
          <w:color w:val="auto"/>
          <w:kern w:val="0"/>
          <w:szCs w:val="21"/>
          <w:highlight w:val="none"/>
          <w:u w:val="single"/>
          <w:lang w:val="en-US" w:eastAsia="zh-CN"/>
        </w:rPr>
        <w:t>00</w:t>
      </w:r>
      <w:r>
        <w:rPr>
          <w:rFonts w:ascii="宋体" w:hAnsi="宋体"/>
          <w:snapToGrid w:val="0"/>
          <w:color w:val="auto"/>
          <w:kern w:val="0"/>
          <w:szCs w:val="21"/>
          <w:highlight w:val="none"/>
        </w:rPr>
        <w:t>分，地点为</w:t>
      </w:r>
      <w:r>
        <w:rPr>
          <w:rFonts w:hint="eastAsia" w:ascii="宋体" w:hAnsi="宋体"/>
          <w:snapToGrid w:val="0"/>
          <w:color w:val="auto"/>
          <w:kern w:val="0"/>
          <w:szCs w:val="21"/>
          <w:highlight w:val="none"/>
          <w:u w:val="single"/>
        </w:rPr>
        <w:t>长安锦绣城14栋负一楼中心办公室</w:t>
      </w:r>
      <w:r>
        <w:rPr>
          <w:rFonts w:ascii="宋体" w:hAnsi="宋体"/>
          <w:snapToGrid w:val="0"/>
          <w:color w:val="auto"/>
          <w:kern w:val="0"/>
          <w:szCs w:val="21"/>
          <w:highlight w:val="none"/>
        </w:rPr>
        <w:t>。</w:t>
      </w:r>
    </w:p>
    <w:p w14:paraId="736F5C7C">
      <w:pPr>
        <w:autoSpaceDE w:val="0"/>
        <w:autoSpaceDN w:val="0"/>
        <w:adjustRightInd w:val="0"/>
        <w:snapToGrid w:val="0"/>
        <w:spacing w:line="450" w:lineRule="exact"/>
        <w:ind w:firstLine="420" w:firstLineChars="200"/>
        <w:rPr>
          <w:rFonts w:hint="eastAsia" w:ascii="宋体" w:hAnsi="宋体" w:eastAsia="宋体"/>
          <w:snapToGrid w:val="0"/>
          <w:color w:val="auto"/>
          <w:kern w:val="0"/>
          <w:szCs w:val="21"/>
          <w:highlight w:val="none"/>
          <w:lang w:val="en-US" w:eastAsia="zh-CN"/>
        </w:rPr>
      </w:pPr>
      <w:r>
        <w:rPr>
          <w:rFonts w:ascii="宋体" w:hAnsi="宋体"/>
          <w:snapToGrid w:val="0"/>
          <w:color w:val="auto"/>
          <w:kern w:val="0"/>
          <w:szCs w:val="21"/>
          <w:highlight w:val="none"/>
        </w:rPr>
        <w:t>5.2  逾期送达的或者未送达指定地点的投标文件，招标人不予受理。</w:t>
      </w:r>
      <w:r>
        <w:rPr>
          <w:rFonts w:hint="eastAsia" w:ascii="宋体" w:hAnsi="宋体"/>
          <w:snapToGrid w:val="0"/>
          <w:color w:val="auto"/>
          <w:kern w:val="0"/>
          <w:szCs w:val="21"/>
          <w:highlight w:val="none"/>
          <w:lang w:val="en-US" w:eastAsia="zh-CN"/>
        </w:rPr>
        <w:t xml:space="preserve"> </w:t>
      </w:r>
    </w:p>
    <w:p w14:paraId="74D11689">
      <w:pPr>
        <w:pStyle w:val="3"/>
        <w:spacing w:before="100" w:after="100" w:line="460" w:lineRule="exact"/>
        <w:rPr>
          <w:rFonts w:ascii="宋体" w:hAnsi="宋体"/>
          <w:snapToGrid w:val="0"/>
          <w:color w:val="auto"/>
          <w:sz w:val="28"/>
          <w:szCs w:val="28"/>
          <w:highlight w:val="none"/>
        </w:rPr>
      </w:pPr>
      <w:bookmarkStart w:id="70" w:name="_Toc287607733"/>
      <w:bookmarkStart w:id="71" w:name="_Toc57905817"/>
      <w:bookmarkStart w:id="72" w:name="_Toc509218697"/>
      <w:bookmarkStart w:id="73" w:name="_Toc224103304"/>
      <w:bookmarkStart w:id="74" w:name="_Toc430530421"/>
      <w:bookmarkStart w:id="75" w:name="_Toc200359432"/>
      <w:bookmarkStart w:id="76" w:name="_Toc287620672"/>
      <w:bookmarkStart w:id="77" w:name="_Toc277082541"/>
      <w:bookmarkStart w:id="78" w:name="_Toc8166"/>
      <w:bookmarkStart w:id="79" w:name="_Toc200359243"/>
      <w:r>
        <w:rPr>
          <w:rFonts w:ascii="宋体" w:hAnsi="宋体"/>
          <w:snapToGrid w:val="0"/>
          <w:color w:val="auto"/>
          <w:sz w:val="28"/>
          <w:szCs w:val="28"/>
          <w:highlight w:val="none"/>
        </w:rPr>
        <w:t xml:space="preserve">6.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70"/>
      <w:bookmarkEnd w:id="71"/>
      <w:bookmarkEnd w:id="72"/>
      <w:bookmarkEnd w:id="73"/>
      <w:bookmarkEnd w:id="74"/>
      <w:bookmarkEnd w:id="75"/>
      <w:bookmarkEnd w:id="76"/>
      <w:bookmarkEnd w:id="77"/>
      <w:bookmarkEnd w:id="78"/>
      <w:bookmarkEnd w:id="79"/>
    </w:p>
    <w:p w14:paraId="0E5700E1">
      <w:pPr>
        <w:tabs>
          <w:tab w:val="left" w:pos="495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本次招标公告在</w:t>
      </w:r>
      <w:r>
        <w:rPr>
          <w:rFonts w:hint="eastAsia" w:ascii="宋体" w:hAnsi="宋体"/>
          <w:snapToGrid w:val="0"/>
          <w:color w:val="auto"/>
          <w:kern w:val="0"/>
          <w:szCs w:val="21"/>
          <w:highlight w:val="none"/>
          <w:u w:val="single"/>
        </w:rPr>
        <w:t>行采家（https://www.gec123.com/）</w:t>
      </w:r>
      <w:r>
        <w:rPr>
          <w:rFonts w:ascii="宋体" w:hAnsi="宋体"/>
          <w:snapToGrid w:val="0"/>
          <w:color w:val="auto"/>
          <w:kern w:val="0"/>
          <w:szCs w:val="21"/>
          <w:highlight w:val="none"/>
        </w:rPr>
        <w:t>上发布。</w:t>
      </w:r>
    </w:p>
    <w:p w14:paraId="69B1398C">
      <w:pPr>
        <w:pStyle w:val="3"/>
        <w:spacing w:before="100" w:after="100" w:line="460" w:lineRule="exact"/>
        <w:rPr>
          <w:rFonts w:ascii="宋体" w:hAnsi="宋体"/>
          <w:snapToGrid w:val="0"/>
          <w:color w:val="auto"/>
          <w:sz w:val="28"/>
          <w:szCs w:val="28"/>
          <w:highlight w:val="none"/>
        </w:rPr>
      </w:pPr>
      <w:bookmarkStart w:id="80" w:name="_Toc14240"/>
      <w:bookmarkStart w:id="81" w:name="_Toc31352"/>
      <w:bookmarkStart w:id="82" w:name="_Toc430530422"/>
      <w:bookmarkStart w:id="83" w:name="_Toc277082542"/>
      <w:bookmarkStart w:id="84" w:name="_Toc224103305"/>
      <w:bookmarkStart w:id="85" w:name="_Toc287620673"/>
      <w:bookmarkStart w:id="86" w:name="_Toc509218698"/>
      <w:bookmarkStart w:id="87" w:name="_Toc57905818"/>
      <w:bookmarkStart w:id="88" w:name="_Toc287607734"/>
      <w:r>
        <w:rPr>
          <w:rFonts w:hint="eastAsia" w:ascii="宋体" w:hAnsi="宋体"/>
          <w:snapToGrid w:val="0"/>
          <w:color w:val="auto"/>
          <w:sz w:val="28"/>
          <w:szCs w:val="28"/>
          <w:highlight w:val="none"/>
        </w:rPr>
        <w:t>7</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bookmarkEnd w:id="80"/>
      <w:bookmarkEnd w:id="81"/>
      <w:bookmarkStart w:id="89" w:name="_Toc589"/>
      <w:r>
        <w:rPr>
          <w:rFonts w:ascii="宋体" w:hAnsi="宋体"/>
          <w:snapToGrid w:val="0"/>
          <w:color w:val="auto"/>
          <w:sz w:val="28"/>
          <w:szCs w:val="28"/>
          <w:highlight w:val="none"/>
        </w:rPr>
        <w:t>联系方式</w:t>
      </w:r>
      <w:bookmarkEnd w:id="82"/>
      <w:bookmarkEnd w:id="83"/>
      <w:bookmarkEnd w:id="84"/>
      <w:bookmarkEnd w:id="85"/>
      <w:bookmarkEnd w:id="86"/>
      <w:bookmarkEnd w:id="87"/>
      <w:bookmarkEnd w:id="88"/>
      <w:bookmarkEnd w:id="89"/>
    </w:p>
    <w:p w14:paraId="4FCDBD97">
      <w:pPr>
        <w:tabs>
          <w:tab w:val="left" w:pos="5140"/>
          <w:tab w:val="left" w:pos="85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招 标 人：</w:t>
      </w:r>
      <w:r>
        <w:rPr>
          <w:rFonts w:hint="eastAsia" w:ascii="宋体" w:hAnsi="宋体"/>
          <w:snapToGrid w:val="0"/>
          <w:color w:val="auto"/>
          <w:kern w:val="0"/>
          <w:szCs w:val="21"/>
          <w:highlight w:val="none"/>
          <w:u w:val="single"/>
        </w:rPr>
        <w:t>重庆长安智慧城市运营管理有限公司</w:t>
      </w:r>
      <w:r>
        <w:rPr>
          <w:rFonts w:ascii="宋体" w:hAnsi="宋体"/>
          <w:snapToGrid w:val="0"/>
          <w:color w:val="auto"/>
          <w:kern w:val="0"/>
          <w:szCs w:val="21"/>
          <w:highlight w:val="none"/>
        </w:rPr>
        <w:t xml:space="preserve">  招标代理机构：</w:t>
      </w:r>
      <w:r>
        <w:rPr>
          <w:rFonts w:hint="eastAsia" w:ascii="宋体" w:hAnsi="宋体"/>
          <w:snapToGrid w:val="0"/>
          <w:color w:val="auto"/>
          <w:kern w:val="0"/>
          <w:szCs w:val="21"/>
          <w:highlight w:val="none"/>
          <w:u w:val="single"/>
        </w:rPr>
        <w:t>凌辉建设工程咨询有限公司</w:t>
      </w:r>
    </w:p>
    <w:p w14:paraId="2702282D">
      <w:pPr>
        <w:tabs>
          <w:tab w:val="left" w:pos="5140"/>
          <w:tab w:val="left" w:pos="8420"/>
        </w:tabs>
        <w:autoSpaceDE w:val="0"/>
        <w:autoSpaceDN w:val="0"/>
        <w:adjustRightInd w:val="0"/>
        <w:snapToGrid w:val="0"/>
        <w:spacing w:line="450" w:lineRule="exact"/>
        <w:ind w:firstLine="420" w:firstLineChars="200"/>
        <w:jc w:val="left"/>
        <w:rPr>
          <w:rFonts w:hint="default" w:ascii="宋体" w:hAnsi="宋体" w:eastAsia="宋体"/>
          <w:snapToGrid w:val="0"/>
          <w:color w:val="auto"/>
          <w:kern w:val="0"/>
          <w:szCs w:val="21"/>
          <w:highlight w:val="none"/>
          <w:lang w:val="en-US" w:eastAsia="zh-CN"/>
        </w:rPr>
      </w:pPr>
      <w:r>
        <w:rPr>
          <w:rFonts w:ascii="宋体" w:hAnsi="宋体"/>
          <w:snapToGrid w:val="0"/>
          <w:color w:val="auto"/>
          <w:kern w:val="0"/>
          <w:szCs w:val="21"/>
          <w:highlight w:val="none"/>
        </w:rPr>
        <w:t>地 址：</w:t>
      </w:r>
      <w:r>
        <w:rPr>
          <w:rFonts w:hint="eastAsia" w:ascii="宋体" w:hAnsi="宋体"/>
          <w:snapToGrid w:val="0"/>
          <w:color w:val="auto"/>
          <w:kern w:val="0"/>
          <w:szCs w:val="21"/>
          <w:highlight w:val="none"/>
          <w:u w:val="single"/>
          <w:lang w:val="en-US" w:eastAsia="zh-CN"/>
        </w:rPr>
        <w:t>重庆市</w:t>
      </w:r>
      <w:r>
        <w:rPr>
          <w:rFonts w:hint="eastAsia" w:ascii="宋体" w:hAnsi="宋体"/>
          <w:snapToGrid w:val="0"/>
          <w:color w:val="auto"/>
          <w:kern w:val="0"/>
          <w:szCs w:val="21"/>
          <w:highlight w:val="none"/>
          <w:u w:val="single"/>
        </w:rPr>
        <w:t>渝北区五红路199号长安商务大厦</w:t>
      </w:r>
      <w:r>
        <w:rPr>
          <w:rFonts w:ascii="宋体" w:hAnsi="宋体"/>
          <w:snapToGrid w:val="0"/>
          <w:color w:val="auto"/>
          <w:kern w:val="0"/>
          <w:szCs w:val="21"/>
          <w:highlight w:val="none"/>
        </w:rPr>
        <w:t xml:space="preserve">   地  址：</w:t>
      </w:r>
      <w:r>
        <w:rPr>
          <w:rFonts w:hint="eastAsia" w:ascii="宋体" w:hAnsi="宋体"/>
          <w:snapToGrid w:val="0"/>
          <w:color w:val="auto"/>
          <w:kern w:val="0"/>
          <w:position w:val="-3"/>
          <w:szCs w:val="21"/>
          <w:highlight w:val="none"/>
          <w:u w:val="single"/>
          <w:lang w:val="en-US" w:eastAsia="zh-CN"/>
        </w:rPr>
        <w:t>重庆市渝中区地产大厦2号楼19楼</w:t>
      </w:r>
    </w:p>
    <w:p w14:paraId="43DC0ECE">
      <w:pPr>
        <w:tabs>
          <w:tab w:val="left" w:pos="5140"/>
          <w:tab w:val="left" w:pos="8420"/>
        </w:tabs>
        <w:autoSpaceDE w:val="0"/>
        <w:autoSpaceDN w:val="0"/>
        <w:adjustRightInd w:val="0"/>
        <w:snapToGrid w:val="0"/>
        <w:spacing w:line="450" w:lineRule="exact"/>
        <w:ind w:firstLine="420" w:firstLineChars="200"/>
        <w:jc w:val="left"/>
        <w:rPr>
          <w:rFonts w:hint="eastAsia" w:ascii="宋体" w:hAnsi="宋体" w:eastAsia="宋体"/>
          <w:snapToGrid w:val="0"/>
          <w:color w:val="auto"/>
          <w:kern w:val="0"/>
          <w:szCs w:val="21"/>
          <w:highlight w:val="none"/>
          <w:lang w:eastAsia="zh-CN"/>
        </w:rPr>
      </w:pPr>
      <w:r>
        <w:rPr>
          <w:rFonts w:ascii="宋体" w:hAnsi="宋体"/>
          <w:snapToGrid w:val="0"/>
          <w:color w:val="auto"/>
          <w:kern w:val="0"/>
          <w:szCs w:val="21"/>
          <w:highlight w:val="none"/>
        </w:rPr>
        <w:t>联 系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邢梦嫣</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联 系 人：</w:t>
      </w:r>
      <w:r>
        <w:rPr>
          <w:rFonts w:hint="eastAsia" w:ascii="宋体" w:hAnsi="宋体"/>
          <w:snapToGrid w:val="0"/>
          <w:color w:val="auto"/>
          <w:kern w:val="0"/>
          <w:szCs w:val="21"/>
          <w:highlight w:val="none"/>
          <w:u w:val="single"/>
          <w:lang w:val="en-US" w:eastAsia="zh-CN"/>
        </w:rPr>
        <w:t>李泯浚</w:t>
      </w:r>
    </w:p>
    <w:p w14:paraId="29456806">
      <w:pPr>
        <w:tabs>
          <w:tab w:val="left" w:pos="5140"/>
          <w:tab w:val="left" w:pos="8420"/>
        </w:tabs>
        <w:autoSpaceDE w:val="0"/>
        <w:autoSpaceDN w:val="0"/>
        <w:adjustRightInd w:val="0"/>
        <w:snapToGrid w:val="0"/>
        <w:spacing w:line="450" w:lineRule="exact"/>
        <w:ind w:firstLine="420" w:firstLineChars="200"/>
        <w:jc w:val="left"/>
        <w:rPr>
          <w:rFonts w:hint="default" w:ascii="宋体" w:hAnsi="宋体" w:eastAsia="宋体"/>
          <w:snapToGrid w:val="0"/>
          <w:color w:val="auto"/>
          <w:kern w:val="0"/>
          <w:szCs w:val="21"/>
          <w:highlight w:val="none"/>
          <w:lang w:val="en-US" w:eastAsia="zh-CN"/>
        </w:rPr>
      </w:pP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17623511223</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电    话：</w:t>
      </w:r>
      <w:r>
        <w:rPr>
          <w:rFonts w:hint="eastAsia" w:ascii="宋体" w:hAnsi="宋体"/>
          <w:snapToGrid w:val="0"/>
          <w:color w:val="auto"/>
          <w:kern w:val="0"/>
          <w:szCs w:val="21"/>
          <w:highlight w:val="none"/>
          <w:u w:val="single"/>
          <w:lang w:val="en-US" w:eastAsia="zh-CN"/>
        </w:rPr>
        <w:t>15723465979</w:t>
      </w:r>
    </w:p>
    <w:p w14:paraId="69072F56">
      <w:pPr>
        <w:tabs>
          <w:tab w:val="left" w:pos="5140"/>
          <w:tab w:val="left" w:pos="8420"/>
        </w:tabs>
        <w:autoSpaceDE w:val="0"/>
        <w:autoSpaceDN w:val="0"/>
        <w:adjustRightInd w:val="0"/>
        <w:snapToGrid w:val="0"/>
        <w:spacing w:line="400" w:lineRule="exact"/>
        <w:jc w:val="left"/>
        <w:rPr>
          <w:rFonts w:ascii="宋体" w:hAnsi="宋体"/>
          <w:snapToGrid w:val="0"/>
          <w:color w:val="auto"/>
          <w:kern w:val="0"/>
          <w:szCs w:val="21"/>
          <w:highlight w:val="none"/>
          <w:u w:val="single"/>
        </w:rPr>
      </w:pPr>
    </w:p>
    <w:p w14:paraId="55EC58A3">
      <w:pPr>
        <w:autoSpaceDE w:val="0"/>
        <w:autoSpaceDN w:val="0"/>
        <w:adjustRightInd w:val="0"/>
        <w:snapToGrid w:val="0"/>
        <w:spacing w:line="440" w:lineRule="exact"/>
        <w:ind w:firstLine="3906" w:firstLineChars="1860"/>
        <w:jc w:val="right"/>
        <w:rPr>
          <w:rFonts w:ascii="宋体" w:hAnsi="宋体"/>
          <w:snapToGrid w:val="0"/>
          <w:color w:val="auto"/>
          <w:kern w:val="0"/>
          <w:sz w:val="20"/>
          <w:szCs w:val="20"/>
          <w:highlight w:val="none"/>
        </w:rPr>
      </w:pPr>
      <w:r>
        <w:rPr>
          <w:rFonts w:hint="eastAsia" w:ascii="宋体" w:hAnsi="宋体"/>
          <w:snapToGrid w:val="0"/>
          <w:color w:val="auto"/>
          <w:kern w:val="0"/>
          <w:szCs w:val="21"/>
          <w:highlight w:val="none"/>
          <w:u w:val="single"/>
          <w:lang w:val="en-US" w:eastAsia="zh-CN"/>
        </w:rPr>
        <w:t>2025</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7</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24</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02706374">
      <w:pPr>
        <w:pStyle w:val="2"/>
        <w:spacing w:before="0" w:after="0" w:line="200" w:lineRule="exact"/>
        <w:jc w:val="center"/>
        <w:rPr>
          <w:rFonts w:ascii="宋体" w:hAnsi="宋体"/>
          <w:snapToGrid w:val="0"/>
          <w:color w:val="auto"/>
          <w:kern w:val="0"/>
          <w:szCs w:val="21"/>
          <w:highlight w:val="none"/>
        </w:rPr>
      </w:pPr>
      <w:r>
        <w:rPr>
          <w:rFonts w:ascii="宋体" w:hAnsi="宋体"/>
          <w:snapToGrid w:val="0"/>
          <w:color w:val="auto"/>
          <w:kern w:val="0"/>
          <w:szCs w:val="21"/>
          <w:highlight w:val="none"/>
        </w:rPr>
        <w:br w:type="page"/>
      </w:r>
      <w:bookmarkStart w:id="90" w:name="_Toc430530423"/>
      <w:bookmarkStart w:id="91" w:name="_Toc287620674"/>
      <w:bookmarkStart w:id="92" w:name="_Toc224103306"/>
      <w:bookmarkStart w:id="93" w:name="_Toc287607735"/>
    </w:p>
    <w:bookmarkEnd w:id="90"/>
    <w:bookmarkEnd w:id="91"/>
    <w:bookmarkEnd w:id="92"/>
    <w:bookmarkEnd w:id="93"/>
    <w:p w14:paraId="413B9C26">
      <w:pPr>
        <w:pStyle w:val="2"/>
        <w:spacing w:line="360" w:lineRule="auto"/>
        <w:jc w:val="center"/>
        <w:rPr>
          <w:rFonts w:ascii="宋体" w:hAnsi="宋体"/>
          <w:bCs w:val="0"/>
          <w:snapToGrid w:val="0"/>
          <w:color w:val="auto"/>
          <w:kern w:val="0"/>
          <w:highlight w:val="none"/>
        </w:rPr>
      </w:pPr>
      <w:bookmarkStart w:id="94" w:name="_Toc287620683"/>
      <w:bookmarkStart w:id="95" w:name="_Toc430530432"/>
      <w:bookmarkStart w:id="96" w:name="_Toc32148"/>
      <w:bookmarkStart w:id="97" w:name="_Toc287607744"/>
      <w:bookmarkStart w:id="98" w:name="_Toc224103315"/>
      <w:bookmarkStart w:id="99" w:name="_Toc57905828"/>
      <w:r>
        <w:rPr>
          <w:rFonts w:ascii="宋体" w:hAnsi="宋体"/>
          <w:snapToGrid w:val="0"/>
          <w:color w:val="auto"/>
          <w:kern w:val="0"/>
          <w:highlight w:val="none"/>
        </w:rPr>
        <w:t>第二章  投标人须知</w:t>
      </w:r>
      <w:bookmarkEnd w:id="94"/>
      <w:bookmarkEnd w:id="95"/>
      <w:bookmarkEnd w:id="96"/>
      <w:bookmarkEnd w:id="97"/>
      <w:bookmarkEnd w:id="98"/>
      <w:bookmarkEnd w:id="99"/>
      <w:bookmarkStart w:id="100" w:name="_Toc277082551"/>
      <w:bookmarkStart w:id="101" w:name="_Toc287620684"/>
      <w:bookmarkStart w:id="102" w:name="_Toc430530433"/>
      <w:bookmarkStart w:id="103" w:name="_Toc287607745"/>
      <w:bookmarkStart w:id="104" w:name="_Toc224103316"/>
    </w:p>
    <w:p w14:paraId="7DFF3864">
      <w:pPr>
        <w:pStyle w:val="3"/>
        <w:spacing w:before="100" w:after="100" w:line="360" w:lineRule="auto"/>
        <w:rPr>
          <w:rFonts w:ascii="宋体" w:hAnsi="宋体"/>
          <w:color w:val="auto"/>
          <w:highlight w:val="none"/>
        </w:rPr>
      </w:pPr>
      <w:bookmarkStart w:id="105" w:name="_Toc57905829"/>
      <w:bookmarkStart w:id="106" w:name="_Toc8005"/>
      <w:bookmarkStart w:id="107" w:name="_Toc509218708"/>
      <w:r>
        <w:rPr>
          <w:rFonts w:hint="eastAsia" w:ascii="宋体" w:hAnsi="宋体"/>
          <w:color w:val="auto"/>
          <w:highlight w:val="none"/>
        </w:rPr>
        <w:t>投标人须知前附表</w:t>
      </w:r>
      <w:bookmarkEnd w:id="100"/>
      <w:bookmarkEnd w:id="101"/>
      <w:bookmarkEnd w:id="102"/>
      <w:bookmarkEnd w:id="103"/>
      <w:bookmarkEnd w:id="104"/>
      <w:bookmarkEnd w:id="105"/>
      <w:bookmarkEnd w:id="106"/>
      <w:bookmarkEnd w:id="107"/>
    </w:p>
    <w:p w14:paraId="4209B806">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正文内容不允许修改。若投标人须知前附表与正文不一致的地方，以投标人须知前附表为准。</w:t>
      </w:r>
    </w:p>
    <w:tbl>
      <w:tblPr>
        <w:tblStyle w:val="45"/>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35943E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335" w:type="dxa"/>
            <w:vAlign w:val="center"/>
          </w:tcPr>
          <w:p w14:paraId="6D8AAE85">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14:paraId="115F9256">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14:paraId="511E2D88">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14:paraId="1ED8D6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7D3098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14:paraId="4E1CAC9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招标人</w:t>
            </w:r>
          </w:p>
        </w:tc>
        <w:tc>
          <w:tcPr>
            <w:tcW w:w="6490" w:type="dxa"/>
            <w:vAlign w:val="center"/>
          </w:tcPr>
          <w:p w14:paraId="02E93262">
            <w:pPr>
              <w:snapToGrid w:val="0"/>
              <w:spacing w:line="400" w:lineRule="exact"/>
              <w:rPr>
                <w:rFonts w:ascii="宋体" w:hAnsi="宋体"/>
                <w:color w:val="auto"/>
                <w:kern w:val="0"/>
                <w:szCs w:val="21"/>
                <w:highlight w:val="none"/>
              </w:rPr>
            </w:pPr>
            <w:r>
              <w:rPr>
                <w:rFonts w:ascii="宋体" w:hAnsi="宋体"/>
                <w:color w:val="auto"/>
                <w:kern w:val="0"/>
                <w:szCs w:val="21"/>
                <w:highlight w:val="none"/>
              </w:rPr>
              <w:t>名称：</w:t>
            </w:r>
            <w:r>
              <w:rPr>
                <w:rFonts w:hint="eastAsia" w:ascii="宋体" w:hAnsi="宋体"/>
                <w:color w:val="auto"/>
                <w:kern w:val="0"/>
                <w:szCs w:val="21"/>
                <w:highlight w:val="none"/>
              </w:rPr>
              <w:t>重庆长安智慧城市运营管理有限公司</w:t>
            </w:r>
          </w:p>
          <w:p w14:paraId="02C70BF0">
            <w:pPr>
              <w:snapToGrid w:val="0"/>
              <w:spacing w:line="400" w:lineRule="exact"/>
              <w:rPr>
                <w:rFonts w:hint="default" w:ascii="宋体" w:hAnsi="宋体" w:eastAsia="宋体"/>
                <w:color w:val="auto"/>
                <w:kern w:val="0"/>
                <w:szCs w:val="21"/>
                <w:highlight w:val="none"/>
                <w:lang w:val="en-US" w:eastAsia="zh-CN"/>
              </w:rPr>
            </w:pPr>
            <w:r>
              <w:rPr>
                <w:rFonts w:ascii="宋体" w:hAnsi="宋体"/>
                <w:color w:val="auto"/>
                <w:kern w:val="0"/>
                <w:szCs w:val="21"/>
                <w:highlight w:val="none"/>
              </w:rPr>
              <w:t>地址：</w:t>
            </w:r>
            <w:r>
              <w:rPr>
                <w:rFonts w:hint="eastAsia" w:ascii="宋体" w:hAnsi="宋体"/>
                <w:color w:val="auto"/>
                <w:kern w:val="0"/>
                <w:szCs w:val="21"/>
                <w:highlight w:val="none"/>
                <w:lang w:val="en-US" w:eastAsia="zh-CN"/>
              </w:rPr>
              <w:t>重庆市渝北区五红路199号长安商务大厦</w:t>
            </w:r>
          </w:p>
          <w:p w14:paraId="0D239F52">
            <w:pPr>
              <w:snapToGrid w:val="0"/>
              <w:spacing w:line="400" w:lineRule="exact"/>
              <w:rPr>
                <w:rFonts w:hint="default" w:ascii="宋体" w:hAnsi="宋体" w:eastAsia="宋体"/>
                <w:color w:val="auto"/>
                <w:kern w:val="0"/>
                <w:szCs w:val="21"/>
                <w:highlight w:val="none"/>
                <w:lang w:val="en-US" w:eastAsia="zh-CN"/>
              </w:rPr>
            </w:pPr>
            <w:r>
              <w:rPr>
                <w:rFonts w:ascii="宋体" w:hAnsi="宋体"/>
                <w:color w:val="auto"/>
                <w:kern w:val="0"/>
                <w:szCs w:val="21"/>
                <w:highlight w:val="none"/>
              </w:rPr>
              <w:t>联系人：</w:t>
            </w:r>
            <w:r>
              <w:rPr>
                <w:rFonts w:hint="eastAsia" w:ascii="宋体" w:hAnsi="宋体"/>
                <w:color w:val="auto"/>
                <w:kern w:val="0"/>
                <w:szCs w:val="21"/>
                <w:highlight w:val="none"/>
                <w:lang w:val="en-US" w:eastAsia="zh-CN"/>
              </w:rPr>
              <w:t>邢梦嫣</w:t>
            </w:r>
          </w:p>
          <w:p w14:paraId="20037853">
            <w:pPr>
              <w:snapToGrid w:val="0"/>
              <w:spacing w:line="400" w:lineRule="exact"/>
              <w:rPr>
                <w:rFonts w:hint="default" w:ascii="宋体" w:hAnsi="宋体" w:eastAsia="宋体"/>
                <w:color w:val="auto"/>
                <w:kern w:val="0"/>
                <w:szCs w:val="21"/>
                <w:highlight w:val="none"/>
                <w:lang w:val="en-US" w:eastAsia="zh-CN"/>
              </w:rPr>
            </w:pPr>
            <w:r>
              <w:rPr>
                <w:rFonts w:ascii="宋体" w:hAnsi="宋体"/>
                <w:color w:val="auto"/>
                <w:kern w:val="0"/>
                <w:szCs w:val="21"/>
                <w:highlight w:val="none"/>
              </w:rPr>
              <w:t>电话：</w:t>
            </w:r>
            <w:r>
              <w:rPr>
                <w:rFonts w:hint="eastAsia" w:ascii="宋体" w:hAnsi="宋体"/>
                <w:color w:val="auto"/>
                <w:kern w:val="0"/>
                <w:szCs w:val="21"/>
                <w:highlight w:val="none"/>
                <w:lang w:val="en-US" w:eastAsia="zh-CN"/>
              </w:rPr>
              <w:t>17623511223</w:t>
            </w:r>
          </w:p>
        </w:tc>
      </w:tr>
      <w:tr w14:paraId="483466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029564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14:paraId="4978192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招标代理机构</w:t>
            </w:r>
          </w:p>
        </w:tc>
        <w:tc>
          <w:tcPr>
            <w:tcW w:w="6490" w:type="dxa"/>
            <w:vAlign w:val="center"/>
          </w:tcPr>
          <w:p w14:paraId="010B59E1">
            <w:pPr>
              <w:snapToGrid w:val="0"/>
              <w:spacing w:line="400" w:lineRule="exact"/>
              <w:rPr>
                <w:rFonts w:ascii="宋体" w:hAnsi="宋体"/>
                <w:color w:val="auto"/>
                <w:kern w:val="0"/>
                <w:szCs w:val="21"/>
                <w:highlight w:val="none"/>
              </w:rPr>
            </w:pPr>
            <w:r>
              <w:rPr>
                <w:rFonts w:ascii="宋体" w:hAnsi="宋体"/>
                <w:color w:val="auto"/>
                <w:kern w:val="0"/>
                <w:szCs w:val="21"/>
                <w:highlight w:val="none"/>
              </w:rPr>
              <w:t>名称：</w:t>
            </w:r>
            <w:r>
              <w:rPr>
                <w:rFonts w:hint="eastAsia" w:ascii="宋体" w:hAnsi="宋体"/>
                <w:color w:val="auto"/>
                <w:kern w:val="0"/>
                <w:szCs w:val="21"/>
                <w:highlight w:val="none"/>
              </w:rPr>
              <w:t>凌辉建设工程咨询有限公司</w:t>
            </w:r>
          </w:p>
          <w:p w14:paraId="60A1E05A">
            <w:pPr>
              <w:snapToGrid w:val="0"/>
              <w:spacing w:line="400" w:lineRule="exact"/>
              <w:rPr>
                <w:rFonts w:ascii="宋体" w:hAnsi="宋体"/>
                <w:color w:val="auto"/>
                <w:kern w:val="0"/>
                <w:szCs w:val="21"/>
                <w:highlight w:val="none"/>
              </w:rPr>
            </w:pPr>
            <w:r>
              <w:rPr>
                <w:rFonts w:ascii="宋体" w:hAnsi="宋体"/>
                <w:color w:val="auto"/>
                <w:kern w:val="0"/>
                <w:szCs w:val="21"/>
                <w:highlight w:val="none"/>
              </w:rPr>
              <w:t>地址：</w:t>
            </w:r>
            <w:r>
              <w:rPr>
                <w:rFonts w:hint="eastAsia" w:ascii="宋体" w:hAnsi="宋体"/>
                <w:color w:val="auto"/>
                <w:kern w:val="0"/>
                <w:szCs w:val="21"/>
                <w:highlight w:val="none"/>
              </w:rPr>
              <w:t>重庆市渝中区地产大厦2号楼19楼</w:t>
            </w:r>
          </w:p>
          <w:p w14:paraId="17246A43">
            <w:pPr>
              <w:snapToGrid w:val="0"/>
              <w:spacing w:line="400" w:lineRule="exact"/>
              <w:rPr>
                <w:rFonts w:hint="eastAsia" w:ascii="宋体" w:hAnsi="宋体" w:eastAsia="宋体"/>
                <w:color w:val="auto"/>
                <w:kern w:val="0"/>
                <w:szCs w:val="21"/>
                <w:highlight w:val="none"/>
                <w:lang w:val="en-US" w:eastAsia="zh-CN"/>
              </w:rPr>
            </w:pPr>
            <w:r>
              <w:rPr>
                <w:rFonts w:ascii="宋体" w:hAnsi="宋体"/>
                <w:color w:val="auto"/>
                <w:kern w:val="0"/>
                <w:szCs w:val="21"/>
                <w:highlight w:val="none"/>
              </w:rPr>
              <w:t>联系人：</w:t>
            </w:r>
            <w:r>
              <w:rPr>
                <w:rFonts w:hint="eastAsia" w:ascii="宋体" w:hAnsi="宋体"/>
                <w:color w:val="auto"/>
                <w:kern w:val="0"/>
                <w:szCs w:val="21"/>
                <w:highlight w:val="none"/>
                <w:lang w:val="en-US" w:eastAsia="zh-CN"/>
              </w:rPr>
              <w:t>李泯浚</w:t>
            </w:r>
          </w:p>
          <w:p w14:paraId="45695C32">
            <w:pPr>
              <w:snapToGrid w:val="0"/>
              <w:spacing w:line="400" w:lineRule="exact"/>
              <w:rPr>
                <w:rFonts w:ascii="宋体" w:hAnsi="宋体"/>
                <w:color w:val="auto"/>
                <w:kern w:val="0"/>
                <w:szCs w:val="21"/>
                <w:highlight w:val="none"/>
              </w:rPr>
            </w:pPr>
            <w:r>
              <w:rPr>
                <w:rFonts w:ascii="宋体" w:hAnsi="宋体"/>
                <w:color w:val="auto"/>
                <w:kern w:val="0"/>
                <w:szCs w:val="21"/>
                <w:highlight w:val="none"/>
              </w:rPr>
              <w:t>电话：</w:t>
            </w:r>
            <w:r>
              <w:rPr>
                <w:rFonts w:hint="eastAsia" w:ascii="宋体" w:hAnsi="宋体"/>
                <w:color w:val="auto"/>
                <w:kern w:val="0"/>
                <w:szCs w:val="21"/>
                <w:highlight w:val="none"/>
              </w:rPr>
              <w:t xml:space="preserve">15723465979 </w:t>
            </w:r>
          </w:p>
        </w:tc>
      </w:tr>
      <w:tr w14:paraId="6F309B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38D7FA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14:paraId="5BF140F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项目名称</w:t>
            </w:r>
          </w:p>
        </w:tc>
        <w:tc>
          <w:tcPr>
            <w:tcW w:w="6490" w:type="dxa"/>
            <w:vAlign w:val="center"/>
          </w:tcPr>
          <w:p w14:paraId="01F295E7">
            <w:pPr>
              <w:snapToGrid w:val="0"/>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长安锦绣城商业2栋、18栋（七十二行）屋面防水维修工程</w:t>
            </w:r>
          </w:p>
        </w:tc>
      </w:tr>
      <w:tr w14:paraId="1A33D4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6B3814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14:paraId="5F621DA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建设地点</w:t>
            </w:r>
          </w:p>
        </w:tc>
        <w:tc>
          <w:tcPr>
            <w:tcW w:w="6490" w:type="dxa"/>
            <w:vAlign w:val="center"/>
          </w:tcPr>
          <w:p w14:paraId="484AAC1C">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重庆市渝北区龙溪街道龙华大道99号商业2栋18栋屋面(七十二行屋面)</w:t>
            </w:r>
          </w:p>
        </w:tc>
      </w:tr>
      <w:tr w14:paraId="5DFFC7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389A0D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1.1.6</w:t>
            </w:r>
          </w:p>
        </w:tc>
        <w:tc>
          <w:tcPr>
            <w:tcW w:w="1644" w:type="dxa"/>
            <w:vAlign w:val="center"/>
          </w:tcPr>
          <w:p w14:paraId="4D97ECC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建设规模</w:t>
            </w:r>
          </w:p>
        </w:tc>
        <w:tc>
          <w:tcPr>
            <w:tcW w:w="6490" w:type="dxa"/>
            <w:vAlign w:val="center"/>
          </w:tcPr>
          <w:p w14:paraId="6ED6095D">
            <w:pPr>
              <w:tabs>
                <w:tab w:val="left" w:pos="3840"/>
                <w:tab w:val="left" w:pos="5300"/>
              </w:tabs>
              <w:autoSpaceDE w:val="0"/>
              <w:autoSpaceDN w:val="0"/>
              <w:adjustRightInd w:val="0"/>
              <w:snapToGrid w:val="0"/>
              <w:spacing w:line="460" w:lineRule="exact"/>
              <w:ind w:firstLine="420" w:firstLineChars="200"/>
              <w:rPr>
                <w:rFonts w:ascii="宋体" w:hAnsi="宋体"/>
                <w:i/>
                <w:snapToGrid w:val="0"/>
                <w:color w:val="auto"/>
                <w:kern w:val="0"/>
                <w:szCs w:val="21"/>
                <w:highlight w:val="none"/>
              </w:rPr>
            </w:pPr>
            <w:r>
              <w:rPr>
                <w:rFonts w:hint="eastAsia" w:ascii="宋体" w:hAnsi="宋体"/>
                <w:snapToGrid w:val="0"/>
                <w:color w:val="auto"/>
                <w:kern w:val="0"/>
                <w:szCs w:val="21"/>
                <w:highlight w:val="none"/>
                <w:u w:val="single"/>
              </w:rPr>
              <w:t>长安锦绣城小区位于重庆市渝北区龙溪街道龙华大道99号商业2栋18栋屋面(七十二行屋面)经业主反馈多处户内漏水，目前工程师目测观测到渗漏范围较大；目前漏水情况已对商业经营、生活造成了一定的影响，渗漏情况若持续扩大将直接影响商业无法正常经营生活。需要使用专项维修资金进行维修，具体详见本项目工程量清单</w:t>
            </w:r>
            <w:r>
              <w:rPr>
                <w:rFonts w:hint="eastAsia" w:ascii="宋体" w:hAnsi="宋体"/>
                <w:snapToGrid w:val="0"/>
                <w:color w:val="auto"/>
                <w:kern w:val="0"/>
                <w:szCs w:val="21"/>
                <w:highlight w:val="none"/>
                <w:u w:val="single"/>
                <w:lang w:val="en-US" w:eastAsia="zh-CN"/>
              </w:rPr>
              <w:t>。</w:t>
            </w:r>
          </w:p>
        </w:tc>
      </w:tr>
      <w:tr w14:paraId="102053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BA1B6D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14:paraId="6441055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p>
        </w:tc>
        <w:tc>
          <w:tcPr>
            <w:tcW w:w="6490" w:type="dxa"/>
            <w:vAlign w:val="center"/>
          </w:tcPr>
          <w:p w14:paraId="3BC728E0">
            <w:pPr>
              <w:snapToGrid w:val="0"/>
              <w:spacing w:line="400" w:lineRule="exact"/>
              <w:ind w:firstLine="420" w:firstLineChars="200"/>
              <w:rPr>
                <w:rFonts w:ascii="宋体" w:hAnsi="宋体"/>
                <w:color w:val="auto"/>
                <w:szCs w:val="21"/>
                <w:highlight w:val="none"/>
              </w:rPr>
            </w:pPr>
            <w:r>
              <w:rPr>
                <w:rFonts w:hint="eastAsia" w:ascii="宋体" w:hAnsi="宋体"/>
                <w:snapToGrid w:val="0"/>
                <w:color w:val="auto"/>
                <w:kern w:val="0"/>
                <w:szCs w:val="21"/>
                <w:highlight w:val="none"/>
                <w:u w:val="single"/>
                <w:lang w:val="en-US" w:eastAsia="zh-CN"/>
              </w:rPr>
              <w:t>专项维修资金</w:t>
            </w:r>
          </w:p>
        </w:tc>
      </w:tr>
      <w:tr w14:paraId="259DD6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B590A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14:paraId="6EEF15B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出资比例</w:t>
            </w:r>
          </w:p>
        </w:tc>
        <w:tc>
          <w:tcPr>
            <w:tcW w:w="6490" w:type="dxa"/>
            <w:vAlign w:val="center"/>
          </w:tcPr>
          <w:p w14:paraId="4336F8C9">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100%</w:t>
            </w:r>
          </w:p>
        </w:tc>
      </w:tr>
      <w:tr w14:paraId="6B4153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CC16A5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1.2.3</w:t>
            </w:r>
          </w:p>
        </w:tc>
        <w:tc>
          <w:tcPr>
            <w:tcW w:w="1644" w:type="dxa"/>
            <w:vAlign w:val="center"/>
          </w:tcPr>
          <w:p w14:paraId="54DC224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14:paraId="4FA5F27B">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已落实</w:t>
            </w:r>
          </w:p>
        </w:tc>
      </w:tr>
      <w:tr w14:paraId="42D08A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60E592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14:paraId="141B1EE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招标范围</w:t>
            </w:r>
          </w:p>
        </w:tc>
        <w:tc>
          <w:tcPr>
            <w:tcW w:w="6490" w:type="dxa"/>
            <w:vAlign w:val="center"/>
          </w:tcPr>
          <w:p w14:paraId="0D099F8A">
            <w:pPr>
              <w:snapToGrid w:val="0"/>
              <w:spacing w:line="400" w:lineRule="exact"/>
              <w:ind w:firstLine="420" w:firstLineChars="200"/>
              <w:rPr>
                <w:rFonts w:ascii="宋体" w:hAnsi="宋体"/>
                <w:i/>
                <w:color w:val="auto"/>
                <w:szCs w:val="21"/>
                <w:highlight w:val="none"/>
              </w:rPr>
            </w:pPr>
            <w:r>
              <w:rPr>
                <w:rFonts w:hint="eastAsia" w:ascii="宋体" w:hAnsi="宋体"/>
                <w:snapToGrid w:val="0"/>
                <w:color w:val="auto"/>
                <w:kern w:val="0"/>
                <w:szCs w:val="21"/>
                <w:highlight w:val="none"/>
                <w:u w:val="single"/>
              </w:rPr>
              <w:t>包含工程量清单、招标文件（含答疑、补遗、澄清通知）等范围内的全部工程内容, 具体以招标人提供的工程量清单的内容为准</w:t>
            </w:r>
            <w:r>
              <w:rPr>
                <w:rFonts w:hint="eastAsia" w:ascii="宋体" w:hAnsi="宋体"/>
                <w:snapToGrid w:val="0"/>
                <w:color w:val="auto"/>
                <w:kern w:val="0"/>
                <w:szCs w:val="21"/>
                <w:highlight w:val="none"/>
                <w:u w:val="single"/>
                <w:lang w:eastAsia="zh-CN"/>
              </w:rPr>
              <w:t>。</w:t>
            </w:r>
          </w:p>
        </w:tc>
      </w:tr>
      <w:tr w14:paraId="248805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8614DC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14:paraId="15D8AC9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计划工期</w:t>
            </w:r>
          </w:p>
          <w:p w14:paraId="073E9ED7">
            <w:pPr>
              <w:snapToGrid w:val="0"/>
              <w:spacing w:line="400" w:lineRule="exact"/>
              <w:jc w:val="center"/>
              <w:rPr>
                <w:rFonts w:ascii="宋体" w:hAnsi="宋体"/>
                <w:color w:val="auto"/>
                <w:kern w:val="0"/>
                <w:szCs w:val="21"/>
                <w:highlight w:val="none"/>
              </w:rPr>
            </w:pPr>
            <w:r>
              <w:rPr>
                <w:rFonts w:hint="eastAsia" w:ascii="宋体" w:hAnsi="宋体"/>
                <w:snapToGrid w:val="0"/>
                <w:color w:val="auto"/>
                <w:kern w:val="0"/>
                <w:szCs w:val="21"/>
                <w:highlight w:val="none"/>
              </w:rPr>
              <w:t>质保期</w:t>
            </w:r>
          </w:p>
        </w:tc>
        <w:tc>
          <w:tcPr>
            <w:tcW w:w="6490" w:type="dxa"/>
            <w:vAlign w:val="center"/>
          </w:tcPr>
          <w:p w14:paraId="250E690F">
            <w:pPr>
              <w:snapToGrid w:val="0"/>
              <w:spacing w:line="400" w:lineRule="exact"/>
              <w:ind w:firstLine="420" w:firstLineChars="200"/>
              <w:rPr>
                <w:rFonts w:ascii="宋体" w:hAnsi="宋体"/>
                <w:snapToGrid w:val="0"/>
                <w:color w:val="auto"/>
                <w:kern w:val="0"/>
                <w:szCs w:val="21"/>
                <w:highlight w:val="none"/>
                <w:u w:val="single"/>
              </w:rPr>
            </w:pPr>
            <w:r>
              <w:rPr>
                <w:rFonts w:hint="eastAsia" w:ascii="宋体" w:hAnsi="宋体"/>
                <w:color w:val="auto"/>
                <w:kern w:val="0"/>
                <w:szCs w:val="21"/>
                <w:highlight w:val="none"/>
              </w:rPr>
              <w:t>工期：</w:t>
            </w:r>
            <w:r>
              <w:rPr>
                <w:rFonts w:hint="eastAsia" w:ascii="宋体" w:hAnsi="宋体"/>
                <w:snapToGrid w:val="0"/>
                <w:color w:val="auto"/>
                <w:kern w:val="0"/>
                <w:szCs w:val="21"/>
                <w:highlight w:val="none"/>
                <w:u w:val="single"/>
                <w:lang w:val="en-US" w:eastAsia="zh-CN"/>
              </w:rPr>
              <w:t>45</w:t>
            </w:r>
            <w:r>
              <w:rPr>
                <w:rFonts w:hint="eastAsia" w:ascii="宋体" w:hAnsi="宋体"/>
                <w:snapToGrid w:val="0"/>
                <w:color w:val="auto"/>
                <w:kern w:val="0"/>
                <w:szCs w:val="21"/>
                <w:highlight w:val="none"/>
                <w:u w:val="single"/>
              </w:rPr>
              <w:t>日历天</w:t>
            </w:r>
          </w:p>
          <w:p w14:paraId="005D25A8">
            <w:pPr>
              <w:snapToGrid w:val="0"/>
              <w:spacing w:line="400" w:lineRule="exact"/>
              <w:ind w:firstLine="420" w:firstLineChars="200"/>
              <w:rPr>
                <w:rFonts w:ascii="宋体" w:hAnsi="宋体"/>
                <w:color w:val="auto"/>
                <w:kern w:val="0"/>
                <w:szCs w:val="21"/>
                <w:highlight w:val="none"/>
              </w:rPr>
            </w:pPr>
            <w:r>
              <w:rPr>
                <w:rFonts w:hint="eastAsia" w:ascii="宋体" w:hAnsi="宋体"/>
                <w:snapToGrid w:val="0"/>
                <w:color w:val="auto"/>
                <w:kern w:val="0"/>
                <w:szCs w:val="21"/>
                <w:highlight w:val="none"/>
              </w:rPr>
              <w:t>质保期</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五年</w:t>
            </w:r>
          </w:p>
        </w:tc>
      </w:tr>
      <w:tr w14:paraId="2E4ADD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1513FD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14:paraId="29CC8B8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质量要求</w:t>
            </w:r>
          </w:p>
        </w:tc>
        <w:tc>
          <w:tcPr>
            <w:tcW w:w="6490" w:type="dxa"/>
            <w:vAlign w:val="center"/>
          </w:tcPr>
          <w:p w14:paraId="3559D813">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符合强制性质量标准，</w:t>
            </w:r>
            <w:r>
              <w:rPr>
                <w:rFonts w:hint="eastAsia" w:ascii="宋体" w:hAnsi="宋体"/>
                <w:color w:val="auto"/>
                <w:szCs w:val="21"/>
                <w:highlight w:val="none"/>
                <w:u w:val="single"/>
              </w:rPr>
              <w:t>符合</w:t>
            </w:r>
            <w:r>
              <w:rPr>
                <w:rFonts w:ascii="宋体" w:hAnsi="宋体"/>
                <w:color w:val="auto"/>
                <w:szCs w:val="21"/>
                <w:highlight w:val="none"/>
                <w:u w:val="single"/>
              </w:rPr>
              <w:t>国家和重庆市现行有关施工质量验收规范要求，并达到合格标准</w:t>
            </w:r>
            <w:r>
              <w:rPr>
                <w:rFonts w:ascii="宋体" w:hAnsi="宋体"/>
                <w:color w:val="auto"/>
                <w:szCs w:val="21"/>
                <w:highlight w:val="none"/>
              </w:rPr>
              <w:t>。</w:t>
            </w:r>
          </w:p>
        </w:tc>
      </w:tr>
      <w:tr w14:paraId="7F2DBD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335" w:type="dxa"/>
            <w:vAlign w:val="center"/>
          </w:tcPr>
          <w:p w14:paraId="5F4CBECC">
            <w:pPr>
              <w:snapToGrid w:val="0"/>
              <w:spacing w:line="400" w:lineRule="exact"/>
              <w:jc w:val="center"/>
              <w:rPr>
                <w:rFonts w:ascii="宋体" w:hAnsi="宋体"/>
                <w:color w:val="auto"/>
                <w:kern w:val="0"/>
                <w:szCs w:val="21"/>
                <w:highlight w:val="none"/>
              </w:rPr>
            </w:pPr>
          </w:p>
          <w:p w14:paraId="2A943AFB">
            <w:pPr>
              <w:snapToGrid w:val="0"/>
              <w:spacing w:line="400" w:lineRule="exact"/>
              <w:jc w:val="center"/>
              <w:rPr>
                <w:rFonts w:ascii="宋体" w:hAnsi="宋体"/>
                <w:color w:val="auto"/>
                <w:kern w:val="0"/>
                <w:szCs w:val="21"/>
                <w:highlight w:val="none"/>
              </w:rPr>
            </w:pPr>
          </w:p>
          <w:p w14:paraId="2431A804">
            <w:pPr>
              <w:snapToGrid w:val="0"/>
              <w:spacing w:line="400" w:lineRule="exact"/>
              <w:jc w:val="center"/>
              <w:rPr>
                <w:rFonts w:ascii="宋体" w:hAnsi="宋体"/>
                <w:color w:val="auto"/>
                <w:kern w:val="0"/>
                <w:szCs w:val="21"/>
                <w:highlight w:val="none"/>
              </w:rPr>
            </w:pPr>
          </w:p>
          <w:p w14:paraId="33C4567E">
            <w:pPr>
              <w:snapToGrid w:val="0"/>
              <w:spacing w:line="400" w:lineRule="exact"/>
              <w:jc w:val="center"/>
              <w:rPr>
                <w:rFonts w:ascii="宋体" w:hAnsi="宋体"/>
                <w:color w:val="auto"/>
                <w:kern w:val="0"/>
                <w:szCs w:val="21"/>
                <w:highlight w:val="none"/>
              </w:rPr>
            </w:pPr>
          </w:p>
          <w:p w14:paraId="0E8B30BB">
            <w:pPr>
              <w:snapToGrid w:val="0"/>
              <w:spacing w:line="400" w:lineRule="exact"/>
              <w:jc w:val="center"/>
              <w:rPr>
                <w:rFonts w:ascii="宋体" w:hAnsi="宋体"/>
                <w:color w:val="auto"/>
                <w:kern w:val="0"/>
                <w:szCs w:val="21"/>
                <w:highlight w:val="none"/>
              </w:rPr>
            </w:pPr>
          </w:p>
          <w:p w14:paraId="19486D4C">
            <w:pPr>
              <w:snapToGrid w:val="0"/>
              <w:spacing w:line="400" w:lineRule="exact"/>
              <w:jc w:val="center"/>
              <w:rPr>
                <w:rFonts w:ascii="宋体" w:hAnsi="宋体"/>
                <w:color w:val="auto"/>
                <w:kern w:val="0"/>
                <w:szCs w:val="21"/>
                <w:highlight w:val="none"/>
              </w:rPr>
            </w:pPr>
          </w:p>
          <w:p w14:paraId="2AC00530">
            <w:pPr>
              <w:snapToGrid w:val="0"/>
              <w:spacing w:line="400" w:lineRule="exact"/>
              <w:jc w:val="center"/>
              <w:rPr>
                <w:rFonts w:ascii="宋体" w:hAnsi="宋体"/>
                <w:color w:val="auto"/>
                <w:kern w:val="0"/>
                <w:szCs w:val="21"/>
                <w:highlight w:val="none"/>
              </w:rPr>
            </w:pPr>
          </w:p>
          <w:p w14:paraId="74D29D86">
            <w:pPr>
              <w:snapToGrid w:val="0"/>
              <w:spacing w:line="400" w:lineRule="exact"/>
              <w:jc w:val="center"/>
              <w:rPr>
                <w:rFonts w:ascii="宋体" w:hAnsi="宋体"/>
                <w:color w:val="auto"/>
                <w:kern w:val="0"/>
                <w:szCs w:val="21"/>
                <w:highlight w:val="none"/>
              </w:rPr>
            </w:pPr>
          </w:p>
          <w:p w14:paraId="53F69AE1">
            <w:pPr>
              <w:snapToGrid w:val="0"/>
              <w:spacing w:line="400" w:lineRule="exact"/>
              <w:jc w:val="center"/>
              <w:rPr>
                <w:rFonts w:ascii="宋体" w:hAnsi="宋体"/>
                <w:color w:val="auto"/>
                <w:kern w:val="0"/>
                <w:szCs w:val="21"/>
                <w:highlight w:val="none"/>
              </w:rPr>
            </w:pPr>
          </w:p>
          <w:p w14:paraId="151ACC07">
            <w:pPr>
              <w:snapToGrid w:val="0"/>
              <w:spacing w:line="400" w:lineRule="exact"/>
              <w:jc w:val="center"/>
              <w:rPr>
                <w:rFonts w:ascii="宋体" w:hAnsi="宋体"/>
                <w:color w:val="auto"/>
                <w:kern w:val="0"/>
                <w:szCs w:val="21"/>
                <w:highlight w:val="none"/>
              </w:rPr>
            </w:pPr>
          </w:p>
          <w:p w14:paraId="7BA2E9DD">
            <w:pPr>
              <w:snapToGrid w:val="0"/>
              <w:spacing w:line="400" w:lineRule="exact"/>
              <w:jc w:val="center"/>
              <w:rPr>
                <w:rFonts w:ascii="宋体" w:hAnsi="宋体"/>
                <w:color w:val="auto"/>
                <w:kern w:val="0"/>
                <w:szCs w:val="21"/>
                <w:highlight w:val="none"/>
              </w:rPr>
            </w:pPr>
          </w:p>
          <w:p w14:paraId="5930906A">
            <w:pPr>
              <w:snapToGrid w:val="0"/>
              <w:spacing w:line="400" w:lineRule="exact"/>
              <w:jc w:val="center"/>
              <w:rPr>
                <w:rFonts w:ascii="宋体" w:hAnsi="宋体"/>
                <w:color w:val="auto"/>
                <w:kern w:val="0"/>
                <w:szCs w:val="21"/>
                <w:highlight w:val="none"/>
              </w:rPr>
            </w:pPr>
          </w:p>
          <w:p w14:paraId="79279053">
            <w:pPr>
              <w:snapToGrid w:val="0"/>
              <w:spacing w:line="400" w:lineRule="exact"/>
              <w:jc w:val="center"/>
              <w:rPr>
                <w:rFonts w:ascii="宋体" w:hAnsi="宋体"/>
                <w:color w:val="auto"/>
                <w:kern w:val="0"/>
                <w:szCs w:val="21"/>
                <w:highlight w:val="none"/>
              </w:rPr>
            </w:pPr>
          </w:p>
          <w:p w14:paraId="1A1FF8E9">
            <w:pPr>
              <w:snapToGrid w:val="0"/>
              <w:spacing w:line="400" w:lineRule="exact"/>
              <w:jc w:val="center"/>
              <w:rPr>
                <w:rFonts w:ascii="宋体" w:hAnsi="宋体"/>
                <w:color w:val="auto"/>
                <w:kern w:val="0"/>
                <w:szCs w:val="21"/>
                <w:highlight w:val="none"/>
              </w:rPr>
            </w:pPr>
          </w:p>
          <w:p w14:paraId="0C7C8CCE">
            <w:pPr>
              <w:snapToGrid w:val="0"/>
              <w:spacing w:line="400" w:lineRule="exact"/>
              <w:jc w:val="center"/>
              <w:rPr>
                <w:rFonts w:ascii="宋体" w:hAnsi="宋体"/>
                <w:color w:val="auto"/>
                <w:kern w:val="0"/>
                <w:szCs w:val="21"/>
                <w:highlight w:val="none"/>
              </w:rPr>
            </w:pPr>
          </w:p>
          <w:p w14:paraId="143F8565">
            <w:pPr>
              <w:snapToGrid w:val="0"/>
              <w:spacing w:line="400" w:lineRule="exact"/>
              <w:jc w:val="center"/>
              <w:rPr>
                <w:rFonts w:ascii="宋体" w:hAnsi="宋体"/>
                <w:color w:val="auto"/>
                <w:kern w:val="0"/>
                <w:szCs w:val="21"/>
                <w:highlight w:val="none"/>
              </w:rPr>
            </w:pPr>
          </w:p>
          <w:p w14:paraId="46F8D74B">
            <w:pPr>
              <w:snapToGrid w:val="0"/>
              <w:spacing w:line="400" w:lineRule="exact"/>
              <w:jc w:val="center"/>
              <w:rPr>
                <w:rFonts w:ascii="宋体" w:hAnsi="宋体"/>
                <w:color w:val="auto"/>
                <w:kern w:val="0"/>
                <w:szCs w:val="21"/>
                <w:highlight w:val="none"/>
              </w:rPr>
            </w:pPr>
          </w:p>
          <w:p w14:paraId="752CCA0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6CA7FE69">
            <w:pPr>
              <w:snapToGrid w:val="0"/>
              <w:spacing w:line="400" w:lineRule="exact"/>
              <w:jc w:val="center"/>
              <w:rPr>
                <w:rFonts w:ascii="宋体" w:hAnsi="宋体"/>
                <w:color w:val="auto"/>
                <w:kern w:val="0"/>
                <w:szCs w:val="21"/>
                <w:highlight w:val="none"/>
              </w:rPr>
            </w:pPr>
          </w:p>
          <w:p w14:paraId="7A0E4237">
            <w:pPr>
              <w:snapToGrid w:val="0"/>
              <w:spacing w:line="400" w:lineRule="exact"/>
              <w:jc w:val="center"/>
              <w:rPr>
                <w:rFonts w:ascii="宋体" w:hAnsi="宋体"/>
                <w:color w:val="auto"/>
                <w:kern w:val="0"/>
                <w:szCs w:val="21"/>
                <w:highlight w:val="none"/>
              </w:rPr>
            </w:pPr>
          </w:p>
          <w:p w14:paraId="53DFE348">
            <w:pPr>
              <w:snapToGrid w:val="0"/>
              <w:spacing w:line="400" w:lineRule="exact"/>
              <w:jc w:val="center"/>
              <w:rPr>
                <w:rFonts w:ascii="宋体" w:hAnsi="宋体"/>
                <w:color w:val="auto"/>
                <w:kern w:val="0"/>
                <w:szCs w:val="21"/>
                <w:highlight w:val="none"/>
              </w:rPr>
            </w:pPr>
          </w:p>
          <w:p w14:paraId="55F42D34">
            <w:pPr>
              <w:snapToGrid w:val="0"/>
              <w:spacing w:line="400" w:lineRule="exact"/>
              <w:jc w:val="center"/>
              <w:rPr>
                <w:rFonts w:ascii="宋体" w:hAnsi="宋体"/>
                <w:color w:val="auto"/>
                <w:kern w:val="0"/>
                <w:szCs w:val="21"/>
                <w:highlight w:val="none"/>
              </w:rPr>
            </w:pPr>
          </w:p>
          <w:p w14:paraId="040C7928">
            <w:pPr>
              <w:snapToGrid w:val="0"/>
              <w:spacing w:line="400" w:lineRule="exact"/>
              <w:jc w:val="center"/>
              <w:rPr>
                <w:rFonts w:ascii="宋体" w:hAnsi="宋体"/>
                <w:color w:val="auto"/>
                <w:kern w:val="0"/>
                <w:szCs w:val="21"/>
                <w:highlight w:val="none"/>
              </w:rPr>
            </w:pPr>
          </w:p>
          <w:p w14:paraId="01E9E1D4">
            <w:pPr>
              <w:snapToGrid w:val="0"/>
              <w:spacing w:line="400" w:lineRule="exact"/>
              <w:jc w:val="center"/>
              <w:rPr>
                <w:rFonts w:ascii="宋体" w:hAnsi="宋体"/>
                <w:color w:val="auto"/>
                <w:kern w:val="0"/>
                <w:szCs w:val="21"/>
                <w:highlight w:val="none"/>
              </w:rPr>
            </w:pPr>
          </w:p>
          <w:p w14:paraId="07EE08CB">
            <w:pPr>
              <w:snapToGrid w:val="0"/>
              <w:spacing w:line="400" w:lineRule="exact"/>
              <w:jc w:val="center"/>
              <w:rPr>
                <w:rFonts w:ascii="宋体" w:hAnsi="宋体"/>
                <w:color w:val="auto"/>
                <w:kern w:val="0"/>
                <w:szCs w:val="21"/>
                <w:highlight w:val="none"/>
              </w:rPr>
            </w:pPr>
          </w:p>
          <w:p w14:paraId="01F8F1E4">
            <w:pPr>
              <w:snapToGrid w:val="0"/>
              <w:spacing w:line="400" w:lineRule="exact"/>
              <w:jc w:val="center"/>
              <w:rPr>
                <w:rFonts w:ascii="宋体" w:hAnsi="宋体"/>
                <w:color w:val="auto"/>
                <w:kern w:val="0"/>
                <w:szCs w:val="21"/>
                <w:highlight w:val="none"/>
              </w:rPr>
            </w:pPr>
          </w:p>
          <w:p w14:paraId="5340FC43">
            <w:pPr>
              <w:snapToGrid w:val="0"/>
              <w:spacing w:line="400" w:lineRule="exact"/>
              <w:jc w:val="center"/>
              <w:rPr>
                <w:rFonts w:ascii="宋体" w:hAnsi="宋体"/>
                <w:color w:val="auto"/>
                <w:kern w:val="0"/>
                <w:szCs w:val="21"/>
                <w:highlight w:val="none"/>
              </w:rPr>
            </w:pPr>
          </w:p>
          <w:p w14:paraId="03E159FF">
            <w:pPr>
              <w:snapToGrid w:val="0"/>
              <w:spacing w:line="400" w:lineRule="exact"/>
              <w:jc w:val="center"/>
              <w:rPr>
                <w:rFonts w:ascii="宋体" w:hAnsi="宋体"/>
                <w:color w:val="auto"/>
                <w:kern w:val="0"/>
                <w:szCs w:val="21"/>
                <w:highlight w:val="none"/>
              </w:rPr>
            </w:pPr>
          </w:p>
          <w:p w14:paraId="32D63975">
            <w:pPr>
              <w:snapToGrid w:val="0"/>
              <w:spacing w:line="400" w:lineRule="exact"/>
              <w:jc w:val="center"/>
              <w:rPr>
                <w:rFonts w:ascii="宋体" w:hAnsi="宋体"/>
                <w:color w:val="auto"/>
                <w:kern w:val="0"/>
                <w:szCs w:val="21"/>
                <w:highlight w:val="none"/>
              </w:rPr>
            </w:pPr>
          </w:p>
          <w:p w14:paraId="1FD46871">
            <w:pPr>
              <w:snapToGrid w:val="0"/>
              <w:spacing w:line="400" w:lineRule="exact"/>
              <w:jc w:val="center"/>
              <w:rPr>
                <w:rFonts w:ascii="宋体" w:hAnsi="宋体"/>
                <w:color w:val="auto"/>
                <w:kern w:val="0"/>
                <w:szCs w:val="21"/>
                <w:highlight w:val="none"/>
              </w:rPr>
            </w:pPr>
          </w:p>
          <w:p w14:paraId="1442018E">
            <w:pPr>
              <w:snapToGrid w:val="0"/>
              <w:spacing w:line="400" w:lineRule="exact"/>
              <w:jc w:val="center"/>
              <w:rPr>
                <w:rFonts w:ascii="宋体" w:hAnsi="宋体"/>
                <w:color w:val="auto"/>
                <w:kern w:val="0"/>
                <w:szCs w:val="21"/>
                <w:highlight w:val="none"/>
              </w:rPr>
            </w:pPr>
          </w:p>
          <w:p w14:paraId="20539A8F">
            <w:pPr>
              <w:snapToGrid w:val="0"/>
              <w:spacing w:line="400" w:lineRule="exact"/>
              <w:jc w:val="center"/>
              <w:rPr>
                <w:rFonts w:ascii="宋体" w:hAnsi="宋体"/>
                <w:color w:val="auto"/>
                <w:kern w:val="0"/>
                <w:szCs w:val="21"/>
                <w:highlight w:val="none"/>
              </w:rPr>
            </w:pPr>
          </w:p>
          <w:p w14:paraId="31D667FC">
            <w:pPr>
              <w:snapToGrid w:val="0"/>
              <w:spacing w:line="400" w:lineRule="exact"/>
              <w:jc w:val="center"/>
              <w:rPr>
                <w:rFonts w:ascii="宋体" w:hAnsi="宋体"/>
                <w:color w:val="auto"/>
                <w:kern w:val="0"/>
                <w:szCs w:val="21"/>
                <w:highlight w:val="none"/>
              </w:rPr>
            </w:pPr>
          </w:p>
          <w:p w14:paraId="169B4754">
            <w:pPr>
              <w:snapToGrid w:val="0"/>
              <w:spacing w:line="400" w:lineRule="exact"/>
              <w:jc w:val="center"/>
              <w:rPr>
                <w:rFonts w:ascii="宋体" w:hAnsi="宋体"/>
                <w:color w:val="auto"/>
                <w:kern w:val="0"/>
                <w:szCs w:val="21"/>
                <w:highlight w:val="none"/>
              </w:rPr>
            </w:pPr>
          </w:p>
          <w:p w14:paraId="05EDEEE1">
            <w:pPr>
              <w:snapToGrid w:val="0"/>
              <w:spacing w:line="400" w:lineRule="exact"/>
              <w:jc w:val="center"/>
              <w:rPr>
                <w:rFonts w:ascii="宋体" w:hAnsi="宋体"/>
                <w:color w:val="auto"/>
                <w:kern w:val="0"/>
                <w:szCs w:val="21"/>
                <w:highlight w:val="none"/>
              </w:rPr>
            </w:pPr>
          </w:p>
          <w:p w14:paraId="1C28F613">
            <w:pPr>
              <w:snapToGrid w:val="0"/>
              <w:spacing w:line="400" w:lineRule="exact"/>
              <w:jc w:val="center"/>
              <w:rPr>
                <w:rFonts w:ascii="宋体" w:hAnsi="宋体"/>
                <w:color w:val="auto"/>
                <w:kern w:val="0"/>
                <w:szCs w:val="21"/>
                <w:highlight w:val="none"/>
              </w:rPr>
            </w:pPr>
          </w:p>
          <w:p w14:paraId="6F72ADD0">
            <w:pPr>
              <w:snapToGrid w:val="0"/>
              <w:spacing w:line="400" w:lineRule="exact"/>
              <w:jc w:val="center"/>
              <w:rPr>
                <w:rFonts w:ascii="宋体" w:hAnsi="宋体"/>
                <w:color w:val="auto"/>
                <w:kern w:val="0"/>
                <w:szCs w:val="21"/>
                <w:highlight w:val="none"/>
              </w:rPr>
            </w:pPr>
          </w:p>
          <w:p w14:paraId="6291F7E0">
            <w:pPr>
              <w:snapToGrid w:val="0"/>
              <w:spacing w:line="400" w:lineRule="exact"/>
              <w:jc w:val="center"/>
              <w:rPr>
                <w:rFonts w:ascii="宋体" w:hAnsi="宋体"/>
                <w:color w:val="auto"/>
                <w:kern w:val="0"/>
                <w:szCs w:val="21"/>
                <w:highlight w:val="none"/>
              </w:rPr>
            </w:pPr>
          </w:p>
          <w:p w14:paraId="20829CEF">
            <w:pPr>
              <w:snapToGrid w:val="0"/>
              <w:spacing w:line="400" w:lineRule="exact"/>
              <w:jc w:val="center"/>
              <w:rPr>
                <w:rFonts w:ascii="宋体" w:hAnsi="宋体"/>
                <w:color w:val="auto"/>
                <w:kern w:val="0"/>
                <w:szCs w:val="21"/>
                <w:highlight w:val="none"/>
              </w:rPr>
            </w:pPr>
          </w:p>
          <w:p w14:paraId="75C06936">
            <w:pPr>
              <w:snapToGrid w:val="0"/>
              <w:spacing w:line="400" w:lineRule="exact"/>
              <w:jc w:val="center"/>
              <w:rPr>
                <w:rFonts w:ascii="宋体" w:hAnsi="宋体"/>
                <w:color w:val="auto"/>
                <w:kern w:val="0"/>
                <w:szCs w:val="21"/>
                <w:highlight w:val="none"/>
              </w:rPr>
            </w:pPr>
          </w:p>
          <w:p w14:paraId="49721330">
            <w:pPr>
              <w:snapToGrid w:val="0"/>
              <w:spacing w:line="400" w:lineRule="exact"/>
              <w:jc w:val="center"/>
              <w:rPr>
                <w:rFonts w:ascii="宋体" w:hAnsi="宋体"/>
                <w:color w:val="auto"/>
                <w:kern w:val="0"/>
                <w:szCs w:val="21"/>
                <w:highlight w:val="none"/>
              </w:rPr>
            </w:pPr>
          </w:p>
          <w:p w14:paraId="1F2A7EB0">
            <w:pPr>
              <w:snapToGrid w:val="0"/>
              <w:spacing w:line="400" w:lineRule="exact"/>
              <w:jc w:val="center"/>
              <w:rPr>
                <w:rFonts w:ascii="宋体" w:hAnsi="宋体"/>
                <w:color w:val="auto"/>
                <w:kern w:val="0"/>
                <w:szCs w:val="21"/>
                <w:highlight w:val="none"/>
              </w:rPr>
            </w:pPr>
          </w:p>
          <w:p w14:paraId="43569812">
            <w:pPr>
              <w:snapToGrid w:val="0"/>
              <w:spacing w:line="400" w:lineRule="exact"/>
              <w:jc w:val="center"/>
              <w:rPr>
                <w:rFonts w:ascii="宋体" w:hAnsi="宋体"/>
                <w:color w:val="auto"/>
                <w:kern w:val="0"/>
                <w:szCs w:val="21"/>
                <w:highlight w:val="none"/>
              </w:rPr>
            </w:pPr>
          </w:p>
          <w:p w14:paraId="7BDB6247">
            <w:pPr>
              <w:snapToGrid w:val="0"/>
              <w:spacing w:line="400" w:lineRule="exact"/>
              <w:jc w:val="center"/>
              <w:rPr>
                <w:rFonts w:ascii="宋体" w:hAnsi="宋体"/>
                <w:color w:val="auto"/>
                <w:kern w:val="0"/>
                <w:szCs w:val="21"/>
                <w:highlight w:val="none"/>
              </w:rPr>
            </w:pPr>
          </w:p>
          <w:p w14:paraId="784BE804">
            <w:pPr>
              <w:snapToGrid w:val="0"/>
              <w:spacing w:line="400" w:lineRule="exact"/>
              <w:jc w:val="both"/>
              <w:rPr>
                <w:rFonts w:ascii="宋体" w:hAnsi="宋体"/>
                <w:color w:val="auto"/>
                <w:kern w:val="0"/>
                <w:szCs w:val="21"/>
                <w:highlight w:val="none"/>
              </w:rPr>
            </w:pPr>
          </w:p>
        </w:tc>
        <w:tc>
          <w:tcPr>
            <w:tcW w:w="1644" w:type="dxa"/>
            <w:vAlign w:val="center"/>
          </w:tcPr>
          <w:p w14:paraId="70158719">
            <w:pPr>
              <w:snapToGrid w:val="0"/>
              <w:spacing w:line="400" w:lineRule="exact"/>
              <w:jc w:val="center"/>
              <w:rPr>
                <w:rFonts w:ascii="宋体" w:hAnsi="宋体"/>
                <w:color w:val="auto"/>
                <w:kern w:val="0"/>
                <w:szCs w:val="21"/>
                <w:highlight w:val="none"/>
              </w:rPr>
            </w:pPr>
          </w:p>
          <w:p w14:paraId="2A0C7A63">
            <w:pPr>
              <w:snapToGrid w:val="0"/>
              <w:spacing w:line="400" w:lineRule="exact"/>
              <w:jc w:val="center"/>
              <w:rPr>
                <w:rFonts w:ascii="宋体" w:hAnsi="宋体"/>
                <w:color w:val="auto"/>
                <w:kern w:val="0"/>
                <w:szCs w:val="21"/>
                <w:highlight w:val="none"/>
              </w:rPr>
            </w:pPr>
          </w:p>
          <w:p w14:paraId="00AAFD9D">
            <w:pPr>
              <w:snapToGrid w:val="0"/>
              <w:spacing w:line="400" w:lineRule="exact"/>
              <w:jc w:val="center"/>
              <w:rPr>
                <w:rFonts w:ascii="宋体" w:hAnsi="宋体"/>
                <w:color w:val="auto"/>
                <w:kern w:val="0"/>
                <w:szCs w:val="21"/>
                <w:highlight w:val="none"/>
              </w:rPr>
            </w:pPr>
          </w:p>
          <w:p w14:paraId="4769822E">
            <w:pPr>
              <w:snapToGrid w:val="0"/>
              <w:spacing w:line="400" w:lineRule="exact"/>
              <w:jc w:val="center"/>
              <w:rPr>
                <w:rFonts w:ascii="宋体" w:hAnsi="宋体"/>
                <w:color w:val="auto"/>
                <w:kern w:val="0"/>
                <w:szCs w:val="21"/>
                <w:highlight w:val="none"/>
              </w:rPr>
            </w:pPr>
          </w:p>
          <w:p w14:paraId="70D4C855">
            <w:pPr>
              <w:snapToGrid w:val="0"/>
              <w:spacing w:line="400" w:lineRule="exact"/>
              <w:jc w:val="center"/>
              <w:rPr>
                <w:rFonts w:ascii="宋体" w:hAnsi="宋体"/>
                <w:color w:val="auto"/>
                <w:kern w:val="0"/>
                <w:szCs w:val="21"/>
                <w:highlight w:val="none"/>
              </w:rPr>
            </w:pPr>
          </w:p>
          <w:p w14:paraId="28F5BDE4">
            <w:pPr>
              <w:snapToGrid w:val="0"/>
              <w:spacing w:line="400" w:lineRule="exact"/>
              <w:jc w:val="center"/>
              <w:rPr>
                <w:rFonts w:ascii="宋体" w:hAnsi="宋体"/>
                <w:color w:val="auto"/>
                <w:kern w:val="0"/>
                <w:szCs w:val="21"/>
                <w:highlight w:val="none"/>
              </w:rPr>
            </w:pPr>
          </w:p>
          <w:p w14:paraId="4D38A471">
            <w:pPr>
              <w:snapToGrid w:val="0"/>
              <w:spacing w:line="400" w:lineRule="exact"/>
              <w:jc w:val="center"/>
              <w:rPr>
                <w:rFonts w:ascii="宋体" w:hAnsi="宋体"/>
                <w:color w:val="auto"/>
                <w:kern w:val="0"/>
                <w:szCs w:val="21"/>
                <w:highlight w:val="none"/>
              </w:rPr>
            </w:pPr>
          </w:p>
          <w:p w14:paraId="7BD479A3">
            <w:pPr>
              <w:snapToGrid w:val="0"/>
              <w:spacing w:line="400" w:lineRule="exact"/>
              <w:jc w:val="center"/>
              <w:rPr>
                <w:rFonts w:ascii="宋体" w:hAnsi="宋体"/>
                <w:color w:val="auto"/>
                <w:kern w:val="0"/>
                <w:szCs w:val="21"/>
                <w:highlight w:val="none"/>
              </w:rPr>
            </w:pPr>
          </w:p>
          <w:p w14:paraId="3C383F3B">
            <w:pPr>
              <w:snapToGrid w:val="0"/>
              <w:spacing w:line="400" w:lineRule="exact"/>
              <w:jc w:val="center"/>
              <w:rPr>
                <w:rFonts w:ascii="宋体" w:hAnsi="宋体"/>
                <w:color w:val="auto"/>
                <w:kern w:val="0"/>
                <w:szCs w:val="21"/>
                <w:highlight w:val="none"/>
              </w:rPr>
            </w:pPr>
          </w:p>
          <w:p w14:paraId="0FC323F1">
            <w:pPr>
              <w:snapToGrid w:val="0"/>
              <w:spacing w:line="400" w:lineRule="exact"/>
              <w:jc w:val="center"/>
              <w:rPr>
                <w:rFonts w:ascii="宋体" w:hAnsi="宋体"/>
                <w:color w:val="auto"/>
                <w:kern w:val="0"/>
                <w:szCs w:val="21"/>
                <w:highlight w:val="none"/>
              </w:rPr>
            </w:pPr>
          </w:p>
          <w:p w14:paraId="1CA4E2E5">
            <w:pPr>
              <w:snapToGrid w:val="0"/>
              <w:spacing w:line="400" w:lineRule="exact"/>
              <w:jc w:val="center"/>
              <w:rPr>
                <w:rFonts w:ascii="宋体" w:hAnsi="宋体"/>
                <w:color w:val="auto"/>
                <w:kern w:val="0"/>
                <w:szCs w:val="21"/>
                <w:highlight w:val="none"/>
              </w:rPr>
            </w:pPr>
          </w:p>
          <w:p w14:paraId="665702DD">
            <w:pPr>
              <w:snapToGrid w:val="0"/>
              <w:spacing w:line="400" w:lineRule="exact"/>
              <w:jc w:val="center"/>
              <w:rPr>
                <w:rFonts w:ascii="宋体" w:hAnsi="宋体"/>
                <w:color w:val="auto"/>
                <w:kern w:val="0"/>
                <w:szCs w:val="21"/>
                <w:highlight w:val="none"/>
              </w:rPr>
            </w:pPr>
          </w:p>
          <w:p w14:paraId="1F4CB36B">
            <w:pPr>
              <w:snapToGrid w:val="0"/>
              <w:spacing w:line="400" w:lineRule="exact"/>
              <w:jc w:val="center"/>
              <w:rPr>
                <w:rFonts w:ascii="宋体" w:hAnsi="宋体"/>
                <w:color w:val="auto"/>
                <w:kern w:val="0"/>
                <w:szCs w:val="21"/>
                <w:highlight w:val="none"/>
              </w:rPr>
            </w:pPr>
          </w:p>
          <w:p w14:paraId="44A23927">
            <w:pPr>
              <w:snapToGrid w:val="0"/>
              <w:spacing w:line="400" w:lineRule="exact"/>
              <w:jc w:val="center"/>
              <w:rPr>
                <w:rFonts w:ascii="宋体" w:hAnsi="宋体"/>
                <w:color w:val="auto"/>
                <w:kern w:val="0"/>
                <w:szCs w:val="21"/>
                <w:highlight w:val="none"/>
              </w:rPr>
            </w:pPr>
          </w:p>
          <w:p w14:paraId="39F8915A">
            <w:pPr>
              <w:snapToGrid w:val="0"/>
              <w:spacing w:line="400" w:lineRule="exact"/>
              <w:jc w:val="center"/>
              <w:rPr>
                <w:rFonts w:ascii="宋体" w:hAnsi="宋体"/>
                <w:color w:val="auto"/>
                <w:kern w:val="0"/>
                <w:szCs w:val="21"/>
                <w:highlight w:val="none"/>
              </w:rPr>
            </w:pPr>
          </w:p>
          <w:p w14:paraId="707B93EE">
            <w:pPr>
              <w:snapToGrid w:val="0"/>
              <w:spacing w:line="400" w:lineRule="exact"/>
              <w:jc w:val="center"/>
              <w:rPr>
                <w:rFonts w:ascii="宋体" w:hAnsi="宋体"/>
                <w:color w:val="auto"/>
                <w:kern w:val="0"/>
                <w:szCs w:val="21"/>
                <w:highlight w:val="none"/>
              </w:rPr>
            </w:pPr>
          </w:p>
          <w:p w14:paraId="53583FD8">
            <w:pPr>
              <w:snapToGrid w:val="0"/>
              <w:spacing w:line="400" w:lineRule="exact"/>
              <w:jc w:val="center"/>
              <w:rPr>
                <w:rFonts w:ascii="宋体" w:hAnsi="宋体"/>
                <w:color w:val="auto"/>
                <w:kern w:val="0"/>
                <w:szCs w:val="21"/>
                <w:highlight w:val="none"/>
              </w:rPr>
            </w:pPr>
          </w:p>
          <w:p w14:paraId="0D7E358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14:paraId="67AB7D5B">
            <w:pPr>
              <w:snapToGrid w:val="0"/>
              <w:spacing w:line="400" w:lineRule="exact"/>
              <w:jc w:val="center"/>
              <w:rPr>
                <w:rFonts w:ascii="宋体" w:hAnsi="宋体"/>
                <w:color w:val="auto"/>
                <w:kern w:val="0"/>
                <w:szCs w:val="21"/>
                <w:highlight w:val="none"/>
              </w:rPr>
            </w:pPr>
          </w:p>
          <w:p w14:paraId="35A6ECA0">
            <w:pPr>
              <w:snapToGrid w:val="0"/>
              <w:spacing w:line="400" w:lineRule="exact"/>
              <w:jc w:val="center"/>
              <w:rPr>
                <w:rFonts w:ascii="宋体" w:hAnsi="宋体"/>
                <w:color w:val="auto"/>
                <w:kern w:val="0"/>
                <w:szCs w:val="21"/>
                <w:highlight w:val="none"/>
              </w:rPr>
            </w:pPr>
          </w:p>
          <w:p w14:paraId="7CD8E116">
            <w:pPr>
              <w:snapToGrid w:val="0"/>
              <w:spacing w:line="400" w:lineRule="exact"/>
              <w:jc w:val="center"/>
              <w:rPr>
                <w:rFonts w:ascii="宋体" w:hAnsi="宋体"/>
                <w:color w:val="auto"/>
                <w:kern w:val="0"/>
                <w:szCs w:val="21"/>
                <w:highlight w:val="none"/>
              </w:rPr>
            </w:pPr>
          </w:p>
          <w:p w14:paraId="3F72A5B4">
            <w:pPr>
              <w:snapToGrid w:val="0"/>
              <w:spacing w:line="400" w:lineRule="exact"/>
              <w:jc w:val="center"/>
              <w:rPr>
                <w:rFonts w:ascii="宋体" w:hAnsi="宋体"/>
                <w:color w:val="auto"/>
                <w:kern w:val="0"/>
                <w:szCs w:val="21"/>
                <w:highlight w:val="none"/>
              </w:rPr>
            </w:pPr>
          </w:p>
          <w:p w14:paraId="7FB3FCA4">
            <w:pPr>
              <w:snapToGrid w:val="0"/>
              <w:spacing w:line="400" w:lineRule="exact"/>
              <w:jc w:val="center"/>
              <w:rPr>
                <w:rFonts w:ascii="宋体" w:hAnsi="宋体"/>
                <w:color w:val="auto"/>
                <w:kern w:val="0"/>
                <w:szCs w:val="21"/>
                <w:highlight w:val="none"/>
              </w:rPr>
            </w:pPr>
          </w:p>
          <w:p w14:paraId="0BF43F65">
            <w:pPr>
              <w:snapToGrid w:val="0"/>
              <w:spacing w:line="400" w:lineRule="exact"/>
              <w:jc w:val="center"/>
              <w:rPr>
                <w:rFonts w:ascii="宋体" w:hAnsi="宋体"/>
                <w:color w:val="auto"/>
                <w:kern w:val="0"/>
                <w:szCs w:val="21"/>
                <w:highlight w:val="none"/>
              </w:rPr>
            </w:pPr>
          </w:p>
          <w:p w14:paraId="2644B53A">
            <w:pPr>
              <w:snapToGrid w:val="0"/>
              <w:spacing w:line="400" w:lineRule="exact"/>
              <w:jc w:val="center"/>
              <w:rPr>
                <w:rFonts w:ascii="宋体" w:hAnsi="宋体"/>
                <w:color w:val="auto"/>
                <w:kern w:val="0"/>
                <w:szCs w:val="21"/>
                <w:highlight w:val="none"/>
              </w:rPr>
            </w:pPr>
          </w:p>
          <w:p w14:paraId="2A1615A1">
            <w:pPr>
              <w:snapToGrid w:val="0"/>
              <w:spacing w:line="400" w:lineRule="exact"/>
              <w:jc w:val="center"/>
              <w:rPr>
                <w:rFonts w:ascii="宋体" w:hAnsi="宋体"/>
                <w:color w:val="auto"/>
                <w:kern w:val="0"/>
                <w:szCs w:val="21"/>
                <w:highlight w:val="none"/>
              </w:rPr>
            </w:pPr>
          </w:p>
          <w:p w14:paraId="0253B1AF">
            <w:pPr>
              <w:snapToGrid w:val="0"/>
              <w:spacing w:line="400" w:lineRule="exact"/>
              <w:jc w:val="center"/>
              <w:rPr>
                <w:rFonts w:ascii="宋体" w:hAnsi="宋体"/>
                <w:color w:val="auto"/>
                <w:kern w:val="0"/>
                <w:szCs w:val="21"/>
                <w:highlight w:val="none"/>
              </w:rPr>
            </w:pPr>
          </w:p>
          <w:p w14:paraId="4766FCDA">
            <w:pPr>
              <w:snapToGrid w:val="0"/>
              <w:spacing w:line="400" w:lineRule="exact"/>
              <w:jc w:val="center"/>
              <w:rPr>
                <w:rFonts w:ascii="宋体" w:hAnsi="宋体"/>
                <w:color w:val="auto"/>
                <w:kern w:val="0"/>
                <w:szCs w:val="21"/>
                <w:highlight w:val="none"/>
              </w:rPr>
            </w:pPr>
          </w:p>
          <w:p w14:paraId="0D149005">
            <w:pPr>
              <w:snapToGrid w:val="0"/>
              <w:spacing w:line="400" w:lineRule="exact"/>
              <w:jc w:val="center"/>
              <w:rPr>
                <w:rFonts w:ascii="宋体" w:hAnsi="宋体"/>
                <w:color w:val="auto"/>
                <w:kern w:val="0"/>
                <w:szCs w:val="21"/>
                <w:highlight w:val="none"/>
              </w:rPr>
            </w:pPr>
          </w:p>
          <w:p w14:paraId="342292EC">
            <w:pPr>
              <w:snapToGrid w:val="0"/>
              <w:spacing w:line="400" w:lineRule="exact"/>
              <w:jc w:val="center"/>
              <w:rPr>
                <w:rFonts w:ascii="宋体" w:hAnsi="宋体"/>
                <w:color w:val="auto"/>
                <w:kern w:val="0"/>
                <w:szCs w:val="21"/>
                <w:highlight w:val="none"/>
              </w:rPr>
            </w:pPr>
          </w:p>
          <w:p w14:paraId="095A5DED">
            <w:pPr>
              <w:snapToGrid w:val="0"/>
              <w:spacing w:line="400" w:lineRule="exact"/>
              <w:jc w:val="center"/>
              <w:rPr>
                <w:rFonts w:ascii="宋体" w:hAnsi="宋体"/>
                <w:color w:val="auto"/>
                <w:kern w:val="0"/>
                <w:szCs w:val="21"/>
                <w:highlight w:val="none"/>
              </w:rPr>
            </w:pPr>
          </w:p>
          <w:p w14:paraId="5663F31D">
            <w:pPr>
              <w:snapToGrid w:val="0"/>
              <w:spacing w:line="400" w:lineRule="exact"/>
              <w:jc w:val="center"/>
              <w:rPr>
                <w:rFonts w:ascii="宋体" w:hAnsi="宋体"/>
                <w:color w:val="auto"/>
                <w:kern w:val="0"/>
                <w:szCs w:val="21"/>
                <w:highlight w:val="none"/>
              </w:rPr>
            </w:pPr>
          </w:p>
          <w:p w14:paraId="27C46408">
            <w:pPr>
              <w:snapToGrid w:val="0"/>
              <w:spacing w:line="400" w:lineRule="exact"/>
              <w:jc w:val="center"/>
              <w:rPr>
                <w:rFonts w:ascii="宋体" w:hAnsi="宋体"/>
                <w:color w:val="auto"/>
                <w:kern w:val="0"/>
                <w:szCs w:val="21"/>
                <w:highlight w:val="none"/>
              </w:rPr>
            </w:pPr>
          </w:p>
          <w:p w14:paraId="497837F3">
            <w:pPr>
              <w:snapToGrid w:val="0"/>
              <w:spacing w:line="400" w:lineRule="exact"/>
              <w:jc w:val="center"/>
              <w:rPr>
                <w:rFonts w:ascii="宋体" w:hAnsi="宋体"/>
                <w:color w:val="auto"/>
                <w:kern w:val="0"/>
                <w:szCs w:val="21"/>
                <w:highlight w:val="none"/>
              </w:rPr>
            </w:pPr>
          </w:p>
          <w:p w14:paraId="2386F18D">
            <w:pPr>
              <w:snapToGrid w:val="0"/>
              <w:spacing w:line="400" w:lineRule="exact"/>
              <w:jc w:val="center"/>
              <w:rPr>
                <w:rFonts w:ascii="宋体" w:hAnsi="宋体"/>
                <w:color w:val="auto"/>
                <w:kern w:val="0"/>
                <w:szCs w:val="21"/>
                <w:highlight w:val="none"/>
              </w:rPr>
            </w:pPr>
          </w:p>
          <w:p w14:paraId="3C1EC9E3">
            <w:pPr>
              <w:snapToGrid w:val="0"/>
              <w:spacing w:line="400" w:lineRule="exact"/>
              <w:jc w:val="center"/>
              <w:rPr>
                <w:rFonts w:ascii="宋体" w:hAnsi="宋体"/>
                <w:color w:val="auto"/>
                <w:kern w:val="0"/>
                <w:szCs w:val="21"/>
                <w:highlight w:val="none"/>
              </w:rPr>
            </w:pPr>
          </w:p>
          <w:p w14:paraId="60E4009E">
            <w:pPr>
              <w:snapToGrid w:val="0"/>
              <w:spacing w:line="400" w:lineRule="exact"/>
              <w:jc w:val="center"/>
              <w:rPr>
                <w:rFonts w:ascii="宋体" w:hAnsi="宋体"/>
                <w:color w:val="auto"/>
                <w:kern w:val="0"/>
                <w:szCs w:val="21"/>
                <w:highlight w:val="none"/>
              </w:rPr>
            </w:pPr>
          </w:p>
          <w:p w14:paraId="0E5C1ACE">
            <w:pPr>
              <w:snapToGrid w:val="0"/>
              <w:spacing w:line="400" w:lineRule="exact"/>
              <w:jc w:val="center"/>
              <w:rPr>
                <w:rFonts w:ascii="宋体" w:hAnsi="宋体"/>
                <w:color w:val="auto"/>
                <w:kern w:val="0"/>
                <w:szCs w:val="21"/>
                <w:highlight w:val="none"/>
              </w:rPr>
            </w:pPr>
          </w:p>
          <w:p w14:paraId="506088CF">
            <w:pPr>
              <w:snapToGrid w:val="0"/>
              <w:spacing w:line="400" w:lineRule="exact"/>
              <w:jc w:val="center"/>
              <w:rPr>
                <w:rFonts w:ascii="宋体" w:hAnsi="宋体"/>
                <w:color w:val="auto"/>
                <w:kern w:val="0"/>
                <w:szCs w:val="21"/>
                <w:highlight w:val="none"/>
              </w:rPr>
            </w:pPr>
          </w:p>
          <w:p w14:paraId="3C3A65EC">
            <w:pPr>
              <w:snapToGrid w:val="0"/>
              <w:spacing w:line="400" w:lineRule="exact"/>
              <w:jc w:val="center"/>
              <w:rPr>
                <w:rFonts w:ascii="宋体" w:hAnsi="宋体"/>
                <w:color w:val="auto"/>
                <w:kern w:val="0"/>
                <w:szCs w:val="21"/>
                <w:highlight w:val="none"/>
              </w:rPr>
            </w:pPr>
          </w:p>
          <w:p w14:paraId="1438EDC9">
            <w:pPr>
              <w:snapToGrid w:val="0"/>
              <w:spacing w:line="400" w:lineRule="exact"/>
              <w:jc w:val="center"/>
              <w:rPr>
                <w:rFonts w:ascii="宋体" w:hAnsi="宋体"/>
                <w:color w:val="auto"/>
                <w:kern w:val="0"/>
                <w:szCs w:val="21"/>
                <w:highlight w:val="none"/>
              </w:rPr>
            </w:pPr>
          </w:p>
          <w:p w14:paraId="0F6CA2F4">
            <w:pPr>
              <w:snapToGrid w:val="0"/>
              <w:spacing w:line="400" w:lineRule="exact"/>
              <w:jc w:val="center"/>
              <w:rPr>
                <w:rFonts w:ascii="宋体" w:hAnsi="宋体"/>
                <w:color w:val="auto"/>
                <w:kern w:val="0"/>
                <w:szCs w:val="21"/>
                <w:highlight w:val="none"/>
              </w:rPr>
            </w:pPr>
          </w:p>
          <w:p w14:paraId="396E2A7D">
            <w:pPr>
              <w:snapToGrid w:val="0"/>
              <w:spacing w:line="400" w:lineRule="exact"/>
              <w:jc w:val="center"/>
              <w:rPr>
                <w:rFonts w:ascii="宋体" w:hAnsi="宋体"/>
                <w:color w:val="auto"/>
                <w:kern w:val="0"/>
                <w:szCs w:val="21"/>
                <w:highlight w:val="none"/>
              </w:rPr>
            </w:pPr>
          </w:p>
          <w:p w14:paraId="1247234C">
            <w:pPr>
              <w:snapToGrid w:val="0"/>
              <w:spacing w:line="400" w:lineRule="exact"/>
              <w:jc w:val="both"/>
              <w:rPr>
                <w:rFonts w:ascii="宋体" w:hAnsi="宋体"/>
                <w:color w:val="auto"/>
                <w:kern w:val="0"/>
                <w:szCs w:val="21"/>
                <w:highlight w:val="none"/>
              </w:rPr>
            </w:pPr>
          </w:p>
        </w:tc>
        <w:tc>
          <w:tcPr>
            <w:tcW w:w="6490" w:type="dxa"/>
            <w:vAlign w:val="center"/>
          </w:tcPr>
          <w:p w14:paraId="73478D5E">
            <w:pPr>
              <w:autoSpaceDE w:val="0"/>
              <w:autoSpaceDN w:val="0"/>
              <w:adjustRightInd w:val="0"/>
              <w:snapToGrid w:val="0"/>
              <w:spacing w:line="400" w:lineRule="exact"/>
              <w:ind w:firstLine="420" w:firstLineChars="200"/>
              <w:rPr>
                <w:rFonts w:ascii="宋体" w:hAnsi="宋体"/>
                <w:color w:val="auto"/>
                <w:szCs w:val="21"/>
                <w:highlight w:val="none"/>
              </w:rPr>
            </w:pPr>
            <w:bookmarkStart w:id="108" w:name="OLE_LINK1"/>
            <w:r>
              <w:rPr>
                <w:rFonts w:ascii="宋体" w:hAnsi="宋体"/>
                <w:color w:val="auto"/>
                <w:szCs w:val="21"/>
                <w:highlight w:val="none"/>
              </w:rPr>
              <w:t>本工程施工招标实行资格后审，投标人应</w:t>
            </w:r>
            <w:bookmarkStart w:id="109" w:name="一是"/>
            <w:bookmarkEnd w:id="109"/>
            <w:r>
              <w:rPr>
                <w:rFonts w:ascii="宋体" w:hAnsi="宋体"/>
                <w:color w:val="auto"/>
                <w:szCs w:val="21"/>
                <w:highlight w:val="none"/>
              </w:rPr>
              <w:t>具备以下资格条件：</w:t>
            </w:r>
          </w:p>
          <w:bookmarkEnd w:id="108"/>
          <w:p w14:paraId="43285B6D">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1.资质条件、营业执照及安全生产条件</w:t>
            </w:r>
          </w:p>
          <w:p w14:paraId="785D189D">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具备建设行政主管部门颁发的有效的</w:t>
            </w:r>
            <w:r>
              <w:rPr>
                <w:rFonts w:hint="eastAsia" w:ascii="宋体" w:hAnsi="宋体"/>
                <w:color w:val="auto"/>
                <w:szCs w:val="21"/>
                <w:highlight w:val="none"/>
                <w:u w:val="single"/>
              </w:rPr>
              <w:t>防水防腐保温工程专业承包二级及以上资质</w:t>
            </w:r>
            <w:r>
              <w:rPr>
                <w:rFonts w:ascii="宋体" w:hAnsi="宋体"/>
                <w:color w:val="auto"/>
                <w:szCs w:val="21"/>
                <w:highlight w:val="none"/>
              </w:rPr>
              <w:t>。</w:t>
            </w:r>
          </w:p>
          <w:p w14:paraId="2113E6A3">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在投标文件资格审查部分</w:t>
            </w:r>
            <w:r>
              <w:rPr>
                <w:rFonts w:ascii="宋体" w:hAnsi="宋体"/>
                <w:color w:val="auto"/>
                <w:szCs w:val="21"/>
                <w:highlight w:val="none"/>
              </w:rPr>
              <w:t>提供</w:t>
            </w:r>
            <w:r>
              <w:rPr>
                <w:rFonts w:hint="eastAsia" w:ascii="宋体" w:hAnsi="宋体"/>
                <w:color w:val="auto"/>
                <w:szCs w:val="21"/>
                <w:highlight w:val="none"/>
              </w:rPr>
              <w:t>有效的资质证书</w:t>
            </w:r>
            <w:r>
              <w:rPr>
                <w:rFonts w:ascii="宋体" w:hAnsi="宋体"/>
                <w:color w:val="auto"/>
                <w:szCs w:val="21"/>
                <w:highlight w:val="none"/>
              </w:rPr>
              <w:t>复印件。</w:t>
            </w:r>
          </w:p>
          <w:p w14:paraId="33CCF057">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（2）具备有效的营业执照。</w:t>
            </w:r>
          </w:p>
          <w:p w14:paraId="24B3EEA4">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在投标文件资格审查部分</w:t>
            </w:r>
            <w:r>
              <w:rPr>
                <w:rFonts w:ascii="宋体" w:hAnsi="宋体"/>
                <w:color w:val="auto"/>
                <w:szCs w:val="21"/>
                <w:highlight w:val="none"/>
              </w:rPr>
              <w:t>提供有效的营业执照复印件。</w:t>
            </w:r>
            <w:r>
              <w:rPr>
                <w:rFonts w:hint="eastAsia" w:ascii="宋体" w:hAnsi="宋体"/>
                <w:color w:val="auto"/>
                <w:szCs w:val="21"/>
                <w:highlight w:val="none"/>
              </w:rPr>
              <w:t>注：不得将投标人营业执照记载的经营范围作为评审因素。</w:t>
            </w:r>
          </w:p>
          <w:p w14:paraId="31205771">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（3）具备建设行政主管部门颁发的有效的安全生产许可证，</w:t>
            </w:r>
            <w:r>
              <w:rPr>
                <w:rFonts w:hint="eastAsia" w:ascii="宋体" w:hAnsi="宋体"/>
                <w:color w:val="auto"/>
                <w:szCs w:val="21"/>
                <w:highlight w:val="none"/>
              </w:rPr>
              <w:t>投标人须在投标文件资格审查部分提供有效的安全生产许可证</w:t>
            </w:r>
            <w:r>
              <w:rPr>
                <w:rFonts w:ascii="宋体" w:hAnsi="宋体"/>
                <w:color w:val="auto"/>
                <w:szCs w:val="21"/>
                <w:highlight w:val="none"/>
              </w:rPr>
              <w:t>。</w:t>
            </w:r>
          </w:p>
          <w:p w14:paraId="2A34E33B">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2.财务要求</w:t>
            </w:r>
          </w:p>
          <w:p w14:paraId="3D8CB99B">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u w:val="single"/>
                <w:lang w:val="en-US" w:eastAsia="zh-CN"/>
              </w:rPr>
              <w:t>无</w:t>
            </w:r>
            <w:r>
              <w:rPr>
                <w:rFonts w:hint="eastAsia" w:ascii="宋体" w:hAnsi="宋体"/>
                <w:color w:val="auto"/>
                <w:kern w:val="0"/>
                <w:szCs w:val="21"/>
                <w:highlight w:val="none"/>
              </w:rPr>
              <w:t>。</w:t>
            </w:r>
          </w:p>
          <w:p w14:paraId="059DB9CD">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3.业绩要求</w:t>
            </w:r>
          </w:p>
          <w:p w14:paraId="20EE4BD1">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投标人提供的类似业绩应同时满足以下要求：</w:t>
            </w:r>
          </w:p>
          <w:p w14:paraId="369CFEFB">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3.1业绩时间要求：</w:t>
            </w:r>
          </w:p>
          <w:p w14:paraId="20C761D8">
            <w:pPr>
              <w:autoSpaceDE w:val="0"/>
              <w:autoSpaceDN w:val="0"/>
              <w:adjustRightInd w:val="0"/>
              <w:snapToGrid w:val="0"/>
              <w:spacing w:line="400" w:lineRule="exact"/>
              <w:ind w:firstLine="420" w:firstLineChars="200"/>
              <w:rPr>
                <w:rFonts w:ascii="宋体" w:hAnsi="宋体"/>
                <w:color w:val="auto"/>
                <w:szCs w:val="21"/>
                <w:highlight w:val="none"/>
                <w:u w:val="single"/>
              </w:rPr>
            </w:pPr>
            <w:r>
              <w:rPr>
                <w:rFonts w:ascii="宋体" w:hAnsi="宋体"/>
                <w:color w:val="auto"/>
                <w:kern w:val="0"/>
                <w:szCs w:val="21"/>
                <w:highlight w:val="none"/>
              </w:rPr>
              <w:t>投标截止日前</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3</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5□8</w:t>
            </w:r>
            <w:r>
              <w:rPr>
                <w:rFonts w:ascii="宋体" w:hAnsi="宋体"/>
                <w:color w:val="auto"/>
                <w:szCs w:val="21"/>
                <w:highlight w:val="none"/>
              </w:rPr>
              <w:t>年</w:t>
            </w:r>
            <w:r>
              <w:rPr>
                <w:rFonts w:hint="eastAsia" w:ascii="宋体" w:hAnsi="宋体"/>
                <w:color w:val="auto"/>
                <w:szCs w:val="21"/>
                <w:highlight w:val="none"/>
              </w:rPr>
              <w:t>，指</w:t>
            </w:r>
            <w:r>
              <w:rPr>
                <w:rFonts w:hint="eastAsia" w:ascii="宋体" w:hAnsi="宋体"/>
                <w:color w:val="auto"/>
                <w:szCs w:val="21"/>
                <w:highlight w:val="none"/>
                <w:lang w:val="en-US" w:eastAsia="zh-CN"/>
              </w:rPr>
              <w:t>投标人2022</w:t>
            </w:r>
            <w:r>
              <w:rPr>
                <w:rFonts w:hint="eastAsia" w:ascii="宋体" w:hAnsi="宋体"/>
                <w:color w:val="auto"/>
                <w:szCs w:val="21"/>
                <w:highlight w:val="none"/>
              </w:rPr>
              <w:t>年1月1日起至投标截止日止（以</w:t>
            </w:r>
            <w:r>
              <w:rPr>
                <w:rFonts w:hint="eastAsia" w:ascii="宋体" w:hAnsi="宋体"/>
                <w:color w:val="auto"/>
                <w:szCs w:val="21"/>
                <w:highlight w:val="none"/>
                <w:lang w:val="en-US" w:eastAsia="zh-CN"/>
              </w:rPr>
              <w:t>合同签订</w:t>
            </w:r>
            <w:r>
              <w:rPr>
                <w:rFonts w:hint="eastAsia" w:ascii="宋体" w:hAnsi="宋体"/>
                <w:color w:val="auto"/>
                <w:szCs w:val="21"/>
                <w:highlight w:val="none"/>
              </w:rPr>
              <w:t>时间为准）</w:t>
            </w:r>
            <w:r>
              <w:rPr>
                <w:rFonts w:hint="eastAsia" w:ascii="宋体" w:hAnsi="宋体"/>
                <w:color w:val="auto"/>
                <w:szCs w:val="21"/>
                <w:highlight w:val="none"/>
                <w:lang w:val="en-US" w:eastAsia="zh-CN"/>
              </w:rPr>
              <w:t>完成</w:t>
            </w:r>
            <w:r>
              <w:rPr>
                <w:rFonts w:hint="eastAsia" w:ascii="宋体" w:hAnsi="宋体"/>
                <w:color w:val="auto"/>
                <w:szCs w:val="21"/>
                <w:highlight w:val="none"/>
              </w:rPr>
              <w:t>的1个类似项目业绩。</w:t>
            </w:r>
          </w:p>
          <w:p w14:paraId="3525FAEF">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2</w:t>
            </w:r>
            <w:r>
              <w:rPr>
                <w:rFonts w:hint="eastAsia" w:ascii="宋体" w:hAnsi="宋体"/>
                <w:color w:val="auto"/>
                <w:szCs w:val="21"/>
                <w:highlight w:val="none"/>
              </w:rPr>
              <w:t>业绩证明材料要求：</w:t>
            </w:r>
          </w:p>
          <w:p w14:paraId="373C3F4A">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lang w:val="en-US" w:eastAsia="zh-CN"/>
              </w:rPr>
              <w:t>提供合同复印件或扫描件</w:t>
            </w:r>
            <w:r>
              <w:rPr>
                <w:rFonts w:hint="eastAsia" w:ascii="宋体" w:hAnsi="宋体"/>
                <w:color w:val="auto"/>
                <w:szCs w:val="21"/>
                <w:highlight w:val="none"/>
              </w:rPr>
              <w:t>。</w:t>
            </w:r>
          </w:p>
          <w:p w14:paraId="5AFB6040">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rPr>
              <w:t>注：投标人应对其提供的业绩证明材料的真实性负责。</w:t>
            </w:r>
          </w:p>
          <w:p w14:paraId="4D4C4EA2">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rPr>
              <w:t>不满足上述业绩要求的业绩无效。</w:t>
            </w:r>
          </w:p>
          <w:p w14:paraId="2AEDB8D1">
            <w:pPr>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4.投标截止日投标资格情况</w:t>
            </w:r>
          </w:p>
          <w:p w14:paraId="60720C33">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投标人自行承诺（格式见第八章投标文件格式）不得存在下列情形之一：</w:t>
            </w:r>
          </w:p>
          <w:p w14:paraId="095B99BD">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16AE2A73">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7D28A1EF">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14:paraId="5A7B5205">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03E70AE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Theme="minorEastAsia" w:hAnsiTheme="minorEastAsia" w:eastAsiaTheme="minorEastAsia" w:cstheme="minorEastAsia"/>
                <w:color w:val="auto"/>
                <w:szCs w:val="21"/>
                <w:highlight w:val="none"/>
                <w:lang w:val="en-US" w:eastAsia="zh-CN"/>
              </w:rPr>
              <w:t>市级有关行业</w:t>
            </w:r>
            <w:r>
              <w:rPr>
                <w:rFonts w:hint="eastAsia" w:ascii="宋体" w:hAnsi="宋体"/>
                <w:color w:val="auto"/>
                <w:szCs w:val="21"/>
                <w:highlight w:val="none"/>
              </w:rPr>
              <w:t>主管部门暂停在渝承揽新业务且在暂停期内。</w:t>
            </w:r>
          </w:p>
          <w:p w14:paraId="3C610BD3">
            <w:pPr>
              <w:snapToGrid w:val="0"/>
              <w:spacing w:line="40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投标人须在投标文件资格审查部分提供承诺。</w:t>
            </w:r>
          </w:p>
          <w:p w14:paraId="5E420D12">
            <w:pPr>
              <w:numPr>
                <w:ilvl w:val="0"/>
                <w:numId w:val="0"/>
              </w:numPr>
              <w:snapToGrid w:val="0"/>
              <w:spacing w:line="400" w:lineRule="exact"/>
              <w:ind w:firstLine="422" w:firstLineChars="200"/>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5.其他要求：</w:t>
            </w:r>
          </w:p>
          <w:p w14:paraId="1A21D800">
            <w:pPr>
              <w:numPr>
                <w:ilvl w:val="0"/>
                <w:numId w:val="0"/>
              </w:numPr>
              <w:snapToGrid w:val="0"/>
              <w:spacing w:line="400" w:lineRule="exact"/>
              <w:ind w:firstLine="422" w:firstLineChars="200"/>
              <w:rPr>
                <w:rFonts w:hint="default"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5.1拟派的高空作业人员。</w:t>
            </w:r>
          </w:p>
          <w:p w14:paraId="72AAB52B">
            <w:pPr>
              <w:numPr>
                <w:ilvl w:val="0"/>
                <w:numId w:val="0"/>
              </w:numPr>
              <w:snapToGrid w:val="0"/>
              <w:spacing w:line="40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高空作业人员必须经过专业的技术培训和考试，持证上岗，现场作业人员必须与投标文件一致。</w:t>
            </w:r>
          </w:p>
          <w:p w14:paraId="258C07C4">
            <w:pPr>
              <w:autoSpaceDE w:val="0"/>
              <w:autoSpaceDN w:val="0"/>
              <w:adjustRightInd w:val="0"/>
              <w:snapToGrid w:val="0"/>
              <w:spacing w:line="400" w:lineRule="exact"/>
              <w:ind w:firstLine="417" w:firstLineChars="198"/>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注：需提供证书复印件或扫描件。投标</w:t>
            </w:r>
            <w:r>
              <w:rPr>
                <w:rFonts w:hint="eastAsia" w:ascii="宋体" w:hAnsi="宋体" w:cs="宋体"/>
                <w:b/>
                <w:bCs w:val="0"/>
                <w:color w:val="auto"/>
                <w:szCs w:val="21"/>
                <w:highlight w:val="none"/>
                <w:lang w:val="en-US" w:eastAsia="zh-CN"/>
              </w:rPr>
              <w:t>人承诺：中标后，拟派的</w:t>
            </w:r>
            <w:r>
              <w:rPr>
                <w:rFonts w:hint="eastAsia" w:asciiTheme="minorEastAsia" w:hAnsiTheme="minorEastAsia" w:eastAsiaTheme="minorEastAsia" w:cstheme="minorEastAsia"/>
                <w:b/>
                <w:bCs w:val="0"/>
                <w:color w:val="auto"/>
                <w:szCs w:val="21"/>
                <w:highlight w:val="none"/>
                <w:lang w:val="en-US" w:eastAsia="zh-CN"/>
              </w:rPr>
              <w:t>高空作业人员到本项目任职。</w:t>
            </w:r>
          </w:p>
          <w:p w14:paraId="580CC84E">
            <w:pPr>
              <w:autoSpaceDE w:val="0"/>
              <w:autoSpaceDN w:val="0"/>
              <w:adjustRightInd w:val="0"/>
              <w:snapToGrid w:val="0"/>
              <w:spacing w:line="400" w:lineRule="exact"/>
              <w:ind w:firstLine="417" w:firstLineChars="198"/>
              <w:rPr>
                <w:rFonts w:ascii="宋体" w:hAnsi="宋体" w:cs="宋体"/>
                <w:b/>
                <w:color w:val="auto"/>
                <w:szCs w:val="21"/>
                <w:highlight w:val="none"/>
              </w:rPr>
            </w:pPr>
            <w:r>
              <w:rPr>
                <w:rFonts w:hint="eastAsia" w:ascii="宋体" w:hAnsi="宋体" w:cs="宋体"/>
                <w:b/>
                <w:color w:val="auto"/>
                <w:szCs w:val="21"/>
                <w:highlight w:val="none"/>
              </w:rPr>
              <w:t>特别说明：</w:t>
            </w:r>
          </w:p>
          <w:p w14:paraId="550BC6BB">
            <w:pPr>
              <w:autoSpaceDE w:val="0"/>
              <w:autoSpaceDN w:val="0"/>
              <w:adjustRightInd w:val="0"/>
              <w:snapToGrid w:val="0"/>
              <w:spacing w:line="400" w:lineRule="exact"/>
              <w:ind w:firstLine="415" w:firstLineChars="198"/>
              <w:rPr>
                <w:rFonts w:ascii="宋体" w:hAnsi="宋体" w:cs="宋体"/>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上述要求须提交的相关证明材料复印件均应加盖投标单位法人章并装入投标文件资格审查部分中。上述要求</w:t>
            </w:r>
            <w:r>
              <w:rPr>
                <w:rFonts w:hint="eastAsia" w:ascii="宋体" w:hAnsi="宋体" w:cs="宋体"/>
                <w:color w:val="auto"/>
                <w:kern w:val="0"/>
                <w:szCs w:val="21"/>
                <w:highlight w:val="none"/>
              </w:rPr>
              <w:t>，有一条不满足则投标文件由评标委员会</w:t>
            </w:r>
            <w:r>
              <w:rPr>
                <w:rFonts w:hint="eastAsia" w:ascii="宋体" w:hAnsi="宋体" w:cs="宋体"/>
                <w:color w:val="auto"/>
                <w:szCs w:val="21"/>
                <w:highlight w:val="none"/>
              </w:rPr>
              <w:t>作否决投标处理</w:t>
            </w:r>
            <w:r>
              <w:rPr>
                <w:rFonts w:hint="eastAsia" w:ascii="宋体" w:hAnsi="宋体" w:cs="宋体"/>
                <w:color w:val="auto"/>
                <w:kern w:val="0"/>
                <w:szCs w:val="21"/>
                <w:highlight w:val="none"/>
              </w:rPr>
              <w:t>。</w:t>
            </w:r>
          </w:p>
          <w:p w14:paraId="672FE5BC">
            <w:pPr>
              <w:autoSpaceDE w:val="0"/>
              <w:autoSpaceDN w:val="0"/>
              <w:adjustRightInd w:val="0"/>
              <w:snapToGrid w:val="0"/>
              <w:spacing w:line="400" w:lineRule="exact"/>
              <w:ind w:firstLine="415" w:firstLineChars="198"/>
              <w:rPr>
                <w:rFonts w:hint="eastAsia" w:ascii="宋体" w:hAnsi="宋体" w:eastAsia="宋体"/>
                <w:bCs/>
                <w:snapToGrid w:val="0"/>
                <w:color w:val="auto"/>
                <w:kern w:val="0"/>
                <w:szCs w:val="21"/>
                <w:highlight w:val="none"/>
                <w:lang w:eastAsia="zh-CN"/>
              </w:rPr>
            </w:pPr>
            <w:r>
              <w:rPr>
                <w:rFonts w:hint="eastAsia" w:ascii="宋体" w:hAnsi="宋体" w:cs="宋体"/>
                <w:color w:val="auto"/>
                <w:szCs w:val="21"/>
                <w:highlight w:val="none"/>
              </w:rPr>
              <w:t>（2）投标人须自行承诺其提供的上述相关证明材料真实有效，不存在弄虚作假情形（格式见第八章投标文件格式）。</w:t>
            </w:r>
            <w:r>
              <w:rPr>
                <w:rFonts w:hint="eastAsia" w:ascii="宋体" w:hAnsi="宋体" w:cs="宋体"/>
                <w:color w:val="auto"/>
                <w:szCs w:val="21"/>
                <w:highlight w:val="none"/>
                <w:u w:val="single"/>
              </w:rPr>
              <w:t>招标人在合同签订前均有权对投标人提供的资料进行核实，若发现弄虚作假，</w:t>
            </w:r>
            <w:r>
              <w:rPr>
                <w:rFonts w:hint="eastAsia" w:ascii="宋体" w:hAnsi="宋体" w:cs="宋体"/>
                <w:color w:val="auto"/>
                <w:szCs w:val="21"/>
                <w:highlight w:val="none"/>
                <w:u w:val="single"/>
                <w:lang w:val="en-US" w:eastAsia="zh-CN"/>
              </w:rPr>
              <w:t>按相关规定</w:t>
            </w:r>
            <w:r>
              <w:rPr>
                <w:rFonts w:hint="eastAsia" w:ascii="宋体" w:hAnsi="宋体" w:cs="宋体"/>
                <w:color w:val="auto"/>
                <w:szCs w:val="21"/>
                <w:highlight w:val="none"/>
                <w:u w:val="single"/>
              </w:rPr>
              <w:t>取消其中标资格，并按相关法律法规报招标投标监督部门，其投标保证金不予退还，投标人承担因此造成的相关责任并赔偿相应损失</w:t>
            </w:r>
            <w:r>
              <w:rPr>
                <w:rFonts w:hint="eastAsia" w:ascii="宋体" w:hAnsi="宋体" w:cs="宋体"/>
                <w:color w:val="auto"/>
                <w:szCs w:val="21"/>
                <w:highlight w:val="none"/>
              </w:rPr>
              <w:t>。</w:t>
            </w:r>
          </w:p>
        </w:tc>
      </w:tr>
      <w:tr w14:paraId="4D003D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A93E61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14:paraId="59BACDB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是否接受联合体投标</w:t>
            </w:r>
          </w:p>
        </w:tc>
        <w:tc>
          <w:tcPr>
            <w:tcW w:w="6490" w:type="dxa"/>
            <w:vAlign w:val="center"/>
          </w:tcPr>
          <w:p w14:paraId="622382DF">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不接受</w:t>
            </w:r>
          </w:p>
          <w:p w14:paraId="6AD7CF3C">
            <w:pPr>
              <w:snapToGrid w:val="0"/>
              <w:spacing w:after="15" w:afterLines="5"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接受，应满足下列要求：</w:t>
            </w:r>
          </w:p>
        </w:tc>
      </w:tr>
      <w:tr w14:paraId="0124A5CC">
        <w:tblPrEx>
          <w:tblCellMar>
            <w:top w:w="0" w:type="dxa"/>
            <w:left w:w="108" w:type="dxa"/>
            <w:bottom w:w="0" w:type="dxa"/>
            <w:right w:w="108" w:type="dxa"/>
          </w:tblCellMar>
        </w:tblPrEx>
        <w:trPr>
          <w:jc w:val="center"/>
        </w:trPr>
        <w:tc>
          <w:tcPr>
            <w:tcW w:w="1335" w:type="dxa"/>
            <w:vAlign w:val="center"/>
          </w:tcPr>
          <w:p w14:paraId="0BC7ABE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14:paraId="42CBECA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14:paraId="0778A034">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不组织</w:t>
            </w:r>
          </w:p>
          <w:p w14:paraId="68F16D34">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组织，</w:t>
            </w:r>
            <w:r>
              <w:rPr>
                <w:rFonts w:hint="eastAsia" w:ascii="宋体" w:hAnsi="宋体"/>
                <w:color w:val="auto"/>
                <w:kern w:val="0"/>
                <w:szCs w:val="21"/>
                <w:highlight w:val="none"/>
              </w:rPr>
              <w:t>集中</w:t>
            </w:r>
            <w:r>
              <w:rPr>
                <w:rFonts w:ascii="宋体" w:hAnsi="宋体"/>
                <w:color w:val="auto"/>
                <w:kern w:val="0"/>
                <w:szCs w:val="21"/>
                <w:highlight w:val="none"/>
              </w:rPr>
              <w:t>踏勘时间：</w:t>
            </w:r>
          </w:p>
          <w:p w14:paraId="766E498C">
            <w:pPr>
              <w:snapToGrid w:val="0"/>
              <w:spacing w:line="400" w:lineRule="exact"/>
              <w:ind w:firstLine="1260" w:firstLineChars="600"/>
              <w:rPr>
                <w:rFonts w:ascii="宋体" w:hAnsi="宋体"/>
                <w:color w:val="auto"/>
                <w:kern w:val="0"/>
                <w:szCs w:val="21"/>
                <w:highlight w:val="none"/>
              </w:rPr>
            </w:pPr>
            <w:r>
              <w:rPr>
                <w:rFonts w:ascii="宋体" w:hAnsi="宋体"/>
                <w:color w:val="auto"/>
                <w:kern w:val="0"/>
                <w:szCs w:val="21"/>
                <w:highlight w:val="none"/>
              </w:rPr>
              <w:t>集中踏勘地点：</w:t>
            </w:r>
          </w:p>
        </w:tc>
      </w:tr>
      <w:tr w14:paraId="79F024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EAD5DD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14:paraId="276373F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投标预备会</w:t>
            </w:r>
          </w:p>
        </w:tc>
        <w:tc>
          <w:tcPr>
            <w:tcW w:w="6490" w:type="dxa"/>
            <w:vAlign w:val="center"/>
          </w:tcPr>
          <w:p w14:paraId="0C098426">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不召开</w:t>
            </w:r>
          </w:p>
          <w:p w14:paraId="4AC03F6A">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召开，召开时间：</w:t>
            </w:r>
          </w:p>
          <w:p w14:paraId="7577F2F7">
            <w:pPr>
              <w:snapToGrid w:val="0"/>
              <w:spacing w:after="15" w:afterLines="5" w:line="400" w:lineRule="exact"/>
              <w:ind w:firstLine="1260" w:firstLineChars="600"/>
              <w:rPr>
                <w:rFonts w:ascii="宋体" w:hAnsi="宋体"/>
                <w:color w:val="auto"/>
                <w:kern w:val="0"/>
                <w:szCs w:val="21"/>
                <w:highlight w:val="none"/>
              </w:rPr>
            </w:pPr>
            <w:r>
              <w:rPr>
                <w:rFonts w:ascii="宋体" w:hAnsi="宋体"/>
                <w:color w:val="auto"/>
                <w:kern w:val="0"/>
                <w:szCs w:val="21"/>
                <w:highlight w:val="none"/>
              </w:rPr>
              <w:t>召开地点：</w:t>
            </w:r>
          </w:p>
        </w:tc>
      </w:tr>
      <w:tr w14:paraId="42100E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87FD21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w:t>
            </w:r>
          </w:p>
        </w:tc>
        <w:tc>
          <w:tcPr>
            <w:tcW w:w="1644" w:type="dxa"/>
            <w:vAlign w:val="center"/>
          </w:tcPr>
          <w:p w14:paraId="56FD2C2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14:paraId="4FB12ACB">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不允许</w:t>
            </w:r>
          </w:p>
        </w:tc>
      </w:tr>
      <w:tr w14:paraId="7C2B05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F55803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14:paraId="757E7CDD">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构成招标文件的其他材料</w:t>
            </w:r>
          </w:p>
        </w:tc>
        <w:tc>
          <w:tcPr>
            <w:tcW w:w="6490" w:type="dxa"/>
            <w:vAlign w:val="center"/>
          </w:tcPr>
          <w:p w14:paraId="2E4C686F">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招标人发出的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14:paraId="4773F7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BD7BD9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644" w:type="dxa"/>
            <w:tcBorders>
              <w:bottom w:val="single" w:color="auto" w:sz="4" w:space="0"/>
            </w:tcBorders>
            <w:vAlign w:val="center"/>
          </w:tcPr>
          <w:p w14:paraId="2DE302E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投标人对招标文件提出</w:t>
            </w:r>
            <w:r>
              <w:rPr>
                <w:rFonts w:hint="eastAsia" w:ascii="宋体" w:hAnsi="宋体"/>
                <w:color w:val="auto"/>
                <w:kern w:val="0"/>
                <w:szCs w:val="21"/>
                <w:highlight w:val="none"/>
              </w:rPr>
              <w:t>疑问</w:t>
            </w:r>
            <w:r>
              <w:rPr>
                <w:rFonts w:ascii="宋体" w:hAnsi="宋体"/>
                <w:color w:val="auto"/>
                <w:kern w:val="0"/>
                <w:szCs w:val="21"/>
                <w:highlight w:val="none"/>
              </w:rPr>
              <w:t>的截止时间</w:t>
            </w:r>
          </w:p>
        </w:tc>
        <w:tc>
          <w:tcPr>
            <w:tcW w:w="6490" w:type="dxa"/>
            <w:vAlign w:val="center"/>
          </w:tcPr>
          <w:p w14:paraId="450DD351">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投标人应仔细</w:t>
            </w:r>
            <w:r>
              <w:rPr>
                <w:rFonts w:hint="eastAsia" w:ascii="宋体" w:hAnsi="宋体"/>
                <w:color w:val="auto"/>
                <w:kern w:val="0"/>
                <w:szCs w:val="21"/>
                <w:highlight w:val="none"/>
              </w:rPr>
              <w:t>阅读</w:t>
            </w:r>
            <w:r>
              <w:rPr>
                <w:rFonts w:ascii="宋体" w:hAnsi="宋体"/>
                <w:color w:val="auto"/>
                <w:kern w:val="0"/>
                <w:szCs w:val="21"/>
                <w:highlight w:val="none"/>
              </w:rPr>
              <w:t>招标文件</w:t>
            </w:r>
            <w:r>
              <w:rPr>
                <w:rFonts w:hint="eastAsia" w:ascii="宋体" w:hAnsi="宋体"/>
                <w:color w:val="auto"/>
                <w:kern w:val="0"/>
                <w:szCs w:val="21"/>
                <w:highlight w:val="none"/>
              </w:rPr>
              <w:t>及附件</w:t>
            </w:r>
            <w:r>
              <w:rPr>
                <w:rFonts w:ascii="宋体" w:hAnsi="宋体"/>
                <w:color w:val="auto"/>
                <w:kern w:val="0"/>
                <w:szCs w:val="21"/>
                <w:highlight w:val="none"/>
              </w:rPr>
              <w:t>的所有内容，如有文字表述不清，图纸尺寸标注不明以及存在错、漏、缺、概念模糊和有可能出现歧义或理解上的偏差的内容等应</w:t>
            </w:r>
            <w:r>
              <w:rPr>
                <w:rFonts w:hint="eastAsia" w:ascii="宋体" w:hAnsi="宋体" w:cs="宋体"/>
                <w:color w:val="auto"/>
                <w:kern w:val="0"/>
                <w:szCs w:val="21"/>
                <w:highlight w:val="none"/>
              </w:rPr>
              <w:t>在</w:t>
            </w:r>
            <w:r>
              <w:rPr>
                <w:rFonts w:hint="eastAsia" w:ascii="宋体" w:hAnsi="宋体" w:cs="宋体"/>
                <w:b/>
                <w:bCs/>
                <w:color w:val="auto"/>
                <w:kern w:val="0"/>
                <w:szCs w:val="21"/>
                <w:highlight w:val="none"/>
                <w:u w:val="single"/>
                <w:lang w:val="en-US" w:eastAsia="zh-CN"/>
              </w:rPr>
              <w:t>2025年7月28日17时30分</w:t>
            </w:r>
            <w:r>
              <w:rPr>
                <w:rFonts w:ascii="宋体" w:hAnsi="宋体"/>
                <w:color w:val="auto"/>
                <w:kern w:val="0"/>
                <w:szCs w:val="21"/>
                <w:highlight w:val="none"/>
              </w:rPr>
              <w:t>前</w:t>
            </w:r>
            <w:r>
              <w:rPr>
                <w:rFonts w:hint="eastAsia" w:ascii="宋体" w:hAnsi="宋体"/>
                <w:color w:val="auto"/>
                <w:kern w:val="0"/>
                <w:szCs w:val="21"/>
                <w:highlight w:val="none"/>
                <w:lang w:val="en-US" w:eastAsia="zh-CN"/>
              </w:rPr>
              <w:t>提出。</w:t>
            </w:r>
          </w:p>
        </w:tc>
      </w:tr>
      <w:tr w14:paraId="27B679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21F998B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2.2.2</w:t>
            </w:r>
          </w:p>
        </w:tc>
        <w:tc>
          <w:tcPr>
            <w:tcW w:w="1644" w:type="dxa"/>
            <w:tcBorders>
              <w:top w:val="single" w:color="auto" w:sz="4" w:space="0"/>
            </w:tcBorders>
            <w:vAlign w:val="center"/>
          </w:tcPr>
          <w:p w14:paraId="4A1C19F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招标人对招标文件</w:t>
            </w:r>
            <w:r>
              <w:rPr>
                <w:rFonts w:hint="eastAsia" w:ascii="宋体" w:hAnsi="宋体"/>
                <w:color w:val="auto"/>
                <w:kern w:val="0"/>
                <w:szCs w:val="21"/>
                <w:highlight w:val="none"/>
              </w:rPr>
              <w:t>澄清</w:t>
            </w:r>
            <w:r>
              <w:rPr>
                <w:rFonts w:ascii="宋体" w:hAnsi="宋体"/>
                <w:color w:val="auto"/>
                <w:kern w:val="0"/>
                <w:szCs w:val="21"/>
                <w:highlight w:val="none"/>
              </w:rPr>
              <w:t>的截止时间</w:t>
            </w:r>
          </w:p>
        </w:tc>
        <w:tc>
          <w:tcPr>
            <w:tcW w:w="6490" w:type="dxa"/>
            <w:vAlign w:val="center"/>
          </w:tcPr>
          <w:p w14:paraId="77ADF6E5">
            <w:pPr>
              <w:snapToGrid w:val="0"/>
              <w:spacing w:line="400" w:lineRule="exact"/>
              <w:ind w:firstLine="422" w:firstLineChars="200"/>
              <w:rPr>
                <w:rFonts w:ascii="宋体" w:hAnsi="宋体"/>
                <w:snapToGrid w:val="0"/>
                <w:color w:val="auto"/>
                <w:kern w:val="0"/>
                <w:szCs w:val="21"/>
                <w:highlight w:val="none"/>
              </w:rPr>
            </w:pPr>
            <w:r>
              <w:rPr>
                <w:rFonts w:hint="eastAsia" w:ascii="宋体" w:hAnsi="宋体"/>
                <w:b/>
                <w:bCs/>
                <w:color w:val="auto"/>
                <w:szCs w:val="21"/>
                <w:highlight w:val="none"/>
                <w:u w:val="single"/>
                <w:lang w:val="en-US" w:eastAsia="zh-CN"/>
              </w:rPr>
              <w:t>2025年7月29日17时30分</w:t>
            </w:r>
            <w:r>
              <w:rPr>
                <w:rFonts w:hint="eastAsia" w:ascii="宋体" w:hAnsi="宋体"/>
                <w:color w:val="auto"/>
                <w:szCs w:val="21"/>
                <w:highlight w:val="none"/>
                <w:lang w:val="en-US" w:eastAsia="zh-CN"/>
              </w:rPr>
              <w:t>前</w:t>
            </w:r>
            <w:r>
              <w:rPr>
                <w:rFonts w:ascii="宋体" w:hAnsi="宋体"/>
                <w:color w:val="auto"/>
                <w:kern w:val="0"/>
                <w:szCs w:val="21"/>
                <w:highlight w:val="none"/>
              </w:rPr>
              <w:t>发布</w:t>
            </w:r>
            <w:r>
              <w:rPr>
                <w:rFonts w:hint="eastAsia" w:ascii="宋体" w:hAnsi="宋体"/>
                <w:color w:val="auto"/>
                <w:kern w:val="0"/>
                <w:szCs w:val="21"/>
                <w:highlight w:val="none"/>
              </w:rPr>
              <w:t>澄清</w:t>
            </w:r>
            <w:r>
              <w:rPr>
                <w:rFonts w:ascii="宋体" w:hAnsi="宋体"/>
                <w:color w:val="auto"/>
                <w:kern w:val="0"/>
                <w:szCs w:val="21"/>
                <w:highlight w:val="none"/>
              </w:rPr>
              <w:t>。</w:t>
            </w:r>
          </w:p>
        </w:tc>
      </w:tr>
      <w:tr w14:paraId="3B2AB8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337EE00D">
            <w:pPr>
              <w:snapToGrid w:val="0"/>
              <w:spacing w:line="400" w:lineRule="exact"/>
              <w:jc w:val="center"/>
              <w:rPr>
                <w:rFonts w:ascii="宋体" w:hAnsi="宋体"/>
                <w:color w:val="auto"/>
                <w:kern w:val="0"/>
                <w:szCs w:val="21"/>
                <w:highlight w:val="none"/>
              </w:rPr>
            </w:pPr>
          </w:p>
        </w:tc>
        <w:tc>
          <w:tcPr>
            <w:tcW w:w="1644" w:type="dxa"/>
            <w:vAlign w:val="center"/>
          </w:tcPr>
          <w:p w14:paraId="77A84DD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投标截止时间</w:t>
            </w:r>
          </w:p>
        </w:tc>
        <w:tc>
          <w:tcPr>
            <w:tcW w:w="6490" w:type="dxa"/>
            <w:vAlign w:val="center"/>
          </w:tcPr>
          <w:p w14:paraId="508F4347">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详见招标公告规定的投标截止时间。</w:t>
            </w:r>
          </w:p>
        </w:tc>
      </w:tr>
      <w:tr w14:paraId="6A8D10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808B51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2.2.3</w:t>
            </w:r>
          </w:p>
        </w:tc>
        <w:tc>
          <w:tcPr>
            <w:tcW w:w="1644" w:type="dxa"/>
            <w:vAlign w:val="center"/>
          </w:tcPr>
          <w:p w14:paraId="10E018FF">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招标人对招标文件进行</w:t>
            </w:r>
            <w:r>
              <w:rPr>
                <w:rFonts w:hint="eastAsia" w:ascii="宋体" w:hAnsi="宋体"/>
                <w:color w:val="auto"/>
                <w:kern w:val="0"/>
                <w:szCs w:val="21"/>
                <w:highlight w:val="none"/>
              </w:rPr>
              <w:t>修改</w:t>
            </w:r>
            <w:r>
              <w:rPr>
                <w:rFonts w:ascii="宋体" w:hAnsi="宋体"/>
                <w:color w:val="auto"/>
                <w:kern w:val="0"/>
                <w:szCs w:val="21"/>
                <w:highlight w:val="none"/>
              </w:rPr>
              <w:t>的时间</w:t>
            </w:r>
          </w:p>
        </w:tc>
        <w:tc>
          <w:tcPr>
            <w:tcW w:w="6490" w:type="dxa"/>
            <w:vAlign w:val="center"/>
          </w:tcPr>
          <w:p w14:paraId="47ED334D">
            <w:pPr>
              <w:snapToGrid w:val="0"/>
              <w:spacing w:line="400" w:lineRule="exact"/>
              <w:ind w:firstLine="420" w:firstLineChars="200"/>
              <w:rPr>
                <w:rFonts w:ascii="宋体" w:hAnsi="宋体"/>
                <w:color w:val="auto"/>
                <w:szCs w:val="21"/>
                <w:highlight w:val="none"/>
              </w:rPr>
            </w:pP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内容可能影响投标文件编制的，须在投标截止时间15日前发布，发布时间至投标截止时间不足15日的，须相应延后投标截止时间。</w:t>
            </w:r>
          </w:p>
        </w:tc>
      </w:tr>
      <w:tr w14:paraId="010A4B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AACE10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2.2.4</w:t>
            </w:r>
          </w:p>
        </w:tc>
        <w:tc>
          <w:tcPr>
            <w:tcW w:w="1644" w:type="dxa"/>
            <w:vAlign w:val="center"/>
          </w:tcPr>
          <w:p w14:paraId="4B7F161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投标人对招标文件及澄清修改提出异议的截止时间</w:t>
            </w:r>
          </w:p>
        </w:tc>
        <w:tc>
          <w:tcPr>
            <w:tcW w:w="6490" w:type="dxa"/>
            <w:vAlign w:val="center"/>
          </w:tcPr>
          <w:p w14:paraId="7D9EADF8">
            <w:pPr>
              <w:snapToGri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投标人对招标文件和</w:t>
            </w:r>
            <w:r>
              <w:rPr>
                <w:rFonts w:hint="eastAsia" w:ascii="宋体" w:hAnsi="宋体"/>
                <w:snapToGrid w:val="0"/>
                <w:color w:val="auto"/>
                <w:kern w:val="0"/>
                <w:szCs w:val="21"/>
                <w:highlight w:val="none"/>
              </w:rPr>
              <w:t>澄清修改</w:t>
            </w:r>
            <w:r>
              <w:rPr>
                <w:rFonts w:ascii="宋体" w:hAnsi="宋体"/>
                <w:snapToGrid w:val="0"/>
                <w:color w:val="auto"/>
                <w:kern w:val="0"/>
                <w:szCs w:val="21"/>
                <w:highlight w:val="none"/>
              </w:rPr>
              <w:t>有异议的，应当在投标截止时间10日前，</w:t>
            </w:r>
            <w:r>
              <w:rPr>
                <w:rFonts w:hint="eastAsia" w:ascii="宋体" w:hAnsi="宋体"/>
                <w:snapToGrid w:val="0"/>
                <w:color w:val="auto"/>
                <w:kern w:val="0"/>
                <w:szCs w:val="21"/>
                <w:highlight w:val="none"/>
              </w:rPr>
              <w:t>以书面形式通知招标人或招标代理机构</w:t>
            </w:r>
            <w:r>
              <w:rPr>
                <w:rFonts w:ascii="宋体" w:hAnsi="宋体"/>
                <w:snapToGrid w:val="0"/>
                <w:color w:val="auto"/>
                <w:kern w:val="0"/>
                <w:szCs w:val="21"/>
                <w:highlight w:val="none"/>
              </w:rPr>
              <w:t>。招标人应当自收到异议之日起3日内做出答复，</w:t>
            </w:r>
            <w:r>
              <w:rPr>
                <w:rFonts w:hint="eastAsia" w:ascii="宋体" w:hAnsi="宋体"/>
                <w:snapToGrid w:val="0"/>
                <w:color w:val="auto"/>
                <w:kern w:val="0"/>
                <w:szCs w:val="21"/>
                <w:highlight w:val="none"/>
              </w:rPr>
              <w:t>答复内容可能影响投标文件编制的，将以修改的形式于投标截止时间15日前发布。发布时间至投标截止时间不足15日的，须相应延后投标截止时间</w:t>
            </w:r>
            <w:r>
              <w:rPr>
                <w:rFonts w:ascii="宋体" w:hAnsi="宋体"/>
                <w:snapToGrid w:val="0"/>
                <w:color w:val="auto"/>
                <w:kern w:val="0"/>
                <w:szCs w:val="21"/>
                <w:highlight w:val="none"/>
              </w:rPr>
              <w:t>。</w:t>
            </w:r>
          </w:p>
        </w:tc>
      </w:tr>
      <w:tr w14:paraId="2D1990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2FA3E5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14:paraId="1D0F63C1">
            <w:pPr>
              <w:snapToGrid w:val="0"/>
              <w:spacing w:after="31" w:afterLines="10" w:line="400" w:lineRule="exact"/>
              <w:jc w:val="center"/>
              <w:rPr>
                <w:rFonts w:ascii="宋体" w:hAnsi="宋体"/>
                <w:color w:val="auto"/>
                <w:kern w:val="0"/>
                <w:szCs w:val="21"/>
                <w:highlight w:val="none"/>
              </w:rPr>
            </w:pPr>
            <w:r>
              <w:rPr>
                <w:rFonts w:ascii="宋体" w:hAnsi="宋体"/>
                <w:color w:val="auto"/>
                <w:kern w:val="0"/>
                <w:szCs w:val="21"/>
                <w:highlight w:val="none"/>
              </w:rPr>
              <w:t>构成投标文件的其他材料</w:t>
            </w:r>
          </w:p>
        </w:tc>
        <w:tc>
          <w:tcPr>
            <w:tcW w:w="6490" w:type="dxa"/>
            <w:vAlign w:val="center"/>
          </w:tcPr>
          <w:p w14:paraId="5EB9E528">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投标人的书面澄清、说明和补正（但不得改变投标文件的实质性内容）</w:t>
            </w:r>
          </w:p>
        </w:tc>
      </w:tr>
      <w:tr w14:paraId="6E3CC8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EB8C4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3.2</w:t>
            </w:r>
          </w:p>
        </w:tc>
        <w:tc>
          <w:tcPr>
            <w:tcW w:w="1644" w:type="dxa"/>
            <w:vAlign w:val="center"/>
          </w:tcPr>
          <w:p w14:paraId="6D84C60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投标报价</w:t>
            </w:r>
          </w:p>
        </w:tc>
        <w:tc>
          <w:tcPr>
            <w:tcW w:w="6490" w:type="dxa"/>
            <w:vAlign w:val="center"/>
          </w:tcPr>
          <w:p w14:paraId="0D25BBFD">
            <w:pPr>
              <w:pStyle w:val="17"/>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olor w:val="auto"/>
                <w:szCs w:val="21"/>
                <w:highlight w:val="none"/>
              </w:rPr>
              <w:t>1.</w:t>
            </w:r>
            <w:r>
              <w:rPr>
                <w:rFonts w:hint="eastAsia" w:ascii="宋体" w:hAnsi="宋体" w:cs="宋体"/>
                <w:color w:val="auto"/>
                <w:szCs w:val="21"/>
                <w:highlight w:val="none"/>
              </w:rPr>
              <w:t>必须采用工程量清单计价。</w:t>
            </w:r>
          </w:p>
          <w:p w14:paraId="65D47BA6">
            <w:pPr>
              <w:pStyle w:val="17"/>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投标人应按《建设工程工程量清单计价规范》（GB50500-2013）及重庆市相关工程量清单计价规则的要求填写相应清单表格。投标人应按本须知、《重庆市建设工程费用定额》（CQFYDE-2018）、《重庆市住房和城乡建设委员会关于适用增值税新税率调整建设工程计价依据的通知》（渝建〔2019〕143号）和第五章“工程量清单”的要求填写相应清单表格。投标人的投标报价应是本章投标人须知前附表第1.3.1项中所述的本工程合同段招标范围内的全部工程的投标报价，并以投标人在工程量清单中提出的单价或总价</w:t>
            </w:r>
            <w:r>
              <w:rPr>
                <w:rFonts w:ascii="宋体" w:hAnsi="宋体" w:cs="宋体"/>
                <w:color w:val="auto"/>
                <w:szCs w:val="21"/>
                <w:highlight w:val="none"/>
              </w:rPr>
              <w:footnoteReference w:id="0"/>
            </w:r>
            <w:r>
              <w:rPr>
                <w:rFonts w:hint="eastAsia" w:ascii="宋体" w:hAnsi="宋体" w:cs="宋体"/>
                <w:color w:val="auto"/>
                <w:szCs w:val="21"/>
                <w:highlight w:val="none"/>
              </w:rPr>
              <w:t>为依据。</w:t>
            </w:r>
          </w:p>
          <w:p w14:paraId="7F7C19D2">
            <w:pPr>
              <w:tabs>
                <w:tab w:val="left" w:pos="546"/>
                <w:tab w:val="left" w:pos="711"/>
              </w:tabs>
              <w:snapToGrid w:val="0"/>
              <w:spacing w:line="400" w:lineRule="exact"/>
              <w:ind w:left="6" w:leftChars="3" w:firstLine="420" w:firstLineChars="200"/>
              <w:rPr>
                <w:rFonts w:ascii="宋体" w:hAns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投标人应认真填写工程量清单中所列的本合同各工程子目的单价或总价。投标人没有填入单价或总价的工程子目，招标人将认为该子目的价款已包括在工程量清单其他子目的单价和总价中。投标人必须按招标工程量清单填报价格。项目编码、项目名称、项目特征、计量单位、工程量必须与招标工程量清单一致。</w:t>
            </w:r>
          </w:p>
          <w:p w14:paraId="79250F00">
            <w:pPr>
              <w:tabs>
                <w:tab w:val="left" w:pos="546"/>
                <w:tab w:val="left" w:pos="711"/>
              </w:tabs>
              <w:snapToGrid w:val="0"/>
              <w:spacing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投标函中的总报价必须与已标价工程量清单总报价一致。否则由评标委员会作否决投标处理。</w:t>
            </w:r>
          </w:p>
          <w:p w14:paraId="2E867DEA">
            <w:pPr>
              <w:pStyle w:val="17"/>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增值税计税方法由招标人依据国家税法规定选择：</w:t>
            </w:r>
          </w:p>
          <w:p w14:paraId="049589EF">
            <w:pPr>
              <w:pStyle w:val="17"/>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一般计税法</w:t>
            </w:r>
          </w:p>
          <w:p w14:paraId="6270481F">
            <w:pPr>
              <w:pStyle w:val="17"/>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hint="eastAsia" w:ascii="宋体" w:hAnsi="宋体" w:cs="宋体"/>
                <w:color w:val="auto"/>
                <w:szCs w:val="21"/>
                <w:highlight w:val="none"/>
              </w:rPr>
              <w:t>□简易计税法</w:t>
            </w:r>
          </w:p>
          <w:p w14:paraId="7292D5DE">
            <w:pPr>
              <w:pStyle w:val="17"/>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如发现工程量清单中的数量与图纸中数量不一致，应于本须知第2.2.1项中规定的时间前书面通知招标人核查，除非招标人以修改的形式予以更正，否则，应以工程量清单中列出的数量为准。</w:t>
            </w:r>
          </w:p>
          <w:p w14:paraId="05F45C91">
            <w:pPr>
              <w:tabs>
                <w:tab w:val="left" w:pos="546"/>
                <w:tab w:val="left" w:pos="711"/>
              </w:tabs>
              <w:snapToGrid w:val="0"/>
              <w:spacing w:line="400" w:lineRule="exact"/>
              <w:ind w:firstLine="420" w:firstLineChars="200"/>
              <w:rPr>
                <w:rFonts w:ascii="宋体" w:hAnsi="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招标人在工程量清单中所列出的暂列金额、暂估价等</w:t>
            </w:r>
            <w:r>
              <w:rPr>
                <w:rFonts w:hint="eastAsia" w:ascii="宋体" w:hAnsi="宋体" w:cs="宋体"/>
                <w:color w:val="auto"/>
                <w:szCs w:val="21"/>
                <w:highlight w:val="none"/>
                <w:lang w:eastAsia="zh-CN"/>
              </w:rPr>
              <w:t>暂定金额</w:t>
            </w:r>
            <w:r>
              <w:rPr>
                <w:rFonts w:hint="eastAsia" w:ascii="宋体" w:hAnsi="宋体" w:cs="宋体"/>
                <w:color w:val="auto"/>
                <w:szCs w:val="21"/>
                <w:highlight w:val="none"/>
              </w:rPr>
              <w:t>，投标人不得修改</w:t>
            </w:r>
            <w:r>
              <w:rPr>
                <w:rFonts w:hint="eastAsia" w:ascii="宋体" w:hAnsi="宋体"/>
                <w:color w:val="auto"/>
                <w:szCs w:val="21"/>
                <w:highlight w:val="none"/>
              </w:rPr>
              <w:t>。</w:t>
            </w:r>
          </w:p>
          <w:p w14:paraId="5C42EBF5">
            <w:pPr>
              <w:tabs>
                <w:tab w:val="left" w:pos="546"/>
                <w:tab w:val="left" w:pos="711"/>
              </w:tabs>
              <w:snapToGrid w:val="0"/>
              <w:spacing w:line="400" w:lineRule="exact"/>
              <w:ind w:firstLine="422" w:firstLineChars="200"/>
              <w:rPr>
                <w:rFonts w:ascii="宋体" w:hAnsi="宋体"/>
                <w:b/>
                <w:bCs/>
                <w:color w:val="auto"/>
                <w:szCs w:val="21"/>
                <w:highlight w:val="none"/>
              </w:rPr>
            </w:pPr>
            <w:r>
              <w:rPr>
                <w:rFonts w:ascii="宋体" w:hAnsi="宋体" w:cs="宋体"/>
                <w:b/>
                <w:bCs/>
                <w:color w:val="auto"/>
                <w:szCs w:val="21"/>
                <w:highlight w:val="none"/>
              </w:rPr>
              <w:t>8.</w:t>
            </w:r>
            <w:r>
              <w:rPr>
                <w:rFonts w:hint="eastAsia" w:ascii="宋体" w:hAnsi="宋体" w:cs="宋体"/>
                <w:b/>
                <w:bCs/>
                <w:color w:val="auto"/>
                <w:szCs w:val="21"/>
                <w:highlight w:val="none"/>
              </w:rPr>
              <w:t>本工程招标将设置投标总报价最高限价，投标总报价最高限价</w:t>
            </w:r>
            <w:r>
              <w:rPr>
                <w:rFonts w:hint="eastAsia" w:ascii="宋体" w:hAnsi="宋体" w:cs="宋体"/>
                <w:b/>
                <w:bCs/>
                <w:color w:val="auto"/>
                <w:szCs w:val="21"/>
                <w:highlight w:val="none"/>
                <w:lang w:val="en-US" w:eastAsia="zh-CN"/>
              </w:rPr>
              <w:t>为：</w:t>
            </w:r>
            <w:r>
              <w:rPr>
                <w:rFonts w:hint="eastAsia" w:ascii="宋体" w:hAnsi="宋体" w:cs="宋体"/>
                <w:b/>
                <w:bCs/>
                <w:color w:val="auto"/>
                <w:szCs w:val="21"/>
                <w:highlight w:val="none"/>
                <w:u w:val="single"/>
                <w:lang w:val="en-US" w:eastAsia="zh-CN"/>
              </w:rPr>
              <w:t>310104.44元</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其中安全文明施工费为：</w:t>
            </w:r>
            <w:r>
              <w:rPr>
                <w:rFonts w:hint="eastAsia" w:ascii="宋体" w:hAnsi="宋体" w:cs="宋体"/>
                <w:b/>
                <w:bCs/>
                <w:color w:val="auto"/>
                <w:szCs w:val="21"/>
                <w:highlight w:val="none"/>
                <w:u w:val="single"/>
                <w:lang w:val="en-US" w:eastAsia="zh-CN"/>
              </w:rPr>
              <w:t>8855.38</w:t>
            </w:r>
            <w:r>
              <w:rPr>
                <w:rFonts w:hint="eastAsia" w:ascii="宋体" w:hAnsi="宋体" w:cs="宋体"/>
                <w:b/>
                <w:bCs/>
                <w:color w:val="auto"/>
                <w:szCs w:val="21"/>
                <w:highlight w:val="none"/>
                <w:lang w:val="en-US" w:eastAsia="zh-CN"/>
              </w:rPr>
              <w:t>元，</w:t>
            </w:r>
            <w:r>
              <w:rPr>
                <w:rFonts w:hint="eastAsia" w:ascii="宋体" w:hAnsi="宋体" w:cs="宋体"/>
                <w:b/>
                <w:bCs/>
                <w:color w:val="auto"/>
                <w:szCs w:val="21"/>
                <w:highlight w:val="none"/>
              </w:rPr>
              <w:t>投标人的投标总报价不得超过投标总报价最高限价，否则由评标委员会作</w:t>
            </w:r>
            <w:r>
              <w:rPr>
                <w:rFonts w:hint="eastAsia" w:ascii="宋体" w:hAnsi="宋体"/>
                <w:b/>
                <w:bCs/>
                <w:color w:val="auto"/>
                <w:szCs w:val="21"/>
                <w:highlight w:val="none"/>
              </w:rPr>
              <w:t>否决投标处理。</w:t>
            </w:r>
          </w:p>
          <w:p w14:paraId="7F595B81">
            <w:pPr>
              <w:tabs>
                <w:tab w:val="left" w:pos="546"/>
                <w:tab w:val="left" w:pos="711"/>
              </w:tabs>
              <w:snapToGrid w:val="0"/>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本工程招标将设置全部工程量清单综合单价最高限价，投标人的每项清单综合单价报价不得超过每项清单综合单价最高限价。</w:t>
            </w:r>
          </w:p>
          <w:p w14:paraId="488F7471">
            <w:pPr>
              <w:tabs>
                <w:tab w:val="left" w:pos="546"/>
                <w:tab w:val="left" w:pos="711"/>
              </w:tabs>
              <w:snapToGrid w:val="0"/>
              <w:spacing w:line="40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招标人在合同签订前将对中标人已标价工程量清单进行清标。若发现中标人的工程量清单综合单价报价超过招标时给出的工程量清单综合单价最高限价的，在工程结算时招标人将以发出的工程量清单综合单价最高限价为基础，按照中标人的中标总报价与本工程的总价最高限价的下浮比例进行同比例下调，中标人必须无条件接受，否则按中标人违约处理。</w:t>
            </w:r>
            <w:r>
              <w:rPr>
                <w:rFonts w:hint="eastAsia" w:ascii="宋体" w:hAnsi="宋体" w:cs="宋体"/>
                <w:b/>
                <w:bCs/>
                <w:color w:val="auto"/>
                <w:szCs w:val="21"/>
                <w:highlight w:val="none"/>
              </w:rPr>
              <w:t>投标人须在投标文件资格审查部分提供承诺函，承诺函包括以下内容：</w:t>
            </w:r>
          </w:p>
          <w:p w14:paraId="485258A1">
            <w:pPr>
              <w:tabs>
                <w:tab w:val="left" w:pos="546"/>
                <w:tab w:val="left" w:pos="711"/>
              </w:tabs>
              <w:snapToGrid w:val="0"/>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（1）符合第五章“工程量清单”给出的范围及数量。</w:t>
            </w:r>
          </w:p>
          <w:p w14:paraId="429C27BD">
            <w:pPr>
              <w:tabs>
                <w:tab w:val="left" w:pos="546"/>
                <w:tab w:val="left" w:pos="711"/>
              </w:tabs>
              <w:snapToGrid w:val="0"/>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（2）招标文件中规定工程量清单不允许修改的内容不得修改。</w:t>
            </w:r>
          </w:p>
          <w:p w14:paraId="6181EF25">
            <w:pPr>
              <w:tabs>
                <w:tab w:val="left" w:pos="546"/>
                <w:tab w:val="left" w:pos="711"/>
              </w:tabs>
              <w:snapToGrid w:val="0"/>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（3）每项工程量清单综合单价报价不得高于对应工程量清单综合单价最高限价。</w:t>
            </w:r>
          </w:p>
          <w:p w14:paraId="04D8F984">
            <w:pPr>
              <w:pStyle w:val="17"/>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9.安全文明施工费：</w:t>
            </w:r>
          </w:p>
          <w:p w14:paraId="67BB1E99">
            <w:pPr>
              <w:pStyle w:val="17"/>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9.1</w:t>
            </w:r>
            <w:r>
              <w:rPr>
                <w:rFonts w:hint="eastAsia" w:ascii="宋体" w:hAnsi="宋体" w:cs="宋体"/>
                <w:color w:val="auto"/>
                <w:szCs w:val="21"/>
                <w:highlight w:val="none"/>
              </w:rPr>
              <w:t>根据《重庆城乡建设委员会关于印发</w:t>
            </w:r>
            <w:r>
              <w:rPr>
                <w:rFonts w:ascii="宋体" w:hAnsi="宋体" w:cs="宋体"/>
                <w:color w:val="auto"/>
                <w:szCs w:val="21"/>
                <w:highlight w:val="none"/>
              </w:rPr>
              <w:t>&lt;</w:t>
            </w:r>
            <w:r>
              <w:rPr>
                <w:rFonts w:hint="eastAsia" w:ascii="宋体" w:hAnsi="宋体" w:cs="宋体"/>
                <w:color w:val="auto"/>
                <w:szCs w:val="21"/>
                <w:highlight w:val="none"/>
              </w:rPr>
              <w:t>重庆市建设工程安全文明施工费计取及使用管理规定</w:t>
            </w:r>
            <w:r>
              <w:rPr>
                <w:rFonts w:ascii="宋体" w:hAnsi="宋体" w:cs="宋体"/>
                <w:color w:val="auto"/>
                <w:szCs w:val="21"/>
                <w:highlight w:val="none"/>
              </w:rPr>
              <w:t>&gt;</w:t>
            </w:r>
            <w:r>
              <w:rPr>
                <w:rFonts w:hint="eastAsia" w:ascii="宋体" w:hAnsi="宋体" w:cs="宋体"/>
                <w:color w:val="auto"/>
                <w:szCs w:val="21"/>
                <w:highlight w:val="none"/>
              </w:rPr>
              <w:t>的通知》（渝建发〔2014〕25号）规定，安全文明施工费由安全施工费、文明施工费、环境保护费及临时设施费组成。</w:t>
            </w:r>
          </w:p>
          <w:p w14:paraId="69D4FF8B">
            <w:pPr>
              <w:pStyle w:val="97"/>
              <w:spacing w:line="400" w:lineRule="exact"/>
              <w:ind w:firstLineChars="200"/>
              <w:rPr>
                <w:color w:val="auto"/>
                <w:sz w:val="21"/>
                <w:szCs w:val="21"/>
                <w:highlight w:val="none"/>
              </w:rPr>
            </w:pPr>
            <w:r>
              <w:rPr>
                <w:color w:val="auto"/>
                <w:sz w:val="21"/>
                <w:szCs w:val="21"/>
                <w:highlight w:val="none"/>
              </w:rPr>
              <w:t>9.2本工程安全文明施工费由招标人根据《建设工程工程量清单计价规范》（GB50500-2013）、《重庆市建设工程工程量清单计价规则》（CQJJGZ-2013）、《</w:t>
            </w:r>
            <w:r>
              <w:rPr>
                <w:rFonts w:hint="eastAsia"/>
                <w:color w:val="auto"/>
                <w:sz w:val="21"/>
                <w:szCs w:val="21"/>
                <w:highlight w:val="none"/>
              </w:rPr>
              <w:t>重庆市城乡建设委员会</w:t>
            </w:r>
            <w:r>
              <w:rPr>
                <w:color w:val="auto"/>
                <w:sz w:val="21"/>
                <w:szCs w:val="21"/>
                <w:highlight w:val="none"/>
              </w:rPr>
              <w:t>关于印发&lt;重庆市建设工程安全文明施工费计取及使用管理规定&gt;的通知》（渝建发</w:t>
            </w:r>
            <w:r>
              <w:rPr>
                <w:rFonts w:hint="eastAsia"/>
                <w:color w:val="auto"/>
                <w:sz w:val="21"/>
                <w:szCs w:val="21"/>
                <w:highlight w:val="none"/>
              </w:rPr>
              <w:t>〔</w:t>
            </w:r>
            <w:r>
              <w:rPr>
                <w:color w:val="auto"/>
                <w:sz w:val="21"/>
                <w:szCs w:val="21"/>
                <w:highlight w:val="none"/>
              </w:rPr>
              <w:t>2014</w:t>
            </w:r>
            <w:r>
              <w:rPr>
                <w:rFonts w:hint="eastAsia"/>
                <w:color w:val="auto"/>
                <w:sz w:val="21"/>
                <w:szCs w:val="21"/>
                <w:highlight w:val="none"/>
              </w:rPr>
              <w:t>〕</w:t>
            </w:r>
            <w:r>
              <w:rPr>
                <w:color w:val="auto"/>
                <w:sz w:val="21"/>
                <w:szCs w:val="21"/>
                <w:highlight w:val="none"/>
              </w:rPr>
              <w:t>25号）</w:t>
            </w:r>
            <w:r>
              <w:rPr>
                <w:rFonts w:hint="eastAsia"/>
                <w:color w:val="auto"/>
                <w:sz w:val="21"/>
                <w:szCs w:val="21"/>
                <w:highlight w:val="none"/>
              </w:rPr>
              <w:t>、《重庆市住房和城乡建设委员会关于调整建设施工现场形象品质提升安全文明施工费计取的通知》（渝建管〔2020〕97号）</w:t>
            </w:r>
            <w:r>
              <w:rPr>
                <w:color w:val="auto"/>
                <w:sz w:val="21"/>
                <w:szCs w:val="21"/>
                <w:highlight w:val="none"/>
              </w:rPr>
              <w:t>、</w:t>
            </w:r>
            <w:r>
              <w:rPr>
                <w:rFonts w:hint="eastAsia"/>
                <w:color w:val="auto"/>
                <w:sz w:val="21"/>
                <w:szCs w:val="21"/>
                <w:highlight w:val="none"/>
              </w:rPr>
              <w:t>《重庆市建设工程费用定额》（CQFYDE-2018）、《重庆市住房和城乡建设委员会关于适用增值税新税率调整建设工程计价依据的通知》（渝建〔2019〕143号）</w:t>
            </w:r>
            <w:r>
              <w:rPr>
                <w:color w:val="auto"/>
                <w:sz w:val="21"/>
                <w:szCs w:val="21"/>
                <w:highlight w:val="none"/>
              </w:rPr>
              <w:t>的相关规定和费用标准单列计算，安全文明施工费为暂定金额，与最高限价一起公布。《投标函》中的安全文明施工费</w:t>
            </w:r>
            <w:r>
              <w:rPr>
                <w:rFonts w:hint="eastAsia"/>
                <w:color w:val="auto"/>
                <w:sz w:val="21"/>
                <w:szCs w:val="21"/>
                <w:highlight w:val="none"/>
                <w:lang w:val="en-US" w:eastAsia="zh-CN"/>
              </w:rPr>
              <w:t>金额或工程量清单中安全文明施工费的汇总金额未</w:t>
            </w:r>
            <w:r>
              <w:rPr>
                <w:color w:val="auto"/>
                <w:sz w:val="21"/>
                <w:szCs w:val="21"/>
                <w:highlight w:val="none"/>
              </w:rPr>
              <w:t>按照招标人给出的暂定金额填报</w:t>
            </w:r>
            <w:r>
              <w:rPr>
                <w:rFonts w:hint="eastAsia"/>
                <w:color w:val="auto"/>
                <w:sz w:val="21"/>
                <w:szCs w:val="21"/>
                <w:highlight w:val="none"/>
                <w:lang w:val="en-US" w:eastAsia="zh-CN"/>
              </w:rPr>
              <w:t>的</w:t>
            </w:r>
            <w:r>
              <w:rPr>
                <w:color w:val="auto"/>
                <w:sz w:val="21"/>
                <w:szCs w:val="21"/>
                <w:highlight w:val="none"/>
              </w:rPr>
              <w:t>，视为对招标文件不作实质性响应，其投标文件</w:t>
            </w:r>
            <w:r>
              <w:rPr>
                <w:rFonts w:hint="eastAsia"/>
                <w:color w:val="auto"/>
                <w:sz w:val="21"/>
                <w:szCs w:val="21"/>
                <w:highlight w:val="none"/>
              </w:rPr>
              <w:t>由评标委员会</w:t>
            </w:r>
            <w:r>
              <w:rPr>
                <w:color w:val="auto"/>
                <w:sz w:val="21"/>
                <w:szCs w:val="21"/>
                <w:highlight w:val="none"/>
              </w:rPr>
              <w:t>作否决投标处理。</w:t>
            </w:r>
            <w:r>
              <w:rPr>
                <w:rFonts w:hint="eastAsia"/>
                <w:color w:val="auto"/>
                <w:sz w:val="21"/>
                <w:szCs w:val="21"/>
                <w:highlight w:val="none"/>
              </w:rPr>
              <w:t>注：采用全费用清单计价的项目，安全文明施工费仅针对《投标函》中的安全文明施工费进行评审。</w:t>
            </w:r>
          </w:p>
          <w:p w14:paraId="44566965">
            <w:pPr>
              <w:tabs>
                <w:tab w:val="left" w:pos="546"/>
                <w:tab w:val="left" w:pos="711"/>
              </w:tabs>
              <w:snapToGrid w:val="0"/>
              <w:spacing w:line="400" w:lineRule="exact"/>
              <w:ind w:firstLine="420" w:firstLineChars="200"/>
              <w:rPr>
                <w:rFonts w:ascii="宋体" w:hAnsi="宋体" w:cs="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本工程所需材料（含设备）价格由投标人参照重庆市建设工</w:t>
            </w:r>
            <w:r>
              <w:rPr>
                <w:rFonts w:hint="eastAsia" w:ascii="宋体" w:hAnsi="宋体" w:cs="宋体"/>
                <w:color w:val="auto"/>
                <w:szCs w:val="21"/>
                <w:highlight w:val="none"/>
              </w:rPr>
              <w:t>程造价管理总站发布的《重庆工程造价信息》或工程造价管理机构发布的工程造价信息（造价信息引用时限为招标公告发布日期前一期），并结合市场行情及自身实力进行自主报价。</w:t>
            </w:r>
          </w:p>
          <w:p w14:paraId="5DFEE465">
            <w:pPr>
              <w:pStyle w:val="17"/>
              <w:tabs>
                <w:tab w:val="left" w:pos="546"/>
                <w:tab w:val="left" w:pos="711"/>
              </w:tabs>
              <w:snapToGrid w:val="0"/>
              <w:spacing w:after="0" w:line="400" w:lineRule="exact"/>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11.本项目建筑安装材料价格风险按照《重庆市城乡建设委员会关于进一步加强建筑安装材料价格风险管控的指导意见》（渝建〔2018〕61号）执行。本项目主要材料及设备价格风险内容、范围及调整方法为：</w:t>
            </w:r>
            <w:r>
              <w:rPr>
                <w:rFonts w:hint="eastAsia" w:ascii="宋体" w:hAnsi="宋体" w:cs="宋体"/>
                <w:color w:val="auto"/>
                <w:szCs w:val="21"/>
                <w:highlight w:val="none"/>
                <w:u w:val="single"/>
                <w:lang w:val="en-US" w:eastAsia="zh-CN"/>
              </w:rPr>
              <w:t>不</w:t>
            </w:r>
            <w:r>
              <w:rPr>
                <w:rFonts w:hint="eastAsia" w:ascii="宋体" w:hAnsi="宋体" w:cs="宋体"/>
                <w:color w:val="auto"/>
                <w:szCs w:val="21"/>
                <w:highlight w:val="none"/>
                <w:u w:val="single"/>
              </w:rPr>
              <w:t>调整</w:t>
            </w:r>
            <w:r>
              <w:rPr>
                <w:rFonts w:hint="eastAsia" w:ascii="宋体" w:hAnsi="宋体" w:cs="宋体"/>
                <w:color w:val="auto"/>
                <w:szCs w:val="21"/>
                <w:highlight w:val="none"/>
                <w:u w:val="single"/>
                <w:lang w:eastAsia="zh-CN"/>
              </w:rPr>
              <w:t>。</w:t>
            </w:r>
          </w:p>
          <w:p w14:paraId="41436FD5">
            <w:pPr>
              <w:pStyle w:val="17"/>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本项目所采用技术、工艺和产品等必须执行重庆市住房和城乡建设委员会关于发布《重庆市建设领域禁止、限制使用落后技术通告（2019年版）（渝建发〔2019〕25号）的规定。</w:t>
            </w:r>
          </w:p>
          <w:p w14:paraId="424EBCE1">
            <w:pPr>
              <w:pStyle w:val="17"/>
              <w:tabs>
                <w:tab w:val="left" w:pos="546"/>
                <w:tab w:val="left" w:pos="711"/>
              </w:tabs>
              <w:snapToGrid w:val="0"/>
              <w:spacing w:after="0" w:line="400" w:lineRule="exact"/>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本工程主体结构若需混凝土，则必须使用商品混凝土，不得自建搅拌站。</w:t>
            </w:r>
          </w:p>
        </w:tc>
      </w:tr>
      <w:tr w14:paraId="08C2E6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7A01B9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14:paraId="09DE218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投标有效期</w:t>
            </w:r>
          </w:p>
        </w:tc>
        <w:tc>
          <w:tcPr>
            <w:tcW w:w="6490" w:type="dxa"/>
            <w:vAlign w:val="center"/>
          </w:tcPr>
          <w:p w14:paraId="6EADC9B5">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lang w:val="en-US" w:eastAsia="zh-CN"/>
              </w:rPr>
              <w:t>90</w:t>
            </w:r>
            <w:r>
              <w:rPr>
                <w:rFonts w:ascii="宋体" w:hAnsi="宋体"/>
                <w:color w:val="auto"/>
                <w:szCs w:val="21"/>
                <w:highlight w:val="none"/>
              </w:rPr>
              <w:t>日历天（从提交投标文件截止日起计算）</w:t>
            </w:r>
          </w:p>
        </w:tc>
      </w:tr>
      <w:tr w14:paraId="4F13DD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421F49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w:t>
            </w:r>
          </w:p>
        </w:tc>
        <w:tc>
          <w:tcPr>
            <w:tcW w:w="1644" w:type="dxa"/>
            <w:vAlign w:val="center"/>
          </w:tcPr>
          <w:p w14:paraId="2BDD2CC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投标保证金</w:t>
            </w:r>
          </w:p>
        </w:tc>
        <w:tc>
          <w:tcPr>
            <w:tcW w:w="6490" w:type="dxa"/>
            <w:vAlign w:val="center"/>
          </w:tcPr>
          <w:p w14:paraId="0C8351D6">
            <w:pPr>
              <w:numPr>
                <w:ilvl w:val="0"/>
                <w:numId w:val="0"/>
              </w:numPr>
              <w:shd w:val="clear"/>
              <w:adjustRightInd w:val="0"/>
              <w:snapToGrid w:val="0"/>
              <w:spacing w:line="40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1.投标人投标时应提供投标保证金，作为其投标的一部分，投标保证金金额</w:t>
            </w:r>
            <w:r>
              <w:rPr>
                <w:rFonts w:hint="eastAsia" w:ascii="宋体" w:hAnsi="宋体" w:eastAsia="宋体" w:cs="宋体"/>
                <w:b/>
                <w:bCs/>
                <w:color w:val="auto"/>
                <w:kern w:val="0"/>
                <w:sz w:val="21"/>
                <w:szCs w:val="21"/>
                <w:highlight w:val="none"/>
                <w:u w:val="single"/>
                <w:lang w:val="en-US" w:eastAsia="zh-CN" w:bidi="ar-SA"/>
              </w:rPr>
              <w:t>3000.00元</w:t>
            </w:r>
            <w:r>
              <w:rPr>
                <w:rFonts w:hint="eastAsia" w:ascii="宋体" w:hAnsi="宋体" w:eastAsia="宋体" w:cs="宋体"/>
                <w:color w:val="auto"/>
                <w:kern w:val="0"/>
                <w:sz w:val="21"/>
                <w:szCs w:val="21"/>
                <w:highlight w:val="none"/>
                <w:lang w:val="en-US" w:eastAsia="zh-CN" w:bidi="ar-SA"/>
              </w:rPr>
              <w:t>；各投标人应于开标时间前将投标保证金付至招标代理机构账户，应从投标人基本账户转出。</w:t>
            </w:r>
          </w:p>
          <w:p w14:paraId="343F722A">
            <w:pPr>
              <w:numPr>
                <w:ilvl w:val="0"/>
                <w:numId w:val="0"/>
              </w:numPr>
              <w:shd w:val="clear"/>
              <w:adjustRightInd w:val="0"/>
              <w:snapToGrid w:val="0"/>
              <w:spacing w:line="400" w:lineRule="exact"/>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2.保证金形式：转账。</w:t>
            </w:r>
          </w:p>
          <w:p w14:paraId="2678005F">
            <w:pPr>
              <w:numPr>
                <w:ilvl w:val="0"/>
                <w:numId w:val="0"/>
              </w:numPr>
              <w:shd w:val="clear"/>
              <w:adjustRightInd w:val="0"/>
              <w:snapToGrid w:val="0"/>
              <w:spacing w:line="400" w:lineRule="exact"/>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3.投标保证金接收账户：</w:t>
            </w:r>
          </w:p>
          <w:p w14:paraId="23F7E54E">
            <w:pPr>
              <w:numPr>
                <w:ilvl w:val="0"/>
                <w:numId w:val="0"/>
              </w:numPr>
              <w:shd w:val="clear"/>
              <w:adjustRightInd w:val="0"/>
              <w:snapToGrid w:val="0"/>
              <w:spacing w:line="400" w:lineRule="exact"/>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 xml:space="preserve">开户名称：凌辉建设工程咨询有限公司重庆分公司 </w:t>
            </w:r>
          </w:p>
          <w:p w14:paraId="75F15759">
            <w:pPr>
              <w:numPr>
                <w:ilvl w:val="0"/>
                <w:numId w:val="0"/>
              </w:numPr>
              <w:shd w:val="clear"/>
              <w:adjustRightInd w:val="0"/>
              <w:snapToGrid w:val="0"/>
              <w:spacing w:line="400" w:lineRule="exact"/>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 xml:space="preserve">开户银行：中国农业银行股份有限公司重庆渝中鹅岭支行 </w:t>
            </w:r>
          </w:p>
          <w:p w14:paraId="750A0CEB">
            <w:pPr>
              <w:numPr>
                <w:ilvl w:val="0"/>
                <w:numId w:val="0"/>
              </w:numPr>
              <w:shd w:val="clear"/>
              <w:adjustRightInd w:val="0"/>
              <w:snapToGrid w:val="0"/>
              <w:spacing w:line="400" w:lineRule="exact"/>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帐 号：31011401040004837。</w:t>
            </w:r>
          </w:p>
          <w:p w14:paraId="6AAF327F">
            <w:pPr>
              <w:numPr>
                <w:ilvl w:val="0"/>
                <w:numId w:val="0"/>
              </w:numPr>
              <w:shd w:val="clear"/>
              <w:adjustRightInd w:val="0"/>
              <w:snapToGrid w:val="0"/>
              <w:spacing w:line="40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4.投标保证金的退还：</w:t>
            </w:r>
          </w:p>
          <w:p w14:paraId="0745C3EC">
            <w:pPr>
              <w:snapToGrid w:val="0"/>
              <w:spacing w:line="400" w:lineRule="exact"/>
              <w:ind w:firstLine="420" w:firstLineChars="200"/>
              <w:rPr>
                <w:rFonts w:ascii="宋体" w:hAnsi="宋体"/>
                <w:color w:val="auto"/>
                <w:kern w:val="0"/>
                <w:szCs w:val="21"/>
                <w:highlight w:val="none"/>
              </w:rPr>
            </w:pPr>
            <w:r>
              <w:rPr>
                <w:rFonts w:hint="eastAsia" w:ascii="宋体" w:hAnsi="宋体" w:eastAsia="宋体" w:cs="宋体"/>
                <w:color w:val="auto"/>
                <w:kern w:val="0"/>
                <w:sz w:val="21"/>
                <w:szCs w:val="21"/>
                <w:highlight w:val="none"/>
                <w:lang w:val="en-US" w:eastAsia="zh-CN" w:bidi="ar-SA"/>
              </w:rPr>
              <w:t>（1）除中标候选人以外的投标人的投标保证金在中标通知书发出后5个工作日内退还。</w:t>
            </w:r>
            <w:r>
              <w:rPr>
                <w:rFonts w:hint="eastAsia" w:ascii="宋体" w:hAnsi="宋体" w:eastAsia="宋体" w:cs="宋体"/>
                <w:color w:val="auto"/>
                <w:kern w:val="0"/>
                <w:sz w:val="21"/>
                <w:szCs w:val="21"/>
                <w:highlight w:val="none"/>
                <w:lang w:val="en-US" w:eastAsia="zh-CN" w:bidi="ar-SA"/>
              </w:rPr>
              <w:br w:type="textWrapping"/>
            </w:r>
            <w:r>
              <w:rPr>
                <w:rFonts w:hint="eastAsia" w:ascii="宋体" w:hAnsi="宋体" w:eastAsia="宋体" w:cs="宋体"/>
                <w:color w:val="auto"/>
                <w:kern w:val="0"/>
                <w:sz w:val="21"/>
                <w:szCs w:val="21"/>
                <w:highlight w:val="none"/>
                <w:lang w:val="en-US" w:eastAsia="zh-CN" w:bidi="ar-SA"/>
              </w:rPr>
              <w:t xml:space="preserve">    （2）中标候选人的投标保证金在招标人和中标人签订合同后5个工作日内退还。</w:t>
            </w:r>
            <w:r>
              <w:rPr>
                <w:rFonts w:hint="eastAsia" w:ascii="宋体" w:hAnsi="宋体" w:eastAsia="宋体" w:cs="宋体"/>
                <w:color w:val="auto"/>
                <w:kern w:val="0"/>
                <w:sz w:val="21"/>
                <w:szCs w:val="21"/>
                <w:highlight w:val="none"/>
                <w:lang w:val="en-US" w:eastAsia="zh-CN" w:bidi="ar-SA"/>
              </w:rPr>
              <w:br w:type="textWrapping"/>
            </w:r>
            <w:r>
              <w:rPr>
                <w:rFonts w:hint="eastAsia" w:ascii="宋体" w:hAnsi="宋体" w:eastAsia="宋体" w:cs="宋体"/>
                <w:color w:val="auto"/>
                <w:kern w:val="0"/>
                <w:sz w:val="21"/>
                <w:szCs w:val="21"/>
                <w:highlight w:val="none"/>
                <w:lang w:val="en-US" w:eastAsia="zh-CN" w:bidi="ar-SA"/>
              </w:rPr>
              <w:t xml:space="preserve">    5.投标保证金有效期与投标有效期一致。</w:t>
            </w:r>
          </w:p>
        </w:tc>
      </w:tr>
      <w:tr w14:paraId="149C22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76627D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w:t>
            </w:r>
          </w:p>
        </w:tc>
        <w:tc>
          <w:tcPr>
            <w:tcW w:w="1644" w:type="dxa"/>
            <w:vAlign w:val="center"/>
          </w:tcPr>
          <w:p w14:paraId="2DEBCD5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14:paraId="5AE21A42">
            <w:pPr>
              <w:snapToGrid w:val="0"/>
              <w:spacing w:after="93"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备选投标方案</w:t>
            </w:r>
          </w:p>
        </w:tc>
        <w:tc>
          <w:tcPr>
            <w:tcW w:w="6490" w:type="dxa"/>
            <w:vAlign w:val="center"/>
          </w:tcPr>
          <w:p w14:paraId="18CA60B1">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tc>
      </w:tr>
      <w:tr w14:paraId="39E6A2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AE9598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14:paraId="628B1599">
            <w:pPr>
              <w:snapToGrid w:val="0"/>
              <w:spacing w:after="93"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投标文件格式要求</w:t>
            </w:r>
          </w:p>
        </w:tc>
        <w:tc>
          <w:tcPr>
            <w:tcW w:w="6490" w:type="dxa"/>
            <w:vAlign w:val="center"/>
          </w:tcPr>
          <w:p w14:paraId="5ECF024E">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编制投标文件时不得对第八章“投标文件格式”的相应要素作实质性修改，否则由评标委员会作否决投标处理。</w:t>
            </w:r>
          </w:p>
        </w:tc>
      </w:tr>
      <w:tr w14:paraId="66014B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4CC13B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14:paraId="770D6D6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14:paraId="36EC376C">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14:paraId="6173140E">
            <w:pPr>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未按上述规定执行的，交由评标委员会作否决投标处理。</w:t>
            </w:r>
          </w:p>
        </w:tc>
      </w:tr>
      <w:tr w14:paraId="4A7C04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0B3130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14:paraId="73BE34BD">
            <w:pPr>
              <w:snapToGrid w:val="0"/>
              <w:spacing w:line="400" w:lineRule="exact"/>
              <w:rPr>
                <w:rFonts w:ascii="宋体" w:hAnsi="宋体"/>
                <w:color w:val="auto"/>
                <w:spacing w:val="-6"/>
                <w:kern w:val="0"/>
                <w:szCs w:val="21"/>
                <w:highlight w:val="none"/>
              </w:rPr>
            </w:pPr>
            <w:r>
              <w:rPr>
                <w:rFonts w:ascii="宋体" w:hAnsi="宋体"/>
                <w:color w:val="auto"/>
                <w:spacing w:val="-6"/>
                <w:kern w:val="0"/>
                <w:szCs w:val="21"/>
                <w:highlight w:val="none"/>
              </w:rPr>
              <w:t>投标文件的份数</w:t>
            </w:r>
          </w:p>
        </w:tc>
        <w:tc>
          <w:tcPr>
            <w:tcW w:w="6490" w:type="dxa"/>
            <w:vAlign w:val="center"/>
          </w:tcPr>
          <w:p w14:paraId="126A23DB">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投标文件正本</w:t>
            </w:r>
            <w:r>
              <w:rPr>
                <w:rFonts w:hint="eastAsia" w:ascii="宋体" w:hAnsi="宋体"/>
                <w:color w:val="auto"/>
                <w:kern w:val="0"/>
                <w:szCs w:val="21"/>
                <w:highlight w:val="none"/>
              </w:rPr>
              <w:t>1份、副本</w:t>
            </w: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rPr>
              <w:t>份，电子版形式（</w:t>
            </w:r>
            <w:r>
              <w:rPr>
                <w:rFonts w:hint="eastAsia" w:ascii="宋体" w:hAnsi="宋体"/>
                <w:color w:val="auto"/>
                <w:kern w:val="0"/>
                <w:szCs w:val="21"/>
                <w:highlight w:val="none"/>
                <w:lang w:val="en-US" w:eastAsia="zh-CN"/>
              </w:rPr>
              <w:t>U盘</w:t>
            </w:r>
            <w:r>
              <w:rPr>
                <w:rFonts w:hint="eastAsia" w:ascii="宋体" w:hAnsi="宋体"/>
                <w:color w:val="auto"/>
                <w:kern w:val="0"/>
                <w:szCs w:val="21"/>
                <w:highlight w:val="none"/>
              </w:rPr>
              <w:t>）1份。当副本和正本不一致时，以正本为准。否则由评标委员会作否决投标处理。</w:t>
            </w:r>
          </w:p>
        </w:tc>
      </w:tr>
      <w:tr w14:paraId="493BB5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1A7A8F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3.7.5</w:t>
            </w:r>
          </w:p>
        </w:tc>
        <w:tc>
          <w:tcPr>
            <w:tcW w:w="1644" w:type="dxa"/>
            <w:vAlign w:val="center"/>
          </w:tcPr>
          <w:p w14:paraId="0B12D90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装订要求</w:t>
            </w:r>
          </w:p>
        </w:tc>
        <w:tc>
          <w:tcPr>
            <w:tcW w:w="6490" w:type="dxa"/>
            <w:vAlign w:val="center"/>
          </w:tcPr>
          <w:p w14:paraId="3E32F8C7">
            <w:pPr>
              <w:adjustRightInd w:val="0"/>
              <w:snapToGrid w:val="0"/>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所有投标文件不论使用任何方式进行装订，必须保证投标书装订牢固，否则，比选人对由于投标文件装订松散而造成的丢失或其他后果不承担任何责任</w:t>
            </w:r>
            <w:r>
              <w:rPr>
                <w:rFonts w:hint="eastAsia" w:ascii="宋体" w:hAnsi="宋体"/>
                <w:color w:val="auto"/>
                <w:szCs w:val="21"/>
                <w:highlight w:val="none"/>
                <w:lang w:eastAsia="zh-CN"/>
              </w:rPr>
              <w:t>。</w:t>
            </w:r>
          </w:p>
        </w:tc>
      </w:tr>
      <w:tr w14:paraId="2116A1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8E4AE5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4.1.1</w:t>
            </w:r>
          </w:p>
        </w:tc>
        <w:tc>
          <w:tcPr>
            <w:tcW w:w="1644" w:type="dxa"/>
            <w:vAlign w:val="center"/>
          </w:tcPr>
          <w:p w14:paraId="35C6F505">
            <w:pPr>
              <w:snapToGrid w:val="0"/>
              <w:spacing w:line="400" w:lineRule="exact"/>
              <w:jc w:val="center"/>
              <w:rPr>
                <w:rFonts w:ascii="宋体" w:hAnsi="宋体"/>
                <w:color w:val="auto"/>
                <w:spacing w:val="-6"/>
                <w:kern w:val="0"/>
                <w:szCs w:val="21"/>
                <w:highlight w:val="none"/>
              </w:rPr>
            </w:pPr>
            <w:r>
              <w:rPr>
                <w:rFonts w:ascii="宋体" w:hAnsi="宋体"/>
                <w:color w:val="auto"/>
                <w:spacing w:val="-6"/>
                <w:kern w:val="0"/>
                <w:szCs w:val="21"/>
                <w:highlight w:val="none"/>
              </w:rPr>
              <w:t>投标文件的密封</w:t>
            </w:r>
          </w:p>
        </w:tc>
        <w:tc>
          <w:tcPr>
            <w:tcW w:w="6490" w:type="dxa"/>
            <w:vAlign w:val="center"/>
          </w:tcPr>
          <w:p w14:paraId="26304FB1">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投标文件正本、副本应分别装订密封，加盖投标人鲜章。</w:t>
            </w:r>
          </w:p>
        </w:tc>
      </w:tr>
      <w:tr w14:paraId="604AD2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784602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4.1.2</w:t>
            </w:r>
          </w:p>
        </w:tc>
        <w:tc>
          <w:tcPr>
            <w:tcW w:w="1644" w:type="dxa"/>
            <w:vAlign w:val="center"/>
          </w:tcPr>
          <w:p w14:paraId="1D1B965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封套上写明</w:t>
            </w:r>
          </w:p>
        </w:tc>
        <w:tc>
          <w:tcPr>
            <w:tcW w:w="6490" w:type="dxa"/>
            <w:vAlign w:val="center"/>
          </w:tcPr>
          <w:p w14:paraId="2495225D">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招标人名称：</w:t>
            </w:r>
            <w:r>
              <w:rPr>
                <w:rFonts w:hint="eastAsia" w:ascii="宋体" w:hAnsi="宋体"/>
                <w:color w:val="auto"/>
                <w:kern w:val="0"/>
                <w:szCs w:val="21"/>
                <w:highlight w:val="none"/>
                <w:u w:val="single"/>
              </w:rPr>
              <w:t xml:space="preserve">            </w:t>
            </w:r>
          </w:p>
          <w:p w14:paraId="1A2C893E">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投标人名称：</w:t>
            </w:r>
            <w:r>
              <w:rPr>
                <w:rFonts w:hint="eastAsia" w:ascii="宋体" w:hAnsi="宋体"/>
                <w:color w:val="auto"/>
                <w:kern w:val="0"/>
                <w:szCs w:val="21"/>
                <w:highlight w:val="none"/>
                <w:u w:val="single"/>
              </w:rPr>
              <w:t xml:space="preserve">            </w:t>
            </w:r>
          </w:p>
          <w:p w14:paraId="2DBB6E33">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u w:val="single"/>
              </w:rPr>
              <w:t xml:space="preserve">                （项目名称）</w:t>
            </w:r>
            <w:r>
              <w:rPr>
                <w:rFonts w:ascii="宋体" w:hAnsi="宋体"/>
                <w:color w:val="auto"/>
                <w:kern w:val="0"/>
                <w:szCs w:val="21"/>
                <w:highlight w:val="none"/>
              </w:rPr>
              <w:t>投标文件</w:t>
            </w:r>
          </w:p>
          <w:p w14:paraId="58EDEA56">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在</w:t>
            </w: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时</w:t>
            </w:r>
            <w:r>
              <w:rPr>
                <w:rFonts w:hint="eastAsia" w:ascii="宋体" w:hAnsi="宋体"/>
                <w:color w:val="auto"/>
                <w:kern w:val="0"/>
                <w:szCs w:val="21"/>
                <w:highlight w:val="none"/>
                <w:u w:val="single"/>
              </w:rPr>
              <w:t xml:space="preserve">    </w:t>
            </w:r>
            <w:r>
              <w:rPr>
                <w:rFonts w:ascii="宋体" w:hAnsi="宋体"/>
                <w:color w:val="auto"/>
                <w:kern w:val="0"/>
                <w:szCs w:val="21"/>
                <w:highlight w:val="none"/>
              </w:rPr>
              <w:t>分前不得开启</w:t>
            </w:r>
          </w:p>
        </w:tc>
      </w:tr>
      <w:tr w14:paraId="220F19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FE2644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14:paraId="640DDB3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递交投标文件地点</w:t>
            </w:r>
          </w:p>
        </w:tc>
        <w:tc>
          <w:tcPr>
            <w:tcW w:w="6490" w:type="dxa"/>
            <w:vAlign w:val="center"/>
          </w:tcPr>
          <w:p w14:paraId="3051233B">
            <w:pPr>
              <w:snapToGrid w:val="0"/>
              <w:spacing w:line="400" w:lineRule="exact"/>
              <w:ind w:firstLine="420" w:firstLineChars="200"/>
              <w:rPr>
                <w:rFonts w:ascii="宋体" w:hAnsi="宋体"/>
                <w:bCs/>
                <w:i/>
                <w:color w:val="auto"/>
                <w:szCs w:val="21"/>
                <w:highlight w:val="none"/>
              </w:rPr>
            </w:pPr>
            <w:r>
              <w:rPr>
                <w:rFonts w:hint="eastAsia" w:ascii="宋体" w:hAnsi="宋体"/>
                <w:bCs/>
                <w:color w:val="auto"/>
                <w:szCs w:val="21"/>
                <w:highlight w:val="none"/>
                <w:u w:val="single"/>
                <w:lang w:val="en-US" w:eastAsia="zh-CN"/>
              </w:rPr>
              <w:t>长安锦绣城14栋负一楼中心办公室</w:t>
            </w:r>
            <w:r>
              <w:rPr>
                <w:rFonts w:ascii="宋体" w:hAnsi="宋体"/>
                <w:bCs/>
                <w:color w:val="auto"/>
                <w:szCs w:val="21"/>
                <w:highlight w:val="none"/>
              </w:rPr>
              <w:t>。</w:t>
            </w:r>
          </w:p>
        </w:tc>
      </w:tr>
      <w:tr w14:paraId="6C763E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4AC83E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4.2.3</w:t>
            </w:r>
          </w:p>
        </w:tc>
        <w:tc>
          <w:tcPr>
            <w:tcW w:w="1644" w:type="dxa"/>
            <w:vAlign w:val="center"/>
          </w:tcPr>
          <w:p w14:paraId="4A49CBD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是否退还投标文件</w:t>
            </w:r>
          </w:p>
        </w:tc>
        <w:tc>
          <w:tcPr>
            <w:tcW w:w="6490" w:type="dxa"/>
            <w:vAlign w:val="center"/>
          </w:tcPr>
          <w:p w14:paraId="5030C6BF">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否</w:t>
            </w:r>
          </w:p>
          <w:p w14:paraId="1696DFED">
            <w:pPr>
              <w:snapToGrid w:val="0"/>
              <w:spacing w:after="31" w:afterLines="1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是</w:t>
            </w:r>
          </w:p>
        </w:tc>
      </w:tr>
      <w:tr w14:paraId="5F86E8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2BE15C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14:paraId="1502D63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开标时间和</w:t>
            </w:r>
          </w:p>
          <w:p w14:paraId="72BB9CF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14:paraId="19239B8E">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开标时间：同投标截止时间</w:t>
            </w:r>
          </w:p>
          <w:p w14:paraId="219262C1">
            <w:pPr>
              <w:snapToGrid w:val="0"/>
              <w:spacing w:line="400" w:lineRule="exact"/>
              <w:ind w:firstLine="420" w:firstLineChars="200"/>
              <w:rPr>
                <w:rFonts w:ascii="宋体" w:hAnsi="宋体"/>
                <w:bCs/>
                <w:i/>
                <w:color w:val="auto"/>
                <w:szCs w:val="21"/>
                <w:highlight w:val="none"/>
              </w:rPr>
            </w:pPr>
            <w:r>
              <w:rPr>
                <w:rFonts w:ascii="宋体" w:hAnsi="宋体"/>
                <w:color w:val="auto"/>
                <w:kern w:val="0"/>
                <w:szCs w:val="21"/>
                <w:highlight w:val="none"/>
              </w:rPr>
              <w:t>开标地点：</w:t>
            </w:r>
            <w:r>
              <w:rPr>
                <w:rFonts w:hint="eastAsia" w:ascii="宋体" w:hAnsi="宋体"/>
                <w:color w:val="auto"/>
                <w:kern w:val="0"/>
                <w:szCs w:val="21"/>
                <w:highlight w:val="none"/>
                <w:u w:val="single"/>
                <w:lang w:val="en-US" w:eastAsia="zh-CN"/>
              </w:rPr>
              <w:t>长安锦绣城14栋负一楼中心办公室</w:t>
            </w:r>
            <w:r>
              <w:rPr>
                <w:rFonts w:ascii="宋体" w:hAnsi="宋体"/>
                <w:bCs/>
                <w:color w:val="auto"/>
                <w:szCs w:val="21"/>
                <w:highlight w:val="none"/>
              </w:rPr>
              <w:t>。</w:t>
            </w:r>
          </w:p>
        </w:tc>
      </w:tr>
      <w:tr w14:paraId="19DA82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CBA5F02">
            <w:pPr>
              <w:snapToGrid w:val="0"/>
              <w:spacing w:line="400" w:lineRule="exact"/>
              <w:jc w:val="center"/>
              <w:rPr>
                <w:rFonts w:ascii="宋体" w:hAnsi="宋体"/>
                <w:color w:val="auto"/>
                <w:szCs w:val="21"/>
                <w:highlight w:val="none"/>
              </w:rPr>
            </w:pPr>
            <w:r>
              <w:rPr>
                <w:rFonts w:ascii="宋体" w:hAnsi="宋体"/>
                <w:color w:val="auto"/>
                <w:szCs w:val="21"/>
                <w:highlight w:val="none"/>
              </w:rPr>
              <w:t>5.2</w:t>
            </w:r>
          </w:p>
        </w:tc>
        <w:tc>
          <w:tcPr>
            <w:tcW w:w="1644" w:type="dxa"/>
            <w:vAlign w:val="center"/>
          </w:tcPr>
          <w:p w14:paraId="3EF17360">
            <w:pPr>
              <w:snapToGrid w:val="0"/>
              <w:spacing w:line="400" w:lineRule="exact"/>
              <w:jc w:val="center"/>
              <w:rPr>
                <w:rFonts w:ascii="宋体" w:hAnsi="宋体"/>
                <w:color w:val="auto"/>
                <w:szCs w:val="21"/>
                <w:highlight w:val="none"/>
              </w:rPr>
            </w:pPr>
            <w:r>
              <w:rPr>
                <w:rFonts w:ascii="宋体" w:hAnsi="宋体"/>
                <w:color w:val="auto"/>
                <w:szCs w:val="21"/>
                <w:highlight w:val="none"/>
              </w:rPr>
              <w:t>开标程序</w:t>
            </w:r>
          </w:p>
        </w:tc>
        <w:tc>
          <w:tcPr>
            <w:tcW w:w="6490" w:type="dxa"/>
            <w:vAlign w:val="center"/>
          </w:tcPr>
          <w:p w14:paraId="2E8EB4A9">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主持人按下列程序进行开标：</w:t>
            </w:r>
          </w:p>
          <w:p w14:paraId="0DDDCBDF">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 核验参加开标会议的投标人的法定代表人或</w:t>
            </w:r>
            <w:r>
              <w:rPr>
                <w:rFonts w:hint="eastAsia" w:ascii="宋体" w:hAnsi="宋体"/>
                <w:color w:val="auto"/>
                <w:szCs w:val="21"/>
                <w:highlight w:val="none"/>
              </w:rPr>
              <w:t>委托代理人</w:t>
            </w:r>
            <w:r>
              <w:rPr>
                <w:rFonts w:ascii="宋体" w:hAnsi="宋体"/>
                <w:color w:val="auto"/>
                <w:szCs w:val="21"/>
                <w:highlight w:val="none"/>
              </w:rPr>
              <w:t>本人身份证（原件），核验委托代理人的授权委托书</w:t>
            </w:r>
            <w:r>
              <w:rPr>
                <w:rFonts w:hint="eastAsia" w:ascii="宋体" w:hAnsi="宋体"/>
                <w:color w:val="auto"/>
                <w:szCs w:val="21"/>
                <w:highlight w:val="none"/>
              </w:rPr>
              <w:t>、养老保险证明材料复印件</w:t>
            </w:r>
            <w:r>
              <w:rPr>
                <w:rFonts w:ascii="宋体" w:hAnsi="宋体"/>
                <w:color w:val="auto"/>
                <w:szCs w:val="21"/>
                <w:highlight w:val="none"/>
              </w:rPr>
              <w:t>，以确认其身份合法有效；</w:t>
            </w:r>
            <w:r>
              <w:rPr>
                <w:rFonts w:hint="eastAsia" w:ascii="宋体" w:hAnsi="宋体"/>
                <w:color w:val="auto"/>
                <w:szCs w:val="21"/>
                <w:highlight w:val="none"/>
              </w:rPr>
              <w:t>若经核实委托代理人提供资料与实际不符的，不得参加开标会。核验合格的法定代表人或委托代理人可自行选择是否参加开标会，不参加开标会的视为默认开标结果。</w:t>
            </w:r>
          </w:p>
          <w:p w14:paraId="5F3685B3">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宣布开标纪律</w:t>
            </w:r>
            <w:r>
              <w:rPr>
                <w:rFonts w:hint="eastAsia" w:ascii="宋体" w:hAnsi="宋体"/>
                <w:color w:val="auto"/>
                <w:szCs w:val="21"/>
                <w:highlight w:val="none"/>
              </w:rPr>
              <w:t>。</w:t>
            </w:r>
          </w:p>
          <w:p w14:paraId="298931BE">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 宣布开标人、唱标人、记录人、监标人等有关人员姓名</w:t>
            </w:r>
            <w:r>
              <w:rPr>
                <w:rFonts w:hint="eastAsia" w:ascii="宋体" w:hAnsi="宋体"/>
                <w:color w:val="auto"/>
                <w:szCs w:val="21"/>
                <w:highlight w:val="none"/>
              </w:rPr>
              <w:t>。</w:t>
            </w:r>
          </w:p>
          <w:p w14:paraId="1D9C9FA6">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 公布在投标截止时间前递交投标文件的投标人名称</w:t>
            </w:r>
            <w:r>
              <w:rPr>
                <w:rFonts w:hint="eastAsia" w:ascii="宋体" w:hAnsi="宋体"/>
                <w:color w:val="auto"/>
                <w:szCs w:val="21"/>
                <w:highlight w:val="none"/>
              </w:rPr>
              <w:t>。</w:t>
            </w:r>
          </w:p>
          <w:p w14:paraId="313C5738">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5. </w:t>
            </w:r>
            <w:r>
              <w:rPr>
                <w:rFonts w:hint="eastAsia" w:ascii="宋体" w:hAnsi="宋体"/>
                <w:color w:val="auto"/>
                <w:szCs w:val="21"/>
                <w:highlight w:val="none"/>
              </w:rPr>
              <w:t>投标文件的密封检查：投标人可对自己的投标文件封装情况进行检查，以确认其投标文件密封完好。</w:t>
            </w:r>
          </w:p>
          <w:p w14:paraId="0342F1EE">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 汇总投标保证金交纳情况</w:t>
            </w:r>
          </w:p>
          <w:p w14:paraId="3F2F724A">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7. 公布最高限价</w:t>
            </w:r>
            <w:r>
              <w:rPr>
                <w:rFonts w:hint="eastAsia" w:ascii="宋体" w:hAnsi="宋体"/>
                <w:color w:val="auto"/>
                <w:szCs w:val="21"/>
                <w:highlight w:val="none"/>
              </w:rPr>
              <w:t>。</w:t>
            </w:r>
          </w:p>
          <w:p w14:paraId="5774125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随机开启投标文件并记录在案</w:t>
            </w:r>
            <w:r>
              <w:rPr>
                <w:rFonts w:hint="eastAsia" w:ascii="宋体" w:hAnsi="宋体"/>
                <w:color w:val="auto"/>
                <w:szCs w:val="21"/>
                <w:highlight w:val="none"/>
              </w:rPr>
              <w:t>。</w:t>
            </w:r>
          </w:p>
          <w:p w14:paraId="29AC7CB1">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 投标人对开标有异议的，应当场提出，由招标人或代理机构当场答复，并记录到开标记录表中。异议处理完毕后，汇总开标情况，打印开标记录表。</w:t>
            </w:r>
          </w:p>
          <w:p w14:paraId="647749B0">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ascii="宋体" w:hAnsi="宋体"/>
                <w:color w:val="auto"/>
                <w:szCs w:val="21"/>
                <w:highlight w:val="none"/>
              </w:rPr>
              <w:t>. 投标人代表、招标人代表、监标人等有关人员在开标记录上</w:t>
            </w:r>
            <w:r>
              <w:rPr>
                <w:rFonts w:hint="eastAsia" w:ascii="宋体" w:hAnsi="宋体"/>
                <w:color w:val="auto"/>
                <w:szCs w:val="21"/>
                <w:highlight w:val="none"/>
              </w:rPr>
              <w:t>签名</w:t>
            </w:r>
            <w:r>
              <w:rPr>
                <w:rFonts w:ascii="宋体" w:hAnsi="宋体"/>
                <w:color w:val="auto"/>
                <w:szCs w:val="21"/>
                <w:highlight w:val="none"/>
              </w:rPr>
              <w:t>确认</w:t>
            </w:r>
            <w:r>
              <w:rPr>
                <w:rFonts w:hint="eastAsia" w:ascii="宋体" w:hAnsi="宋体"/>
                <w:color w:val="auto"/>
                <w:szCs w:val="21"/>
                <w:highlight w:val="none"/>
              </w:rPr>
              <w:t>。因其他原因未能签名的，视为默认开标结果。</w:t>
            </w:r>
          </w:p>
          <w:p w14:paraId="1104E8F2">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ascii="宋体" w:hAnsi="宋体"/>
                <w:color w:val="auto"/>
                <w:szCs w:val="21"/>
                <w:highlight w:val="none"/>
              </w:rPr>
              <w:t>. 开标结束。</w:t>
            </w:r>
          </w:p>
        </w:tc>
      </w:tr>
      <w:tr w14:paraId="38D9BA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40ABD0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14:paraId="0BF30B7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14:paraId="28D3110D">
            <w:pPr>
              <w:autoSpaceDE w:val="0"/>
              <w:autoSpaceDN w:val="0"/>
              <w:adjustRightInd w:val="0"/>
              <w:snapToGrid w:val="0"/>
              <w:spacing w:line="400" w:lineRule="exact"/>
              <w:ind w:firstLine="436" w:firstLineChars="200"/>
              <w:rPr>
                <w:rFonts w:ascii="宋体" w:hAnsi="宋体"/>
                <w:color w:val="auto"/>
                <w:kern w:val="0"/>
                <w:szCs w:val="21"/>
                <w:highlight w:val="none"/>
              </w:rPr>
            </w:pPr>
            <w:r>
              <w:rPr>
                <w:rFonts w:hint="eastAsia" w:ascii="宋体" w:hAnsi="宋体"/>
                <w:color w:val="auto"/>
                <w:spacing w:val="4"/>
                <w:kern w:val="0"/>
                <w:szCs w:val="21"/>
                <w:highlight w:val="none"/>
              </w:rPr>
              <w:t>按法律法规及相关规定依法组建评标委员会</w:t>
            </w:r>
            <w:r>
              <w:rPr>
                <w:rFonts w:hint="eastAsia" w:ascii="宋体" w:hAnsi="宋体"/>
                <w:color w:val="auto"/>
                <w:kern w:val="0"/>
                <w:szCs w:val="21"/>
                <w:highlight w:val="none"/>
              </w:rPr>
              <w:t>。</w:t>
            </w:r>
          </w:p>
        </w:tc>
      </w:tr>
      <w:tr w14:paraId="396D11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66804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7.1</w:t>
            </w:r>
          </w:p>
        </w:tc>
        <w:tc>
          <w:tcPr>
            <w:tcW w:w="1644" w:type="dxa"/>
            <w:vAlign w:val="center"/>
          </w:tcPr>
          <w:p w14:paraId="1FDE1989">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是否授权评标委员会确定中标人</w:t>
            </w:r>
          </w:p>
        </w:tc>
        <w:tc>
          <w:tcPr>
            <w:tcW w:w="6490" w:type="dxa"/>
            <w:vAlign w:val="center"/>
          </w:tcPr>
          <w:p w14:paraId="1F4AA08B">
            <w:pPr>
              <w:snapToGrid w:val="0"/>
              <w:spacing w:line="400" w:lineRule="exact"/>
              <w:ind w:firstLine="420" w:firstLineChars="200"/>
              <w:rPr>
                <w:rFonts w:ascii="宋体" w:hAnsi="宋体"/>
                <w:i/>
                <w:color w:val="auto"/>
                <w:kern w:val="0"/>
                <w:szCs w:val="21"/>
                <w:highlight w:val="none"/>
              </w:rPr>
            </w:pPr>
            <w:r>
              <w:rPr>
                <w:rFonts w:ascii="宋体" w:hAnsi="宋体"/>
                <w:color w:val="auto"/>
                <w:kern w:val="0"/>
                <w:szCs w:val="21"/>
                <w:highlight w:val="none"/>
              </w:rPr>
              <w:t>否，</w:t>
            </w:r>
            <w:r>
              <w:rPr>
                <w:rFonts w:hint="eastAsia" w:ascii="宋体" w:hAnsi="宋体"/>
                <w:color w:val="auto"/>
                <w:kern w:val="0"/>
                <w:szCs w:val="21"/>
                <w:highlight w:val="none"/>
              </w:rPr>
              <w:t>推荐经评审综合得分由高到低排名前三名为中标候选人</w:t>
            </w:r>
            <w:r>
              <w:rPr>
                <w:rFonts w:ascii="宋体" w:hAnsi="宋体"/>
                <w:color w:val="auto"/>
                <w:kern w:val="0"/>
                <w:szCs w:val="21"/>
                <w:highlight w:val="none"/>
              </w:rPr>
              <w:t>。</w:t>
            </w:r>
          </w:p>
        </w:tc>
      </w:tr>
      <w:tr w14:paraId="00A243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55D177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7.2</w:t>
            </w:r>
          </w:p>
        </w:tc>
        <w:tc>
          <w:tcPr>
            <w:tcW w:w="1644" w:type="dxa"/>
            <w:vAlign w:val="center"/>
          </w:tcPr>
          <w:p w14:paraId="4501D579">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中标公示</w:t>
            </w:r>
          </w:p>
        </w:tc>
        <w:tc>
          <w:tcPr>
            <w:tcW w:w="6490" w:type="dxa"/>
            <w:vAlign w:val="center"/>
          </w:tcPr>
          <w:p w14:paraId="5C076ADB">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招标人在收到评标报告后3日内将评标结果在</w:t>
            </w:r>
            <w:r>
              <w:rPr>
                <w:rFonts w:hint="eastAsia" w:ascii="宋体" w:hAnsi="宋体" w:cs="宋体"/>
                <w:color w:val="auto"/>
                <w:szCs w:val="21"/>
                <w:highlight w:val="none"/>
                <w:u w:val="single"/>
              </w:rPr>
              <w:t>行采家（https://www.gec123.com/）</w:t>
            </w:r>
            <w:r>
              <w:rPr>
                <w:rFonts w:hint="eastAsia" w:ascii="宋体" w:hAnsi="宋体" w:cs="宋体"/>
                <w:color w:val="auto"/>
                <w:szCs w:val="21"/>
                <w:highlight w:val="none"/>
              </w:rPr>
              <w:t>上进行公示，公示期为3日。</w:t>
            </w:r>
          </w:p>
        </w:tc>
      </w:tr>
      <w:tr w14:paraId="1A12D5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D3BB81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7.3.1</w:t>
            </w:r>
          </w:p>
        </w:tc>
        <w:tc>
          <w:tcPr>
            <w:tcW w:w="1644" w:type="dxa"/>
            <w:vAlign w:val="center"/>
          </w:tcPr>
          <w:p w14:paraId="691F691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履约担保</w:t>
            </w:r>
          </w:p>
        </w:tc>
        <w:tc>
          <w:tcPr>
            <w:tcW w:w="6490" w:type="dxa"/>
            <w:vAlign w:val="center"/>
          </w:tcPr>
          <w:p w14:paraId="25E04FE0">
            <w:pPr>
              <w:numPr>
                <w:ilvl w:val="0"/>
                <w:numId w:val="0"/>
              </w:numPr>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rPr>
              <w:t>中标人是否提供履约担保：</w:t>
            </w:r>
            <w:r>
              <w:rPr>
                <w:rFonts w:hint="eastAsia" w:ascii="宋体" w:hAnsi="宋体"/>
                <w:color w:val="auto"/>
                <w:kern w:val="0"/>
                <w:szCs w:val="21"/>
                <w:highlight w:val="none"/>
                <w:u w:val="single"/>
                <w:lang w:val="en-US" w:eastAsia="zh-CN"/>
              </w:rPr>
              <w:t>不</w:t>
            </w:r>
            <w:r>
              <w:rPr>
                <w:rFonts w:hint="eastAsia" w:ascii="宋体" w:hAnsi="宋体"/>
                <w:color w:val="auto"/>
                <w:kern w:val="0"/>
                <w:szCs w:val="21"/>
                <w:highlight w:val="none"/>
                <w:u w:val="single"/>
              </w:rPr>
              <w:t>提供</w:t>
            </w:r>
            <w:r>
              <w:rPr>
                <w:rFonts w:hint="eastAsia" w:ascii="宋体" w:hAnsi="宋体"/>
                <w:color w:val="auto"/>
                <w:kern w:val="0"/>
                <w:szCs w:val="21"/>
                <w:highlight w:val="none"/>
              </w:rPr>
              <w:t>。</w:t>
            </w:r>
          </w:p>
        </w:tc>
      </w:tr>
      <w:tr w14:paraId="75CD02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72FC6DD">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7.4.1</w:t>
            </w:r>
          </w:p>
        </w:tc>
        <w:tc>
          <w:tcPr>
            <w:tcW w:w="1644" w:type="dxa"/>
            <w:vAlign w:val="center"/>
          </w:tcPr>
          <w:p w14:paraId="2A6027A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签订合同</w:t>
            </w:r>
          </w:p>
        </w:tc>
        <w:tc>
          <w:tcPr>
            <w:tcW w:w="6490" w:type="dxa"/>
            <w:vAlign w:val="center"/>
          </w:tcPr>
          <w:p w14:paraId="339B9830">
            <w:pPr>
              <w:snapToGrid w:val="0"/>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依法必须进行招标的项目，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14:paraId="79C5D0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DA35BF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14:paraId="2ED49D0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重新招标</w:t>
            </w:r>
            <w:r>
              <w:rPr>
                <w:rFonts w:hint="eastAsia" w:ascii="宋体" w:hAnsi="宋体"/>
                <w:color w:val="auto"/>
                <w:kern w:val="0"/>
                <w:szCs w:val="21"/>
                <w:highlight w:val="none"/>
              </w:rPr>
              <w:t>的情形</w:t>
            </w:r>
          </w:p>
        </w:tc>
        <w:tc>
          <w:tcPr>
            <w:tcW w:w="6490" w:type="dxa"/>
            <w:vAlign w:val="center"/>
          </w:tcPr>
          <w:p w14:paraId="1FD65F45">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1.按投标人须知第8.1（1）执行；</w:t>
            </w:r>
          </w:p>
          <w:p w14:paraId="3ABDE208">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2.按投标人须知第8.1（2）执行；</w:t>
            </w:r>
          </w:p>
          <w:p w14:paraId="1272B64D">
            <w:pPr>
              <w:widowControl/>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按投标人须知第8.1（3）执行；</w:t>
            </w:r>
          </w:p>
          <w:p w14:paraId="73B2120A">
            <w:pPr>
              <w:widowControl/>
              <w:spacing w:after="62" w:afterLines="20"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按投标人须知第8.1（4）执行</w:t>
            </w:r>
            <w:r>
              <w:rPr>
                <w:rFonts w:hint="eastAsia" w:ascii="宋体" w:hAnsi="宋体"/>
                <w:color w:val="auto"/>
                <w:kern w:val="0"/>
                <w:szCs w:val="21"/>
                <w:highlight w:val="none"/>
              </w:rPr>
              <w:t>。</w:t>
            </w:r>
          </w:p>
          <w:p w14:paraId="333E9E64">
            <w:pPr>
              <w:widowControl/>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注：本款只适用于首次招标。</w:t>
            </w:r>
          </w:p>
        </w:tc>
      </w:tr>
      <w:tr w14:paraId="13E5DE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A3AF18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644" w:type="dxa"/>
            <w:vAlign w:val="center"/>
          </w:tcPr>
          <w:p w14:paraId="1C3BB89D">
            <w:pPr>
              <w:snapToGrid w:val="0"/>
              <w:spacing w:line="400" w:lineRule="exact"/>
              <w:jc w:val="center"/>
              <w:rPr>
                <w:color w:val="auto"/>
                <w:highlight w:val="none"/>
              </w:rPr>
            </w:pPr>
            <w:bookmarkStart w:id="110" w:name="_Toc16930431"/>
            <w:bookmarkStart w:id="111" w:name="_Toc430530434"/>
            <w:bookmarkStart w:id="112" w:name="_Toc509218709"/>
            <w:bookmarkStart w:id="113" w:name="_Toc536628250"/>
            <w:bookmarkStart w:id="114" w:name="_Toc13210670"/>
            <w:r>
              <w:rPr>
                <w:rFonts w:hint="eastAsia" w:ascii="宋体" w:hAnsi="宋体"/>
                <w:color w:val="auto"/>
                <w:kern w:val="0"/>
                <w:szCs w:val="21"/>
                <w:highlight w:val="none"/>
              </w:rPr>
              <w:t>重新</w:t>
            </w:r>
            <w:r>
              <w:rPr>
                <w:rFonts w:ascii="宋体" w:hAnsi="宋体"/>
                <w:color w:val="auto"/>
                <w:kern w:val="0"/>
                <w:szCs w:val="21"/>
                <w:highlight w:val="none"/>
              </w:rPr>
              <w:t>招标和不再招标</w:t>
            </w:r>
            <w:bookmarkEnd w:id="110"/>
            <w:bookmarkEnd w:id="111"/>
            <w:bookmarkEnd w:id="112"/>
            <w:bookmarkEnd w:id="113"/>
            <w:bookmarkEnd w:id="114"/>
          </w:p>
        </w:tc>
        <w:tc>
          <w:tcPr>
            <w:tcW w:w="6490" w:type="dxa"/>
            <w:vAlign w:val="center"/>
          </w:tcPr>
          <w:p w14:paraId="1B061DFA">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tc>
      </w:tr>
      <w:tr w14:paraId="04B66B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0AAF4E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14:paraId="6B6DBD3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14:paraId="64FE37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0B23AC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10.1</w:t>
            </w:r>
          </w:p>
        </w:tc>
        <w:tc>
          <w:tcPr>
            <w:tcW w:w="1644" w:type="dxa"/>
            <w:vAlign w:val="center"/>
          </w:tcPr>
          <w:p w14:paraId="406011C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支付担保</w:t>
            </w:r>
          </w:p>
        </w:tc>
        <w:tc>
          <w:tcPr>
            <w:tcW w:w="6490" w:type="dxa"/>
            <w:vAlign w:val="center"/>
          </w:tcPr>
          <w:p w14:paraId="0E62D082">
            <w:pPr>
              <w:snapToGrid w:val="0"/>
              <w:spacing w:after="124" w:afterLines="40"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val="en-US" w:eastAsia="zh-CN"/>
              </w:rPr>
              <w:t>无</w:t>
            </w:r>
          </w:p>
        </w:tc>
      </w:tr>
      <w:tr w14:paraId="5107CB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1AAC85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10.2</w:t>
            </w:r>
          </w:p>
        </w:tc>
        <w:tc>
          <w:tcPr>
            <w:tcW w:w="1644" w:type="dxa"/>
            <w:vAlign w:val="center"/>
          </w:tcPr>
          <w:p w14:paraId="2B9566D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项目经理答辩</w:t>
            </w:r>
          </w:p>
        </w:tc>
        <w:tc>
          <w:tcPr>
            <w:tcW w:w="6490" w:type="dxa"/>
            <w:vAlign w:val="center"/>
          </w:tcPr>
          <w:p w14:paraId="63E45059">
            <w:pPr>
              <w:widowControl/>
              <w:spacing w:after="124" w:afterLines="4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val="en-US" w:eastAsia="zh-CN"/>
              </w:rPr>
              <w:t>无</w:t>
            </w:r>
          </w:p>
        </w:tc>
      </w:tr>
      <w:tr w14:paraId="5F2476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482037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10.3</w:t>
            </w:r>
          </w:p>
        </w:tc>
        <w:tc>
          <w:tcPr>
            <w:tcW w:w="1644" w:type="dxa"/>
            <w:vAlign w:val="center"/>
          </w:tcPr>
          <w:p w14:paraId="5161324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异议、</w:t>
            </w:r>
            <w:r>
              <w:rPr>
                <w:rFonts w:ascii="宋体" w:hAnsi="宋体"/>
                <w:color w:val="auto"/>
                <w:kern w:val="0"/>
                <w:szCs w:val="21"/>
                <w:highlight w:val="none"/>
              </w:rPr>
              <w:t>投诉处理</w:t>
            </w:r>
          </w:p>
        </w:tc>
        <w:tc>
          <w:tcPr>
            <w:tcW w:w="6490" w:type="dxa"/>
            <w:vAlign w:val="center"/>
          </w:tcPr>
          <w:p w14:paraId="2870B5CA">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投标人或者其他利害关系人就本项目的招标文件</w:t>
            </w:r>
            <w:r>
              <w:rPr>
                <w:rFonts w:hint="eastAsia" w:ascii="宋体" w:hAnsi="宋体"/>
                <w:color w:val="auto"/>
                <w:kern w:val="0"/>
                <w:szCs w:val="21"/>
                <w:highlight w:val="none"/>
              </w:rPr>
              <w:t>（含澄清修改）、开标情况、</w:t>
            </w:r>
            <w:r>
              <w:rPr>
                <w:rFonts w:ascii="宋体" w:hAnsi="宋体"/>
                <w:color w:val="auto"/>
                <w:kern w:val="0"/>
                <w:szCs w:val="21"/>
                <w:highlight w:val="none"/>
              </w:rPr>
              <w:t>评标结果等事项提出异议或投诉</w:t>
            </w:r>
            <w:r>
              <w:rPr>
                <w:rFonts w:hint="eastAsia" w:ascii="宋体" w:hAnsi="宋体"/>
                <w:color w:val="auto"/>
                <w:kern w:val="0"/>
                <w:szCs w:val="21"/>
                <w:highlight w:val="none"/>
              </w:rPr>
              <w:t>的</w:t>
            </w:r>
            <w:r>
              <w:rPr>
                <w:rFonts w:ascii="宋体" w:hAnsi="宋体"/>
                <w:color w:val="auto"/>
                <w:kern w:val="0"/>
                <w:szCs w:val="21"/>
                <w:highlight w:val="none"/>
              </w:rPr>
              <w:t>，应当先向招标人提出异议；招标人应当在规定时间内答复；对招标人的答复不满意，可向行政监督部门投诉。</w:t>
            </w:r>
          </w:p>
          <w:p w14:paraId="7935AE24">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提出异议或投诉时应当包括下列内容：</w:t>
            </w:r>
          </w:p>
          <w:p w14:paraId="3E14786E">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（1）异议</w:t>
            </w:r>
            <w:r>
              <w:rPr>
                <w:rFonts w:hint="eastAsia" w:ascii="宋体" w:hAnsi="宋体"/>
                <w:color w:val="auto"/>
                <w:kern w:val="0"/>
                <w:szCs w:val="21"/>
                <w:highlight w:val="none"/>
                <w:lang w:val="en-US" w:eastAsia="zh-CN"/>
              </w:rPr>
              <w:t>人</w:t>
            </w:r>
            <w:r>
              <w:rPr>
                <w:rFonts w:hint="eastAsia" w:ascii="宋体" w:hAnsi="宋体"/>
                <w:color w:val="auto"/>
                <w:kern w:val="0"/>
                <w:szCs w:val="21"/>
                <w:highlight w:val="none"/>
              </w:rPr>
              <w:t>或投诉人的名称、地址及有效联系方式；</w:t>
            </w:r>
          </w:p>
          <w:p w14:paraId="5A872BB2">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（2）被异议</w:t>
            </w:r>
            <w:r>
              <w:rPr>
                <w:rFonts w:hint="eastAsia" w:ascii="宋体" w:hAnsi="宋体"/>
                <w:color w:val="auto"/>
                <w:kern w:val="0"/>
                <w:szCs w:val="21"/>
                <w:highlight w:val="none"/>
                <w:lang w:val="en-US" w:eastAsia="zh-CN"/>
              </w:rPr>
              <w:t>人</w:t>
            </w:r>
            <w:r>
              <w:rPr>
                <w:rFonts w:hint="eastAsia" w:ascii="宋体" w:hAnsi="宋体"/>
                <w:color w:val="auto"/>
                <w:kern w:val="0"/>
                <w:szCs w:val="21"/>
                <w:highlight w:val="none"/>
              </w:rPr>
              <w:t>或</w:t>
            </w:r>
            <w:r>
              <w:rPr>
                <w:rFonts w:hint="eastAsia" w:ascii="宋体" w:hAnsi="宋体"/>
                <w:color w:val="auto"/>
                <w:kern w:val="0"/>
                <w:szCs w:val="21"/>
                <w:highlight w:val="none"/>
                <w:lang w:val="en-US" w:eastAsia="zh-CN"/>
              </w:rPr>
              <w:t>被</w:t>
            </w:r>
            <w:r>
              <w:rPr>
                <w:rFonts w:hint="eastAsia" w:ascii="宋体" w:hAnsi="宋体"/>
                <w:color w:val="auto"/>
                <w:kern w:val="0"/>
                <w:szCs w:val="21"/>
                <w:highlight w:val="none"/>
              </w:rPr>
              <w:t>投诉人的名称、地址及有效联系方式；</w:t>
            </w:r>
          </w:p>
          <w:p w14:paraId="217C1FFC">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（3）异议或投诉事项的基本事实；</w:t>
            </w:r>
          </w:p>
          <w:p w14:paraId="70C13556">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（4）请求及主张；</w:t>
            </w:r>
          </w:p>
          <w:p w14:paraId="5F71EE5C">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（5）涉及事项的证据、证明材料。</w:t>
            </w:r>
          </w:p>
          <w:p w14:paraId="6BE1267D">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12828F44">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 xml:space="preserve"> </w:t>
            </w:r>
            <w:r>
              <w:rPr>
                <w:rFonts w:ascii="宋体" w:hAnsi="宋体"/>
                <w:color w:val="auto"/>
                <w:kern w:val="0"/>
                <w:szCs w:val="21"/>
                <w:highlight w:val="none"/>
              </w:rPr>
              <w:t>行政监督部门依照《</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招标投标法实施条例》、《重庆市招标投标条例》、《工程建设项目招标投标活动投诉处理办法》（七部委令第11号（根据九部门2013年第23号令修正））、</w:t>
            </w:r>
            <w:r>
              <w:rPr>
                <w:rFonts w:hint="eastAsia" w:asciiTheme="minorEastAsia" w:hAnsiTheme="minorEastAsia" w:eastAsiaTheme="minorEastAsia" w:cstheme="minorEastAsia"/>
                <w:color w:val="auto"/>
                <w:kern w:val="0"/>
                <w:szCs w:val="21"/>
                <w:highlight w:val="none"/>
              </w:rPr>
              <w:t>《关于印发&lt;重庆市招标投标活动投诉处理实施细则（修订）&gt;的通知》（渝公管发〔2021〕54号）</w:t>
            </w:r>
            <w:r>
              <w:rPr>
                <w:rFonts w:ascii="宋体" w:hAnsi="宋体"/>
                <w:color w:val="auto"/>
                <w:kern w:val="0"/>
                <w:szCs w:val="21"/>
                <w:highlight w:val="none"/>
              </w:rPr>
              <w:t>等法律法规文件处理投诉。</w:t>
            </w:r>
          </w:p>
          <w:p w14:paraId="44158B2E">
            <w:pPr>
              <w:snapToGrid w:val="0"/>
              <w:spacing w:after="124" w:afterLines="40" w:line="400" w:lineRule="exact"/>
              <w:ind w:firstLine="420" w:firstLineChars="200"/>
              <w:rPr>
                <w:rFonts w:hint="eastAsia" w:ascii="宋体" w:hAnsi="宋体" w:eastAsia="宋体" w:cs="Times New Roman"/>
                <w:color w:val="auto"/>
                <w:kern w:val="0"/>
                <w:szCs w:val="21"/>
                <w:highlight w:val="none"/>
              </w:rPr>
            </w:pPr>
            <w:r>
              <w:rPr>
                <w:rFonts w:hint="eastAsia" w:ascii="宋体" w:hAnsi="宋体"/>
                <w:color w:val="auto"/>
                <w:kern w:val="0"/>
                <w:szCs w:val="21"/>
                <w:highlight w:val="none"/>
              </w:rPr>
              <w:t>3. 根据《重庆市工程建设领域招标投标信用管理暂行办法》的规定，投标人捏造事实、伪造材料，或者以非法手段获取证明材料进行质疑或者投诉的，将被列入黑名单管理；</w:t>
            </w:r>
            <w:r>
              <w:rPr>
                <w:rFonts w:ascii="宋体" w:hAnsi="宋体"/>
                <w:color w:val="auto"/>
                <w:kern w:val="0"/>
                <w:szCs w:val="21"/>
                <w:highlight w:val="none"/>
              </w:rPr>
              <w:t>给他人造成损失的，依法承担赔</w:t>
            </w:r>
            <w:r>
              <w:rPr>
                <w:rFonts w:hint="eastAsia" w:ascii="宋体" w:hAnsi="宋体" w:eastAsia="宋体" w:cs="Times New Roman"/>
                <w:color w:val="auto"/>
                <w:kern w:val="0"/>
                <w:szCs w:val="21"/>
                <w:highlight w:val="none"/>
              </w:rPr>
              <w:t>偿责任。</w:t>
            </w:r>
          </w:p>
          <w:p w14:paraId="37680980">
            <w:pPr>
              <w:snapToGrid w:val="0"/>
              <w:spacing w:after="124" w:afterLines="40" w:line="40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 异议受理单位：重庆长安智慧城市运营管理有限公司</w:t>
            </w:r>
          </w:p>
          <w:p w14:paraId="686FB6DA">
            <w:pPr>
              <w:snapToGrid w:val="0"/>
              <w:spacing w:after="124" w:afterLines="40" w:line="400" w:lineRule="exact"/>
              <w:ind w:firstLine="420" w:firstLineChars="200"/>
              <w:rPr>
                <w:rFonts w:ascii="宋体" w:hAnsi="宋体"/>
                <w:color w:val="auto"/>
                <w:kern w:val="0"/>
                <w:szCs w:val="21"/>
                <w:highlight w:val="none"/>
              </w:rPr>
            </w:pPr>
            <w:r>
              <w:rPr>
                <w:rFonts w:hint="eastAsia" w:ascii="宋体" w:hAnsi="宋体" w:eastAsia="宋体" w:cs="Times New Roman"/>
                <w:color w:val="auto"/>
                <w:kern w:val="0"/>
                <w:szCs w:val="21"/>
                <w:highlight w:val="none"/>
              </w:rPr>
              <w:t>联系电话：</w:t>
            </w:r>
            <w:r>
              <w:rPr>
                <w:rFonts w:hint="eastAsia" w:ascii="宋体" w:hAnsi="宋体" w:eastAsia="宋体" w:cs="Times New Roman"/>
                <w:color w:val="auto"/>
                <w:kern w:val="0"/>
                <w:szCs w:val="21"/>
                <w:highlight w:val="none"/>
                <w:lang w:val="en-US" w:eastAsia="zh-CN"/>
              </w:rPr>
              <w:t>15825960816</w:t>
            </w:r>
          </w:p>
        </w:tc>
      </w:tr>
      <w:tr w14:paraId="753892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0D4ECA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10.4</w:t>
            </w:r>
          </w:p>
        </w:tc>
        <w:tc>
          <w:tcPr>
            <w:tcW w:w="1644" w:type="dxa"/>
            <w:vAlign w:val="center"/>
          </w:tcPr>
          <w:p w14:paraId="3BC9D4B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工程量清单</w:t>
            </w:r>
          </w:p>
          <w:p w14:paraId="354FCF3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编制说明</w:t>
            </w:r>
          </w:p>
        </w:tc>
        <w:tc>
          <w:tcPr>
            <w:tcW w:w="6490" w:type="dxa"/>
            <w:vAlign w:val="center"/>
          </w:tcPr>
          <w:p w14:paraId="539E16D0">
            <w:pPr>
              <w:widowControl/>
              <w:spacing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i/>
                <w:color w:val="auto"/>
                <w:kern w:val="0"/>
                <w:szCs w:val="21"/>
                <w:highlight w:val="none"/>
                <w:lang w:val="en-US" w:eastAsia="zh-CN"/>
              </w:rPr>
              <w:t>/</w:t>
            </w:r>
          </w:p>
        </w:tc>
      </w:tr>
      <w:tr w14:paraId="415F7E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A0C1A8C">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5</w:t>
            </w:r>
          </w:p>
        </w:tc>
        <w:tc>
          <w:tcPr>
            <w:tcW w:w="1644" w:type="dxa"/>
            <w:vAlign w:val="center"/>
          </w:tcPr>
          <w:p w14:paraId="191EE9C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关于对招标文件及投标争议的解释</w:t>
            </w:r>
          </w:p>
        </w:tc>
        <w:tc>
          <w:tcPr>
            <w:tcW w:w="6490" w:type="dxa"/>
            <w:vAlign w:val="center"/>
          </w:tcPr>
          <w:p w14:paraId="77F8AFAC">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对资格预审文件或者招标文件的评标标准和方法，以及资格审查和否决投标条款理解有争议的，应当作出不利于招标人的解释，但违背国家利益、社会公共利益的除外。</w:t>
            </w:r>
          </w:p>
          <w:p w14:paraId="0439E0D8">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对投标文件理解有争议的，应当作出不利于提交该投标文件的投标人的解释。</w:t>
            </w:r>
          </w:p>
        </w:tc>
      </w:tr>
      <w:tr w14:paraId="7ADA1F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0B051B3">
            <w:pPr>
              <w:snapToGrid w:val="0"/>
              <w:spacing w:line="40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10.6</w:t>
            </w:r>
          </w:p>
        </w:tc>
        <w:tc>
          <w:tcPr>
            <w:tcW w:w="1644" w:type="dxa"/>
            <w:vAlign w:val="center"/>
          </w:tcPr>
          <w:p w14:paraId="7233FA25">
            <w:pPr>
              <w:snapToGrid w:val="0"/>
              <w:spacing w:line="40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不允许负数报价</w:t>
            </w:r>
          </w:p>
        </w:tc>
        <w:tc>
          <w:tcPr>
            <w:tcW w:w="6490" w:type="dxa"/>
            <w:vAlign w:val="center"/>
          </w:tcPr>
          <w:p w14:paraId="48F2C283">
            <w:pPr>
              <w:autoSpaceDE w:val="0"/>
              <w:autoSpaceDN w:val="0"/>
              <w:adjustRightInd w:val="0"/>
              <w:snapToGrid w:val="0"/>
              <w:spacing w:line="400" w:lineRule="exact"/>
              <w:ind w:firstLine="420" w:firstLineChars="200"/>
              <w:rPr>
                <w:rFonts w:hint="default" w:ascii="宋体" w:hAnsi="宋体"/>
                <w:color w:val="auto"/>
                <w:kern w:val="0"/>
                <w:szCs w:val="21"/>
                <w:highlight w:val="none"/>
                <w:u w:val="single"/>
              </w:rPr>
            </w:pPr>
            <w:r>
              <w:rPr>
                <w:rFonts w:hint="default" w:ascii="宋体" w:hAnsi="宋体"/>
                <w:color w:val="auto"/>
                <w:kern w:val="0"/>
                <w:szCs w:val="21"/>
                <w:highlight w:val="none"/>
                <w:u w:val="single"/>
              </w:rPr>
              <w:t>投标人的</w:t>
            </w:r>
            <w:r>
              <w:rPr>
                <w:rFonts w:hint="eastAsia" w:ascii="宋体" w:hAnsi="宋体"/>
                <w:color w:val="auto"/>
                <w:kern w:val="0"/>
                <w:szCs w:val="21"/>
                <w:highlight w:val="none"/>
                <w:u w:val="single"/>
                <w:lang w:val="en-US" w:eastAsia="zh-CN"/>
              </w:rPr>
              <w:t>各项</w:t>
            </w:r>
            <w:r>
              <w:rPr>
                <w:rFonts w:hint="default" w:ascii="宋体" w:hAnsi="宋体"/>
                <w:color w:val="auto"/>
                <w:kern w:val="0"/>
                <w:szCs w:val="21"/>
                <w:highlight w:val="none"/>
                <w:u w:val="single"/>
              </w:rPr>
              <w:t>报价不得</w:t>
            </w:r>
            <w:r>
              <w:rPr>
                <w:rFonts w:hint="eastAsia" w:ascii="宋体" w:hAnsi="宋体"/>
                <w:color w:val="auto"/>
                <w:kern w:val="0"/>
                <w:szCs w:val="21"/>
                <w:highlight w:val="none"/>
                <w:u w:val="single"/>
                <w:lang w:val="en-US" w:eastAsia="zh-CN"/>
              </w:rPr>
              <w:t>为负数</w:t>
            </w:r>
            <w:r>
              <w:rPr>
                <w:rFonts w:hint="default" w:ascii="宋体" w:hAnsi="宋体"/>
                <w:color w:val="auto"/>
                <w:kern w:val="0"/>
                <w:szCs w:val="21"/>
                <w:highlight w:val="none"/>
                <w:u w:val="single"/>
              </w:rPr>
              <w:t>。招标人在发出中标通知书前将对中标人</w:t>
            </w:r>
            <w:r>
              <w:rPr>
                <w:rFonts w:hint="eastAsia" w:ascii="宋体" w:hAnsi="宋体"/>
                <w:color w:val="auto"/>
                <w:kern w:val="0"/>
                <w:szCs w:val="21"/>
                <w:highlight w:val="none"/>
                <w:u w:val="single"/>
                <w:lang w:val="en-US" w:eastAsia="zh-CN"/>
              </w:rPr>
              <w:t>的各项报价</w:t>
            </w:r>
            <w:r>
              <w:rPr>
                <w:rFonts w:hint="default" w:ascii="宋体" w:hAnsi="宋体"/>
                <w:color w:val="auto"/>
                <w:kern w:val="0"/>
                <w:szCs w:val="21"/>
                <w:highlight w:val="none"/>
                <w:u w:val="single"/>
              </w:rPr>
              <w:t>进行复核，若发现中标人</w:t>
            </w:r>
            <w:r>
              <w:rPr>
                <w:rFonts w:hint="eastAsia" w:ascii="宋体" w:hAnsi="宋体"/>
                <w:color w:val="auto"/>
                <w:kern w:val="0"/>
                <w:szCs w:val="21"/>
                <w:highlight w:val="none"/>
                <w:u w:val="single"/>
                <w:lang w:val="en-US" w:eastAsia="zh-CN"/>
              </w:rPr>
              <w:t>各项报价</w:t>
            </w:r>
            <w:r>
              <w:rPr>
                <w:rFonts w:hint="default" w:ascii="宋体" w:hAnsi="宋体"/>
                <w:color w:val="auto"/>
                <w:kern w:val="0"/>
                <w:szCs w:val="21"/>
                <w:highlight w:val="none"/>
                <w:u w:val="single"/>
              </w:rPr>
              <w:t>中存在</w:t>
            </w:r>
            <w:r>
              <w:rPr>
                <w:rFonts w:hint="eastAsia" w:ascii="宋体" w:hAnsi="宋体"/>
                <w:color w:val="auto"/>
                <w:kern w:val="0"/>
                <w:szCs w:val="21"/>
                <w:highlight w:val="none"/>
                <w:u w:val="single"/>
                <w:lang w:val="en-US" w:eastAsia="zh-CN"/>
              </w:rPr>
              <w:t>负数报价</w:t>
            </w:r>
            <w:r>
              <w:rPr>
                <w:rFonts w:hint="default" w:ascii="宋体" w:hAnsi="宋体"/>
                <w:color w:val="auto"/>
                <w:kern w:val="0"/>
                <w:szCs w:val="21"/>
                <w:highlight w:val="none"/>
                <w:u w:val="single"/>
              </w:rPr>
              <w:t>的情形，招标人按相关规定取消其中标资格，其投标保证金不予退还，中标人承担因此造成的相关责任并赔偿相应损失。</w:t>
            </w:r>
          </w:p>
        </w:tc>
      </w:tr>
      <w:tr w14:paraId="65F66C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D398B0A">
            <w:pPr>
              <w:snapToGrid w:val="0"/>
              <w:spacing w:line="400" w:lineRule="exact"/>
              <w:jc w:val="center"/>
              <w:rPr>
                <w:rFonts w:hint="default" w:ascii="宋体" w:hAnsi="宋体" w:eastAsia="宋体"/>
                <w:b/>
                <w:bCs/>
                <w:color w:val="auto"/>
                <w:kern w:val="0"/>
                <w:szCs w:val="21"/>
                <w:highlight w:val="none"/>
                <w:lang w:val="en-US" w:eastAsia="zh-CN"/>
              </w:rPr>
            </w:pPr>
            <w:r>
              <w:rPr>
                <w:rFonts w:hint="eastAsia" w:ascii="宋体" w:hAnsi="宋体"/>
                <w:b/>
                <w:bCs/>
                <w:color w:val="auto"/>
                <w:kern w:val="0"/>
                <w:szCs w:val="21"/>
                <w:highlight w:val="none"/>
              </w:rPr>
              <w:t>10.</w:t>
            </w:r>
            <w:r>
              <w:rPr>
                <w:rFonts w:hint="eastAsia" w:ascii="宋体" w:hAnsi="宋体"/>
                <w:b/>
                <w:bCs/>
                <w:color w:val="auto"/>
                <w:kern w:val="0"/>
                <w:szCs w:val="21"/>
                <w:highlight w:val="none"/>
                <w:lang w:val="en-US" w:eastAsia="zh-CN"/>
              </w:rPr>
              <w:t>7</w:t>
            </w:r>
          </w:p>
        </w:tc>
        <w:tc>
          <w:tcPr>
            <w:tcW w:w="1644" w:type="dxa"/>
            <w:vAlign w:val="center"/>
          </w:tcPr>
          <w:p w14:paraId="1AB0FF2D">
            <w:pPr>
              <w:snapToGrid w:val="0"/>
              <w:spacing w:line="400" w:lineRule="exact"/>
              <w:jc w:val="center"/>
              <w:rPr>
                <w:rFonts w:hint="default" w:ascii="宋体" w:hAnsi="宋体" w:eastAsia="宋体"/>
                <w:b/>
                <w:bCs/>
                <w:color w:val="auto"/>
                <w:kern w:val="0"/>
                <w:szCs w:val="21"/>
                <w:highlight w:val="none"/>
                <w:lang w:val="en-US" w:eastAsia="zh-CN"/>
              </w:rPr>
            </w:pPr>
            <w:r>
              <w:rPr>
                <w:rFonts w:hint="eastAsia" w:ascii="宋体" w:hAnsi="宋体"/>
                <w:b/>
                <w:bCs/>
                <w:color w:val="auto"/>
                <w:kern w:val="0"/>
                <w:szCs w:val="21"/>
                <w:highlight w:val="none"/>
                <w:lang w:val="en-US" w:eastAsia="zh-CN"/>
              </w:rPr>
              <w:t>招标代理服务费</w:t>
            </w:r>
          </w:p>
        </w:tc>
        <w:tc>
          <w:tcPr>
            <w:tcW w:w="6490" w:type="dxa"/>
            <w:vAlign w:val="center"/>
          </w:tcPr>
          <w:p w14:paraId="1804E232">
            <w:pPr>
              <w:autoSpaceDE w:val="0"/>
              <w:autoSpaceDN w:val="0"/>
              <w:adjustRightInd w:val="0"/>
              <w:snapToGrid w:val="0"/>
              <w:spacing w:line="400" w:lineRule="exact"/>
              <w:ind w:firstLine="420"/>
              <w:rPr>
                <w:rFonts w:hint="eastAsia" w:ascii="宋体" w:hAnsi="宋体" w:eastAsia="宋体"/>
                <w:b/>
                <w:bCs/>
                <w:i/>
                <w:color w:val="auto"/>
                <w:kern w:val="0"/>
                <w:szCs w:val="21"/>
                <w:highlight w:val="none"/>
                <w:lang w:eastAsia="zh-CN"/>
              </w:rPr>
            </w:pPr>
            <w:r>
              <w:rPr>
                <w:rFonts w:hint="eastAsia" w:ascii="宋体" w:hAnsi="宋体"/>
                <w:b/>
                <w:bCs/>
                <w:color w:val="auto"/>
                <w:kern w:val="0"/>
                <w:szCs w:val="21"/>
                <w:highlight w:val="none"/>
              </w:rPr>
              <w:t>以中标金额为计算基数参照原国家计委计价格[2002]1980号、发改办价格[2003]857号及发改办价格[2011]534号通知规定的招标收费标准下浮10%收取（单个项目中标金额小于70万元（含）的按10000元收取），由中标人在收到中标通知书5个工作日内向招标代理机构交纳招标服务费</w:t>
            </w:r>
            <w:r>
              <w:rPr>
                <w:rFonts w:hint="eastAsia" w:ascii="宋体" w:hAnsi="宋体"/>
                <w:b/>
                <w:bCs/>
                <w:color w:val="auto"/>
                <w:kern w:val="0"/>
                <w:szCs w:val="21"/>
                <w:highlight w:val="none"/>
                <w:lang w:eastAsia="zh-CN"/>
              </w:rPr>
              <w:t>。</w:t>
            </w:r>
          </w:p>
        </w:tc>
      </w:tr>
      <w:tr w14:paraId="065CF4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2C5E967">
            <w:pPr>
              <w:snapToGrid w:val="0"/>
              <w:spacing w:line="400" w:lineRule="exact"/>
              <w:jc w:val="center"/>
              <w:rPr>
                <w:rFonts w:hint="default" w:ascii="宋体" w:hAnsi="宋体" w:eastAsia="宋体"/>
                <w:b/>
                <w:bCs/>
                <w:color w:val="auto"/>
                <w:kern w:val="0"/>
                <w:szCs w:val="21"/>
                <w:highlight w:val="none"/>
                <w:lang w:val="en-US" w:eastAsia="zh-CN"/>
              </w:rPr>
            </w:pPr>
            <w:bookmarkStart w:id="115" w:name="_Toc224103317"/>
            <w:bookmarkStart w:id="116" w:name="_Toc287607746"/>
            <w:bookmarkStart w:id="117" w:name="_Toc430530435"/>
            <w:bookmarkStart w:id="118" w:name="_Toc277082552"/>
            <w:bookmarkStart w:id="119" w:name="_Toc200513126"/>
            <w:bookmarkStart w:id="120" w:name="_Toc287620685"/>
            <w:r>
              <w:rPr>
                <w:rFonts w:hint="eastAsia" w:ascii="宋体" w:hAnsi="宋体"/>
                <w:b/>
                <w:bCs/>
                <w:color w:val="auto"/>
                <w:kern w:val="0"/>
                <w:szCs w:val="21"/>
                <w:highlight w:val="none"/>
                <w:lang w:val="en-US" w:eastAsia="zh-CN"/>
              </w:rPr>
              <w:t>10.8</w:t>
            </w:r>
          </w:p>
        </w:tc>
        <w:tc>
          <w:tcPr>
            <w:tcW w:w="1644" w:type="dxa"/>
            <w:vAlign w:val="center"/>
          </w:tcPr>
          <w:p w14:paraId="41CEF021">
            <w:pPr>
              <w:snapToGrid w:val="0"/>
              <w:spacing w:line="400" w:lineRule="exact"/>
              <w:jc w:val="center"/>
              <w:rPr>
                <w:rFonts w:hint="default" w:ascii="宋体" w:hAnsi="宋体"/>
                <w:b/>
                <w:bCs/>
                <w:color w:val="auto"/>
                <w:kern w:val="0"/>
                <w:szCs w:val="21"/>
                <w:highlight w:val="none"/>
                <w:lang w:val="en-US" w:eastAsia="zh-CN"/>
              </w:rPr>
            </w:pPr>
            <w:r>
              <w:rPr>
                <w:rFonts w:hint="eastAsia" w:ascii="宋体" w:hAnsi="宋体"/>
                <w:b/>
                <w:bCs/>
                <w:color w:val="auto"/>
                <w:kern w:val="0"/>
                <w:szCs w:val="21"/>
                <w:highlight w:val="none"/>
                <w:lang w:val="en-US" w:eastAsia="zh-CN"/>
              </w:rPr>
              <w:t>工程款支付</w:t>
            </w:r>
          </w:p>
        </w:tc>
        <w:tc>
          <w:tcPr>
            <w:tcW w:w="6490" w:type="dxa"/>
            <w:vAlign w:val="center"/>
          </w:tcPr>
          <w:p w14:paraId="2AF9FD9E">
            <w:pPr>
              <w:autoSpaceDE w:val="0"/>
              <w:autoSpaceDN w:val="0"/>
              <w:adjustRightInd w:val="0"/>
              <w:snapToGrid w:val="0"/>
              <w:spacing w:line="400" w:lineRule="exact"/>
              <w:ind w:firstLine="420"/>
              <w:rPr>
                <w:rFonts w:hint="eastAsia" w:ascii="宋体" w:hAnsi="宋体"/>
                <w:b/>
                <w:bCs/>
                <w:color w:val="auto"/>
                <w:kern w:val="0"/>
                <w:szCs w:val="21"/>
                <w:highlight w:val="none"/>
              </w:rPr>
            </w:pPr>
            <w:r>
              <w:rPr>
                <w:rFonts w:hint="eastAsia" w:ascii="宋体" w:hAnsi="宋体" w:eastAsia="宋体" w:cs="宋体"/>
                <w:spacing w:val="-4"/>
                <w:szCs w:val="24"/>
              </w:rPr>
              <w:t>本项目施工完成，</w:t>
            </w:r>
            <w:r>
              <w:rPr>
                <w:rFonts w:hint="eastAsia" w:ascii="宋体" w:hAnsi="宋体" w:eastAsia="宋体" w:cs="宋体"/>
                <w:color w:val="auto"/>
                <w:highlight w:val="none"/>
                <w:lang w:eastAsia="zh-CN"/>
              </w:rPr>
              <w:t>经甲、乙双方和相关单位竣工验收合格后，</w:t>
            </w:r>
            <w:r>
              <w:rPr>
                <w:rFonts w:hint="eastAsia" w:ascii="宋体" w:hAnsi="宋体" w:eastAsia="宋体" w:cs="宋体"/>
                <w:color w:val="auto"/>
                <w:highlight w:val="none"/>
                <w:lang w:val="en-US" w:eastAsia="zh-CN"/>
              </w:rPr>
              <w:t>甲</w:t>
            </w:r>
            <w:r>
              <w:rPr>
                <w:rFonts w:hint="eastAsia" w:ascii="宋体" w:hAnsi="宋体" w:eastAsia="宋体" w:cs="宋体"/>
                <w:color w:val="auto"/>
                <w:highlight w:val="none"/>
                <w:lang w:eastAsia="zh-CN"/>
              </w:rPr>
              <w:t>方报送结算资料，经</w:t>
            </w:r>
            <w:r>
              <w:rPr>
                <w:rFonts w:hint="eastAsia" w:ascii="宋体" w:hAnsi="宋体" w:eastAsia="宋体" w:cs="宋体"/>
                <w:color w:val="auto"/>
                <w:highlight w:val="none"/>
                <w:lang w:val="en-US" w:eastAsia="zh-CN"/>
              </w:rPr>
              <w:t>重庆市</w:t>
            </w:r>
            <w:r>
              <w:rPr>
                <w:rFonts w:hint="eastAsia" w:ascii="宋体" w:hAnsi="宋体" w:eastAsia="宋体" w:cs="宋体"/>
                <w:color w:val="auto"/>
                <w:highlight w:val="none"/>
                <w:lang w:eastAsia="zh-CN"/>
              </w:rPr>
              <w:t>渝北区物业专项维修资金管理中心聘请的第三方审价机构出具结算审核报告。</w:t>
            </w:r>
            <w:r>
              <w:rPr>
                <w:rFonts w:hint="eastAsia" w:ascii="宋体" w:hAnsi="宋体" w:eastAsia="宋体" w:cs="宋体"/>
                <w:color w:val="auto"/>
                <w:highlight w:val="none"/>
                <w:lang w:val="en-US" w:eastAsia="zh-CN"/>
              </w:rPr>
              <w:t>乙方承诺按照规定以申请物业专项维修资金的方式结算工程款。工程款乙方开增值税专用发票（税率：</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）金额以结算审核报告金额为准，发票开具购买方信息：重庆市渝北区物业专项维修资金管理中心。</w:t>
            </w:r>
            <w:r>
              <w:rPr>
                <w:rFonts w:hint="eastAsia" w:ascii="宋体" w:hAnsi="宋体" w:eastAsia="宋体" w:cs="宋体"/>
                <w:color w:val="auto"/>
                <w:highlight w:val="none"/>
                <w:lang w:eastAsia="zh-CN"/>
              </w:rPr>
              <w:t>在物业专项维修资金审批过程中的延误支付，不视为付款违约行为，</w:t>
            </w:r>
            <w:r>
              <w:rPr>
                <w:rFonts w:hint="eastAsia" w:ascii="宋体" w:hAnsi="宋体" w:eastAsia="宋体" w:cs="宋体"/>
                <w:color w:val="auto"/>
                <w:highlight w:val="none"/>
                <w:lang w:val="en-US" w:eastAsia="zh-CN"/>
              </w:rPr>
              <w:t>将</w:t>
            </w:r>
            <w:r>
              <w:rPr>
                <w:rFonts w:hint="eastAsia" w:ascii="宋体" w:hAnsi="宋体" w:eastAsia="宋体" w:cs="宋体"/>
                <w:color w:val="auto"/>
                <w:highlight w:val="none"/>
                <w:lang w:eastAsia="zh-CN"/>
              </w:rPr>
              <w:t>总工程款的</w:t>
            </w:r>
            <w:r>
              <w:rPr>
                <w:rFonts w:hint="eastAsia" w:ascii="宋体" w:hAnsi="宋体" w:cs="宋体"/>
                <w:color w:val="auto"/>
                <w:highlight w:val="none"/>
                <w:u w:val="single"/>
                <w:lang w:val="en-US" w:eastAsia="zh-CN"/>
              </w:rPr>
              <w:t>3</w:t>
            </w:r>
            <w:r>
              <w:rPr>
                <w:rFonts w:hint="eastAsia" w:ascii="宋体" w:hAnsi="宋体" w:eastAsia="宋体" w:cs="宋体"/>
                <w:color w:val="auto"/>
                <w:highlight w:val="none"/>
                <w:lang w:eastAsia="zh-CN"/>
              </w:rPr>
              <w:t>%作为质保金</w:t>
            </w:r>
            <w:r>
              <w:rPr>
                <w:rFonts w:hint="eastAsia" w:ascii="宋体" w:hAnsi="宋体" w:eastAsia="宋体" w:cs="宋体"/>
                <w:color w:val="auto"/>
                <w:highlight w:val="none"/>
                <w:lang w:val="en-US" w:eastAsia="zh-CN"/>
              </w:rPr>
              <w:t>留</w:t>
            </w:r>
            <w:r>
              <w:rPr>
                <w:rFonts w:hint="eastAsia" w:ascii="宋体" w:hAnsi="宋体" w:eastAsia="宋体" w:cs="宋体"/>
                <w:color w:val="auto"/>
                <w:highlight w:val="none"/>
                <w:lang w:eastAsia="zh-CN"/>
              </w:rPr>
              <w:t>至</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lang w:eastAsia="zh-CN"/>
              </w:rPr>
              <w:t>，质保期</w:t>
            </w:r>
            <w:r>
              <w:rPr>
                <w:rFonts w:hint="eastAsia" w:ascii="宋体" w:hAnsi="宋体" w:cs="宋体"/>
                <w:color w:val="auto"/>
                <w:highlight w:val="none"/>
                <w:u w:val="single"/>
                <w:lang w:val="en-US" w:eastAsia="zh-CN"/>
              </w:rPr>
              <w:t>5</w:t>
            </w:r>
            <w:r>
              <w:rPr>
                <w:rFonts w:hint="eastAsia" w:ascii="宋体" w:hAnsi="宋体" w:eastAsia="宋体" w:cs="宋体"/>
                <w:color w:val="auto"/>
                <w:highlight w:val="none"/>
                <w:lang w:eastAsia="zh-CN"/>
              </w:rPr>
              <w:t>年届满后且工程无任何质量问题余额无息</w:t>
            </w:r>
            <w:r>
              <w:rPr>
                <w:rFonts w:hint="eastAsia" w:ascii="宋体" w:hAnsi="宋体" w:eastAsia="宋体" w:cs="宋体"/>
                <w:color w:val="auto"/>
                <w:highlight w:val="none"/>
                <w:lang w:val="en-US" w:eastAsia="zh-CN"/>
              </w:rPr>
              <w:t>返还，</w:t>
            </w:r>
            <w:r>
              <w:rPr>
                <w:rFonts w:hint="eastAsia" w:ascii="宋体" w:hAnsi="宋体" w:eastAsia="宋体" w:cs="宋体"/>
                <w:color w:val="auto"/>
                <w:highlight w:val="none"/>
                <w:lang w:eastAsia="zh-CN"/>
              </w:rPr>
              <w:t>质保期从该工程竣工验收合格之日起算</w:t>
            </w:r>
            <w:r>
              <w:rPr>
                <w:rFonts w:hint="eastAsia" w:cs="宋体"/>
                <w:b w:val="0"/>
                <w:bCs w:val="0"/>
                <w:color w:val="auto"/>
                <w:spacing w:val="-4"/>
                <w:kern w:val="2"/>
                <w:sz w:val="21"/>
                <w:szCs w:val="24"/>
                <w:highlight w:val="none"/>
                <w:u w:val="none"/>
                <w:lang w:val="en-US" w:eastAsia="zh-CN" w:bidi="ar-SA"/>
              </w:rPr>
              <w:t>。</w:t>
            </w:r>
          </w:p>
        </w:tc>
      </w:tr>
      <w:tr w14:paraId="4589F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AF2D726">
            <w:pPr>
              <w:snapToGrid w:val="0"/>
              <w:spacing w:line="400" w:lineRule="exact"/>
              <w:jc w:val="center"/>
              <w:rPr>
                <w:rFonts w:hint="default" w:ascii="宋体" w:hAnsi="宋体" w:eastAsia="宋体"/>
                <w:b/>
                <w:bCs/>
                <w:color w:val="auto"/>
                <w:kern w:val="0"/>
                <w:szCs w:val="21"/>
                <w:highlight w:val="none"/>
                <w:lang w:val="en-US" w:eastAsia="zh-CN"/>
              </w:rPr>
            </w:pPr>
            <w:r>
              <w:rPr>
                <w:rFonts w:hint="eastAsia" w:ascii="宋体" w:hAnsi="宋体"/>
                <w:b/>
                <w:bCs/>
                <w:color w:val="auto"/>
                <w:kern w:val="0"/>
                <w:szCs w:val="21"/>
                <w:highlight w:val="none"/>
                <w:lang w:val="en-US" w:eastAsia="zh-CN"/>
              </w:rPr>
              <w:t>10.9</w:t>
            </w:r>
          </w:p>
        </w:tc>
        <w:tc>
          <w:tcPr>
            <w:tcW w:w="1644" w:type="dxa"/>
            <w:vAlign w:val="center"/>
          </w:tcPr>
          <w:p w14:paraId="1053FA75">
            <w:pPr>
              <w:snapToGrid w:val="0"/>
              <w:spacing w:line="400" w:lineRule="exact"/>
              <w:jc w:val="center"/>
              <w:rPr>
                <w:rFonts w:hint="eastAsia" w:ascii="宋体" w:hAnsi="宋体"/>
                <w:b/>
                <w:bCs/>
                <w:color w:val="auto"/>
                <w:kern w:val="0"/>
                <w:szCs w:val="21"/>
                <w:highlight w:val="none"/>
                <w:lang w:val="en-US" w:eastAsia="zh-CN"/>
              </w:rPr>
            </w:pPr>
            <w:r>
              <w:rPr>
                <w:rFonts w:hint="eastAsia" w:ascii="宋体" w:hAnsi="宋体"/>
                <w:b/>
                <w:bCs/>
                <w:color w:val="auto"/>
                <w:kern w:val="0"/>
                <w:szCs w:val="21"/>
                <w:highlight w:val="none"/>
              </w:rPr>
              <w:t>低价风险担保</w:t>
            </w:r>
          </w:p>
        </w:tc>
        <w:tc>
          <w:tcPr>
            <w:tcW w:w="6490" w:type="dxa"/>
            <w:vAlign w:val="center"/>
          </w:tcPr>
          <w:p w14:paraId="0B2728D1">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1、低价风险担保：中标价低于最高限价的85%时</w:t>
            </w:r>
            <w:r>
              <w:rPr>
                <w:rFonts w:hint="eastAsia" w:asciiTheme="minorEastAsia" w:hAnsiTheme="minorEastAsia" w:eastAsiaTheme="minorEastAsia" w:cstheme="minorEastAsia"/>
                <w:color w:val="auto"/>
                <w:kern w:val="0"/>
                <w:sz w:val="21"/>
                <w:szCs w:val="21"/>
                <w:highlight w:val="none"/>
                <w:lang w:val="en-US" w:eastAsia="zh-CN"/>
              </w:rPr>
              <w:t>向招标人</w:t>
            </w:r>
            <w:r>
              <w:rPr>
                <w:rFonts w:hint="eastAsia" w:asciiTheme="minorEastAsia" w:hAnsiTheme="minorEastAsia" w:eastAsiaTheme="minorEastAsia" w:cstheme="minorEastAsia"/>
                <w:color w:val="auto"/>
                <w:kern w:val="0"/>
                <w:sz w:val="21"/>
                <w:szCs w:val="21"/>
                <w:highlight w:val="none"/>
              </w:rPr>
              <w:t>提供，如不按时足额提供，视为中标人放弃中标，招标人有权不退还其投标保证金，</w:t>
            </w:r>
            <w:r>
              <w:rPr>
                <w:rFonts w:hint="eastAsia" w:asciiTheme="minorEastAsia" w:hAnsiTheme="minorEastAsia" w:eastAsiaTheme="minorEastAsia" w:cstheme="minorEastAsia"/>
                <w:color w:val="auto"/>
                <w:sz w:val="21"/>
                <w:szCs w:val="21"/>
                <w:highlight w:val="none"/>
              </w:rPr>
              <w:t>并报招标投标监督部门，纳入重点关注名单</w:t>
            </w:r>
            <w:r>
              <w:rPr>
                <w:rFonts w:hint="eastAsia" w:asciiTheme="minorEastAsia" w:hAnsiTheme="minorEastAsia" w:eastAsiaTheme="minorEastAsia" w:cstheme="minorEastAsia"/>
                <w:color w:val="auto"/>
                <w:kern w:val="0"/>
                <w:sz w:val="21"/>
                <w:szCs w:val="21"/>
                <w:highlight w:val="none"/>
              </w:rPr>
              <w:t>。</w:t>
            </w:r>
          </w:p>
          <w:p w14:paraId="19F71DE7">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2、中标人提供低价风险担保的形式、金额及期限：</w:t>
            </w:r>
          </w:p>
          <w:p w14:paraId="41BE9105">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（1）低价风险担保的形式：现金或银行保函</w:t>
            </w:r>
            <w:r>
              <w:rPr>
                <w:rFonts w:hint="eastAsia" w:asciiTheme="minorEastAsia" w:hAnsiTheme="minorEastAsia" w:eastAsiaTheme="minorEastAsia" w:cstheme="minorEastAsia"/>
                <w:color w:val="auto"/>
                <w:sz w:val="21"/>
                <w:szCs w:val="21"/>
                <w:highlight w:val="none"/>
              </w:rPr>
              <w:t>或现金+银行保函的组合；采用银行保函形式的，保函必须为不可撤销、不可转让且见索即付的独立保函</w:t>
            </w:r>
            <w:r>
              <w:rPr>
                <w:rFonts w:hint="eastAsia" w:asciiTheme="minorEastAsia" w:hAnsiTheme="minorEastAsia" w:eastAsiaTheme="minorEastAsia" w:cstheme="minorEastAsia"/>
                <w:color w:val="auto"/>
                <w:kern w:val="0"/>
                <w:sz w:val="21"/>
                <w:szCs w:val="21"/>
                <w:highlight w:val="none"/>
              </w:rPr>
              <w:t>。</w:t>
            </w:r>
          </w:p>
          <w:p w14:paraId="591A4E36">
            <w:pPr>
              <w:autoSpaceDE w:val="0"/>
              <w:autoSpaceDN w:val="0"/>
              <w:adjustRightInd w:val="0"/>
              <w:snapToGrid w:val="0"/>
              <w:spacing w:line="400" w:lineRule="exact"/>
              <w:ind w:firstLine="420" w:firstLineChars="200"/>
              <w:rPr>
                <w:rStyle w:val="54"/>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（2）低价风险担保的金额：（最高限价×85%-中标价）×□1□2</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3</w:t>
            </w:r>
            <w:r>
              <w:rPr>
                <w:rStyle w:val="54"/>
                <w:rFonts w:hint="eastAsia" w:asciiTheme="minorEastAsia" w:hAnsiTheme="minorEastAsia" w:eastAsiaTheme="minorEastAsia" w:cstheme="minorEastAsia"/>
                <w:color w:val="auto"/>
                <w:sz w:val="21"/>
                <w:szCs w:val="21"/>
                <w:highlight w:val="none"/>
              </w:rPr>
              <w:t>，且最高不超过最高限价的85%</w:t>
            </w:r>
            <w:r>
              <w:rPr>
                <w:rStyle w:val="54"/>
                <w:rFonts w:hint="eastAsia" w:asciiTheme="minorEastAsia" w:hAnsiTheme="minorEastAsia" w:eastAsiaTheme="minorEastAsia" w:cstheme="minorEastAsia"/>
                <w:color w:val="auto"/>
                <w:sz w:val="21"/>
                <w:szCs w:val="21"/>
                <w:highlight w:val="none"/>
                <w:lang w:eastAsia="zh-CN"/>
              </w:rPr>
              <w:t>。</w:t>
            </w:r>
          </w:p>
          <w:p w14:paraId="5A4B89FE">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（3）低价风险担保的提交时间：</w:t>
            </w:r>
            <w:r>
              <w:rPr>
                <w:rFonts w:hint="eastAsia" w:asciiTheme="minorEastAsia" w:hAnsiTheme="minorEastAsia" w:eastAsiaTheme="minorEastAsia" w:cstheme="minorEastAsia"/>
                <w:color w:val="auto"/>
                <w:kern w:val="0"/>
                <w:sz w:val="21"/>
                <w:szCs w:val="21"/>
                <w:highlight w:val="none"/>
                <w:u w:val="single"/>
              </w:rPr>
              <w:t>合同签订前</w:t>
            </w:r>
            <w:r>
              <w:rPr>
                <w:rFonts w:hint="eastAsia" w:asciiTheme="minorEastAsia" w:hAnsiTheme="minorEastAsia" w:eastAsiaTheme="minorEastAsia" w:cstheme="minorEastAsia"/>
                <w:color w:val="auto"/>
                <w:kern w:val="0"/>
                <w:sz w:val="21"/>
                <w:szCs w:val="21"/>
                <w:highlight w:val="none"/>
              </w:rPr>
              <w:t>。</w:t>
            </w:r>
          </w:p>
          <w:p w14:paraId="3E9D580F">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（4）中标人因自身原因未按中标通知书规定的时限与招标人签订合同的，招标人有权扣除其低价风险担保并取消中标资格。</w:t>
            </w:r>
          </w:p>
          <w:p w14:paraId="5A8F2712">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（5）低价风险担保的期限：</w:t>
            </w:r>
            <w:r>
              <w:rPr>
                <w:rFonts w:hint="eastAsia" w:asciiTheme="minorEastAsia" w:hAnsiTheme="minorEastAsia" w:eastAsiaTheme="minorEastAsia" w:cstheme="minorEastAsia"/>
                <w:color w:val="auto"/>
                <w:kern w:val="0"/>
                <w:sz w:val="21"/>
                <w:szCs w:val="21"/>
                <w:highlight w:val="none"/>
                <w:u w:val="single"/>
              </w:rPr>
              <w:t>自低价风险担保生效之日起至竣工验收合格之日止</w:t>
            </w:r>
            <w:r>
              <w:rPr>
                <w:rFonts w:hint="eastAsia" w:asciiTheme="minorEastAsia" w:hAnsiTheme="minorEastAsia" w:eastAsiaTheme="minorEastAsia" w:cstheme="minorEastAsia"/>
                <w:color w:val="auto"/>
                <w:kern w:val="0"/>
                <w:sz w:val="21"/>
                <w:szCs w:val="21"/>
                <w:highlight w:val="none"/>
              </w:rPr>
              <w:t>。</w:t>
            </w:r>
          </w:p>
          <w:p w14:paraId="251A9CBB">
            <w:pPr>
              <w:widowControl/>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3、低价风险担保的退还时间：采用现金担保的，工程竣工验收合格后14天内退还，合同履行期间允许承包人用符合要求的银行保函进行置换；采用银行保函的，工程竣工验收合格后14天内退还。</w:t>
            </w:r>
          </w:p>
          <w:p w14:paraId="2C46DB4C">
            <w:pPr>
              <w:widowControl/>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6E64DBA3">
            <w:pPr>
              <w:widowControl/>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备注：当中标人或拟中标人未按时提交低价风险担保，且属于可以延长低价风险担保提交期限的特殊情形时，经招标人同意，可适当延长低价风险担保的提交期限。</w:t>
            </w:r>
          </w:p>
          <w:p w14:paraId="571C9C31">
            <w:pPr>
              <w:pStyle w:val="17"/>
              <w:widowControl/>
              <w:spacing w:line="400" w:lineRule="exact"/>
              <w:ind w:firstLine="420" w:firstLineChars="200"/>
              <w:rPr>
                <w:rFonts w:hint="eastAsia" w:ascii="宋体" w:hAnsi="宋体"/>
                <w:b/>
                <w:bCs/>
                <w:color w:val="auto"/>
                <w:kern w:val="0"/>
                <w:szCs w:val="21"/>
                <w:highlight w:val="none"/>
              </w:rPr>
            </w:pPr>
            <w:r>
              <w:rPr>
                <w:rFonts w:hint="eastAsia" w:asciiTheme="minorEastAsia" w:hAnsiTheme="minorEastAsia" w:eastAsiaTheme="minorEastAsia" w:cstheme="minorEastAsia"/>
                <w:color w:val="auto"/>
                <w:sz w:val="21"/>
                <w:szCs w:val="21"/>
                <w:highlight w:val="none"/>
              </w:rPr>
              <w:t>5、投标总报价低于最高限价85%的，投标人应在编制投标文件时，在投标函部分中递交低价风险担保提交承诺书。承诺书格式详见第八章投标文件格式。</w:t>
            </w:r>
          </w:p>
        </w:tc>
      </w:tr>
      <w:tr w14:paraId="47FEBB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F36516D">
            <w:pPr>
              <w:snapToGrid w:val="0"/>
              <w:spacing w:line="400" w:lineRule="exact"/>
              <w:jc w:val="center"/>
              <w:rPr>
                <w:rFonts w:hint="default" w:ascii="宋体" w:hAnsi="宋体"/>
                <w:b/>
                <w:bCs/>
                <w:color w:val="auto"/>
                <w:kern w:val="0"/>
                <w:szCs w:val="21"/>
                <w:highlight w:val="none"/>
                <w:lang w:val="en-US" w:eastAsia="zh-CN"/>
              </w:rPr>
            </w:pPr>
            <w:r>
              <w:rPr>
                <w:rFonts w:hint="eastAsia" w:ascii="宋体" w:hAnsi="宋体"/>
                <w:b/>
                <w:bCs/>
                <w:color w:val="auto"/>
                <w:kern w:val="0"/>
                <w:szCs w:val="21"/>
                <w:highlight w:val="none"/>
                <w:lang w:val="en-US" w:eastAsia="zh-CN"/>
              </w:rPr>
              <w:t>10.10</w:t>
            </w:r>
          </w:p>
        </w:tc>
        <w:tc>
          <w:tcPr>
            <w:tcW w:w="1644" w:type="dxa"/>
            <w:vAlign w:val="center"/>
          </w:tcPr>
          <w:p w14:paraId="72887626">
            <w:pPr>
              <w:snapToGrid w:val="0"/>
              <w:spacing w:line="400" w:lineRule="exact"/>
              <w:jc w:val="center"/>
              <w:rPr>
                <w:rFonts w:hint="eastAsia" w:ascii="宋体" w:hAnsi="宋体"/>
                <w:color w:val="auto"/>
                <w:kern w:val="0"/>
                <w:szCs w:val="21"/>
                <w:highlight w:val="none"/>
              </w:rPr>
            </w:pPr>
            <w:r>
              <w:rPr>
                <w:rFonts w:ascii="宋体" w:hAnsi="宋体"/>
                <w:b/>
                <w:bCs/>
                <w:color w:val="auto"/>
                <w:kern w:val="0"/>
                <w:szCs w:val="21"/>
                <w:highlight w:val="none"/>
              </w:rPr>
              <w:t>履约担保</w:t>
            </w:r>
          </w:p>
        </w:tc>
        <w:tc>
          <w:tcPr>
            <w:tcW w:w="6490" w:type="dxa"/>
            <w:vAlign w:val="center"/>
          </w:tcPr>
          <w:p w14:paraId="50A866FE">
            <w:pPr>
              <w:snapToGri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宋体" w:hAnsi="宋体"/>
                <w:color w:val="auto"/>
                <w:kern w:val="0"/>
                <w:szCs w:val="21"/>
                <w:highlight w:val="none"/>
              </w:rPr>
              <w:t>1、中标人是否提供履约担保：</w:t>
            </w:r>
            <w:r>
              <w:rPr>
                <w:rFonts w:hint="eastAsia" w:ascii="宋体" w:hAnsi="宋体"/>
                <w:color w:val="auto"/>
                <w:kern w:val="0"/>
                <w:szCs w:val="21"/>
                <w:highlight w:val="none"/>
                <w:u w:val="single"/>
                <w:lang w:val="en-US" w:eastAsia="zh-CN"/>
              </w:rPr>
              <w:t>否</w:t>
            </w:r>
            <w:r>
              <w:rPr>
                <w:rFonts w:hint="eastAsia" w:ascii="宋体" w:hAnsi="宋体"/>
                <w:color w:val="auto"/>
                <w:kern w:val="0"/>
                <w:szCs w:val="21"/>
                <w:highlight w:val="none"/>
              </w:rPr>
              <w:t>。</w:t>
            </w:r>
          </w:p>
        </w:tc>
      </w:tr>
    </w:tbl>
    <w:p w14:paraId="7A117C62">
      <w:pPr>
        <w:pStyle w:val="3"/>
        <w:spacing w:before="0" w:after="0" w:line="20" w:lineRule="exact"/>
        <w:rPr>
          <w:rFonts w:ascii="宋体" w:hAnsi="宋体"/>
          <w:b w:val="0"/>
          <w:snapToGrid w:val="0"/>
          <w:color w:val="auto"/>
          <w:highlight w:val="none"/>
        </w:rPr>
      </w:pPr>
    </w:p>
    <w:p w14:paraId="5AA48AA0">
      <w:pPr>
        <w:pStyle w:val="3"/>
        <w:spacing w:before="0" w:after="0" w:line="200" w:lineRule="exact"/>
        <w:rPr>
          <w:rFonts w:ascii="宋体" w:hAnsi="宋体"/>
          <w:b w:val="0"/>
          <w:snapToGrid w:val="0"/>
          <w:color w:val="auto"/>
          <w:highlight w:val="none"/>
        </w:rPr>
      </w:pPr>
      <w:r>
        <w:rPr>
          <w:rFonts w:ascii="宋体" w:hAnsi="宋体"/>
          <w:b w:val="0"/>
          <w:snapToGrid w:val="0"/>
          <w:color w:val="auto"/>
          <w:highlight w:val="none"/>
        </w:rPr>
        <w:br w:type="page"/>
      </w:r>
    </w:p>
    <w:p w14:paraId="1CD5CC4A">
      <w:pPr>
        <w:pStyle w:val="3"/>
        <w:spacing w:before="0" w:after="0" w:line="360" w:lineRule="auto"/>
        <w:rPr>
          <w:rFonts w:ascii="宋体" w:hAnsi="宋体"/>
          <w:b w:val="0"/>
          <w:snapToGrid w:val="0"/>
          <w:color w:val="auto"/>
          <w:highlight w:val="none"/>
        </w:rPr>
      </w:pPr>
      <w:bookmarkStart w:id="121" w:name="_Toc57905830"/>
      <w:bookmarkStart w:id="122" w:name="_Toc509218710"/>
      <w:bookmarkStart w:id="123" w:name="_Toc840"/>
      <w:r>
        <w:rPr>
          <w:rFonts w:ascii="宋体" w:hAnsi="宋体"/>
          <w:b w:val="0"/>
          <w:snapToGrid w:val="0"/>
          <w:color w:val="auto"/>
          <w:highlight w:val="none"/>
        </w:rPr>
        <w:t>1.  总则</w:t>
      </w:r>
      <w:bookmarkEnd w:id="115"/>
      <w:bookmarkEnd w:id="116"/>
      <w:bookmarkEnd w:id="117"/>
      <w:bookmarkEnd w:id="118"/>
      <w:bookmarkEnd w:id="119"/>
      <w:bookmarkEnd w:id="120"/>
      <w:bookmarkEnd w:id="121"/>
      <w:bookmarkEnd w:id="122"/>
      <w:bookmarkEnd w:id="123"/>
    </w:p>
    <w:p w14:paraId="25F53763">
      <w:pPr>
        <w:pStyle w:val="4"/>
        <w:snapToGrid w:val="0"/>
        <w:spacing w:before="0" w:after="0" w:line="360" w:lineRule="auto"/>
        <w:rPr>
          <w:rFonts w:ascii="宋体" w:hAnsi="宋体"/>
          <w:b w:val="0"/>
          <w:snapToGrid w:val="0"/>
          <w:color w:val="auto"/>
          <w:sz w:val="24"/>
          <w:szCs w:val="24"/>
          <w:highlight w:val="none"/>
        </w:rPr>
      </w:pPr>
      <w:bookmarkStart w:id="124" w:name="_Toc32232"/>
      <w:bookmarkStart w:id="125" w:name="_Toc287607747"/>
      <w:bookmarkStart w:id="126" w:name="_Toc277082553"/>
      <w:bookmarkStart w:id="127" w:name="_Toc57905831"/>
      <w:bookmarkStart w:id="128" w:name="_Toc509218711"/>
      <w:bookmarkStart w:id="129" w:name="_Toc287620686"/>
      <w:bookmarkStart w:id="130" w:name="_Toc224103318"/>
      <w:bookmarkStart w:id="131" w:name="_Toc200513127"/>
      <w:bookmarkStart w:id="132" w:name="_Toc430530436"/>
      <w:r>
        <w:rPr>
          <w:rFonts w:ascii="宋体" w:hAnsi="宋体"/>
          <w:b w:val="0"/>
          <w:snapToGrid w:val="0"/>
          <w:color w:val="auto"/>
          <w:sz w:val="24"/>
          <w:szCs w:val="24"/>
          <w:highlight w:val="none"/>
        </w:rPr>
        <w:t>1.1  项目概况</w:t>
      </w:r>
      <w:bookmarkEnd w:id="124"/>
      <w:bookmarkEnd w:id="125"/>
      <w:bookmarkEnd w:id="126"/>
      <w:bookmarkEnd w:id="127"/>
      <w:bookmarkEnd w:id="128"/>
      <w:bookmarkEnd w:id="129"/>
      <w:bookmarkEnd w:id="130"/>
      <w:bookmarkEnd w:id="131"/>
      <w:bookmarkEnd w:id="132"/>
    </w:p>
    <w:p w14:paraId="62A8B613">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根据《中华人民共和国招标投标法》等有关法律、法规和规章的规定，本招标项目已具备招标条件，现对本</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施工进行招标。</w:t>
      </w:r>
    </w:p>
    <w:p w14:paraId="3C2D479E">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1.1.2  本招标项目招标人：见投标人须知前附表。</w:t>
      </w:r>
    </w:p>
    <w:p w14:paraId="513A8D5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1.1.3  本招标项目招标代理机构：见投标人须知前附表。</w:t>
      </w:r>
    </w:p>
    <w:p w14:paraId="62F9F213">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本招标项目名称：见投标人须知前附表。</w:t>
      </w:r>
    </w:p>
    <w:p w14:paraId="0F125524">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1.1.5  本招标项目建设地点：见投标人须知前附表。</w:t>
      </w:r>
    </w:p>
    <w:p w14:paraId="6B9488D1">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1.1.6  本招标项目建设规模：见投标人须知前附表。</w:t>
      </w:r>
    </w:p>
    <w:p w14:paraId="5700E59A">
      <w:pPr>
        <w:pStyle w:val="4"/>
        <w:snapToGrid w:val="0"/>
        <w:spacing w:before="0" w:after="0" w:line="360" w:lineRule="auto"/>
        <w:rPr>
          <w:rFonts w:ascii="宋体" w:hAnsi="宋体"/>
          <w:b w:val="0"/>
          <w:snapToGrid w:val="0"/>
          <w:color w:val="auto"/>
          <w:sz w:val="24"/>
          <w:szCs w:val="24"/>
          <w:highlight w:val="none"/>
        </w:rPr>
      </w:pPr>
      <w:bookmarkStart w:id="133" w:name="_Toc287620687"/>
      <w:bookmarkStart w:id="134" w:name="_Toc200513128"/>
      <w:bookmarkStart w:id="135" w:name="_Toc287607748"/>
      <w:bookmarkStart w:id="136" w:name="_Toc21567"/>
      <w:bookmarkStart w:id="137" w:name="_Toc430530437"/>
      <w:bookmarkStart w:id="138" w:name="_Toc224103319"/>
      <w:bookmarkStart w:id="139" w:name="_Toc57905832"/>
      <w:bookmarkStart w:id="140" w:name="_Toc509218712"/>
      <w:bookmarkStart w:id="141" w:name="_Toc277082554"/>
      <w:r>
        <w:rPr>
          <w:rFonts w:ascii="宋体" w:hAnsi="宋体"/>
          <w:b w:val="0"/>
          <w:snapToGrid w:val="0"/>
          <w:color w:val="auto"/>
          <w:sz w:val="24"/>
          <w:szCs w:val="24"/>
          <w:highlight w:val="none"/>
        </w:rPr>
        <w:t>1.2  资金来源和落实情况</w:t>
      </w:r>
      <w:bookmarkEnd w:id="133"/>
      <w:bookmarkEnd w:id="134"/>
      <w:bookmarkEnd w:id="135"/>
      <w:bookmarkEnd w:id="136"/>
      <w:bookmarkEnd w:id="137"/>
      <w:bookmarkEnd w:id="138"/>
      <w:bookmarkEnd w:id="139"/>
      <w:bookmarkEnd w:id="140"/>
      <w:bookmarkEnd w:id="141"/>
    </w:p>
    <w:p w14:paraId="70CC7320">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1.2.1  本招标项目的资金来源：见投标人须知前附表。</w:t>
      </w:r>
    </w:p>
    <w:p w14:paraId="5FB30927">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1.2.2  本招标项目的出资比例：见投标人须知前附表。</w:t>
      </w:r>
    </w:p>
    <w:p w14:paraId="662798C0">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1.2.3  本招标项目的资金落实情况：见投标人须知前附表。</w:t>
      </w:r>
    </w:p>
    <w:p w14:paraId="6778679B">
      <w:pPr>
        <w:pStyle w:val="4"/>
        <w:snapToGrid w:val="0"/>
        <w:spacing w:before="0" w:after="0" w:line="360" w:lineRule="auto"/>
        <w:rPr>
          <w:rFonts w:ascii="宋体" w:hAnsi="宋体"/>
          <w:b w:val="0"/>
          <w:snapToGrid w:val="0"/>
          <w:color w:val="auto"/>
          <w:sz w:val="24"/>
          <w:szCs w:val="24"/>
          <w:highlight w:val="none"/>
        </w:rPr>
      </w:pPr>
      <w:bookmarkStart w:id="142" w:name="_Toc224103320"/>
      <w:bookmarkStart w:id="143" w:name="_Toc287620688"/>
      <w:bookmarkStart w:id="144" w:name="_Toc57905833"/>
      <w:bookmarkStart w:id="145" w:name="_Toc430530438"/>
      <w:bookmarkStart w:id="146" w:name="_Toc509218713"/>
      <w:bookmarkStart w:id="147" w:name="_Toc200513129"/>
      <w:bookmarkStart w:id="148" w:name="_Toc4104"/>
      <w:bookmarkStart w:id="149" w:name="_Toc287607749"/>
      <w:bookmarkStart w:id="150" w:name="_Toc277082555"/>
      <w:r>
        <w:rPr>
          <w:rFonts w:ascii="宋体" w:hAnsi="宋体"/>
          <w:b w:val="0"/>
          <w:snapToGrid w:val="0"/>
          <w:color w:val="auto"/>
          <w:sz w:val="24"/>
          <w:szCs w:val="24"/>
          <w:highlight w:val="none"/>
        </w:rPr>
        <w:t>1.3  招标范围、计划工期和质量要求</w:t>
      </w:r>
      <w:bookmarkEnd w:id="142"/>
      <w:bookmarkEnd w:id="143"/>
      <w:bookmarkEnd w:id="144"/>
      <w:bookmarkEnd w:id="145"/>
      <w:bookmarkEnd w:id="146"/>
      <w:bookmarkEnd w:id="147"/>
      <w:bookmarkEnd w:id="148"/>
      <w:bookmarkEnd w:id="149"/>
      <w:bookmarkEnd w:id="150"/>
    </w:p>
    <w:p w14:paraId="6FD811DF">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1.3.1  招标范围：见投标人须知前附表。</w:t>
      </w:r>
    </w:p>
    <w:p w14:paraId="7DA824BE">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1.3.2  计划工期：见投标人须知前附表。</w:t>
      </w:r>
    </w:p>
    <w:p w14:paraId="60521FE9">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1.3.3  质量要求：见投标人须知前附表。</w:t>
      </w:r>
    </w:p>
    <w:p w14:paraId="59EFBECD">
      <w:pPr>
        <w:pStyle w:val="4"/>
        <w:snapToGrid w:val="0"/>
        <w:spacing w:before="0" w:after="0" w:line="360" w:lineRule="auto"/>
        <w:rPr>
          <w:rFonts w:ascii="宋体" w:hAnsi="宋体"/>
          <w:b w:val="0"/>
          <w:snapToGrid w:val="0"/>
          <w:color w:val="auto"/>
          <w:sz w:val="24"/>
          <w:szCs w:val="24"/>
          <w:highlight w:val="none"/>
        </w:rPr>
      </w:pPr>
      <w:bookmarkStart w:id="151" w:name="_Toc57905835"/>
      <w:bookmarkStart w:id="152" w:name="_Toc277082557"/>
      <w:bookmarkStart w:id="153" w:name="_Toc200513131"/>
      <w:bookmarkStart w:id="154" w:name="_Toc430530440"/>
      <w:bookmarkStart w:id="155" w:name="_Toc224103322"/>
      <w:bookmarkStart w:id="156" w:name="_Toc1894"/>
      <w:bookmarkStart w:id="157" w:name="_Toc509218715"/>
      <w:bookmarkStart w:id="158" w:name="_Toc287620690"/>
      <w:bookmarkStart w:id="159" w:name="_Toc287607751"/>
      <w:r>
        <w:rPr>
          <w:rFonts w:ascii="宋体" w:hAnsi="宋体"/>
          <w:b w:val="0"/>
          <w:snapToGrid w:val="0"/>
          <w:color w:val="auto"/>
          <w:sz w:val="24"/>
          <w:szCs w:val="24"/>
          <w:highlight w:val="none"/>
        </w:rPr>
        <w:t>1.4  投标人资格要求</w:t>
      </w:r>
      <w:bookmarkEnd w:id="151"/>
      <w:bookmarkEnd w:id="152"/>
      <w:bookmarkEnd w:id="153"/>
      <w:bookmarkEnd w:id="154"/>
      <w:bookmarkEnd w:id="155"/>
      <w:bookmarkEnd w:id="156"/>
      <w:bookmarkEnd w:id="157"/>
      <w:bookmarkEnd w:id="158"/>
      <w:bookmarkEnd w:id="159"/>
    </w:p>
    <w:p w14:paraId="59ED1721">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1.4.1 投标人应具备承担本标段施工的资质条件、能力和信誉。</w:t>
      </w:r>
    </w:p>
    <w:p w14:paraId="7B3826E2">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olor w:val="auto"/>
          <w:szCs w:val="21"/>
          <w:highlight w:val="none"/>
        </w:rPr>
        <w:t>资质条件、营业执照及安全生产条件</w:t>
      </w:r>
      <w:r>
        <w:rPr>
          <w:rFonts w:ascii="宋体" w:hAnsi="宋体"/>
          <w:snapToGrid w:val="0"/>
          <w:color w:val="auto"/>
          <w:kern w:val="0"/>
          <w:szCs w:val="21"/>
          <w:highlight w:val="none"/>
        </w:rPr>
        <w:t>：见投标人须知前附表；</w:t>
      </w:r>
    </w:p>
    <w:p w14:paraId="14179E1B">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（2）财务要求：见投标人须知前附表；</w:t>
      </w:r>
    </w:p>
    <w:p w14:paraId="3B10307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（3）业绩要求：见投标人须知前附表；</w:t>
      </w:r>
    </w:p>
    <w:p w14:paraId="7B2A81E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投标截止日投标资格情况</w:t>
      </w:r>
      <w:r>
        <w:rPr>
          <w:rFonts w:ascii="宋体" w:hAnsi="宋体"/>
          <w:snapToGrid w:val="0"/>
          <w:color w:val="auto"/>
          <w:kern w:val="0"/>
          <w:szCs w:val="21"/>
          <w:highlight w:val="none"/>
        </w:rPr>
        <w:t>：见投标人须知前附表；</w:t>
      </w:r>
    </w:p>
    <w:p w14:paraId="68029A49">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（5）项目经理资格</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：见投标人须知前附表；</w:t>
      </w:r>
    </w:p>
    <w:p w14:paraId="0C2F44E3">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（6）其他要求：见投标人须知前附表。</w:t>
      </w:r>
    </w:p>
    <w:p w14:paraId="72AA3F8F">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1.4.2  投标人须知前附表规定接受联合体投标的，除应符合本章第1.4.1项和投标人须知前附表的要求外，还应遵守以下规定：</w:t>
      </w:r>
    </w:p>
    <w:p w14:paraId="23473384">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（1）联合体各方应按招标文件提供的格式签订联合体协议书，明确联合体牵头人和各方权利义务；</w:t>
      </w:r>
    </w:p>
    <w:p w14:paraId="3923508F">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（2）联合体各方均应当具备承担招标项目的相应能力；联合体协议约定同一专业分工由两个及以上单位共同承担的，</w:t>
      </w:r>
      <w:r>
        <w:rPr>
          <w:rFonts w:hint="eastAsia" w:ascii="宋体" w:hAnsi="宋体"/>
          <w:snapToGrid w:val="0"/>
          <w:color w:val="auto"/>
          <w:kern w:val="0"/>
          <w:szCs w:val="21"/>
          <w:highlight w:val="none"/>
        </w:rPr>
        <w:t>按照资质等级较低的单位确定资质等级</w:t>
      </w:r>
      <w:r>
        <w:rPr>
          <w:rFonts w:ascii="宋体" w:hAnsi="宋体"/>
          <w:snapToGrid w:val="0"/>
          <w:color w:val="auto"/>
          <w:kern w:val="0"/>
          <w:szCs w:val="21"/>
          <w:highlight w:val="none"/>
        </w:rPr>
        <w:t>；</w:t>
      </w:r>
    </w:p>
    <w:p w14:paraId="009CFD65">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（3）联合体各方不得再以自己名义单独或参加其他联合体在同一标段中投标。</w:t>
      </w:r>
    </w:p>
    <w:p w14:paraId="2000A8A2">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1.4.3  投标人不得存在下列情形之一：</w:t>
      </w:r>
    </w:p>
    <w:p w14:paraId="51DFD1F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position w:val="-2"/>
          <w:szCs w:val="21"/>
          <w:highlight w:val="none"/>
        </w:rPr>
        <w:t>（1）与招标人存在利害关系可能影响招标公正性的法人、其他组织或者个人；</w:t>
      </w:r>
    </w:p>
    <w:p w14:paraId="38EF9B93">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（2）为本标段前期准备提供设计或咨询服务的，但设计施工总承包的除外；</w:t>
      </w:r>
    </w:p>
    <w:p w14:paraId="0F60172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（3）为本标段的监理人；</w:t>
      </w:r>
    </w:p>
    <w:p w14:paraId="236B41D4">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（4）为本标段的代建人；</w:t>
      </w:r>
    </w:p>
    <w:p w14:paraId="20AB0C9D">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（5）为本标段提供招标代理服务的；</w:t>
      </w:r>
    </w:p>
    <w:p w14:paraId="1B26328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（6）与本标段的监理人或代建人或招标代理机构同为一个法定代表人的；</w:t>
      </w:r>
    </w:p>
    <w:p w14:paraId="699859F3">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（7）与本标段的监理人或代建人或招标代理机构</w:t>
      </w:r>
      <w:r>
        <w:rPr>
          <w:rFonts w:hint="eastAsia" w:ascii="宋体" w:hAnsi="宋体"/>
          <w:snapToGrid w:val="0"/>
          <w:color w:val="auto"/>
          <w:kern w:val="0"/>
          <w:szCs w:val="21"/>
          <w:highlight w:val="none"/>
          <w:lang w:val="en-US" w:eastAsia="zh-CN"/>
        </w:rPr>
        <w:t>存在</w:t>
      </w:r>
      <w:r>
        <w:rPr>
          <w:rFonts w:ascii="宋体" w:hAnsi="宋体"/>
          <w:snapToGrid w:val="0"/>
          <w:color w:val="auto"/>
          <w:kern w:val="0"/>
          <w:szCs w:val="21"/>
          <w:highlight w:val="none"/>
        </w:rPr>
        <w:t>控股或参股的；</w:t>
      </w:r>
    </w:p>
    <w:p w14:paraId="1F3237A9">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（8）与本标段的监理人或代建人或招标代理机构</w:t>
      </w:r>
      <w:r>
        <w:rPr>
          <w:rFonts w:hint="default" w:ascii="宋体" w:hAnsi="宋体"/>
          <w:snapToGrid w:val="0"/>
          <w:color w:val="auto"/>
          <w:kern w:val="0"/>
          <w:szCs w:val="21"/>
          <w:highlight w:val="none"/>
          <w:lang w:val="en-US"/>
        </w:rPr>
        <w:t>相互</w:t>
      </w:r>
      <w:r>
        <w:rPr>
          <w:rFonts w:ascii="宋体" w:hAnsi="宋体"/>
          <w:snapToGrid w:val="0"/>
          <w:color w:val="auto"/>
          <w:kern w:val="0"/>
          <w:szCs w:val="21"/>
          <w:highlight w:val="none"/>
        </w:rPr>
        <w:t>任职或工作的；</w:t>
      </w:r>
    </w:p>
    <w:p w14:paraId="00FF7E00">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asciiTheme="minorEastAsia" w:hAnsiTheme="minorEastAsia" w:eastAsiaTheme="minorEastAsia"/>
          <w:color w:val="auto"/>
          <w:szCs w:val="21"/>
          <w:highlight w:val="none"/>
        </w:rPr>
        <w:t>被责令停产停业、暂扣或者吊销许可证、暂扣或者吊销执照</w:t>
      </w:r>
      <w:r>
        <w:rPr>
          <w:rFonts w:ascii="宋体" w:hAnsi="宋体"/>
          <w:snapToGrid w:val="0"/>
          <w:color w:val="auto"/>
          <w:kern w:val="0"/>
          <w:szCs w:val="21"/>
          <w:highlight w:val="none"/>
        </w:rPr>
        <w:t>；</w:t>
      </w:r>
    </w:p>
    <w:p w14:paraId="5AD4EFB6">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（10）</w:t>
      </w:r>
      <w:r>
        <w:rPr>
          <w:rFonts w:hint="eastAsia" w:ascii="宋体" w:hAnsi="宋体"/>
          <w:snapToGrid w:val="0"/>
          <w:color w:val="auto"/>
          <w:kern w:val="0"/>
          <w:szCs w:val="21"/>
          <w:highlight w:val="none"/>
        </w:rPr>
        <w:t>被国家、重庆市（含市或任意区县）有关行政部门处以暂停投标资格行政处罚，且在处罚期限内的</w:t>
      </w:r>
      <w:r>
        <w:rPr>
          <w:rFonts w:ascii="宋体" w:hAnsi="宋体"/>
          <w:snapToGrid w:val="0"/>
          <w:color w:val="auto"/>
          <w:kern w:val="0"/>
          <w:szCs w:val="21"/>
          <w:highlight w:val="none"/>
        </w:rPr>
        <w:t>；</w:t>
      </w:r>
    </w:p>
    <w:p w14:paraId="35C5DB36">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asciiTheme="minorEastAsia" w:hAnsiTheme="minorEastAsia" w:eastAsiaTheme="minorEastAsia"/>
          <w:color w:val="auto"/>
          <w:szCs w:val="21"/>
          <w:highlight w:val="none"/>
        </w:rPr>
        <w:t>进入清算程序，或被宣告破产，或其他丧失履约能力的情形</w:t>
      </w:r>
      <w:r>
        <w:rPr>
          <w:rFonts w:ascii="宋体" w:hAnsi="宋体"/>
          <w:snapToGrid w:val="0"/>
          <w:color w:val="auto"/>
          <w:kern w:val="0"/>
          <w:szCs w:val="21"/>
          <w:highlight w:val="none"/>
        </w:rPr>
        <w:t>；</w:t>
      </w:r>
    </w:p>
    <w:p w14:paraId="5DF931B1">
      <w:pPr>
        <w:autoSpaceDE w:val="0"/>
        <w:autoSpaceDN w:val="0"/>
        <w:adjustRightInd w:val="0"/>
        <w:snapToGrid w:val="0"/>
        <w:spacing w:line="360" w:lineRule="auto"/>
        <w:ind w:left="459" w:leftChars="190" w:hanging="60" w:hangingChars="29"/>
        <w:rPr>
          <w:rFonts w:ascii="宋体" w:hAnsi="宋体"/>
          <w:snapToGrid w:val="0"/>
          <w:color w:val="auto"/>
          <w:kern w:val="0"/>
          <w:szCs w:val="21"/>
          <w:highlight w:val="none"/>
        </w:rPr>
      </w:pPr>
      <w:r>
        <w:rPr>
          <w:rFonts w:ascii="宋体" w:hAnsi="宋体"/>
          <w:snapToGrid w:val="0"/>
          <w:color w:val="auto"/>
          <w:kern w:val="0"/>
          <w:szCs w:val="21"/>
          <w:highlight w:val="none"/>
        </w:rPr>
        <w:t>（12）</w:t>
      </w:r>
      <w:r>
        <w:rPr>
          <w:rFonts w:ascii="宋体" w:hAnsi="宋体"/>
          <w:color w:val="auto"/>
          <w:sz w:val="22"/>
          <w:szCs w:val="22"/>
          <w:highlight w:val="none"/>
        </w:rPr>
        <w:t>单位负责人为同一人或者存在控股、管理关系的不同单位，不得在同一标段中同时投</w:t>
      </w:r>
      <w:r>
        <w:rPr>
          <w:rFonts w:hint="eastAsia" w:ascii="宋体" w:hAnsi="宋体"/>
          <w:color w:val="auto"/>
          <w:sz w:val="22"/>
          <w:szCs w:val="22"/>
          <w:highlight w:val="none"/>
        </w:rPr>
        <w:t>标。</w:t>
      </w:r>
    </w:p>
    <w:p w14:paraId="3B809651">
      <w:pPr>
        <w:pStyle w:val="4"/>
        <w:snapToGrid w:val="0"/>
        <w:spacing w:before="0" w:after="0" w:line="360" w:lineRule="auto"/>
        <w:rPr>
          <w:rFonts w:ascii="宋体" w:hAnsi="宋体"/>
          <w:b w:val="0"/>
          <w:snapToGrid w:val="0"/>
          <w:color w:val="auto"/>
          <w:sz w:val="24"/>
          <w:szCs w:val="24"/>
          <w:highlight w:val="none"/>
        </w:rPr>
      </w:pPr>
      <w:bookmarkStart w:id="160" w:name="_Toc430530441"/>
      <w:bookmarkStart w:id="161" w:name="_Toc277082558"/>
      <w:bookmarkStart w:id="162" w:name="_Toc224103323"/>
      <w:bookmarkStart w:id="163" w:name="_Toc20662"/>
      <w:bookmarkStart w:id="164" w:name="_Toc200513132"/>
      <w:bookmarkStart w:id="165" w:name="_Toc287620691"/>
      <w:bookmarkStart w:id="166" w:name="_Toc57905836"/>
      <w:bookmarkStart w:id="167" w:name="_Toc287607752"/>
      <w:bookmarkStart w:id="168" w:name="_Toc509218716"/>
      <w:r>
        <w:rPr>
          <w:rFonts w:ascii="宋体" w:hAnsi="宋体"/>
          <w:b w:val="0"/>
          <w:snapToGrid w:val="0"/>
          <w:color w:val="auto"/>
          <w:sz w:val="24"/>
          <w:szCs w:val="24"/>
          <w:highlight w:val="none"/>
        </w:rPr>
        <w:t>1.5  费用承担</w:t>
      </w:r>
      <w:bookmarkEnd w:id="160"/>
      <w:bookmarkEnd w:id="161"/>
      <w:bookmarkEnd w:id="162"/>
      <w:bookmarkEnd w:id="163"/>
      <w:bookmarkEnd w:id="164"/>
      <w:bookmarkEnd w:id="165"/>
      <w:bookmarkEnd w:id="166"/>
      <w:bookmarkEnd w:id="167"/>
      <w:bookmarkEnd w:id="168"/>
    </w:p>
    <w:p w14:paraId="14AA195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投标人准备和参加投标活动发生的费用自理。</w:t>
      </w:r>
    </w:p>
    <w:p w14:paraId="2A6C37B1">
      <w:pPr>
        <w:pStyle w:val="4"/>
        <w:snapToGrid w:val="0"/>
        <w:spacing w:before="0" w:after="0" w:line="360" w:lineRule="auto"/>
        <w:rPr>
          <w:rFonts w:ascii="宋体" w:hAnsi="宋体"/>
          <w:b w:val="0"/>
          <w:snapToGrid w:val="0"/>
          <w:color w:val="auto"/>
          <w:sz w:val="24"/>
          <w:szCs w:val="24"/>
          <w:highlight w:val="none"/>
        </w:rPr>
      </w:pPr>
      <w:bookmarkStart w:id="169" w:name="_Toc277082559"/>
      <w:bookmarkStart w:id="170" w:name="_Toc430530442"/>
      <w:bookmarkStart w:id="171" w:name="_Toc287620692"/>
      <w:bookmarkStart w:id="172" w:name="_Toc287607753"/>
      <w:bookmarkStart w:id="173" w:name="_Toc224103324"/>
      <w:bookmarkStart w:id="174" w:name="_Toc26130"/>
      <w:bookmarkStart w:id="175" w:name="_Toc509218717"/>
      <w:bookmarkStart w:id="176" w:name="_Toc200513133"/>
      <w:bookmarkStart w:id="177" w:name="_Toc57905837"/>
      <w:r>
        <w:rPr>
          <w:rFonts w:ascii="宋体" w:hAnsi="宋体"/>
          <w:b w:val="0"/>
          <w:snapToGrid w:val="0"/>
          <w:color w:val="auto"/>
          <w:sz w:val="24"/>
          <w:szCs w:val="24"/>
          <w:highlight w:val="none"/>
        </w:rPr>
        <w:t>1.6  保密</w:t>
      </w:r>
      <w:bookmarkEnd w:id="169"/>
      <w:bookmarkEnd w:id="170"/>
      <w:bookmarkEnd w:id="171"/>
      <w:bookmarkEnd w:id="172"/>
      <w:bookmarkEnd w:id="173"/>
      <w:bookmarkEnd w:id="174"/>
      <w:bookmarkEnd w:id="175"/>
      <w:bookmarkEnd w:id="176"/>
      <w:bookmarkEnd w:id="177"/>
    </w:p>
    <w:p w14:paraId="1166D15A">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参与招标投标活动的各方应对招标文件和投标文件中的商业和技术等秘密保密，违者应对由此造成的后果承担法律责任。</w:t>
      </w:r>
    </w:p>
    <w:p w14:paraId="10F456B1">
      <w:pPr>
        <w:pStyle w:val="4"/>
        <w:snapToGrid w:val="0"/>
        <w:spacing w:before="0" w:after="0" w:line="360" w:lineRule="auto"/>
        <w:rPr>
          <w:rFonts w:ascii="宋体" w:hAnsi="宋体"/>
          <w:b w:val="0"/>
          <w:snapToGrid w:val="0"/>
          <w:color w:val="auto"/>
          <w:sz w:val="24"/>
          <w:szCs w:val="24"/>
          <w:highlight w:val="none"/>
        </w:rPr>
      </w:pPr>
      <w:bookmarkStart w:id="178" w:name="_Toc200513134"/>
      <w:bookmarkStart w:id="179" w:name="_Toc277082560"/>
      <w:bookmarkStart w:id="180" w:name="_Toc224103325"/>
      <w:bookmarkStart w:id="181" w:name="_Toc57905838"/>
      <w:bookmarkStart w:id="182" w:name="_Toc287620693"/>
      <w:bookmarkStart w:id="183" w:name="_Toc287607754"/>
      <w:bookmarkStart w:id="184" w:name="_Toc430530443"/>
      <w:bookmarkStart w:id="185" w:name="_Toc1222"/>
      <w:bookmarkStart w:id="186" w:name="_Toc509218718"/>
      <w:r>
        <w:rPr>
          <w:rFonts w:ascii="宋体" w:hAnsi="宋体"/>
          <w:b w:val="0"/>
          <w:snapToGrid w:val="0"/>
          <w:color w:val="auto"/>
          <w:sz w:val="24"/>
          <w:szCs w:val="24"/>
          <w:highlight w:val="none"/>
        </w:rPr>
        <w:t>1.7  语言文字</w:t>
      </w:r>
      <w:bookmarkEnd w:id="178"/>
      <w:bookmarkEnd w:id="179"/>
      <w:bookmarkEnd w:id="180"/>
      <w:bookmarkEnd w:id="181"/>
      <w:bookmarkEnd w:id="182"/>
      <w:bookmarkEnd w:id="183"/>
      <w:bookmarkEnd w:id="184"/>
      <w:bookmarkEnd w:id="185"/>
      <w:bookmarkEnd w:id="186"/>
    </w:p>
    <w:p w14:paraId="2B98914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除专用术语外，与招标投标有关的语言均使用中文。必要时专用术语应附有中文注释。</w:t>
      </w:r>
    </w:p>
    <w:p w14:paraId="52188DF5">
      <w:pPr>
        <w:pStyle w:val="4"/>
        <w:snapToGrid w:val="0"/>
        <w:spacing w:before="0" w:after="0" w:line="360" w:lineRule="auto"/>
        <w:rPr>
          <w:rFonts w:ascii="宋体" w:hAnsi="宋体"/>
          <w:b w:val="0"/>
          <w:snapToGrid w:val="0"/>
          <w:color w:val="auto"/>
          <w:sz w:val="24"/>
          <w:szCs w:val="24"/>
          <w:highlight w:val="none"/>
        </w:rPr>
      </w:pPr>
      <w:bookmarkStart w:id="187" w:name="_Toc287620694"/>
      <w:bookmarkStart w:id="188" w:name="_Toc200513135"/>
      <w:bookmarkStart w:id="189" w:name="_Toc57905839"/>
      <w:bookmarkStart w:id="190" w:name="_Toc509218719"/>
      <w:bookmarkStart w:id="191" w:name="_Toc13374"/>
      <w:bookmarkStart w:id="192" w:name="_Toc224103326"/>
      <w:bookmarkStart w:id="193" w:name="_Toc430530444"/>
      <w:bookmarkStart w:id="194" w:name="_Toc277082561"/>
      <w:bookmarkStart w:id="195" w:name="_Toc287607755"/>
      <w:r>
        <w:rPr>
          <w:rFonts w:ascii="宋体" w:hAnsi="宋体"/>
          <w:b w:val="0"/>
          <w:snapToGrid w:val="0"/>
          <w:color w:val="auto"/>
          <w:sz w:val="24"/>
          <w:szCs w:val="24"/>
          <w:highlight w:val="none"/>
        </w:rPr>
        <w:t>1.8  计量单位</w:t>
      </w:r>
      <w:bookmarkEnd w:id="187"/>
      <w:bookmarkEnd w:id="188"/>
      <w:bookmarkEnd w:id="189"/>
      <w:bookmarkEnd w:id="190"/>
      <w:bookmarkEnd w:id="191"/>
      <w:bookmarkEnd w:id="192"/>
      <w:bookmarkEnd w:id="193"/>
      <w:bookmarkEnd w:id="194"/>
      <w:bookmarkEnd w:id="195"/>
    </w:p>
    <w:p w14:paraId="5750172F">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14:paraId="59BD4868">
      <w:pPr>
        <w:pStyle w:val="4"/>
        <w:snapToGrid w:val="0"/>
        <w:spacing w:before="0" w:after="0" w:line="360" w:lineRule="auto"/>
        <w:rPr>
          <w:rFonts w:ascii="宋体" w:hAnsi="宋体"/>
          <w:b w:val="0"/>
          <w:snapToGrid w:val="0"/>
          <w:color w:val="auto"/>
          <w:sz w:val="24"/>
          <w:szCs w:val="24"/>
          <w:highlight w:val="none"/>
        </w:rPr>
      </w:pPr>
      <w:bookmarkStart w:id="196" w:name="_Toc287620695"/>
      <w:bookmarkStart w:id="197" w:name="_Toc19275"/>
      <w:bookmarkStart w:id="198" w:name="_Toc277082562"/>
      <w:bookmarkStart w:id="199" w:name="_Toc57905840"/>
      <w:bookmarkStart w:id="200" w:name="_Toc287607756"/>
      <w:bookmarkStart w:id="201" w:name="_Toc430530445"/>
      <w:bookmarkStart w:id="202" w:name="_Toc224103327"/>
      <w:bookmarkStart w:id="203" w:name="_Toc509218720"/>
      <w:bookmarkStart w:id="204" w:name="_Toc200513136"/>
      <w:r>
        <w:rPr>
          <w:rFonts w:ascii="宋体" w:hAnsi="宋体"/>
          <w:b w:val="0"/>
          <w:snapToGrid w:val="0"/>
          <w:color w:val="auto"/>
          <w:sz w:val="24"/>
          <w:szCs w:val="24"/>
          <w:highlight w:val="none"/>
        </w:rPr>
        <w:t>1.9  踏勘现场</w:t>
      </w:r>
      <w:bookmarkEnd w:id="196"/>
      <w:bookmarkEnd w:id="197"/>
      <w:bookmarkEnd w:id="198"/>
      <w:bookmarkEnd w:id="199"/>
      <w:bookmarkEnd w:id="200"/>
      <w:bookmarkEnd w:id="201"/>
      <w:bookmarkEnd w:id="202"/>
      <w:bookmarkEnd w:id="203"/>
      <w:bookmarkEnd w:id="204"/>
    </w:p>
    <w:p w14:paraId="17FFEE70">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1.9.1  投标人须知前附表规定组织踏勘现场的，招标人按投标人须知前附表规定的时间、 地点组织投标人踏勘项目现场。</w:t>
      </w:r>
    </w:p>
    <w:p w14:paraId="38091103">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1.9.2  投标人踏勘现场发生的费用自理。</w:t>
      </w:r>
    </w:p>
    <w:p w14:paraId="5655EA8B">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1.9.3  除招标人的原因外，投标人自行负责在踏勘现场中所发生的人员伤亡和财产损失。</w:t>
      </w:r>
    </w:p>
    <w:p w14:paraId="55E5CE2C">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1.9.4  招标人在踏勘现场中介绍的工程场地和相关的周边环境情况，供投标人在编制投标文件时参考，招标人不对投标人据此做出的判断和决策负责。</w:t>
      </w:r>
    </w:p>
    <w:p w14:paraId="7186CFC2">
      <w:pPr>
        <w:pStyle w:val="4"/>
        <w:snapToGrid w:val="0"/>
        <w:spacing w:before="0" w:after="0" w:line="360" w:lineRule="auto"/>
        <w:rPr>
          <w:rFonts w:ascii="宋体" w:hAnsi="宋体"/>
          <w:b w:val="0"/>
          <w:snapToGrid w:val="0"/>
          <w:color w:val="auto"/>
          <w:sz w:val="24"/>
          <w:szCs w:val="24"/>
          <w:highlight w:val="none"/>
        </w:rPr>
      </w:pPr>
      <w:bookmarkStart w:id="205" w:name="_Toc57905841"/>
      <w:bookmarkStart w:id="206" w:name="_Toc200513137"/>
      <w:bookmarkStart w:id="207" w:name="_Toc287607757"/>
      <w:bookmarkStart w:id="208" w:name="_Toc509218721"/>
      <w:bookmarkStart w:id="209" w:name="_Toc430530446"/>
      <w:bookmarkStart w:id="210" w:name="_Toc224103328"/>
      <w:bookmarkStart w:id="211" w:name="_Toc277082563"/>
      <w:bookmarkStart w:id="212" w:name="_Toc32057"/>
      <w:bookmarkStart w:id="213" w:name="_Toc287620696"/>
      <w:r>
        <w:rPr>
          <w:rFonts w:ascii="宋体" w:hAnsi="宋体"/>
          <w:b w:val="0"/>
          <w:snapToGrid w:val="0"/>
          <w:color w:val="auto"/>
          <w:sz w:val="24"/>
          <w:szCs w:val="24"/>
          <w:highlight w:val="none"/>
        </w:rPr>
        <w:t>1.10  投标预备会</w:t>
      </w:r>
      <w:bookmarkEnd w:id="205"/>
      <w:bookmarkEnd w:id="206"/>
      <w:bookmarkEnd w:id="207"/>
      <w:bookmarkEnd w:id="208"/>
      <w:bookmarkEnd w:id="209"/>
      <w:bookmarkEnd w:id="210"/>
      <w:bookmarkEnd w:id="211"/>
      <w:bookmarkEnd w:id="212"/>
      <w:bookmarkEnd w:id="213"/>
    </w:p>
    <w:p w14:paraId="1F853E1C">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1.10.1  投标人须知前附表规定召开投标预备会的，招标人按投标人须知前附表规定的时间和地点召开投标预备会，澄清投标人提出的问题。</w:t>
      </w:r>
    </w:p>
    <w:p w14:paraId="3A1C75DD">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1.10.2  投标人应在投标人须知前附表</w:t>
      </w:r>
      <w:r>
        <w:rPr>
          <w:rFonts w:hint="eastAsia" w:ascii="宋体" w:hAnsi="宋体"/>
          <w:snapToGrid w:val="0"/>
          <w:color w:val="auto"/>
          <w:kern w:val="0"/>
          <w:szCs w:val="21"/>
          <w:highlight w:val="none"/>
        </w:rPr>
        <w:t>第</w:t>
      </w:r>
      <w:r>
        <w:rPr>
          <w:rFonts w:ascii="宋体" w:hAnsi="宋体"/>
          <w:color w:val="auto"/>
          <w:kern w:val="0"/>
          <w:szCs w:val="21"/>
          <w:highlight w:val="none"/>
        </w:rPr>
        <w:t>2.2.4</w:t>
      </w:r>
      <w:r>
        <w:rPr>
          <w:rFonts w:hint="eastAsia" w:ascii="宋体" w:hAnsi="宋体"/>
          <w:color w:val="auto"/>
          <w:kern w:val="0"/>
          <w:szCs w:val="21"/>
          <w:highlight w:val="none"/>
        </w:rPr>
        <w:t>项</w:t>
      </w:r>
      <w:r>
        <w:rPr>
          <w:rFonts w:ascii="宋体" w:hAnsi="宋体"/>
          <w:snapToGrid w:val="0"/>
          <w:color w:val="auto"/>
          <w:kern w:val="0"/>
          <w:szCs w:val="21"/>
          <w:highlight w:val="none"/>
        </w:rPr>
        <w:t>规定的时间前，以书面形式将提出的问题送达招标人，以便招标人澄清。</w:t>
      </w:r>
    </w:p>
    <w:p w14:paraId="5CE9CE3F">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1.10.3  招标人在投标人须知前附表规定的时间内，将对投标人所提</w:t>
      </w:r>
      <w:r>
        <w:rPr>
          <w:rFonts w:ascii="宋体" w:hAnsi="宋体"/>
          <w:snapToGrid w:val="0"/>
          <w:color w:val="auto"/>
          <w:kern w:val="0"/>
          <w:position w:val="-2"/>
          <w:szCs w:val="21"/>
          <w:highlight w:val="none"/>
        </w:rPr>
        <w:t>的</w:t>
      </w:r>
      <w:r>
        <w:rPr>
          <w:rFonts w:ascii="宋体" w:hAnsi="宋体"/>
          <w:snapToGrid w:val="0"/>
          <w:color w:val="auto"/>
          <w:kern w:val="0"/>
          <w:szCs w:val="21"/>
          <w:highlight w:val="none"/>
        </w:rPr>
        <w:t>问题</w:t>
      </w:r>
      <w:r>
        <w:rPr>
          <w:rFonts w:ascii="宋体" w:hAnsi="宋体"/>
          <w:snapToGrid w:val="0"/>
          <w:color w:val="auto"/>
          <w:kern w:val="0"/>
          <w:position w:val="-2"/>
          <w:szCs w:val="21"/>
          <w:highlight w:val="none"/>
        </w:rPr>
        <w:t>进行澄清。该澄清内容为招标文件的组成部分。</w:t>
      </w:r>
    </w:p>
    <w:p w14:paraId="173FD007">
      <w:pPr>
        <w:pStyle w:val="4"/>
        <w:snapToGrid w:val="0"/>
        <w:spacing w:before="0" w:after="0" w:line="360" w:lineRule="auto"/>
        <w:rPr>
          <w:rFonts w:ascii="宋体" w:hAnsi="宋体"/>
          <w:b w:val="0"/>
          <w:snapToGrid w:val="0"/>
          <w:color w:val="auto"/>
          <w:sz w:val="24"/>
          <w:szCs w:val="24"/>
          <w:highlight w:val="none"/>
        </w:rPr>
      </w:pPr>
      <w:bookmarkStart w:id="214" w:name="_Toc430530447"/>
      <w:bookmarkStart w:id="215" w:name="_Toc200513138"/>
      <w:bookmarkStart w:id="216" w:name="_Toc287620697"/>
      <w:bookmarkStart w:id="217" w:name="_Toc277082564"/>
      <w:bookmarkStart w:id="218" w:name="_Toc287607758"/>
      <w:bookmarkStart w:id="219" w:name="_Toc509218722"/>
      <w:bookmarkStart w:id="220" w:name="_Toc3036"/>
      <w:bookmarkStart w:id="221" w:name="_Toc57905842"/>
      <w:bookmarkStart w:id="222" w:name="_Toc224103329"/>
      <w:r>
        <w:rPr>
          <w:rFonts w:ascii="宋体" w:hAnsi="宋体"/>
          <w:b w:val="0"/>
          <w:snapToGrid w:val="0"/>
          <w:color w:val="auto"/>
          <w:sz w:val="24"/>
          <w:szCs w:val="24"/>
          <w:highlight w:val="none"/>
        </w:rPr>
        <w:t>1.11  分包</w:t>
      </w:r>
      <w:bookmarkEnd w:id="214"/>
      <w:bookmarkEnd w:id="215"/>
      <w:bookmarkEnd w:id="216"/>
      <w:bookmarkEnd w:id="217"/>
      <w:bookmarkEnd w:id="218"/>
      <w:bookmarkEnd w:id="219"/>
      <w:bookmarkEnd w:id="220"/>
      <w:bookmarkEnd w:id="221"/>
      <w:bookmarkEnd w:id="222"/>
    </w:p>
    <w:p w14:paraId="7115EE27">
      <w:pPr>
        <w:autoSpaceDE w:val="0"/>
        <w:autoSpaceDN w:val="0"/>
        <w:adjustRightInd w:val="0"/>
        <w:snapToGrid w:val="0"/>
        <w:spacing w:line="360" w:lineRule="auto"/>
        <w:ind w:firstLine="426"/>
        <w:rPr>
          <w:rFonts w:ascii="宋体" w:hAnsi="宋体"/>
          <w:snapToGrid w:val="0"/>
          <w:color w:val="auto"/>
          <w:kern w:val="0"/>
          <w:szCs w:val="21"/>
          <w:highlight w:val="none"/>
        </w:rPr>
      </w:pPr>
      <w:r>
        <w:rPr>
          <w:rFonts w:ascii="宋体" w:hAnsi="宋体"/>
          <w:snapToGrid w:val="0"/>
          <w:color w:val="auto"/>
          <w:kern w:val="0"/>
          <w:szCs w:val="21"/>
          <w:highlight w:val="none"/>
        </w:rPr>
        <w:t>投标人拟在中标后将中标项目的部分非主体、非关键性工作进行分包的，应符合投标人须知前附表规定的分包内容、分包金额和接受分包的第三人资质要求等限制性条件。</w:t>
      </w:r>
    </w:p>
    <w:p w14:paraId="6312800B">
      <w:pPr>
        <w:pStyle w:val="4"/>
        <w:snapToGrid w:val="0"/>
        <w:spacing w:before="0" w:after="0" w:line="360" w:lineRule="auto"/>
        <w:rPr>
          <w:rFonts w:ascii="宋体" w:hAnsi="宋体"/>
          <w:b w:val="0"/>
          <w:snapToGrid w:val="0"/>
          <w:color w:val="auto"/>
          <w:sz w:val="24"/>
          <w:szCs w:val="24"/>
          <w:highlight w:val="none"/>
        </w:rPr>
      </w:pPr>
      <w:bookmarkStart w:id="223" w:name="_Toc430530448"/>
      <w:bookmarkStart w:id="224" w:name="_Toc5536"/>
      <w:bookmarkStart w:id="225" w:name="_Toc277082565"/>
      <w:bookmarkStart w:id="226" w:name="_Toc287620698"/>
      <w:bookmarkStart w:id="227" w:name="_Toc57905843"/>
      <w:bookmarkStart w:id="228" w:name="_Toc509218723"/>
      <w:bookmarkStart w:id="229" w:name="_Toc287607759"/>
      <w:bookmarkStart w:id="230" w:name="_Toc200513139"/>
      <w:bookmarkStart w:id="231" w:name="_Toc224103330"/>
      <w:r>
        <w:rPr>
          <w:rFonts w:ascii="宋体" w:hAnsi="宋体"/>
          <w:b w:val="0"/>
          <w:snapToGrid w:val="0"/>
          <w:color w:val="auto"/>
          <w:sz w:val="24"/>
          <w:szCs w:val="24"/>
          <w:highlight w:val="none"/>
        </w:rPr>
        <w:t>1.12  偏离</w:t>
      </w:r>
      <w:bookmarkEnd w:id="223"/>
      <w:bookmarkEnd w:id="224"/>
      <w:bookmarkEnd w:id="225"/>
      <w:bookmarkEnd w:id="226"/>
      <w:bookmarkEnd w:id="227"/>
      <w:bookmarkEnd w:id="228"/>
      <w:bookmarkEnd w:id="229"/>
      <w:bookmarkEnd w:id="230"/>
      <w:bookmarkEnd w:id="231"/>
    </w:p>
    <w:p w14:paraId="0131555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投标人须知前附表允许投标文件偏离招标文件某些要求的，偏离应当符合招标文件规定 的偏离范围和幅度。</w:t>
      </w:r>
    </w:p>
    <w:p w14:paraId="28979A0B">
      <w:pPr>
        <w:pStyle w:val="3"/>
        <w:spacing w:before="0" w:after="0" w:line="360" w:lineRule="auto"/>
        <w:rPr>
          <w:rFonts w:ascii="宋体" w:hAnsi="宋体"/>
          <w:b w:val="0"/>
          <w:snapToGrid w:val="0"/>
          <w:color w:val="auto"/>
          <w:highlight w:val="none"/>
        </w:rPr>
      </w:pPr>
      <w:bookmarkStart w:id="232" w:name="_Toc224103331"/>
      <w:bookmarkStart w:id="233" w:name="_Toc277082566"/>
      <w:bookmarkStart w:id="234" w:name="_Toc430530449"/>
      <w:bookmarkStart w:id="235" w:name="_Toc287607760"/>
      <w:bookmarkStart w:id="236" w:name="_Toc509218724"/>
      <w:bookmarkStart w:id="237" w:name="_Toc200513140"/>
      <w:bookmarkStart w:id="238" w:name="_Toc11902"/>
      <w:bookmarkStart w:id="239" w:name="_Toc57905844"/>
      <w:bookmarkStart w:id="240" w:name="_Toc287620699"/>
      <w:r>
        <w:rPr>
          <w:rFonts w:ascii="宋体" w:hAnsi="宋体"/>
          <w:b w:val="0"/>
          <w:snapToGrid w:val="0"/>
          <w:color w:val="auto"/>
          <w:highlight w:val="none"/>
        </w:rPr>
        <w:t>2.  招标文件</w:t>
      </w:r>
      <w:bookmarkEnd w:id="232"/>
      <w:bookmarkEnd w:id="233"/>
      <w:bookmarkEnd w:id="234"/>
      <w:bookmarkEnd w:id="235"/>
      <w:bookmarkEnd w:id="236"/>
      <w:bookmarkEnd w:id="237"/>
      <w:bookmarkEnd w:id="238"/>
      <w:bookmarkEnd w:id="239"/>
      <w:bookmarkEnd w:id="240"/>
    </w:p>
    <w:p w14:paraId="209C88BB">
      <w:pPr>
        <w:pStyle w:val="4"/>
        <w:snapToGrid w:val="0"/>
        <w:spacing w:before="0" w:after="0" w:line="360" w:lineRule="auto"/>
        <w:rPr>
          <w:rFonts w:ascii="宋体" w:hAnsi="宋体"/>
          <w:b w:val="0"/>
          <w:snapToGrid w:val="0"/>
          <w:color w:val="auto"/>
          <w:sz w:val="24"/>
          <w:szCs w:val="24"/>
          <w:highlight w:val="none"/>
        </w:rPr>
      </w:pPr>
      <w:bookmarkStart w:id="241" w:name="_Toc287620700"/>
      <w:bookmarkStart w:id="242" w:name="_Toc509218725"/>
      <w:bookmarkStart w:id="243" w:name="_Toc430530450"/>
      <w:bookmarkStart w:id="244" w:name="_Toc200513141"/>
      <w:bookmarkStart w:id="245" w:name="_Toc224103332"/>
      <w:bookmarkStart w:id="246" w:name="_Toc31696"/>
      <w:bookmarkStart w:id="247" w:name="_Toc287607761"/>
      <w:bookmarkStart w:id="248" w:name="_Toc57905845"/>
      <w:bookmarkStart w:id="249" w:name="_Toc277082567"/>
      <w:r>
        <w:rPr>
          <w:rFonts w:ascii="宋体" w:hAnsi="宋体"/>
          <w:b w:val="0"/>
          <w:snapToGrid w:val="0"/>
          <w:color w:val="auto"/>
          <w:sz w:val="24"/>
          <w:szCs w:val="24"/>
          <w:highlight w:val="none"/>
        </w:rPr>
        <w:t>2.1  招标文件的组成</w:t>
      </w:r>
      <w:bookmarkEnd w:id="241"/>
      <w:bookmarkEnd w:id="242"/>
      <w:bookmarkEnd w:id="243"/>
      <w:bookmarkEnd w:id="244"/>
      <w:bookmarkEnd w:id="245"/>
      <w:bookmarkEnd w:id="246"/>
      <w:bookmarkEnd w:id="247"/>
      <w:bookmarkEnd w:id="248"/>
      <w:bookmarkEnd w:id="249"/>
    </w:p>
    <w:p w14:paraId="6EAEB208">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本招标文件包括：</w:t>
      </w:r>
    </w:p>
    <w:p w14:paraId="7F2D4BD1">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（1）招标公告；</w:t>
      </w:r>
    </w:p>
    <w:p w14:paraId="2312F814">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（2）投标人须知；</w:t>
      </w:r>
    </w:p>
    <w:p w14:paraId="6A8735C9">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14:paraId="3EC77EEF">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14:paraId="65233E2B">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（5）工程量清单；</w:t>
      </w:r>
    </w:p>
    <w:p w14:paraId="26E3FBB6">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（6）图纸；</w:t>
      </w:r>
    </w:p>
    <w:p w14:paraId="79EB39BB">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（7）技术标准和要求；</w:t>
      </w:r>
    </w:p>
    <w:p w14:paraId="04E6E155">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（8）投标文件格式；</w:t>
      </w:r>
    </w:p>
    <w:p w14:paraId="5A128F37">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（9）投标人须知前附表规定的其他材料。</w:t>
      </w:r>
    </w:p>
    <w:p w14:paraId="28A5C84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根据本章第1.10款、第2.2款和第2.3款对招标文件所作的澄清、修改，构成招标文件的组成部分。</w:t>
      </w:r>
    </w:p>
    <w:p w14:paraId="69217082">
      <w:pPr>
        <w:pStyle w:val="4"/>
        <w:snapToGrid w:val="0"/>
        <w:spacing w:before="0" w:after="0" w:line="360" w:lineRule="auto"/>
        <w:rPr>
          <w:rFonts w:ascii="宋体" w:hAnsi="宋体"/>
          <w:b w:val="0"/>
          <w:snapToGrid w:val="0"/>
          <w:color w:val="auto"/>
          <w:sz w:val="24"/>
          <w:szCs w:val="24"/>
          <w:highlight w:val="none"/>
        </w:rPr>
      </w:pPr>
      <w:bookmarkStart w:id="250" w:name="_Toc430530451"/>
      <w:bookmarkStart w:id="251" w:name="_Toc23750"/>
      <w:bookmarkStart w:id="252" w:name="_Toc509218726"/>
      <w:bookmarkStart w:id="253" w:name="_Toc57905846"/>
      <w:r>
        <w:rPr>
          <w:rFonts w:ascii="宋体" w:hAnsi="宋体"/>
          <w:b w:val="0"/>
          <w:snapToGrid w:val="0"/>
          <w:color w:val="auto"/>
          <w:sz w:val="24"/>
          <w:szCs w:val="24"/>
          <w:highlight w:val="none"/>
        </w:rPr>
        <w:t>2.2  招标文件的澄清</w:t>
      </w:r>
      <w:bookmarkEnd w:id="250"/>
      <w:bookmarkEnd w:id="251"/>
      <w:bookmarkEnd w:id="252"/>
      <w:bookmarkEnd w:id="253"/>
    </w:p>
    <w:p w14:paraId="68F7F65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2.2.1  投标人应仔细阅读和检查招标文件的全部内容。如发现缺页或附件不全，应及时向招标人提出，以便补齐。如有疑问，应在投标人须知前附表规定的时间前</w:t>
      </w:r>
      <w:r>
        <w:rPr>
          <w:rFonts w:ascii="宋体" w:hAnsi="宋体"/>
          <w:color w:val="auto"/>
          <w:kern w:val="0"/>
          <w:szCs w:val="21"/>
          <w:highlight w:val="none"/>
        </w:rPr>
        <w:t>在</w:t>
      </w:r>
      <w:r>
        <w:rPr>
          <w:rFonts w:hint="eastAsia" w:ascii="宋体" w:hAnsi="宋体"/>
          <w:color w:val="auto"/>
          <w:kern w:val="0"/>
          <w:szCs w:val="21"/>
          <w:highlight w:val="none"/>
        </w:rPr>
        <w:t>相应法定网站提问</w:t>
      </w:r>
      <w:r>
        <w:rPr>
          <w:rFonts w:ascii="宋体" w:hAnsi="宋体"/>
          <w:snapToGrid w:val="0"/>
          <w:color w:val="auto"/>
          <w:kern w:val="0"/>
          <w:szCs w:val="21"/>
          <w:highlight w:val="none"/>
        </w:rPr>
        <w:t>，要求招标人对招标文件予以澄清。</w:t>
      </w:r>
    </w:p>
    <w:p w14:paraId="2B5B8044">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2.2.2  招标文件的澄清将在投标人须知前附表规定的投标截止时间15天前</w:t>
      </w:r>
      <w:r>
        <w:rPr>
          <w:rFonts w:ascii="宋体" w:hAnsi="宋体"/>
          <w:color w:val="auto"/>
          <w:kern w:val="0"/>
          <w:szCs w:val="21"/>
          <w:highlight w:val="none"/>
        </w:rPr>
        <w:t>在</w:t>
      </w:r>
      <w:r>
        <w:rPr>
          <w:rFonts w:hint="eastAsia" w:ascii="宋体" w:hAnsi="宋体"/>
          <w:color w:val="auto"/>
          <w:kern w:val="0"/>
          <w:szCs w:val="21"/>
          <w:highlight w:val="none"/>
        </w:rPr>
        <w:t>相应法定网站</w:t>
      </w:r>
      <w:r>
        <w:rPr>
          <w:rFonts w:ascii="宋体" w:hAnsi="宋体"/>
          <w:color w:val="auto"/>
          <w:kern w:val="0"/>
          <w:szCs w:val="21"/>
          <w:highlight w:val="none"/>
        </w:rPr>
        <w:t>发布，</w:t>
      </w:r>
      <w:r>
        <w:rPr>
          <w:rFonts w:ascii="宋体" w:hAnsi="宋体"/>
          <w:snapToGrid w:val="0"/>
          <w:color w:val="auto"/>
          <w:kern w:val="0"/>
          <w:szCs w:val="21"/>
          <w:highlight w:val="none"/>
        </w:rPr>
        <w:t>但不指明澄清问题的来源。如果澄清发出的时间距投标截止时间不足15天，相应延长投标截止时间。</w:t>
      </w:r>
    </w:p>
    <w:p w14:paraId="391AD5EC">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2.2.3  </w:t>
      </w:r>
      <w:r>
        <w:rPr>
          <w:rFonts w:ascii="宋体" w:hAnsi="宋体"/>
          <w:color w:val="auto"/>
          <w:kern w:val="0"/>
          <w:szCs w:val="21"/>
          <w:highlight w:val="none"/>
        </w:rPr>
        <w:t>招标人对招标文件的</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内容可能影响投标文件编制的，须在投标截止时间15日前发布，发布时间至投标截止时间不足15日的，须相应延后投标截止时间。</w:t>
      </w:r>
    </w:p>
    <w:p w14:paraId="78E265D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2.2.4  投标人对招标文件和澄清修改仍有</w:t>
      </w:r>
      <w:r>
        <w:rPr>
          <w:rFonts w:hint="eastAsia" w:ascii="宋体" w:hAnsi="宋体"/>
          <w:snapToGrid w:val="0"/>
          <w:color w:val="auto"/>
          <w:kern w:val="0"/>
          <w:position w:val="-2"/>
          <w:szCs w:val="21"/>
          <w:highlight w:val="none"/>
        </w:rPr>
        <w:t>异议</w:t>
      </w:r>
      <w:r>
        <w:rPr>
          <w:rFonts w:ascii="宋体" w:hAnsi="宋体"/>
          <w:snapToGrid w:val="0"/>
          <w:color w:val="auto"/>
          <w:kern w:val="0"/>
          <w:position w:val="-2"/>
          <w:szCs w:val="21"/>
          <w:highlight w:val="none"/>
        </w:rPr>
        <w:t>的，可于投标截止时间10日前，以书面形式通知招标</w:t>
      </w:r>
      <w:r>
        <w:rPr>
          <w:rFonts w:ascii="宋体" w:hAnsi="宋体"/>
          <w:snapToGrid w:val="0"/>
          <w:color w:val="auto"/>
          <w:kern w:val="0"/>
          <w:szCs w:val="21"/>
          <w:highlight w:val="none"/>
        </w:rPr>
        <w:t>人或招标代理机构。招标人应将答复以</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的形式</w:t>
      </w:r>
      <w:r>
        <w:rPr>
          <w:rFonts w:ascii="宋体" w:hAnsi="宋体"/>
          <w:color w:val="auto"/>
          <w:kern w:val="0"/>
          <w:szCs w:val="21"/>
          <w:highlight w:val="none"/>
        </w:rPr>
        <w:t>在</w:t>
      </w:r>
      <w:r>
        <w:rPr>
          <w:rFonts w:hint="eastAsia" w:ascii="宋体" w:hAnsi="宋体"/>
          <w:color w:val="auto"/>
          <w:kern w:val="0"/>
          <w:szCs w:val="21"/>
          <w:highlight w:val="none"/>
        </w:rPr>
        <w:t>相应法定网站</w:t>
      </w:r>
      <w:r>
        <w:rPr>
          <w:rFonts w:ascii="宋体" w:hAnsi="宋体"/>
          <w:color w:val="auto"/>
          <w:kern w:val="0"/>
          <w:szCs w:val="21"/>
          <w:highlight w:val="none"/>
        </w:rPr>
        <w:t>发布</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内容可能影响投标文件编制的，须在投标截止时间15日前发布，发布时间至投标截止时间不足15日的，须相应延后投标截止时间。</w:t>
      </w:r>
    </w:p>
    <w:p w14:paraId="035A3490">
      <w:pPr>
        <w:pStyle w:val="4"/>
        <w:snapToGrid w:val="0"/>
        <w:spacing w:before="0" w:after="0" w:line="360" w:lineRule="auto"/>
        <w:rPr>
          <w:rFonts w:ascii="宋体" w:hAnsi="宋体"/>
          <w:b w:val="0"/>
          <w:snapToGrid w:val="0"/>
          <w:color w:val="auto"/>
          <w:sz w:val="24"/>
          <w:szCs w:val="24"/>
          <w:highlight w:val="none"/>
        </w:rPr>
      </w:pPr>
      <w:bookmarkStart w:id="254" w:name="_Toc27922"/>
      <w:bookmarkStart w:id="255" w:name="_Toc277082569"/>
      <w:bookmarkStart w:id="256" w:name="_Toc287620702"/>
      <w:bookmarkStart w:id="257" w:name="_Toc224103334"/>
      <w:bookmarkStart w:id="258" w:name="_Toc200513143"/>
      <w:bookmarkStart w:id="259" w:name="_Toc430530452"/>
      <w:bookmarkStart w:id="260" w:name="_Toc287607763"/>
      <w:bookmarkStart w:id="261" w:name="_Toc509218727"/>
      <w:bookmarkStart w:id="262" w:name="_Toc57905847"/>
      <w:r>
        <w:rPr>
          <w:rFonts w:ascii="宋体" w:hAnsi="宋体"/>
          <w:b w:val="0"/>
          <w:snapToGrid w:val="0"/>
          <w:color w:val="auto"/>
          <w:sz w:val="24"/>
          <w:szCs w:val="24"/>
          <w:highlight w:val="none"/>
        </w:rPr>
        <w:t>2.3  招标文件的修改</w:t>
      </w:r>
      <w:bookmarkEnd w:id="254"/>
      <w:bookmarkEnd w:id="255"/>
      <w:bookmarkEnd w:id="256"/>
      <w:bookmarkEnd w:id="257"/>
      <w:bookmarkEnd w:id="258"/>
      <w:bookmarkEnd w:id="259"/>
      <w:bookmarkEnd w:id="260"/>
      <w:bookmarkEnd w:id="261"/>
      <w:bookmarkEnd w:id="262"/>
    </w:p>
    <w:p w14:paraId="0B888AA3">
      <w:pPr>
        <w:autoSpaceDE w:val="0"/>
        <w:autoSpaceDN w:val="0"/>
        <w:adjustRightInd w:val="0"/>
        <w:snapToGrid w:val="0"/>
        <w:spacing w:line="360" w:lineRule="auto"/>
        <w:ind w:firstLine="420"/>
        <w:rPr>
          <w:rFonts w:ascii="宋体" w:hAnsi="宋体"/>
          <w:snapToGrid w:val="0"/>
          <w:color w:val="auto"/>
          <w:highlight w:val="none"/>
        </w:rPr>
      </w:pPr>
      <w:bookmarkStart w:id="263" w:name="_Toc287620703"/>
      <w:bookmarkStart w:id="264" w:name="_Toc287607764"/>
      <w:bookmarkStart w:id="265" w:name="_Toc224103335"/>
      <w:bookmarkStart w:id="266" w:name="_Toc200513144"/>
      <w:bookmarkStart w:id="267" w:name="_Toc277082570"/>
      <w:r>
        <w:rPr>
          <w:rFonts w:ascii="宋体" w:hAnsi="宋体"/>
          <w:snapToGrid w:val="0"/>
          <w:color w:val="auto"/>
          <w:highlight w:val="none"/>
        </w:rPr>
        <w:t>按照本章</w:t>
      </w:r>
      <w:r>
        <w:rPr>
          <w:rFonts w:hint="eastAsia" w:ascii="宋体" w:hAnsi="宋体"/>
          <w:snapToGrid w:val="0"/>
          <w:color w:val="auto"/>
          <w:highlight w:val="none"/>
        </w:rPr>
        <w:t>第</w:t>
      </w:r>
      <w:r>
        <w:rPr>
          <w:rFonts w:ascii="宋体" w:hAnsi="宋体"/>
          <w:snapToGrid w:val="0"/>
          <w:color w:val="auto"/>
          <w:highlight w:val="none"/>
        </w:rPr>
        <w:t>2.2</w:t>
      </w:r>
      <w:r>
        <w:rPr>
          <w:rFonts w:hint="eastAsia" w:ascii="宋体" w:hAnsi="宋体"/>
          <w:snapToGrid w:val="0"/>
          <w:color w:val="auto"/>
          <w:highlight w:val="none"/>
        </w:rPr>
        <w:t>款</w:t>
      </w:r>
      <w:r>
        <w:rPr>
          <w:rFonts w:ascii="宋体" w:hAnsi="宋体"/>
          <w:snapToGrid w:val="0"/>
          <w:color w:val="auto"/>
          <w:highlight w:val="none"/>
        </w:rPr>
        <w:t>招标文件的澄清相关内容及方式执行。</w:t>
      </w:r>
    </w:p>
    <w:p w14:paraId="0E886006">
      <w:pPr>
        <w:pStyle w:val="3"/>
        <w:spacing w:before="0" w:after="0" w:line="360" w:lineRule="auto"/>
        <w:rPr>
          <w:rFonts w:ascii="宋体" w:hAnsi="宋体"/>
          <w:b w:val="0"/>
          <w:snapToGrid w:val="0"/>
          <w:color w:val="auto"/>
          <w:highlight w:val="none"/>
        </w:rPr>
      </w:pPr>
      <w:bookmarkStart w:id="268" w:name="_Toc509218728"/>
      <w:bookmarkStart w:id="269" w:name="_Toc57905848"/>
      <w:bookmarkStart w:id="270" w:name="_Toc430530453"/>
      <w:bookmarkStart w:id="271" w:name="_Toc14543"/>
      <w:r>
        <w:rPr>
          <w:rFonts w:ascii="宋体" w:hAnsi="宋体"/>
          <w:b w:val="0"/>
          <w:snapToGrid w:val="0"/>
          <w:color w:val="auto"/>
          <w:highlight w:val="none"/>
        </w:rPr>
        <w:t>3.  投标文件</w:t>
      </w:r>
      <w:bookmarkEnd w:id="263"/>
      <w:bookmarkEnd w:id="264"/>
      <w:bookmarkEnd w:id="265"/>
      <w:bookmarkEnd w:id="266"/>
      <w:bookmarkEnd w:id="267"/>
      <w:bookmarkEnd w:id="268"/>
      <w:bookmarkEnd w:id="269"/>
      <w:bookmarkEnd w:id="270"/>
      <w:bookmarkEnd w:id="271"/>
    </w:p>
    <w:p w14:paraId="01755E67">
      <w:pPr>
        <w:pStyle w:val="4"/>
        <w:snapToGrid w:val="0"/>
        <w:spacing w:before="0" w:after="0" w:line="360" w:lineRule="auto"/>
        <w:rPr>
          <w:rFonts w:ascii="宋体" w:hAnsi="宋体"/>
          <w:b w:val="0"/>
          <w:snapToGrid w:val="0"/>
          <w:color w:val="auto"/>
          <w:sz w:val="24"/>
          <w:szCs w:val="24"/>
          <w:highlight w:val="none"/>
        </w:rPr>
      </w:pPr>
      <w:bookmarkStart w:id="272" w:name="_Toc430530454"/>
      <w:bookmarkStart w:id="273" w:name="_Toc8482"/>
      <w:bookmarkStart w:id="274" w:name="_Toc287620704"/>
      <w:bookmarkStart w:id="275" w:name="_Toc287607765"/>
      <w:bookmarkStart w:id="276" w:name="_Toc57905849"/>
      <w:bookmarkStart w:id="277" w:name="_Toc224103336"/>
      <w:bookmarkStart w:id="278" w:name="_Toc509218729"/>
      <w:bookmarkStart w:id="279" w:name="_Toc277082571"/>
      <w:bookmarkStart w:id="280" w:name="_Toc200513145"/>
      <w:r>
        <w:rPr>
          <w:rFonts w:ascii="宋体" w:hAnsi="宋体"/>
          <w:b w:val="0"/>
          <w:snapToGrid w:val="0"/>
          <w:color w:val="auto"/>
          <w:sz w:val="24"/>
          <w:szCs w:val="24"/>
          <w:highlight w:val="none"/>
        </w:rPr>
        <w:t>3.1  投标文件的组成</w:t>
      </w:r>
      <w:bookmarkEnd w:id="272"/>
      <w:bookmarkEnd w:id="273"/>
      <w:bookmarkEnd w:id="274"/>
      <w:bookmarkEnd w:id="275"/>
      <w:bookmarkEnd w:id="276"/>
      <w:bookmarkEnd w:id="277"/>
      <w:bookmarkEnd w:id="278"/>
      <w:bookmarkEnd w:id="279"/>
      <w:bookmarkEnd w:id="280"/>
    </w:p>
    <w:p w14:paraId="4798158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3.1.1 投标文件应包括下列内容：</w:t>
      </w:r>
    </w:p>
    <w:p w14:paraId="6D14691B">
      <w:pPr>
        <w:spacing w:line="360" w:lineRule="auto"/>
        <w:ind w:firstLine="420" w:firstLineChars="200"/>
        <w:rPr>
          <w:rFonts w:ascii="宋体" w:hAnsi="宋体"/>
          <w:color w:val="auto"/>
          <w:highlight w:val="none"/>
        </w:rPr>
      </w:pPr>
      <w:r>
        <w:rPr>
          <w:rFonts w:hint="eastAsia" w:ascii="宋体" w:hAnsi="宋体"/>
          <w:color w:val="auto"/>
          <w:highlight w:val="none"/>
        </w:rPr>
        <w:t>3.1.1.2投标函部分</w:t>
      </w:r>
    </w:p>
    <w:p w14:paraId="5CB7E7D9">
      <w:pPr>
        <w:spacing w:line="360" w:lineRule="auto"/>
        <w:ind w:firstLine="420" w:firstLineChars="200"/>
        <w:rPr>
          <w:rFonts w:ascii="宋体" w:hAnsi="宋体"/>
          <w:color w:val="auto"/>
          <w:highlight w:val="none"/>
        </w:rPr>
      </w:pPr>
      <w:r>
        <w:rPr>
          <w:rFonts w:hint="eastAsia" w:ascii="宋体" w:hAnsi="宋体"/>
          <w:color w:val="auto"/>
          <w:highlight w:val="none"/>
        </w:rPr>
        <w:t>（1）投标函</w:t>
      </w:r>
    </w:p>
    <w:p w14:paraId="7D90E07C">
      <w:pPr>
        <w:spacing w:line="360" w:lineRule="auto"/>
        <w:ind w:firstLine="420" w:firstLineChars="200"/>
        <w:rPr>
          <w:rFonts w:ascii="宋体" w:hAnsi="宋体"/>
          <w:color w:val="auto"/>
          <w:highlight w:val="none"/>
        </w:rPr>
      </w:pPr>
      <w:r>
        <w:rPr>
          <w:rFonts w:hint="eastAsia" w:ascii="宋体" w:hAnsi="宋体"/>
          <w:color w:val="auto"/>
          <w:highlight w:val="none"/>
        </w:rPr>
        <w:t>（2）投标函附录</w:t>
      </w:r>
    </w:p>
    <w:p w14:paraId="4F41B386">
      <w:pPr>
        <w:spacing w:line="360" w:lineRule="auto"/>
        <w:ind w:firstLine="420" w:firstLineChars="200"/>
        <w:rPr>
          <w:rFonts w:ascii="宋体" w:hAnsi="宋体"/>
          <w:color w:val="auto"/>
          <w:highlight w:val="none"/>
        </w:rPr>
      </w:pPr>
      <w:r>
        <w:rPr>
          <w:rFonts w:hint="eastAsia" w:ascii="宋体" w:hAnsi="宋体"/>
          <w:color w:val="auto"/>
          <w:highlight w:val="none"/>
        </w:rPr>
        <w:t>（3）法定代表人身份证明或附有法定代表人身份证明的授权委托书</w:t>
      </w:r>
    </w:p>
    <w:p w14:paraId="00D45470">
      <w:pPr>
        <w:spacing w:line="360" w:lineRule="auto"/>
        <w:ind w:firstLine="420" w:firstLineChars="200"/>
        <w:rPr>
          <w:rFonts w:ascii="宋体" w:hAnsi="宋体"/>
          <w:color w:val="auto"/>
          <w:highlight w:val="none"/>
        </w:rPr>
      </w:pPr>
      <w:r>
        <w:rPr>
          <w:rFonts w:hint="eastAsia" w:ascii="宋体" w:hAnsi="宋体"/>
          <w:color w:val="auto"/>
          <w:highlight w:val="none"/>
        </w:rPr>
        <w:t>3.1.1.3经济部分</w:t>
      </w:r>
    </w:p>
    <w:p w14:paraId="03CCECE8">
      <w:pPr>
        <w:spacing w:line="360" w:lineRule="auto"/>
        <w:ind w:firstLine="420" w:firstLineChars="200"/>
        <w:rPr>
          <w:rFonts w:ascii="宋体" w:hAnsi="宋体"/>
          <w:color w:val="auto"/>
          <w:highlight w:val="none"/>
        </w:rPr>
      </w:pPr>
      <w:r>
        <w:rPr>
          <w:rFonts w:hint="eastAsia" w:ascii="宋体" w:hAnsi="宋体"/>
          <w:color w:val="auto"/>
          <w:highlight w:val="none"/>
        </w:rPr>
        <w:t>（1）已标价工程量清单</w:t>
      </w:r>
    </w:p>
    <w:p w14:paraId="62688DEE">
      <w:pPr>
        <w:spacing w:line="360" w:lineRule="auto"/>
        <w:ind w:firstLine="420" w:firstLineChars="200"/>
        <w:rPr>
          <w:rFonts w:ascii="宋体" w:hAnsi="宋体"/>
          <w:color w:val="auto"/>
          <w:highlight w:val="none"/>
        </w:rPr>
      </w:pPr>
      <w:r>
        <w:rPr>
          <w:rFonts w:hint="eastAsia" w:ascii="宋体" w:hAnsi="宋体"/>
          <w:color w:val="auto"/>
          <w:highlight w:val="none"/>
        </w:rPr>
        <w:t>3.1.1.4技术部分3.1.1.5资格审查部分</w:t>
      </w:r>
    </w:p>
    <w:p w14:paraId="628CF8EE">
      <w:pPr>
        <w:spacing w:line="360" w:lineRule="auto"/>
        <w:ind w:firstLine="420" w:firstLineChars="200"/>
        <w:rPr>
          <w:rFonts w:ascii="宋体" w:hAnsi="宋体"/>
          <w:color w:val="auto"/>
          <w:highlight w:val="none"/>
        </w:rPr>
      </w:pPr>
      <w:r>
        <w:rPr>
          <w:rFonts w:hint="eastAsia" w:ascii="宋体" w:hAnsi="宋体"/>
          <w:color w:val="auto"/>
          <w:highlight w:val="none"/>
        </w:rPr>
        <w:t>（1）法定代表人身份证明或附有法定代表人身份证明的授权委托书</w:t>
      </w:r>
    </w:p>
    <w:p w14:paraId="0F7B5D94">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2</w:t>
      </w:r>
      <w:r>
        <w:rPr>
          <w:rFonts w:hint="eastAsia" w:ascii="宋体" w:hAnsi="宋体"/>
          <w:color w:val="auto"/>
          <w:highlight w:val="none"/>
        </w:rPr>
        <w:t>）投标人基本情况表</w:t>
      </w:r>
    </w:p>
    <w:p w14:paraId="2D27EB33">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）项目管理机构</w:t>
      </w:r>
    </w:p>
    <w:p w14:paraId="3834A636">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4</w:t>
      </w:r>
      <w:r>
        <w:rPr>
          <w:rFonts w:hint="eastAsia" w:ascii="宋体" w:hAnsi="宋体"/>
          <w:color w:val="auto"/>
          <w:highlight w:val="none"/>
        </w:rPr>
        <w:t>）类似项目情况表</w:t>
      </w:r>
    </w:p>
    <w:p w14:paraId="5424D090">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5</w:t>
      </w:r>
      <w:r>
        <w:rPr>
          <w:rFonts w:hint="eastAsia" w:ascii="宋体" w:hAnsi="宋体"/>
          <w:color w:val="auto"/>
          <w:highlight w:val="none"/>
        </w:rPr>
        <w:t>）承诺</w:t>
      </w:r>
    </w:p>
    <w:p w14:paraId="0C803306">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6</w:t>
      </w:r>
      <w:r>
        <w:rPr>
          <w:rFonts w:hint="eastAsia" w:ascii="宋体" w:hAnsi="宋体"/>
          <w:color w:val="auto"/>
          <w:highlight w:val="none"/>
        </w:rPr>
        <w:t>）其他资料</w:t>
      </w:r>
    </w:p>
    <w:p w14:paraId="5311A7B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3.1.2  投标人须知前附表规定不接受联合体投标的，或投标人没有组成联合体的，投标文件不包括联合体协议书。</w:t>
      </w:r>
    </w:p>
    <w:p w14:paraId="1A39E508">
      <w:pPr>
        <w:pStyle w:val="4"/>
        <w:snapToGrid w:val="0"/>
        <w:spacing w:before="0" w:after="0" w:line="360" w:lineRule="auto"/>
        <w:rPr>
          <w:rFonts w:ascii="宋体" w:hAnsi="宋体"/>
          <w:b w:val="0"/>
          <w:snapToGrid w:val="0"/>
          <w:color w:val="auto"/>
          <w:sz w:val="24"/>
          <w:szCs w:val="24"/>
          <w:highlight w:val="none"/>
        </w:rPr>
      </w:pPr>
      <w:bookmarkStart w:id="281" w:name="_Toc57905850"/>
      <w:bookmarkStart w:id="282" w:name="_Toc277082572"/>
      <w:bookmarkStart w:id="283" w:name="_Toc287620705"/>
      <w:bookmarkStart w:id="284" w:name="_Toc224103337"/>
      <w:bookmarkStart w:id="285" w:name="_Toc509218730"/>
      <w:bookmarkStart w:id="286" w:name="_Toc430530455"/>
      <w:bookmarkStart w:id="287" w:name="_Toc11028"/>
      <w:bookmarkStart w:id="288" w:name="_Toc200513146"/>
      <w:bookmarkStart w:id="289" w:name="_Toc287607766"/>
      <w:r>
        <w:rPr>
          <w:rFonts w:ascii="宋体" w:hAnsi="宋体"/>
          <w:b w:val="0"/>
          <w:snapToGrid w:val="0"/>
          <w:color w:val="auto"/>
          <w:sz w:val="24"/>
          <w:szCs w:val="24"/>
          <w:highlight w:val="none"/>
        </w:rPr>
        <w:t>3.2  投标报价</w:t>
      </w:r>
      <w:bookmarkEnd w:id="281"/>
      <w:bookmarkEnd w:id="282"/>
      <w:bookmarkEnd w:id="283"/>
      <w:bookmarkEnd w:id="284"/>
      <w:bookmarkEnd w:id="285"/>
      <w:bookmarkEnd w:id="286"/>
      <w:bookmarkEnd w:id="287"/>
      <w:bookmarkEnd w:id="288"/>
      <w:bookmarkEnd w:id="289"/>
    </w:p>
    <w:p w14:paraId="1BD04F7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3.2.1  投标人应按第五章“工程量清单”的要求填写相应表格。</w:t>
      </w:r>
    </w:p>
    <w:p w14:paraId="1E1436D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投标人在投标截止时间前修改投标函中的投标总报价，应同时修改第五章“工程量清单”中的相应报价。此修改须符合本章第 4.3 款的有关要求。</w:t>
      </w:r>
    </w:p>
    <w:p w14:paraId="5E9041D3">
      <w:pPr>
        <w:pStyle w:val="4"/>
        <w:snapToGrid w:val="0"/>
        <w:spacing w:before="0" w:after="0" w:line="360" w:lineRule="auto"/>
        <w:rPr>
          <w:rFonts w:ascii="宋体" w:hAnsi="宋体"/>
          <w:b w:val="0"/>
          <w:snapToGrid w:val="0"/>
          <w:color w:val="auto"/>
          <w:sz w:val="24"/>
          <w:szCs w:val="24"/>
          <w:highlight w:val="none"/>
        </w:rPr>
      </w:pPr>
      <w:bookmarkStart w:id="290" w:name="_Toc287620706"/>
      <w:bookmarkStart w:id="291" w:name="_Toc4304"/>
      <w:bookmarkStart w:id="292" w:name="_Toc57905851"/>
      <w:bookmarkStart w:id="293" w:name="_Toc287607767"/>
      <w:bookmarkStart w:id="294" w:name="_Toc224103338"/>
      <w:bookmarkStart w:id="295" w:name="_Toc200513147"/>
      <w:bookmarkStart w:id="296" w:name="_Toc277082573"/>
      <w:bookmarkStart w:id="297" w:name="_Toc430530456"/>
      <w:bookmarkStart w:id="298" w:name="_Toc509218731"/>
      <w:r>
        <w:rPr>
          <w:rFonts w:ascii="宋体" w:hAnsi="宋体"/>
          <w:b w:val="0"/>
          <w:snapToGrid w:val="0"/>
          <w:color w:val="auto"/>
          <w:sz w:val="24"/>
          <w:szCs w:val="24"/>
          <w:highlight w:val="none"/>
        </w:rPr>
        <w:t>3.3  投标有效期</w:t>
      </w:r>
      <w:bookmarkEnd w:id="290"/>
      <w:bookmarkEnd w:id="291"/>
      <w:bookmarkEnd w:id="292"/>
      <w:bookmarkEnd w:id="293"/>
      <w:bookmarkEnd w:id="294"/>
      <w:bookmarkEnd w:id="295"/>
      <w:bookmarkEnd w:id="296"/>
      <w:bookmarkEnd w:id="297"/>
      <w:bookmarkEnd w:id="298"/>
    </w:p>
    <w:p w14:paraId="124AAE05">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3.3.1  在投标人须知前附表规定的投标有效期内，投标人不得要求撤销或修改其投标文件。</w:t>
      </w:r>
    </w:p>
    <w:p w14:paraId="4C42D157">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3.3.2  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hint="eastAsia" w:ascii="宋体" w:hAnsi="宋体"/>
          <w:snapToGrid w:val="0"/>
          <w:color w:val="auto"/>
          <w:kern w:val="0"/>
          <w:szCs w:val="21"/>
          <w:highlight w:val="none"/>
        </w:rPr>
        <w:t>（适用于投标保证金采用投标保函形式的）</w:t>
      </w:r>
    </w:p>
    <w:p w14:paraId="2E21DB92">
      <w:pPr>
        <w:autoSpaceDE w:val="0"/>
        <w:autoSpaceDN w:val="0"/>
        <w:adjustRightInd w:val="0"/>
        <w:snapToGrid w:val="0"/>
        <w:spacing w:line="360" w:lineRule="auto"/>
        <w:ind w:firstLine="42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14:paraId="526CA1E6">
      <w:pPr>
        <w:pStyle w:val="4"/>
        <w:keepNext w:val="0"/>
        <w:keepLines w:val="0"/>
        <w:snapToGrid w:val="0"/>
        <w:spacing w:before="0" w:after="0" w:line="360" w:lineRule="auto"/>
        <w:rPr>
          <w:rFonts w:ascii="宋体" w:hAnsi="宋体"/>
          <w:b w:val="0"/>
          <w:snapToGrid w:val="0"/>
          <w:color w:val="auto"/>
          <w:sz w:val="24"/>
          <w:szCs w:val="24"/>
          <w:highlight w:val="none"/>
        </w:rPr>
      </w:pPr>
      <w:bookmarkStart w:id="299" w:name="_Toc200513148"/>
      <w:bookmarkStart w:id="300" w:name="_Toc277082574"/>
      <w:bookmarkStart w:id="301" w:name="_Toc287620707"/>
      <w:bookmarkStart w:id="302" w:name="_Toc287607768"/>
      <w:bookmarkStart w:id="303" w:name="_Toc224103339"/>
      <w:bookmarkStart w:id="304" w:name="_Toc509218732"/>
      <w:bookmarkStart w:id="305" w:name="_Toc430530457"/>
      <w:bookmarkStart w:id="306" w:name="_Toc1366"/>
      <w:bookmarkStart w:id="307" w:name="_Toc57905852"/>
      <w:r>
        <w:rPr>
          <w:rFonts w:ascii="宋体" w:hAnsi="宋体"/>
          <w:b w:val="0"/>
          <w:snapToGrid w:val="0"/>
          <w:color w:val="auto"/>
          <w:sz w:val="24"/>
          <w:szCs w:val="24"/>
          <w:highlight w:val="none"/>
        </w:rPr>
        <w:t xml:space="preserve">3.4  </w:t>
      </w:r>
      <w:bookmarkEnd w:id="299"/>
      <w:bookmarkEnd w:id="300"/>
      <w:bookmarkEnd w:id="301"/>
      <w:bookmarkEnd w:id="302"/>
      <w:bookmarkEnd w:id="303"/>
      <w:bookmarkEnd w:id="304"/>
      <w:bookmarkEnd w:id="305"/>
      <w:r>
        <w:rPr>
          <w:rFonts w:ascii="宋体" w:hAnsi="宋体"/>
          <w:b w:val="0"/>
          <w:snapToGrid w:val="0"/>
          <w:color w:val="auto"/>
          <w:sz w:val="24"/>
          <w:szCs w:val="24"/>
          <w:highlight w:val="none"/>
        </w:rPr>
        <w:t>投标</w:t>
      </w:r>
      <w:bookmarkEnd w:id="306"/>
      <w:r>
        <w:rPr>
          <w:rFonts w:hint="eastAsia" w:ascii="宋体" w:hAnsi="宋体"/>
          <w:b w:val="0"/>
          <w:snapToGrid w:val="0"/>
          <w:color w:val="auto"/>
          <w:sz w:val="24"/>
          <w:szCs w:val="24"/>
          <w:highlight w:val="none"/>
        </w:rPr>
        <w:t>保证金</w:t>
      </w:r>
      <w:bookmarkEnd w:id="307"/>
    </w:p>
    <w:p w14:paraId="6DB9496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3.4.1  投标人在递交投标文件的同时，应按投标人须知前附表的规定递交投标保证金，并作为其投标文件的组成部分。联合体投标的，其投标保证金由牵头人递交，并应符合投标人须知前附表的规定。</w:t>
      </w:r>
    </w:p>
    <w:p w14:paraId="3536AD9B">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3.4.2  投标人不按本章第 3.4.1 项要求提交投标保证金的，其投标文件作否决投标处理。</w:t>
      </w:r>
    </w:p>
    <w:p w14:paraId="3770AC5E">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3.4.3  投标</w:t>
      </w:r>
      <w:r>
        <w:rPr>
          <w:rFonts w:ascii="宋体" w:hAnsi="宋体"/>
          <w:snapToGrid w:val="0"/>
          <w:color w:val="auto"/>
          <w:kern w:val="0"/>
          <w:position w:val="-2"/>
          <w:szCs w:val="21"/>
          <w:highlight w:val="none"/>
        </w:rPr>
        <w:t>保证金（投标保函）</w:t>
      </w:r>
      <w:r>
        <w:rPr>
          <w:rFonts w:ascii="宋体" w:hAnsi="宋体"/>
          <w:snapToGrid w:val="0"/>
          <w:color w:val="auto"/>
          <w:kern w:val="0"/>
          <w:szCs w:val="21"/>
          <w:highlight w:val="none"/>
        </w:rPr>
        <w:t>退还：见投标人须知前附表</w:t>
      </w:r>
      <w:r>
        <w:rPr>
          <w:rFonts w:ascii="宋体" w:hAnsi="宋体"/>
          <w:snapToGrid w:val="0"/>
          <w:color w:val="auto"/>
          <w:kern w:val="0"/>
          <w:position w:val="-2"/>
          <w:szCs w:val="21"/>
          <w:highlight w:val="none"/>
        </w:rPr>
        <w:t>。</w:t>
      </w:r>
    </w:p>
    <w:p w14:paraId="56A8E23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有下列情形之一的，投标保证金将不予退还：</w:t>
      </w:r>
    </w:p>
    <w:p w14:paraId="5967077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（1）投标人在规定的投标有效期内撤销或修改其投标文件；</w:t>
      </w:r>
    </w:p>
    <w:p w14:paraId="3891091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color w:val="auto"/>
          <w:kern w:val="0"/>
          <w:szCs w:val="21"/>
          <w:highlight w:val="none"/>
        </w:rPr>
        <w:t>中标人在收到中标通知书后，无正当理由不与招标人订立合同，在签订合同时向招标人提出附加条件，或者不按照招标文件要求提交履约保证金</w:t>
      </w:r>
      <w:r>
        <w:rPr>
          <w:rFonts w:ascii="宋体" w:hAnsi="宋体"/>
          <w:snapToGrid w:val="0"/>
          <w:color w:val="auto"/>
          <w:kern w:val="0"/>
          <w:szCs w:val="21"/>
          <w:highlight w:val="none"/>
        </w:rPr>
        <w:t>；</w:t>
      </w:r>
    </w:p>
    <w:p w14:paraId="48217D18">
      <w:pPr>
        <w:autoSpaceDE w:val="0"/>
        <w:autoSpaceDN w:val="0"/>
        <w:adjustRightInd w:val="0"/>
        <w:snapToGrid w:val="0"/>
        <w:spacing w:line="360" w:lineRule="auto"/>
        <w:ind w:firstLine="420" w:firstLineChars="200"/>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lang w:eastAsia="zh-CN"/>
        </w:rPr>
        <w:t>）</w:t>
      </w:r>
      <w:r>
        <w:rPr>
          <w:rFonts w:hint="eastAsia" w:ascii="宋体" w:hAnsi="宋体"/>
          <w:color w:val="auto"/>
          <w:kern w:val="0"/>
          <w:szCs w:val="21"/>
          <w:highlight w:val="none"/>
        </w:rPr>
        <w:t>中标人</w:t>
      </w:r>
      <w:r>
        <w:rPr>
          <w:rFonts w:hint="eastAsia" w:ascii="宋体" w:hAnsi="宋体"/>
          <w:color w:val="auto"/>
          <w:kern w:val="0"/>
          <w:szCs w:val="21"/>
          <w:highlight w:val="none"/>
          <w:lang w:eastAsia="zh-CN"/>
        </w:rPr>
        <w:t>（或拟中标人）</w:t>
      </w:r>
      <w:r>
        <w:rPr>
          <w:rFonts w:hint="eastAsia" w:ascii="宋体" w:hAnsi="宋体"/>
          <w:color w:val="auto"/>
          <w:kern w:val="0"/>
          <w:szCs w:val="21"/>
          <w:highlight w:val="none"/>
        </w:rPr>
        <w:t>拒不提供或者不按时提供低价风险担保（适用于经评审的最低投标价法）</w:t>
      </w:r>
      <w:r>
        <w:rPr>
          <w:rFonts w:hint="eastAsia" w:ascii="宋体" w:hAnsi="宋体"/>
          <w:color w:val="auto"/>
          <w:kern w:val="0"/>
          <w:szCs w:val="21"/>
          <w:highlight w:val="none"/>
          <w:lang w:eastAsia="zh-CN"/>
        </w:rPr>
        <w:t>；</w:t>
      </w:r>
    </w:p>
    <w:p w14:paraId="19B134D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）违反本章</w:t>
      </w:r>
      <w:r>
        <w:rPr>
          <w:rFonts w:hint="eastAsia" w:ascii="宋体" w:hAnsi="宋体"/>
          <w:snapToGrid w:val="0"/>
          <w:color w:val="auto"/>
          <w:kern w:val="0"/>
          <w:szCs w:val="21"/>
          <w:highlight w:val="none"/>
        </w:rPr>
        <w:t>第</w:t>
      </w:r>
      <w:r>
        <w:rPr>
          <w:rFonts w:ascii="宋体" w:hAnsi="宋体"/>
          <w:snapToGrid w:val="0"/>
          <w:color w:val="auto"/>
          <w:kern w:val="0"/>
          <w:szCs w:val="21"/>
          <w:highlight w:val="none"/>
        </w:rPr>
        <w:t>9.2</w:t>
      </w:r>
      <w:r>
        <w:rPr>
          <w:rFonts w:hint="eastAsia" w:ascii="宋体" w:hAnsi="宋体"/>
          <w:snapToGrid w:val="0"/>
          <w:color w:val="auto"/>
          <w:kern w:val="0"/>
          <w:szCs w:val="21"/>
          <w:highlight w:val="none"/>
        </w:rPr>
        <w:t>款</w:t>
      </w:r>
      <w:r>
        <w:rPr>
          <w:rFonts w:ascii="宋体" w:hAnsi="宋体"/>
          <w:snapToGrid w:val="0"/>
          <w:color w:val="auto"/>
          <w:kern w:val="0"/>
          <w:szCs w:val="21"/>
          <w:highlight w:val="none"/>
        </w:rPr>
        <w:t>对投标人的纪律要求的；</w:t>
      </w:r>
    </w:p>
    <w:p w14:paraId="585F125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）法律法规规定的其他情形。</w:t>
      </w:r>
    </w:p>
    <w:p w14:paraId="4B5B7784">
      <w:pPr>
        <w:tabs>
          <w:tab w:val="left" w:pos="611"/>
          <w:tab w:val="left" w:pos="669"/>
        </w:tabs>
        <w:snapToGrid w:val="0"/>
        <w:spacing w:line="360" w:lineRule="auto"/>
        <w:ind w:firstLine="420" w:firstLineChars="200"/>
        <w:rPr>
          <w:rFonts w:ascii="宋体" w:hAnsi="宋体"/>
          <w:color w:val="auto"/>
          <w:kern w:val="0"/>
          <w:highlight w:val="none"/>
        </w:rPr>
      </w:pPr>
      <w:r>
        <w:rPr>
          <w:rFonts w:ascii="宋体" w:hAnsi="宋体"/>
          <w:snapToGrid w:val="0"/>
          <w:color w:val="auto"/>
          <w:kern w:val="0"/>
          <w:szCs w:val="21"/>
          <w:highlight w:val="none"/>
        </w:rPr>
        <w:t>3.4.5</w:t>
      </w:r>
      <w:r>
        <w:rPr>
          <w:rFonts w:ascii="宋体" w:hAnsi="宋体"/>
          <w:color w:val="auto"/>
          <w:kern w:val="0"/>
          <w:highlight w:val="none"/>
        </w:rPr>
        <w:t>（1）投标保证金为无条件担保；</w:t>
      </w:r>
    </w:p>
    <w:p w14:paraId="6CF5AFD7">
      <w:pPr>
        <w:tabs>
          <w:tab w:val="left" w:pos="611"/>
          <w:tab w:val="left" w:pos="669"/>
        </w:tabs>
        <w:snapToGrid w:val="0"/>
        <w:spacing w:line="360" w:lineRule="auto"/>
        <w:ind w:firstLine="945" w:firstLineChars="450"/>
        <w:rPr>
          <w:rFonts w:ascii="宋体" w:hAnsi="宋体"/>
          <w:color w:val="auto"/>
          <w:kern w:val="0"/>
          <w:highlight w:val="none"/>
        </w:rPr>
      </w:pPr>
      <w:r>
        <w:rPr>
          <w:rFonts w:ascii="宋体" w:hAnsi="宋体"/>
          <w:color w:val="auto"/>
          <w:kern w:val="0"/>
          <w:highlight w:val="none"/>
        </w:rPr>
        <w:t>（2）投标保证金的受益人为招标人</w:t>
      </w:r>
      <w:r>
        <w:rPr>
          <w:rFonts w:hint="eastAsia" w:ascii="宋体" w:hAnsi="宋体"/>
          <w:color w:val="auto"/>
          <w:kern w:val="0"/>
          <w:highlight w:val="none"/>
        </w:rPr>
        <w:t>。</w:t>
      </w:r>
    </w:p>
    <w:p w14:paraId="597AAF5D">
      <w:pPr>
        <w:pStyle w:val="4"/>
        <w:keepNext w:val="0"/>
        <w:keepLines w:val="0"/>
        <w:snapToGrid w:val="0"/>
        <w:spacing w:before="0" w:after="0" w:line="360" w:lineRule="auto"/>
        <w:rPr>
          <w:rFonts w:ascii="宋体" w:hAnsi="宋体"/>
          <w:b w:val="0"/>
          <w:snapToGrid w:val="0"/>
          <w:color w:val="auto"/>
          <w:sz w:val="24"/>
          <w:szCs w:val="24"/>
          <w:highlight w:val="none"/>
        </w:rPr>
      </w:pPr>
      <w:bookmarkStart w:id="308" w:name="_Toc57905854"/>
      <w:bookmarkStart w:id="309" w:name="_Toc287620709"/>
      <w:bookmarkStart w:id="310" w:name="_Toc430530459"/>
      <w:bookmarkStart w:id="311" w:name="_Toc16639"/>
      <w:bookmarkStart w:id="312" w:name="_Toc509218734"/>
      <w:bookmarkStart w:id="313" w:name="_Toc277082576"/>
      <w:bookmarkStart w:id="314" w:name="_Toc200513150"/>
      <w:bookmarkStart w:id="315" w:name="_Toc287607770"/>
      <w:bookmarkStart w:id="316" w:name="_Toc224103341"/>
      <w:r>
        <w:rPr>
          <w:rFonts w:ascii="宋体" w:hAnsi="宋体"/>
          <w:b w:val="0"/>
          <w:snapToGrid w:val="0"/>
          <w:color w:val="auto"/>
          <w:sz w:val="24"/>
          <w:szCs w:val="24"/>
          <w:highlight w:val="none"/>
        </w:rPr>
        <w:t>3.5  资格审查资料</w:t>
      </w:r>
      <w:bookmarkEnd w:id="308"/>
      <w:bookmarkEnd w:id="309"/>
      <w:bookmarkEnd w:id="310"/>
      <w:bookmarkEnd w:id="311"/>
      <w:bookmarkEnd w:id="312"/>
      <w:bookmarkEnd w:id="313"/>
      <w:bookmarkEnd w:id="314"/>
      <w:bookmarkEnd w:id="315"/>
      <w:bookmarkEnd w:id="316"/>
    </w:p>
    <w:p w14:paraId="685C14DA">
      <w:pPr>
        <w:autoSpaceDE w:val="0"/>
        <w:autoSpaceDN w:val="0"/>
        <w:adjustRightInd w:val="0"/>
        <w:snapToGrid w:val="0"/>
        <w:spacing w:line="360" w:lineRule="auto"/>
        <w:ind w:left="103" w:leftChars="49" w:right="37" w:firstLine="420" w:firstLineChars="200"/>
        <w:rPr>
          <w:rFonts w:ascii="宋体" w:hAnsi="宋体"/>
          <w:color w:val="auto"/>
          <w:szCs w:val="21"/>
          <w:highlight w:val="none"/>
        </w:rPr>
      </w:pPr>
      <w:r>
        <w:rPr>
          <w:rFonts w:ascii="宋体" w:hAnsi="宋体"/>
          <w:color w:val="auto"/>
          <w:szCs w:val="21"/>
          <w:highlight w:val="none"/>
        </w:rPr>
        <w:t>投标人</w:t>
      </w:r>
      <w:r>
        <w:rPr>
          <w:rFonts w:hint="eastAsia" w:ascii="宋体" w:hAnsi="宋体"/>
          <w:color w:val="auto"/>
          <w:szCs w:val="21"/>
          <w:highlight w:val="none"/>
        </w:rPr>
        <w:t>应附</w:t>
      </w:r>
      <w:r>
        <w:rPr>
          <w:rFonts w:hint="eastAsia" w:ascii="宋体" w:hAnsi="宋体"/>
          <w:color w:val="auto"/>
          <w:kern w:val="0"/>
          <w:szCs w:val="21"/>
          <w:highlight w:val="none"/>
        </w:rPr>
        <w:t>投标人须知前附表第1</w:t>
      </w:r>
      <w:r>
        <w:rPr>
          <w:rFonts w:ascii="宋体" w:hAnsi="宋体"/>
          <w:color w:val="auto"/>
          <w:kern w:val="0"/>
          <w:szCs w:val="21"/>
          <w:highlight w:val="none"/>
        </w:rPr>
        <w:t>.4.1</w:t>
      </w:r>
      <w:r>
        <w:rPr>
          <w:rFonts w:hint="eastAsia" w:ascii="宋体" w:hAnsi="宋体"/>
          <w:color w:val="auto"/>
          <w:kern w:val="0"/>
          <w:szCs w:val="21"/>
          <w:highlight w:val="none"/>
        </w:rPr>
        <w:t>项中要求的相关证明材料</w:t>
      </w:r>
      <w:r>
        <w:rPr>
          <w:rFonts w:ascii="宋体" w:hAnsi="宋体"/>
          <w:color w:val="auto"/>
          <w:szCs w:val="21"/>
          <w:highlight w:val="none"/>
        </w:rPr>
        <w:t>。</w:t>
      </w:r>
    </w:p>
    <w:p w14:paraId="395AE77A">
      <w:pPr>
        <w:autoSpaceDE w:val="0"/>
        <w:autoSpaceDN w:val="0"/>
        <w:adjustRightInd w:val="0"/>
        <w:snapToGrid w:val="0"/>
        <w:spacing w:line="360" w:lineRule="auto"/>
        <w:ind w:left="103" w:leftChars="49" w:right="37"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投标人须知前附表规定接受联合体投标的，详见投标人须知前附表联合体投标相关内容。</w:t>
      </w:r>
    </w:p>
    <w:p w14:paraId="4DA7D20D">
      <w:pPr>
        <w:pStyle w:val="4"/>
        <w:snapToGrid w:val="0"/>
        <w:spacing w:before="0" w:after="0" w:line="360" w:lineRule="auto"/>
        <w:rPr>
          <w:rFonts w:ascii="宋体" w:hAnsi="宋体"/>
          <w:b w:val="0"/>
          <w:snapToGrid w:val="0"/>
          <w:color w:val="auto"/>
          <w:sz w:val="24"/>
          <w:szCs w:val="24"/>
          <w:highlight w:val="none"/>
        </w:rPr>
      </w:pPr>
      <w:bookmarkStart w:id="317" w:name="_Toc200513151"/>
      <w:bookmarkStart w:id="318" w:name="_Toc430530460"/>
      <w:bookmarkStart w:id="319" w:name="_Toc57905855"/>
      <w:bookmarkStart w:id="320" w:name="_Toc24446"/>
      <w:bookmarkStart w:id="321" w:name="_Toc224103342"/>
      <w:bookmarkStart w:id="322" w:name="_Toc509218735"/>
      <w:bookmarkStart w:id="323" w:name="_Toc277082577"/>
      <w:bookmarkStart w:id="324" w:name="_Toc287620710"/>
      <w:bookmarkStart w:id="325" w:name="_Toc287607771"/>
      <w:r>
        <w:rPr>
          <w:rFonts w:ascii="宋体" w:hAnsi="宋体"/>
          <w:b w:val="0"/>
          <w:snapToGrid w:val="0"/>
          <w:color w:val="auto"/>
          <w:sz w:val="24"/>
          <w:szCs w:val="24"/>
          <w:highlight w:val="none"/>
        </w:rPr>
        <w:t>3.6  备选投标方案</w:t>
      </w:r>
      <w:bookmarkEnd w:id="317"/>
      <w:bookmarkEnd w:id="318"/>
      <w:bookmarkEnd w:id="319"/>
      <w:bookmarkEnd w:id="320"/>
      <w:bookmarkEnd w:id="321"/>
      <w:bookmarkEnd w:id="322"/>
      <w:bookmarkEnd w:id="323"/>
      <w:bookmarkEnd w:id="324"/>
      <w:bookmarkEnd w:id="325"/>
    </w:p>
    <w:p w14:paraId="6EE05EA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除投标人须知前附表另有规定外，投标人不得递交备选投标方案。允许投标人递交备选投标方案的，只有中标人所递交的备选投标方案方可予以考虑。评标委员会认为中标人的备 选投标方案优于其按照招标文件要求编制的投标方案的，招标人可以接受该备选投标方案。</w:t>
      </w:r>
    </w:p>
    <w:p w14:paraId="3462F542">
      <w:pPr>
        <w:pStyle w:val="4"/>
        <w:snapToGrid w:val="0"/>
        <w:spacing w:before="0" w:after="0" w:line="360" w:lineRule="auto"/>
        <w:rPr>
          <w:rFonts w:ascii="宋体" w:hAnsi="宋体"/>
          <w:b w:val="0"/>
          <w:snapToGrid w:val="0"/>
          <w:color w:val="auto"/>
          <w:sz w:val="24"/>
          <w:szCs w:val="24"/>
          <w:highlight w:val="none"/>
        </w:rPr>
      </w:pPr>
      <w:bookmarkStart w:id="326" w:name="_Toc57905856"/>
      <w:bookmarkStart w:id="327" w:name="_Toc16951"/>
      <w:bookmarkStart w:id="328" w:name="_Toc430530461"/>
      <w:bookmarkStart w:id="329" w:name="_Toc224103343"/>
      <w:bookmarkStart w:id="330" w:name="_Toc200513152"/>
      <w:bookmarkStart w:id="331" w:name="_Toc287607772"/>
      <w:bookmarkStart w:id="332" w:name="_Toc287620711"/>
      <w:bookmarkStart w:id="333" w:name="_Toc509218736"/>
      <w:bookmarkStart w:id="334" w:name="_Toc277082578"/>
      <w:r>
        <w:rPr>
          <w:rFonts w:ascii="宋体" w:hAnsi="宋体"/>
          <w:b w:val="0"/>
          <w:snapToGrid w:val="0"/>
          <w:color w:val="auto"/>
          <w:sz w:val="24"/>
          <w:szCs w:val="24"/>
          <w:highlight w:val="none"/>
        </w:rPr>
        <w:t>3.7  投标文件的编制</w:t>
      </w:r>
      <w:bookmarkEnd w:id="326"/>
      <w:bookmarkEnd w:id="327"/>
      <w:bookmarkEnd w:id="328"/>
      <w:bookmarkEnd w:id="329"/>
      <w:bookmarkEnd w:id="330"/>
      <w:bookmarkEnd w:id="331"/>
      <w:bookmarkEnd w:id="332"/>
      <w:bookmarkEnd w:id="333"/>
      <w:bookmarkEnd w:id="334"/>
    </w:p>
    <w:p w14:paraId="344C4FD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3.7.1  投标文件应按第八章“投标文件格式”进行编写，如有必要，可以增加附页，作为投标文件的组成部分。其中，投标函附录在满足招标文件实质性要求的基础上，可以提出比招标文件要求更有利于招标人的承诺。</w:t>
      </w:r>
    </w:p>
    <w:p w14:paraId="3C555E3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3.7.2  投标文件应当对招标文件有关工期、投标有效期、质量要求、技术标准和要求、招标范围等实质性内容做出响应。</w:t>
      </w:r>
    </w:p>
    <w:p w14:paraId="55BD73C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rPr>
        <w:t>投标文件的签名盖章要求：按本章投标人须知前附表第3.7.3项执行。</w:t>
      </w:r>
    </w:p>
    <w:p w14:paraId="533A67A3">
      <w:pPr>
        <w:autoSpaceDE w:val="0"/>
        <w:autoSpaceDN w:val="0"/>
        <w:adjustRightInd w:val="0"/>
        <w:snapToGrid w:val="0"/>
        <w:spacing w:line="360" w:lineRule="auto"/>
        <w:ind w:right="-164" w:firstLine="420" w:firstLineChars="200"/>
        <w:rPr>
          <w:rFonts w:ascii="宋体" w:hAnsi="宋体"/>
          <w:i/>
          <w:snapToGrid w:val="0"/>
          <w:color w:val="auto"/>
          <w:kern w:val="0"/>
          <w:szCs w:val="21"/>
          <w:highlight w:val="none"/>
        </w:rPr>
      </w:pPr>
      <w:r>
        <w:rPr>
          <w:rFonts w:ascii="宋体" w:hAnsi="宋体"/>
          <w:snapToGrid w:val="0"/>
          <w:color w:val="auto"/>
          <w:kern w:val="0"/>
          <w:szCs w:val="21"/>
          <w:highlight w:val="none"/>
        </w:rPr>
        <w:t>3.7.4  投标文件的份数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见投标人须知前附表。当副本和正本不一致时，以正本为准。</w:t>
      </w:r>
    </w:p>
    <w:p w14:paraId="32F8C921">
      <w:pPr>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3.7.5  投标文件的正本与副本应分别装订成册，并编制目录，具体装订要求见投标人须知前附表规定。</w:t>
      </w:r>
    </w:p>
    <w:p w14:paraId="1AF8F622">
      <w:pPr>
        <w:pStyle w:val="3"/>
        <w:keepNext w:val="0"/>
        <w:keepLines w:val="0"/>
        <w:spacing w:before="0" w:after="0" w:line="360" w:lineRule="auto"/>
        <w:rPr>
          <w:rFonts w:ascii="宋体" w:hAnsi="宋体"/>
          <w:b w:val="0"/>
          <w:snapToGrid w:val="0"/>
          <w:color w:val="auto"/>
          <w:highlight w:val="none"/>
        </w:rPr>
      </w:pPr>
      <w:bookmarkStart w:id="335" w:name="_Toc430530462"/>
      <w:bookmarkStart w:id="336" w:name="_Toc224103344"/>
      <w:bookmarkStart w:id="337" w:name="_Toc509218737"/>
      <w:bookmarkStart w:id="338" w:name="_Toc200513153"/>
      <w:bookmarkStart w:id="339" w:name="_Toc57905857"/>
      <w:bookmarkStart w:id="340" w:name="_Toc9499"/>
      <w:bookmarkStart w:id="341" w:name="_Toc277082579"/>
      <w:bookmarkStart w:id="342" w:name="_Toc287607773"/>
      <w:bookmarkStart w:id="343" w:name="_Toc287620712"/>
      <w:r>
        <w:rPr>
          <w:rFonts w:ascii="宋体" w:hAnsi="宋体"/>
          <w:b w:val="0"/>
          <w:snapToGrid w:val="0"/>
          <w:color w:val="auto"/>
          <w:highlight w:val="none"/>
        </w:rPr>
        <w:t>4.  投标</w:t>
      </w:r>
      <w:bookmarkEnd w:id="335"/>
      <w:bookmarkEnd w:id="336"/>
      <w:bookmarkEnd w:id="337"/>
      <w:bookmarkEnd w:id="338"/>
      <w:bookmarkEnd w:id="339"/>
      <w:bookmarkEnd w:id="340"/>
      <w:bookmarkEnd w:id="341"/>
      <w:bookmarkEnd w:id="342"/>
      <w:bookmarkEnd w:id="343"/>
    </w:p>
    <w:p w14:paraId="56927825">
      <w:pPr>
        <w:pStyle w:val="4"/>
        <w:keepNext w:val="0"/>
        <w:keepLines w:val="0"/>
        <w:snapToGrid w:val="0"/>
        <w:spacing w:before="0" w:after="0" w:line="360" w:lineRule="auto"/>
        <w:rPr>
          <w:rFonts w:ascii="宋体" w:hAnsi="宋体"/>
          <w:b w:val="0"/>
          <w:snapToGrid w:val="0"/>
          <w:color w:val="auto"/>
          <w:sz w:val="24"/>
          <w:szCs w:val="24"/>
          <w:highlight w:val="none"/>
        </w:rPr>
      </w:pPr>
      <w:bookmarkStart w:id="344" w:name="_Toc287607774"/>
      <w:bookmarkStart w:id="345" w:name="_Toc509218738"/>
      <w:bookmarkStart w:id="346" w:name="_Toc277082580"/>
      <w:bookmarkStart w:id="347" w:name="_Toc57905858"/>
      <w:bookmarkStart w:id="348" w:name="_Toc224103345"/>
      <w:bookmarkStart w:id="349" w:name="_Toc430530463"/>
      <w:bookmarkStart w:id="350" w:name="_Toc18995"/>
      <w:bookmarkStart w:id="351" w:name="_Toc287620713"/>
      <w:bookmarkStart w:id="352" w:name="_Toc200513154"/>
      <w:r>
        <w:rPr>
          <w:rFonts w:ascii="宋体" w:hAnsi="宋体"/>
          <w:b w:val="0"/>
          <w:snapToGrid w:val="0"/>
          <w:color w:val="auto"/>
          <w:sz w:val="24"/>
          <w:szCs w:val="24"/>
          <w:highlight w:val="none"/>
        </w:rPr>
        <w:t>4.1  投标文件的密封和标记</w:t>
      </w:r>
      <w:bookmarkEnd w:id="344"/>
      <w:bookmarkEnd w:id="345"/>
      <w:bookmarkEnd w:id="346"/>
      <w:bookmarkEnd w:id="347"/>
      <w:bookmarkEnd w:id="348"/>
      <w:bookmarkEnd w:id="349"/>
      <w:bookmarkEnd w:id="350"/>
      <w:bookmarkEnd w:id="351"/>
      <w:bookmarkEnd w:id="352"/>
    </w:p>
    <w:p w14:paraId="38DDAEC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53" w:name="_Toc200513155"/>
      <w:r>
        <w:rPr>
          <w:rFonts w:ascii="宋体" w:hAnsi="宋体"/>
          <w:snapToGrid w:val="0"/>
          <w:color w:val="auto"/>
          <w:kern w:val="0"/>
          <w:szCs w:val="21"/>
          <w:highlight w:val="none"/>
        </w:rPr>
        <w:t>4.1.1  投标文件的正本与副本密封</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14:paraId="3247D52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4.1.2  投标文件的封套上应写明的内容</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14:paraId="7566420B">
      <w:pPr>
        <w:pStyle w:val="4"/>
        <w:keepNext w:val="0"/>
        <w:keepLines w:val="0"/>
        <w:snapToGrid w:val="0"/>
        <w:spacing w:before="0" w:after="0" w:line="360" w:lineRule="auto"/>
        <w:rPr>
          <w:rFonts w:ascii="宋体" w:hAnsi="宋体"/>
          <w:b w:val="0"/>
          <w:snapToGrid w:val="0"/>
          <w:color w:val="auto"/>
          <w:sz w:val="24"/>
          <w:szCs w:val="24"/>
          <w:highlight w:val="none"/>
        </w:rPr>
      </w:pPr>
      <w:bookmarkStart w:id="354" w:name="_Toc287620714"/>
      <w:bookmarkStart w:id="355" w:name="_Toc224103346"/>
      <w:bookmarkStart w:id="356" w:name="_Toc25809"/>
      <w:bookmarkStart w:id="357" w:name="_Toc430530464"/>
      <w:bookmarkStart w:id="358" w:name="_Toc57905859"/>
      <w:bookmarkStart w:id="359" w:name="_Toc509218739"/>
      <w:bookmarkStart w:id="360" w:name="_Toc287607775"/>
      <w:bookmarkStart w:id="361" w:name="_Toc277082581"/>
      <w:r>
        <w:rPr>
          <w:rFonts w:ascii="宋体" w:hAnsi="宋体"/>
          <w:b w:val="0"/>
          <w:snapToGrid w:val="0"/>
          <w:color w:val="auto"/>
          <w:sz w:val="24"/>
          <w:szCs w:val="24"/>
          <w:highlight w:val="none"/>
        </w:rPr>
        <w:t>4.2  投标文件的递交</w:t>
      </w:r>
      <w:bookmarkEnd w:id="353"/>
      <w:bookmarkEnd w:id="354"/>
      <w:bookmarkEnd w:id="355"/>
      <w:bookmarkEnd w:id="356"/>
      <w:bookmarkEnd w:id="357"/>
      <w:bookmarkEnd w:id="358"/>
      <w:bookmarkEnd w:id="359"/>
      <w:bookmarkEnd w:id="360"/>
      <w:bookmarkEnd w:id="361"/>
    </w:p>
    <w:p w14:paraId="69A0534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4.2.1  投标人应在投标人须知前附表第 2.2.2 项规定的投标截止时间前递交投标文件。</w:t>
      </w:r>
    </w:p>
    <w:p w14:paraId="1B9821C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4.2.2  投标人递交投标文件的地点：见投标人须知前附表。</w:t>
      </w:r>
    </w:p>
    <w:p w14:paraId="3B35418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除投标人须知前附表另有规定外，投标人所递交的投标文件不予退还。</w:t>
      </w:r>
    </w:p>
    <w:p w14:paraId="0495FE7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4.2.4  招标人收到投标文件后，向投标人出具签收凭证。</w:t>
      </w:r>
    </w:p>
    <w:p w14:paraId="7124BB3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4.2.5  逾期送达的或者未送达指定地点的投标文件，招标人不予受理。</w:t>
      </w:r>
    </w:p>
    <w:p w14:paraId="5D7E6C7C">
      <w:pPr>
        <w:pStyle w:val="4"/>
        <w:keepNext w:val="0"/>
        <w:keepLines w:val="0"/>
        <w:snapToGrid w:val="0"/>
        <w:spacing w:before="0" w:after="0" w:line="360" w:lineRule="auto"/>
        <w:rPr>
          <w:rFonts w:ascii="宋体" w:hAnsi="宋体"/>
          <w:b w:val="0"/>
          <w:snapToGrid w:val="0"/>
          <w:color w:val="auto"/>
          <w:sz w:val="24"/>
          <w:szCs w:val="24"/>
          <w:highlight w:val="none"/>
        </w:rPr>
      </w:pPr>
      <w:bookmarkStart w:id="362" w:name="_Toc224103347"/>
      <w:bookmarkStart w:id="363" w:name="_Toc430530465"/>
      <w:bookmarkStart w:id="364" w:name="_Toc57905860"/>
      <w:bookmarkStart w:id="365" w:name="_Toc287607776"/>
      <w:bookmarkStart w:id="366" w:name="_Toc200513156"/>
      <w:bookmarkStart w:id="367" w:name="_Toc23986"/>
      <w:bookmarkStart w:id="368" w:name="_Toc509218740"/>
      <w:bookmarkStart w:id="369" w:name="_Toc287620715"/>
      <w:bookmarkStart w:id="370" w:name="_Toc277082582"/>
      <w:r>
        <w:rPr>
          <w:rFonts w:ascii="宋体" w:hAnsi="宋体"/>
          <w:b w:val="0"/>
          <w:snapToGrid w:val="0"/>
          <w:color w:val="auto"/>
          <w:sz w:val="24"/>
          <w:szCs w:val="24"/>
          <w:highlight w:val="none"/>
        </w:rPr>
        <w:t>4.3  投标文件的修改与撤回</w:t>
      </w:r>
      <w:bookmarkEnd w:id="362"/>
      <w:bookmarkEnd w:id="363"/>
      <w:bookmarkEnd w:id="364"/>
      <w:bookmarkEnd w:id="365"/>
      <w:bookmarkEnd w:id="366"/>
      <w:bookmarkEnd w:id="367"/>
      <w:bookmarkEnd w:id="368"/>
      <w:bookmarkEnd w:id="369"/>
      <w:bookmarkEnd w:id="370"/>
    </w:p>
    <w:p w14:paraId="773E4C3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4.3.1  在投标人须知前附表第2.2.2项规定的投标截止时间前，投标人可以修改或撤回已递交的投标文件，但应以书面形式通知招标人。</w:t>
      </w:r>
    </w:p>
    <w:p w14:paraId="739B243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4.3.2  投标人修改或撤回已递交投标文件的书面通知应按照本章第3.7.3项的要求</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或盖章。招标人收到书面通知后，向投标人出具签收凭证。</w:t>
      </w:r>
    </w:p>
    <w:p w14:paraId="05AAEEC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4.3.3  修改的内容为投标文件的组成部分。修改的投标文件应按照本章第3条、第4条规定进行编制、密封、标记和递交，并标明“修改”字样。</w:t>
      </w:r>
    </w:p>
    <w:p w14:paraId="7C3D24E5">
      <w:pPr>
        <w:pStyle w:val="3"/>
        <w:keepNext w:val="0"/>
        <w:keepLines w:val="0"/>
        <w:spacing w:before="0" w:after="0" w:line="360" w:lineRule="auto"/>
        <w:rPr>
          <w:rFonts w:ascii="宋体" w:hAnsi="宋体"/>
          <w:b w:val="0"/>
          <w:snapToGrid w:val="0"/>
          <w:color w:val="auto"/>
          <w:highlight w:val="none"/>
        </w:rPr>
      </w:pPr>
      <w:bookmarkStart w:id="371" w:name="_Toc430530466"/>
      <w:bookmarkStart w:id="372" w:name="_Toc287607777"/>
      <w:bookmarkStart w:id="373" w:name="_Toc57905861"/>
      <w:bookmarkStart w:id="374" w:name="_Toc287620716"/>
      <w:bookmarkStart w:id="375" w:name="_Toc9614"/>
      <w:bookmarkStart w:id="376" w:name="_Toc224103348"/>
      <w:bookmarkStart w:id="377" w:name="_Toc200513157"/>
      <w:bookmarkStart w:id="378" w:name="_Toc277082583"/>
      <w:bookmarkStart w:id="379" w:name="_Toc509218741"/>
      <w:r>
        <w:rPr>
          <w:rFonts w:ascii="宋体" w:hAnsi="宋体"/>
          <w:b w:val="0"/>
          <w:snapToGrid w:val="0"/>
          <w:color w:val="auto"/>
          <w:highlight w:val="none"/>
        </w:rPr>
        <w:t>5.  开标</w:t>
      </w:r>
      <w:bookmarkEnd w:id="371"/>
      <w:bookmarkEnd w:id="372"/>
      <w:bookmarkEnd w:id="373"/>
      <w:bookmarkEnd w:id="374"/>
      <w:bookmarkEnd w:id="375"/>
      <w:bookmarkEnd w:id="376"/>
      <w:bookmarkEnd w:id="377"/>
      <w:bookmarkEnd w:id="378"/>
      <w:bookmarkEnd w:id="379"/>
    </w:p>
    <w:p w14:paraId="141CEC09">
      <w:pPr>
        <w:pStyle w:val="4"/>
        <w:keepNext w:val="0"/>
        <w:keepLines w:val="0"/>
        <w:snapToGrid w:val="0"/>
        <w:spacing w:before="0" w:after="0" w:line="360" w:lineRule="auto"/>
        <w:rPr>
          <w:rFonts w:ascii="宋体" w:hAnsi="宋体"/>
          <w:b w:val="0"/>
          <w:snapToGrid w:val="0"/>
          <w:color w:val="auto"/>
          <w:sz w:val="24"/>
          <w:szCs w:val="24"/>
          <w:highlight w:val="none"/>
        </w:rPr>
      </w:pPr>
      <w:bookmarkStart w:id="380" w:name="_Toc509218742"/>
      <w:bookmarkStart w:id="381" w:name="_Toc430530467"/>
      <w:bookmarkStart w:id="382" w:name="_Toc20593"/>
      <w:bookmarkStart w:id="383" w:name="_Toc287620717"/>
      <w:bookmarkStart w:id="384" w:name="_Toc57905862"/>
      <w:bookmarkStart w:id="385" w:name="_Toc277082584"/>
      <w:bookmarkStart w:id="386" w:name="_Toc200513158"/>
      <w:bookmarkStart w:id="387" w:name="_Toc224103349"/>
      <w:bookmarkStart w:id="388" w:name="_Toc287607778"/>
      <w:r>
        <w:rPr>
          <w:rFonts w:ascii="宋体" w:hAnsi="宋体"/>
          <w:b w:val="0"/>
          <w:snapToGrid w:val="0"/>
          <w:color w:val="auto"/>
          <w:sz w:val="24"/>
          <w:szCs w:val="24"/>
          <w:highlight w:val="none"/>
        </w:rPr>
        <w:t>5.1  开标时间和地点</w:t>
      </w:r>
      <w:bookmarkEnd w:id="380"/>
      <w:bookmarkEnd w:id="381"/>
      <w:bookmarkEnd w:id="382"/>
      <w:bookmarkEnd w:id="383"/>
      <w:bookmarkEnd w:id="384"/>
      <w:bookmarkEnd w:id="385"/>
      <w:bookmarkEnd w:id="386"/>
      <w:bookmarkEnd w:id="387"/>
      <w:bookmarkEnd w:id="388"/>
    </w:p>
    <w:p w14:paraId="57C204F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招标人在投标人须知前附表第 2.2.2 项规定的投标截止时间（开标时间）和投标人须知前附表规定的地点公开开标，并邀请所有投标人的法定代表人或其委托代理人准时参加。</w:t>
      </w:r>
    </w:p>
    <w:p w14:paraId="5247972B">
      <w:pPr>
        <w:pStyle w:val="4"/>
        <w:keepNext w:val="0"/>
        <w:keepLines w:val="0"/>
        <w:snapToGrid w:val="0"/>
        <w:spacing w:before="0" w:after="0" w:line="360" w:lineRule="auto"/>
        <w:rPr>
          <w:rFonts w:ascii="宋体" w:hAnsi="宋体"/>
          <w:b w:val="0"/>
          <w:snapToGrid w:val="0"/>
          <w:color w:val="auto"/>
          <w:sz w:val="24"/>
          <w:szCs w:val="24"/>
          <w:highlight w:val="none"/>
        </w:rPr>
      </w:pPr>
      <w:bookmarkStart w:id="389" w:name="_Toc287607779"/>
      <w:bookmarkStart w:id="390" w:name="_Toc277082585"/>
      <w:bookmarkStart w:id="391" w:name="_Toc287620718"/>
      <w:bookmarkStart w:id="392" w:name="_Toc57905863"/>
      <w:bookmarkStart w:id="393" w:name="_Toc430530468"/>
      <w:bookmarkStart w:id="394" w:name="_Toc200513159"/>
      <w:bookmarkStart w:id="395" w:name="_Toc224103350"/>
      <w:bookmarkStart w:id="396" w:name="_Toc14994"/>
      <w:bookmarkStart w:id="397" w:name="_Toc509218743"/>
      <w:r>
        <w:rPr>
          <w:rFonts w:ascii="宋体" w:hAnsi="宋体"/>
          <w:b w:val="0"/>
          <w:snapToGrid w:val="0"/>
          <w:color w:val="auto"/>
          <w:sz w:val="24"/>
          <w:szCs w:val="24"/>
          <w:highlight w:val="none"/>
        </w:rPr>
        <w:t>5.2  开标程序</w:t>
      </w:r>
      <w:bookmarkEnd w:id="389"/>
      <w:bookmarkEnd w:id="390"/>
      <w:bookmarkEnd w:id="391"/>
      <w:bookmarkEnd w:id="392"/>
      <w:bookmarkEnd w:id="393"/>
      <w:bookmarkEnd w:id="394"/>
      <w:bookmarkEnd w:id="395"/>
      <w:bookmarkEnd w:id="396"/>
      <w:bookmarkEnd w:id="397"/>
    </w:p>
    <w:p w14:paraId="43FF9A60">
      <w:pPr>
        <w:autoSpaceDE w:val="0"/>
        <w:autoSpaceDN w:val="0"/>
        <w:adjustRightInd w:val="0"/>
        <w:snapToGrid w:val="0"/>
        <w:spacing w:line="360" w:lineRule="auto"/>
        <w:ind w:firstLine="420" w:firstLineChars="200"/>
        <w:rPr>
          <w:rFonts w:ascii="宋体" w:hAnsi="宋体"/>
          <w:color w:val="auto"/>
          <w:szCs w:val="21"/>
          <w:highlight w:val="none"/>
        </w:rPr>
      </w:pPr>
      <w:bookmarkStart w:id="398" w:name="_Toc287620719"/>
      <w:bookmarkStart w:id="399" w:name="_Toc200513160"/>
      <w:bookmarkStart w:id="400" w:name="_Toc277082586"/>
      <w:bookmarkStart w:id="401" w:name="_Toc287607780"/>
      <w:bookmarkStart w:id="402" w:name="_Toc224103351"/>
      <w:r>
        <w:rPr>
          <w:rFonts w:ascii="宋体" w:hAnsi="宋体"/>
          <w:color w:val="auto"/>
          <w:szCs w:val="21"/>
          <w:highlight w:val="none"/>
        </w:rPr>
        <w:t>详见投标人须知前附表</w:t>
      </w:r>
      <w:r>
        <w:rPr>
          <w:rFonts w:hint="eastAsia" w:ascii="宋体" w:hAnsi="宋体"/>
          <w:color w:val="auto"/>
          <w:szCs w:val="21"/>
          <w:highlight w:val="none"/>
        </w:rPr>
        <w:t>第</w:t>
      </w:r>
      <w:r>
        <w:rPr>
          <w:rFonts w:ascii="宋体" w:hAnsi="宋体"/>
          <w:color w:val="auto"/>
          <w:szCs w:val="21"/>
          <w:highlight w:val="none"/>
        </w:rPr>
        <w:t>5.2</w:t>
      </w:r>
      <w:r>
        <w:rPr>
          <w:rFonts w:hint="eastAsia" w:ascii="宋体" w:hAnsi="宋体"/>
          <w:color w:val="auto"/>
          <w:szCs w:val="21"/>
          <w:highlight w:val="none"/>
        </w:rPr>
        <w:t>款</w:t>
      </w:r>
      <w:r>
        <w:rPr>
          <w:rFonts w:ascii="宋体" w:hAnsi="宋体"/>
          <w:color w:val="auto"/>
          <w:szCs w:val="21"/>
          <w:highlight w:val="none"/>
        </w:rPr>
        <w:t>开标程序。</w:t>
      </w:r>
    </w:p>
    <w:p w14:paraId="5A8E1270">
      <w:pPr>
        <w:pStyle w:val="4"/>
        <w:keepNext w:val="0"/>
        <w:keepLines w:val="0"/>
        <w:snapToGrid w:val="0"/>
        <w:spacing w:before="0" w:after="0" w:line="360" w:lineRule="auto"/>
        <w:rPr>
          <w:rFonts w:ascii="宋体" w:hAnsi="宋体"/>
          <w:b w:val="0"/>
          <w:snapToGrid w:val="0"/>
          <w:color w:val="auto"/>
          <w:sz w:val="24"/>
          <w:szCs w:val="24"/>
          <w:highlight w:val="none"/>
        </w:rPr>
      </w:pPr>
      <w:bookmarkStart w:id="403" w:name="_Toc57820594"/>
      <w:bookmarkStart w:id="404" w:name="_Toc57905864"/>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403"/>
      <w:bookmarkEnd w:id="404"/>
    </w:p>
    <w:p w14:paraId="498016FB">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对开标有异议的，应在开标现场提出，同时应出示法定代表人身份证明或附有法定代表人身份证明的授权委托书。招标人当场作出答复，并制作记录，有异议的投标人代表、招标人代表、主持人、记录人等有关人员在记录上签名确认</w:t>
      </w:r>
      <w:r>
        <w:rPr>
          <w:rFonts w:ascii="宋体" w:hAnsi="宋体"/>
          <w:color w:val="auto"/>
          <w:szCs w:val="21"/>
          <w:highlight w:val="none"/>
        </w:rPr>
        <w:t>。</w:t>
      </w:r>
    </w:p>
    <w:p w14:paraId="11A160C4">
      <w:pPr>
        <w:pStyle w:val="3"/>
        <w:keepNext w:val="0"/>
        <w:keepLines w:val="0"/>
        <w:spacing w:before="0" w:after="0" w:line="360" w:lineRule="auto"/>
        <w:rPr>
          <w:rFonts w:ascii="宋体" w:hAnsi="宋体"/>
          <w:b w:val="0"/>
          <w:snapToGrid w:val="0"/>
          <w:color w:val="auto"/>
          <w:highlight w:val="none"/>
        </w:rPr>
      </w:pPr>
      <w:bookmarkStart w:id="405" w:name="_Toc57905865"/>
      <w:bookmarkStart w:id="406" w:name="_Toc9533"/>
      <w:bookmarkStart w:id="407" w:name="_Toc430530469"/>
      <w:bookmarkStart w:id="408" w:name="_Toc509218744"/>
      <w:r>
        <w:rPr>
          <w:rFonts w:ascii="宋体" w:hAnsi="宋体"/>
          <w:b w:val="0"/>
          <w:snapToGrid w:val="0"/>
          <w:color w:val="auto"/>
          <w:highlight w:val="none"/>
        </w:rPr>
        <w:t>6.  评标</w:t>
      </w:r>
      <w:bookmarkEnd w:id="398"/>
      <w:bookmarkEnd w:id="399"/>
      <w:bookmarkEnd w:id="400"/>
      <w:bookmarkEnd w:id="401"/>
      <w:bookmarkEnd w:id="402"/>
      <w:bookmarkEnd w:id="405"/>
      <w:bookmarkEnd w:id="406"/>
      <w:bookmarkEnd w:id="407"/>
      <w:bookmarkEnd w:id="408"/>
    </w:p>
    <w:p w14:paraId="2068D08B">
      <w:pPr>
        <w:pStyle w:val="4"/>
        <w:keepNext w:val="0"/>
        <w:keepLines w:val="0"/>
        <w:snapToGrid w:val="0"/>
        <w:spacing w:before="0" w:after="0" w:line="360" w:lineRule="auto"/>
        <w:rPr>
          <w:rFonts w:ascii="宋体" w:hAnsi="宋体"/>
          <w:b w:val="0"/>
          <w:snapToGrid w:val="0"/>
          <w:color w:val="auto"/>
          <w:sz w:val="24"/>
          <w:szCs w:val="24"/>
          <w:highlight w:val="none"/>
        </w:rPr>
      </w:pPr>
      <w:bookmarkStart w:id="409" w:name="_Toc224103352"/>
      <w:bookmarkStart w:id="410" w:name="_Toc200513161"/>
      <w:bookmarkStart w:id="411" w:name="_Toc57905866"/>
      <w:bookmarkStart w:id="412" w:name="_Toc430530470"/>
      <w:bookmarkStart w:id="413" w:name="_Toc287620720"/>
      <w:bookmarkStart w:id="414" w:name="_Toc277082587"/>
      <w:bookmarkStart w:id="415" w:name="_Toc287607781"/>
      <w:bookmarkStart w:id="416" w:name="_Toc509218745"/>
      <w:bookmarkStart w:id="417" w:name="_Toc28100"/>
      <w:r>
        <w:rPr>
          <w:rFonts w:ascii="宋体" w:hAnsi="宋体"/>
          <w:b w:val="0"/>
          <w:snapToGrid w:val="0"/>
          <w:color w:val="auto"/>
          <w:sz w:val="24"/>
          <w:szCs w:val="24"/>
          <w:highlight w:val="none"/>
        </w:rPr>
        <w:t>6.1  评标委员会</w:t>
      </w:r>
      <w:bookmarkEnd w:id="409"/>
      <w:bookmarkEnd w:id="410"/>
      <w:bookmarkEnd w:id="411"/>
      <w:bookmarkEnd w:id="412"/>
      <w:bookmarkEnd w:id="413"/>
      <w:bookmarkEnd w:id="414"/>
      <w:bookmarkEnd w:id="415"/>
      <w:bookmarkEnd w:id="416"/>
      <w:bookmarkEnd w:id="417"/>
    </w:p>
    <w:p w14:paraId="0582F4DD">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评标由招标人依据法律法规和相关规范性文件组建的评标委员会负责。</w:t>
      </w:r>
    </w:p>
    <w:p w14:paraId="0590FAF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14:paraId="7E67A17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（1）投标人或投标人的主要负责人的近亲属；</w:t>
      </w:r>
    </w:p>
    <w:p w14:paraId="0B92F6F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（2）项目主管部门或者项目行政监督部门的人员；</w:t>
      </w:r>
    </w:p>
    <w:p w14:paraId="404749D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（3）与投标人有利害关系，可能影响对投标公正评审的；</w:t>
      </w:r>
    </w:p>
    <w:p w14:paraId="49F9B0A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（4）曾因在招标、评标以及其他与招标投标有关活动中从事违法行为而受过行政处罚或刑事处罚的</w:t>
      </w:r>
      <w:r>
        <w:rPr>
          <w:rFonts w:hint="eastAsia" w:ascii="宋体" w:hAnsi="宋体"/>
          <w:snapToGrid w:val="0"/>
          <w:color w:val="auto"/>
          <w:kern w:val="0"/>
          <w:szCs w:val="21"/>
          <w:highlight w:val="none"/>
        </w:rPr>
        <w:t>；</w:t>
      </w:r>
    </w:p>
    <w:p w14:paraId="12240F3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（5）法律法规规定的其他情形。</w:t>
      </w:r>
    </w:p>
    <w:p w14:paraId="349367C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cs="宋体"/>
          <w:color w:val="auto"/>
          <w:szCs w:val="21"/>
          <w:highlight w:val="none"/>
        </w:rPr>
        <w:t>6.1.3  评标过程中，评标委员会成员有回避事由、擅离职守或者因健康等原因不能继续评标的，应当及时更换。被更换的评标委员会成员作出的评审结论无效，由更换后的评标委员会成员重新进行评审。</w:t>
      </w:r>
    </w:p>
    <w:p w14:paraId="43B179AE">
      <w:pPr>
        <w:pStyle w:val="4"/>
        <w:snapToGrid w:val="0"/>
        <w:spacing w:before="0" w:after="0" w:line="360" w:lineRule="auto"/>
        <w:rPr>
          <w:rFonts w:ascii="宋体" w:hAnsi="宋体"/>
          <w:b w:val="0"/>
          <w:snapToGrid w:val="0"/>
          <w:color w:val="auto"/>
          <w:sz w:val="24"/>
          <w:szCs w:val="24"/>
          <w:highlight w:val="none"/>
        </w:rPr>
      </w:pPr>
      <w:bookmarkStart w:id="418" w:name="_Toc12166"/>
      <w:bookmarkStart w:id="419" w:name="_Toc287620721"/>
      <w:bookmarkStart w:id="420" w:name="_Toc277082588"/>
      <w:bookmarkStart w:id="421" w:name="_Toc287607782"/>
      <w:bookmarkStart w:id="422" w:name="_Toc224103353"/>
      <w:bookmarkStart w:id="423" w:name="_Toc430530471"/>
      <w:bookmarkStart w:id="424" w:name="_Toc509218746"/>
      <w:bookmarkStart w:id="425" w:name="_Toc200513162"/>
      <w:bookmarkStart w:id="426" w:name="_Toc57905867"/>
      <w:r>
        <w:rPr>
          <w:rFonts w:ascii="宋体" w:hAnsi="宋体"/>
          <w:b w:val="0"/>
          <w:snapToGrid w:val="0"/>
          <w:color w:val="auto"/>
          <w:sz w:val="24"/>
          <w:szCs w:val="24"/>
          <w:highlight w:val="none"/>
        </w:rPr>
        <w:t>6.2  评标原则</w:t>
      </w:r>
      <w:bookmarkEnd w:id="418"/>
      <w:bookmarkEnd w:id="419"/>
      <w:bookmarkEnd w:id="420"/>
      <w:bookmarkEnd w:id="421"/>
      <w:bookmarkEnd w:id="422"/>
      <w:bookmarkEnd w:id="423"/>
      <w:bookmarkEnd w:id="424"/>
      <w:bookmarkEnd w:id="425"/>
      <w:bookmarkEnd w:id="426"/>
    </w:p>
    <w:p w14:paraId="350CBC1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14:paraId="329D9CE2">
      <w:pPr>
        <w:pStyle w:val="4"/>
        <w:snapToGrid w:val="0"/>
        <w:spacing w:before="0" w:after="0" w:line="360" w:lineRule="auto"/>
        <w:rPr>
          <w:rFonts w:ascii="宋体" w:hAnsi="宋体"/>
          <w:b w:val="0"/>
          <w:snapToGrid w:val="0"/>
          <w:color w:val="auto"/>
          <w:sz w:val="24"/>
          <w:szCs w:val="24"/>
          <w:highlight w:val="none"/>
        </w:rPr>
      </w:pPr>
      <w:bookmarkStart w:id="427" w:name="_Toc277082589"/>
      <w:bookmarkStart w:id="428" w:name="_Toc287620722"/>
      <w:bookmarkStart w:id="429" w:name="_Toc287607783"/>
      <w:bookmarkStart w:id="430" w:name="_Toc57905868"/>
      <w:bookmarkStart w:id="431" w:name="_Toc430530472"/>
      <w:bookmarkStart w:id="432" w:name="_Toc509218747"/>
      <w:bookmarkStart w:id="433" w:name="_Toc14701"/>
      <w:bookmarkStart w:id="434" w:name="_Toc224103354"/>
      <w:bookmarkStart w:id="435" w:name="_Toc200513163"/>
      <w:r>
        <w:rPr>
          <w:rFonts w:ascii="宋体" w:hAnsi="宋体"/>
          <w:b w:val="0"/>
          <w:snapToGrid w:val="0"/>
          <w:color w:val="auto"/>
          <w:sz w:val="24"/>
          <w:szCs w:val="24"/>
          <w:highlight w:val="none"/>
        </w:rPr>
        <w:t>6.3  评标</w:t>
      </w:r>
      <w:bookmarkEnd w:id="427"/>
      <w:bookmarkEnd w:id="428"/>
      <w:bookmarkEnd w:id="429"/>
      <w:bookmarkEnd w:id="430"/>
      <w:bookmarkEnd w:id="431"/>
      <w:bookmarkEnd w:id="432"/>
      <w:bookmarkEnd w:id="433"/>
      <w:bookmarkEnd w:id="434"/>
      <w:bookmarkEnd w:id="435"/>
    </w:p>
    <w:p w14:paraId="02FA43B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评标委员会按照第三章“评标办法”规定的方法、评审因素、标准和程序对投标文件进行评审。第三章“评标办法”没有规定的方法、评审因素和标准，不得作为评标依据。</w:t>
      </w:r>
    </w:p>
    <w:p w14:paraId="5FD0A7EF">
      <w:pPr>
        <w:pStyle w:val="3"/>
        <w:spacing w:before="0" w:after="0" w:line="360" w:lineRule="auto"/>
        <w:rPr>
          <w:rFonts w:ascii="宋体" w:hAnsi="宋体"/>
          <w:b w:val="0"/>
          <w:snapToGrid w:val="0"/>
          <w:color w:val="auto"/>
          <w:highlight w:val="none"/>
        </w:rPr>
      </w:pPr>
      <w:bookmarkStart w:id="436" w:name="_Toc430530473"/>
      <w:bookmarkStart w:id="437" w:name="_Toc2723"/>
      <w:bookmarkStart w:id="438" w:name="_Toc57905869"/>
      <w:bookmarkStart w:id="439" w:name="_Toc509218748"/>
      <w:bookmarkStart w:id="440" w:name="_Toc224103355"/>
      <w:bookmarkStart w:id="441" w:name="_Toc287607784"/>
      <w:bookmarkStart w:id="442" w:name="_Toc287620723"/>
      <w:bookmarkStart w:id="443" w:name="_Toc277082590"/>
      <w:bookmarkStart w:id="444" w:name="_Toc200513164"/>
      <w:r>
        <w:rPr>
          <w:rFonts w:ascii="宋体" w:hAnsi="宋体"/>
          <w:b w:val="0"/>
          <w:snapToGrid w:val="0"/>
          <w:color w:val="auto"/>
          <w:highlight w:val="none"/>
        </w:rPr>
        <w:t>7.  合同授予</w:t>
      </w:r>
      <w:bookmarkEnd w:id="436"/>
      <w:bookmarkEnd w:id="437"/>
      <w:bookmarkEnd w:id="438"/>
      <w:bookmarkEnd w:id="439"/>
      <w:bookmarkEnd w:id="440"/>
      <w:bookmarkEnd w:id="441"/>
      <w:bookmarkEnd w:id="442"/>
      <w:bookmarkEnd w:id="443"/>
      <w:bookmarkEnd w:id="444"/>
    </w:p>
    <w:p w14:paraId="297419E9">
      <w:pPr>
        <w:pStyle w:val="4"/>
        <w:snapToGrid w:val="0"/>
        <w:spacing w:before="0" w:after="0" w:line="360" w:lineRule="auto"/>
        <w:rPr>
          <w:rFonts w:ascii="宋体" w:hAnsi="宋体"/>
          <w:b w:val="0"/>
          <w:snapToGrid w:val="0"/>
          <w:color w:val="auto"/>
          <w:sz w:val="24"/>
          <w:szCs w:val="24"/>
          <w:highlight w:val="none"/>
        </w:rPr>
      </w:pPr>
      <w:bookmarkStart w:id="445" w:name="_Toc287607785"/>
      <w:bookmarkStart w:id="446" w:name="_Toc29937"/>
      <w:bookmarkStart w:id="447" w:name="_Toc277082591"/>
      <w:bookmarkStart w:id="448" w:name="_Toc200513165"/>
      <w:bookmarkStart w:id="449" w:name="_Toc287620724"/>
      <w:bookmarkStart w:id="450" w:name="_Toc430530474"/>
      <w:bookmarkStart w:id="451" w:name="_Toc224103356"/>
      <w:bookmarkStart w:id="452" w:name="_Toc509218749"/>
      <w:bookmarkStart w:id="453" w:name="_Toc57905870"/>
      <w:r>
        <w:rPr>
          <w:rFonts w:ascii="宋体" w:hAnsi="宋体"/>
          <w:b w:val="0"/>
          <w:snapToGrid w:val="0"/>
          <w:color w:val="auto"/>
          <w:sz w:val="24"/>
          <w:szCs w:val="24"/>
          <w:highlight w:val="none"/>
        </w:rPr>
        <w:t>7.1  定标方式</w:t>
      </w:r>
      <w:bookmarkEnd w:id="445"/>
      <w:bookmarkEnd w:id="446"/>
      <w:bookmarkEnd w:id="447"/>
      <w:bookmarkEnd w:id="448"/>
      <w:bookmarkEnd w:id="449"/>
      <w:bookmarkEnd w:id="450"/>
      <w:bookmarkEnd w:id="451"/>
      <w:bookmarkEnd w:id="452"/>
      <w:bookmarkEnd w:id="453"/>
    </w:p>
    <w:p w14:paraId="63F7BC26">
      <w:pPr>
        <w:spacing w:line="360" w:lineRule="auto"/>
        <w:ind w:firstLine="420" w:firstLineChars="200"/>
        <w:rPr>
          <w:rFonts w:ascii="宋体" w:hAnsi="宋体"/>
          <w:color w:val="auto"/>
          <w:szCs w:val="21"/>
          <w:highlight w:val="none"/>
        </w:rPr>
      </w:pPr>
      <w:r>
        <w:rPr>
          <w:rFonts w:ascii="宋体" w:hAnsi="宋体"/>
          <w:color w:val="auto"/>
          <w:szCs w:val="21"/>
          <w:highlight w:val="none"/>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43509CF6">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评标委员会推荐中标候选人的人数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14:paraId="5375244D">
      <w:pPr>
        <w:pStyle w:val="4"/>
        <w:snapToGrid w:val="0"/>
        <w:spacing w:before="0" w:after="0" w:line="360" w:lineRule="auto"/>
        <w:rPr>
          <w:rFonts w:ascii="宋体" w:hAnsi="宋体"/>
          <w:b w:val="0"/>
          <w:snapToGrid w:val="0"/>
          <w:color w:val="auto"/>
          <w:sz w:val="24"/>
          <w:szCs w:val="24"/>
          <w:highlight w:val="none"/>
        </w:rPr>
      </w:pPr>
      <w:bookmarkStart w:id="454" w:name="_Toc57905871"/>
      <w:bookmarkStart w:id="455" w:name="_Toc23594"/>
      <w:bookmarkStart w:id="456" w:name="_Toc430530475"/>
      <w:bookmarkStart w:id="457" w:name="_Toc509218750"/>
      <w:r>
        <w:rPr>
          <w:rFonts w:ascii="宋体" w:hAnsi="宋体"/>
          <w:b w:val="0"/>
          <w:snapToGrid w:val="0"/>
          <w:color w:val="auto"/>
          <w:sz w:val="24"/>
          <w:szCs w:val="24"/>
          <w:highlight w:val="none"/>
        </w:rPr>
        <w:t>7.2  中标公示及中标通知</w:t>
      </w:r>
      <w:bookmarkEnd w:id="454"/>
      <w:bookmarkEnd w:id="455"/>
      <w:bookmarkEnd w:id="456"/>
      <w:bookmarkEnd w:id="457"/>
    </w:p>
    <w:p w14:paraId="610B67B2">
      <w:pPr>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招标人在收到评标报告之日起3日内公示中标候选人，公示期不得少于3日</w:t>
      </w:r>
      <w:r>
        <w:rPr>
          <w:rFonts w:hint="eastAsia" w:ascii="宋体" w:hAnsi="宋体"/>
          <w:color w:val="auto"/>
          <w:szCs w:val="21"/>
          <w:highlight w:val="none"/>
        </w:rPr>
        <w:t>。</w:t>
      </w:r>
    </w:p>
    <w:p w14:paraId="07C0CC9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 3.3 款规定的投标有效期内，且未有投标人的异议与投诉，招标人以书面形式向中标人发出中标通知书。</w:t>
      </w:r>
    </w:p>
    <w:p w14:paraId="4BCB59B9">
      <w:pPr>
        <w:pStyle w:val="4"/>
        <w:snapToGrid w:val="0"/>
        <w:spacing w:before="0" w:after="0" w:line="360" w:lineRule="auto"/>
        <w:rPr>
          <w:rFonts w:ascii="宋体" w:hAnsi="宋体"/>
          <w:b w:val="0"/>
          <w:snapToGrid w:val="0"/>
          <w:color w:val="auto"/>
          <w:sz w:val="24"/>
          <w:szCs w:val="24"/>
          <w:highlight w:val="none"/>
        </w:rPr>
      </w:pPr>
      <w:bookmarkStart w:id="458" w:name="_Toc224103358"/>
      <w:bookmarkStart w:id="459" w:name="_Toc287620726"/>
      <w:bookmarkStart w:id="460" w:name="_Toc430530476"/>
      <w:bookmarkStart w:id="461" w:name="_Toc277082593"/>
      <w:bookmarkStart w:id="462" w:name="_Toc200513167"/>
      <w:bookmarkStart w:id="463" w:name="_Toc509218751"/>
      <w:bookmarkStart w:id="464" w:name="_Toc13383"/>
      <w:bookmarkStart w:id="465" w:name="_Toc287607787"/>
      <w:bookmarkStart w:id="466" w:name="_Toc57905872"/>
      <w:r>
        <w:rPr>
          <w:rFonts w:ascii="宋体" w:hAnsi="宋体"/>
          <w:b w:val="0"/>
          <w:snapToGrid w:val="0"/>
          <w:color w:val="auto"/>
          <w:sz w:val="24"/>
          <w:szCs w:val="24"/>
          <w:highlight w:val="none"/>
        </w:rPr>
        <w:t>7.3  履约担保</w:t>
      </w:r>
      <w:bookmarkEnd w:id="458"/>
      <w:bookmarkEnd w:id="459"/>
      <w:bookmarkEnd w:id="460"/>
      <w:bookmarkEnd w:id="461"/>
      <w:bookmarkEnd w:id="462"/>
      <w:bookmarkEnd w:id="463"/>
      <w:bookmarkEnd w:id="464"/>
      <w:bookmarkEnd w:id="465"/>
      <w:bookmarkEnd w:id="466"/>
    </w:p>
    <w:p w14:paraId="161E499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14:paraId="30B1834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7.3.2  中标人不能按本章第 7.3.1 项要求提交履约担保的，视为放弃中标，其投标保证金不予退还，给招标人造成的损失超过投标保证金数额的，中标人还应当对超过部分予以赔偿。</w:t>
      </w:r>
    </w:p>
    <w:p w14:paraId="2EFB53FA">
      <w:pPr>
        <w:pStyle w:val="4"/>
        <w:snapToGrid w:val="0"/>
        <w:spacing w:before="0" w:after="0" w:line="360" w:lineRule="auto"/>
        <w:rPr>
          <w:rFonts w:ascii="宋体" w:hAnsi="宋体"/>
          <w:b w:val="0"/>
          <w:snapToGrid w:val="0"/>
          <w:color w:val="auto"/>
          <w:sz w:val="24"/>
          <w:szCs w:val="24"/>
          <w:highlight w:val="none"/>
        </w:rPr>
      </w:pPr>
      <w:bookmarkStart w:id="467" w:name="_Toc287620727"/>
      <w:bookmarkStart w:id="468" w:name="_Toc57905873"/>
      <w:bookmarkStart w:id="469" w:name="_Toc287607788"/>
      <w:bookmarkStart w:id="470" w:name="_Toc16900"/>
      <w:bookmarkStart w:id="471" w:name="_Toc430530477"/>
      <w:bookmarkStart w:id="472" w:name="_Toc224103359"/>
      <w:bookmarkStart w:id="473" w:name="_Toc509218752"/>
      <w:bookmarkStart w:id="474" w:name="_Toc277082594"/>
      <w:bookmarkStart w:id="475" w:name="_Toc200513168"/>
      <w:r>
        <w:rPr>
          <w:rFonts w:ascii="宋体" w:hAnsi="宋体"/>
          <w:b w:val="0"/>
          <w:snapToGrid w:val="0"/>
          <w:color w:val="auto"/>
          <w:sz w:val="24"/>
          <w:szCs w:val="24"/>
          <w:highlight w:val="none"/>
        </w:rPr>
        <w:t>7.4  签订合同</w:t>
      </w:r>
      <w:bookmarkEnd w:id="467"/>
      <w:bookmarkEnd w:id="468"/>
      <w:bookmarkEnd w:id="469"/>
      <w:bookmarkEnd w:id="470"/>
      <w:bookmarkEnd w:id="471"/>
      <w:bookmarkEnd w:id="472"/>
      <w:bookmarkEnd w:id="473"/>
      <w:bookmarkEnd w:id="474"/>
      <w:bookmarkEnd w:id="475"/>
    </w:p>
    <w:p w14:paraId="4B544446">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7.4.1 招标人和中标人应当自中标通知书发出之日起 30 天内，根据招标文件和中标人的投标文件订立书面合同。中标人</w:t>
      </w:r>
      <w:r>
        <w:rPr>
          <w:rFonts w:hint="eastAsia" w:ascii="宋体" w:hAnsi="宋体"/>
          <w:snapToGrid w:val="0"/>
          <w:color w:val="auto"/>
          <w:kern w:val="0"/>
          <w:szCs w:val="21"/>
          <w:highlight w:val="none"/>
        </w:rPr>
        <w:t>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不与招标人</w:t>
      </w:r>
      <w:r>
        <w:rPr>
          <w:rFonts w:ascii="宋体" w:hAnsi="宋体"/>
          <w:snapToGrid w:val="0"/>
          <w:color w:val="auto"/>
          <w:kern w:val="0"/>
          <w:szCs w:val="21"/>
          <w:highlight w:val="none"/>
        </w:rPr>
        <w:t>签</w:t>
      </w:r>
      <w:r>
        <w:rPr>
          <w:rFonts w:hint="eastAsia" w:ascii="宋体" w:hAnsi="宋体"/>
          <w:snapToGrid w:val="0"/>
          <w:color w:val="auto"/>
          <w:kern w:val="0"/>
          <w:szCs w:val="21"/>
          <w:highlight w:val="none"/>
        </w:rPr>
        <w:t>订</w:t>
      </w:r>
      <w:r>
        <w:rPr>
          <w:rFonts w:ascii="宋体" w:hAnsi="宋体"/>
          <w:snapToGrid w:val="0"/>
          <w:color w:val="auto"/>
          <w:kern w:val="0"/>
          <w:szCs w:val="21"/>
          <w:highlight w:val="none"/>
        </w:rPr>
        <w:t>合同，</w:t>
      </w:r>
      <w:r>
        <w:rPr>
          <w:rFonts w:hint="eastAsia" w:ascii="宋体" w:hAnsi="宋体"/>
          <w:snapToGrid w:val="0"/>
          <w:color w:val="auto"/>
          <w:kern w:val="0"/>
          <w:szCs w:val="21"/>
          <w:highlight w:val="none"/>
        </w:rPr>
        <w:t>在签订合同时向招标人提出附加条件或者更改合同实质性内容的</w:t>
      </w:r>
      <w:r>
        <w:rPr>
          <w:rFonts w:ascii="宋体" w:hAnsi="宋体"/>
          <w:snapToGrid w:val="0"/>
          <w:color w:val="auto"/>
          <w:kern w:val="0"/>
          <w:szCs w:val="21"/>
          <w:highlight w:val="none"/>
        </w:rPr>
        <w:t>，</w:t>
      </w:r>
      <w:r>
        <w:rPr>
          <w:rFonts w:hint="eastAsia" w:ascii="宋体" w:hAnsi="宋体" w:cs="宋体"/>
          <w:color w:val="auto"/>
          <w:szCs w:val="21"/>
          <w:highlight w:val="none"/>
        </w:rPr>
        <w:t>或不按照招标文件要求提交低价风险担保（适用于经评审最低投标价法）或履约保证金的，</w:t>
      </w:r>
      <w:r>
        <w:rPr>
          <w:rFonts w:ascii="宋体" w:hAnsi="宋体"/>
          <w:snapToGrid w:val="0"/>
          <w:color w:val="auto"/>
          <w:kern w:val="0"/>
          <w:szCs w:val="21"/>
          <w:highlight w:val="none"/>
        </w:rPr>
        <w:t>招标人取消其中标资格，其投标保证金不予退还；给招标人造成的损失超过投标保证金数额的，中标人还应当对超过部分予以赔偿。</w:t>
      </w:r>
    </w:p>
    <w:p w14:paraId="0C0D6A4D">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7.4.2  发出中标通知书后，招标人无正当理由拒签合同的，招标人向中标人退还投标保证金；给中标人造成损失的，还应当赔偿损失。</w:t>
      </w:r>
    </w:p>
    <w:p w14:paraId="72A939D6">
      <w:pPr>
        <w:pStyle w:val="3"/>
        <w:spacing w:before="0" w:after="0" w:line="360" w:lineRule="auto"/>
        <w:rPr>
          <w:rFonts w:ascii="宋体" w:hAnsi="宋体"/>
          <w:b w:val="0"/>
          <w:snapToGrid w:val="0"/>
          <w:color w:val="auto"/>
          <w:highlight w:val="none"/>
        </w:rPr>
      </w:pPr>
      <w:bookmarkStart w:id="476" w:name="_Toc287620728"/>
      <w:bookmarkStart w:id="477" w:name="_Toc22591"/>
      <w:bookmarkStart w:id="478" w:name="_Toc57905874"/>
      <w:bookmarkStart w:id="479" w:name="_Toc277082595"/>
      <w:bookmarkStart w:id="480" w:name="_Toc509218753"/>
      <w:bookmarkStart w:id="481" w:name="_Toc200513169"/>
      <w:bookmarkStart w:id="482" w:name="_Toc287607789"/>
      <w:bookmarkStart w:id="483" w:name="_Toc430530478"/>
      <w:bookmarkStart w:id="484" w:name="_Toc224103360"/>
      <w:r>
        <w:rPr>
          <w:rFonts w:ascii="宋体" w:hAnsi="宋体"/>
          <w:b w:val="0"/>
          <w:snapToGrid w:val="0"/>
          <w:color w:val="auto"/>
          <w:highlight w:val="none"/>
        </w:rPr>
        <w:t>8.  重新招标和不再招标</w:t>
      </w:r>
      <w:bookmarkEnd w:id="476"/>
      <w:bookmarkEnd w:id="477"/>
      <w:bookmarkEnd w:id="478"/>
      <w:bookmarkEnd w:id="479"/>
      <w:bookmarkEnd w:id="480"/>
      <w:bookmarkEnd w:id="481"/>
      <w:bookmarkEnd w:id="482"/>
      <w:bookmarkEnd w:id="483"/>
      <w:bookmarkEnd w:id="484"/>
    </w:p>
    <w:p w14:paraId="4D6B9E46">
      <w:pPr>
        <w:pStyle w:val="4"/>
        <w:snapToGrid w:val="0"/>
        <w:spacing w:before="0" w:after="0" w:line="360" w:lineRule="auto"/>
        <w:rPr>
          <w:rFonts w:ascii="宋体" w:hAnsi="宋体"/>
          <w:b w:val="0"/>
          <w:snapToGrid w:val="0"/>
          <w:color w:val="auto"/>
          <w:sz w:val="24"/>
          <w:szCs w:val="24"/>
          <w:highlight w:val="none"/>
        </w:rPr>
      </w:pPr>
      <w:bookmarkStart w:id="485" w:name="_Toc430530479"/>
      <w:bookmarkStart w:id="486" w:name="_Toc509218754"/>
      <w:bookmarkStart w:id="487" w:name="_Toc4647"/>
      <w:bookmarkStart w:id="488" w:name="_Toc200513170"/>
      <w:bookmarkStart w:id="489" w:name="_Toc57905875"/>
      <w:bookmarkStart w:id="490" w:name="_Toc287607790"/>
      <w:bookmarkStart w:id="491" w:name="_Toc277082596"/>
      <w:bookmarkStart w:id="492" w:name="_Toc224103361"/>
      <w:bookmarkStart w:id="493" w:name="_Toc287620729"/>
      <w:r>
        <w:rPr>
          <w:rFonts w:ascii="宋体" w:hAnsi="宋体"/>
          <w:b w:val="0"/>
          <w:snapToGrid w:val="0"/>
          <w:color w:val="auto"/>
          <w:sz w:val="24"/>
          <w:szCs w:val="24"/>
          <w:highlight w:val="none"/>
        </w:rPr>
        <w:t>8.1  重新招标</w:t>
      </w:r>
      <w:bookmarkEnd w:id="485"/>
      <w:bookmarkEnd w:id="486"/>
      <w:bookmarkEnd w:id="487"/>
      <w:bookmarkEnd w:id="488"/>
      <w:bookmarkEnd w:id="489"/>
      <w:bookmarkEnd w:id="490"/>
      <w:bookmarkEnd w:id="491"/>
      <w:bookmarkEnd w:id="492"/>
      <w:bookmarkEnd w:id="493"/>
      <w:r>
        <w:rPr>
          <w:rFonts w:hint="eastAsia" w:ascii="宋体" w:hAnsi="宋体"/>
          <w:b w:val="0"/>
          <w:snapToGrid w:val="0"/>
          <w:color w:val="auto"/>
          <w:sz w:val="24"/>
          <w:szCs w:val="24"/>
          <w:highlight w:val="none"/>
        </w:rPr>
        <w:t>的情形</w:t>
      </w:r>
    </w:p>
    <w:p w14:paraId="6BC95879">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有下列情形之一的，招标人将重新招标：</w:t>
      </w:r>
    </w:p>
    <w:p w14:paraId="59CFDCC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（1）投标截止时间止，投标人少于 3 个的；</w:t>
      </w:r>
    </w:p>
    <w:p w14:paraId="0408821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（2）经评标委员会评审后否决所有投标的；</w:t>
      </w:r>
    </w:p>
    <w:p w14:paraId="0974FDA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14:paraId="18FF19C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14:paraId="7CF475AC">
      <w:pPr>
        <w:pStyle w:val="4"/>
        <w:snapToGrid w:val="0"/>
        <w:spacing w:before="0" w:after="0" w:line="360" w:lineRule="auto"/>
        <w:rPr>
          <w:rFonts w:ascii="宋体" w:hAnsi="宋体"/>
          <w:b w:val="0"/>
          <w:snapToGrid w:val="0"/>
          <w:color w:val="auto"/>
          <w:sz w:val="24"/>
          <w:szCs w:val="24"/>
          <w:highlight w:val="none"/>
        </w:rPr>
      </w:pPr>
      <w:bookmarkStart w:id="494" w:name="_Toc277082597"/>
      <w:bookmarkStart w:id="495" w:name="_Toc32210"/>
      <w:bookmarkStart w:id="496" w:name="_Toc57905876"/>
      <w:bookmarkStart w:id="497" w:name="_Toc287620730"/>
      <w:bookmarkStart w:id="498" w:name="_Toc509218755"/>
      <w:bookmarkStart w:id="499" w:name="_Toc430530480"/>
      <w:bookmarkStart w:id="500" w:name="_Toc200513171"/>
      <w:bookmarkStart w:id="501" w:name="_Toc287607791"/>
      <w:bookmarkStart w:id="502" w:name="_Toc224103362"/>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ascii="宋体" w:hAnsi="宋体"/>
          <w:b w:val="0"/>
          <w:snapToGrid w:val="0"/>
          <w:color w:val="auto"/>
          <w:sz w:val="24"/>
          <w:szCs w:val="24"/>
          <w:highlight w:val="none"/>
        </w:rPr>
        <w:t>招标和不再招标</w:t>
      </w:r>
      <w:bookmarkEnd w:id="494"/>
      <w:bookmarkEnd w:id="495"/>
      <w:bookmarkEnd w:id="496"/>
      <w:bookmarkEnd w:id="497"/>
      <w:bookmarkEnd w:id="498"/>
      <w:bookmarkEnd w:id="499"/>
      <w:bookmarkEnd w:id="500"/>
      <w:bookmarkEnd w:id="501"/>
      <w:bookmarkEnd w:id="502"/>
    </w:p>
    <w:p w14:paraId="0268043B">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p w14:paraId="30277079">
      <w:pPr>
        <w:pStyle w:val="3"/>
        <w:spacing w:before="0" w:after="0" w:line="360" w:lineRule="auto"/>
        <w:rPr>
          <w:rFonts w:ascii="宋体" w:hAnsi="宋体"/>
          <w:b w:val="0"/>
          <w:snapToGrid w:val="0"/>
          <w:color w:val="auto"/>
          <w:highlight w:val="none"/>
        </w:rPr>
      </w:pPr>
      <w:bookmarkStart w:id="503" w:name="_Toc57905877"/>
      <w:bookmarkStart w:id="504" w:name="_Toc287607792"/>
      <w:bookmarkStart w:id="505" w:name="_Toc285"/>
      <w:bookmarkStart w:id="506" w:name="_Toc277082598"/>
      <w:bookmarkStart w:id="507" w:name="_Toc430530481"/>
      <w:bookmarkStart w:id="508" w:name="_Toc287620731"/>
      <w:bookmarkStart w:id="509" w:name="_Toc200513172"/>
      <w:bookmarkStart w:id="510" w:name="_Toc509218756"/>
      <w:bookmarkStart w:id="511" w:name="_Toc224103363"/>
      <w:r>
        <w:rPr>
          <w:rFonts w:ascii="宋体" w:hAnsi="宋体"/>
          <w:b w:val="0"/>
          <w:snapToGrid w:val="0"/>
          <w:color w:val="auto"/>
          <w:highlight w:val="none"/>
        </w:rPr>
        <w:t>9.  纪律和监督</w:t>
      </w:r>
      <w:bookmarkEnd w:id="503"/>
      <w:bookmarkEnd w:id="504"/>
      <w:bookmarkEnd w:id="505"/>
      <w:bookmarkEnd w:id="506"/>
      <w:bookmarkEnd w:id="507"/>
      <w:bookmarkEnd w:id="508"/>
      <w:bookmarkEnd w:id="509"/>
      <w:bookmarkEnd w:id="510"/>
      <w:bookmarkEnd w:id="511"/>
    </w:p>
    <w:p w14:paraId="274380D1">
      <w:pPr>
        <w:pStyle w:val="4"/>
        <w:snapToGrid w:val="0"/>
        <w:spacing w:before="0" w:after="0" w:line="360" w:lineRule="auto"/>
        <w:rPr>
          <w:rFonts w:ascii="宋体" w:hAnsi="宋体"/>
          <w:b w:val="0"/>
          <w:snapToGrid w:val="0"/>
          <w:color w:val="auto"/>
          <w:sz w:val="24"/>
          <w:szCs w:val="24"/>
          <w:highlight w:val="none"/>
        </w:rPr>
      </w:pPr>
      <w:bookmarkStart w:id="512" w:name="_Toc200513173"/>
      <w:bookmarkStart w:id="513" w:name="_Toc287607793"/>
      <w:bookmarkStart w:id="514" w:name="_Toc224103364"/>
      <w:bookmarkStart w:id="515" w:name="_Toc11532"/>
      <w:bookmarkStart w:id="516" w:name="_Toc57905878"/>
      <w:bookmarkStart w:id="517" w:name="_Toc430530482"/>
      <w:bookmarkStart w:id="518" w:name="_Toc277082599"/>
      <w:bookmarkStart w:id="519" w:name="_Toc287620732"/>
      <w:bookmarkStart w:id="520" w:name="_Toc509218757"/>
      <w:r>
        <w:rPr>
          <w:rFonts w:ascii="宋体" w:hAnsi="宋体"/>
          <w:b w:val="0"/>
          <w:snapToGrid w:val="0"/>
          <w:color w:val="auto"/>
          <w:sz w:val="24"/>
          <w:szCs w:val="24"/>
          <w:highlight w:val="none"/>
        </w:rPr>
        <w:t>9.1  对招标人的纪律要求</w:t>
      </w:r>
      <w:bookmarkEnd w:id="512"/>
      <w:bookmarkEnd w:id="513"/>
      <w:bookmarkEnd w:id="514"/>
      <w:bookmarkEnd w:id="515"/>
      <w:bookmarkEnd w:id="516"/>
      <w:bookmarkEnd w:id="517"/>
      <w:bookmarkEnd w:id="518"/>
      <w:bookmarkEnd w:id="519"/>
      <w:bookmarkEnd w:id="520"/>
    </w:p>
    <w:p w14:paraId="1BC1D86B">
      <w:pPr>
        <w:autoSpaceDE w:val="0"/>
        <w:autoSpaceDN w:val="0"/>
        <w:adjustRightInd w:val="0"/>
        <w:snapToGrid w:val="0"/>
        <w:spacing w:line="360" w:lineRule="auto"/>
        <w:ind w:firstLine="420"/>
        <w:rPr>
          <w:rFonts w:ascii="宋体" w:hAnsi="宋体"/>
          <w:color w:val="auto"/>
          <w:highlight w:val="none"/>
        </w:rPr>
      </w:pPr>
      <w:r>
        <w:rPr>
          <w:rFonts w:ascii="宋体" w:hAnsi="宋体"/>
          <w:snapToGrid w:val="0"/>
          <w:color w:val="auto"/>
          <w:kern w:val="0"/>
          <w:szCs w:val="21"/>
          <w:highlight w:val="none"/>
        </w:rPr>
        <w:t>招标人不得泄漏招标投标活动中应当保密的情况和资料，不得与投标人串通损害国家利 益、社会公共利益或者他人合法权益，</w:t>
      </w:r>
      <w:r>
        <w:rPr>
          <w:rFonts w:ascii="宋体" w:hAnsi="宋体"/>
          <w:color w:val="auto"/>
          <w:highlight w:val="none"/>
        </w:rPr>
        <w:t>禁止招标人与投标人串通投标。</w:t>
      </w:r>
    </w:p>
    <w:p w14:paraId="4AD39089">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有下列情形之一的，属于招标人与投标人串通投标：</w:t>
      </w:r>
    </w:p>
    <w:p w14:paraId="76FC0690">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（1）招标人在开标前开启投标文件并将有关信息泄露给其他投标人</w:t>
      </w:r>
      <w:r>
        <w:rPr>
          <w:rFonts w:hint="eastAsia" w:ascii="宋体" w:hAnsi="宋体"/>
          <w:color w:val="auto"/>
          <w:highlight w:val="none"/>
        </w:rPr>
        <w:t>；</w:t>
      </w:r>
    </w:p>
    <w:p w14:paraId="6E7383AA">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（2）招标人直接或者间接向投标人泄露标底、评标委员会成员等信息；</w:t>
      </w:r>
    </w:p>
    <w:p w14:paraId="6B1F1240">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（3）招标人明示或者暗示投标人压低或者抬高投标报价；</w:t>
      </w:r>
    </w:p>
    <w:p w14:paraId="40643B68">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（4）招标人授意投标人撤换、修改投标文件；</w:t>
      </w:r>
    </w:p>
    <w:p w14:paraId="24A81B77">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（5）招标人明示或者暗示投标人为特定投标人中标提供方便；</w:t>
      </w:r>
    </w:p>
    <w:p w14:paraId="0CA589FB">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（6）招标人与投标人为谋求特定投标人中标而采取的其他串通行为。</w:t>
      </w:r>
    </w:p>
    <w:p w14:paraId="7589FA2A">
      <w:pPr>
        <w:pStyle w:val="4"/>
        <w:snapToGrid w:val="0"/>
        <w:spacing w:before="0" w:after="0" w:line="360" w:lineRule="auto"/>
        <w:rPr>
          <w:rFonts w:ascii="宋体" w:hAnsi="宋体"/>
          <w:b w:val="0"/>
          <w:snapToGrid w:val="0"/>
          <w:color w:val="auto"/>
          <w:sz w:val="24"/>
          <w:szCs w:val="24"/>
          <w:highlight w:val="none"/>
        </w:rPr>
      </w:pPr>
      <w:bookmarkStart w:id="521" w:name="_Toc287620733"/>
      <w:bookmarkStart w:id="522" w:name="_Toc509218758"/>
      <w:bookmarkStart w:id="523" w:name="_Toc430530483"/>
      <w:bookmarkStart w:id="524" w:name="_Toc224103365"/>
      <w:bookmarkStart w:id="525" w:name="_Toc277082600"/>
      <w:bookmarkStart w:id="526" w:name="_Toc57905879"/>
      <w:bookmarkStart w:id="527" w:name="_Toc287607794"/>
      <w:bookmarkStart w:id="528" w:name="_Toc200513174"/>
      <w:bookmarkStart w:id="529" w:name="_Toc11710"/>
      <w:r>
        <w:rPr>
          <w:rFonts w:ascii="宋体" w:hAnsi="宋体"/>
          <w:b w:val="0"/>
          <w:snapToGrid w:val="0"/>
          <w:color w:val="auto"/>
          <w:sz w:val="24"/>
          <w:szCs w:val="24"/>
          <w:highlight w:val="none"/>
        </w:rPr>
        <w:t>9.2  对投标人的纪律要求</w:t>
      </w:r>
      <w:bookmarkEnd w:id="521"/>
      <w:bookmarkEnd w:id="522"/>
      <w:bookmarkEnd w:id="523"/>
      <w:bookmarkEnd w:id="524"/>
      <w:bookmarkEnd w:id="525"/>
      <w:bookmarkEnd w:id="526"/>
      <w:bookmarkEnd w:id="527"/>
      <w:bookmarkEnd w:id="528"/>
      <w:bookmarkEnd w:id="529"/>
    </w:p>
    <w:p w14:paraId="7EBBFFF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r>
        <w:rPr>
          <w:rFonts w:hint="eastAsia" w:ascii="宋体" w:hAnsi="宋体"/>
          <w:snapToGrid w:val="0"/>
          <w:color w:val="auto"/>
          <w:kern w:val="0"/>
          <w:szCs w:val="21"/>
          <w:highlight w:val="none"/>
        </w:rPr>
        <w:t>。</w:t>
      </w:r>
    </w:p>
    <w:p w14:paraId="2AE0A047">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9.2.1  </w:t>
      </w:r>
      <w:r>
        <w:rPr>
          <w:rFonts w:ascii="宋体" w:hAnsi="宋体"/>
          <w:color w:val="auto"/>
          <w:highlight w:val="none"/>
        </w:rPr>
        <w:t>有下列情形之一的，属于投标人相互串通投标：</w:t>
      </w:r>
    </w:p>
    <w:p w14:paraId="5D502263">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（1）投标人之间协商投标报价等投标文件的实质性内容；</w:t>
      </w:r>
    </w:p>
    <w:p w14:paraId="6A9E0A87">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（2）投标人之间约定中标人；</w:t>
      </w:r>
    </w:p>
    <w:p w14:paraId="72F474D7">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（3）投标人之间约定部分投标人放弃投标或者中标；</w:t>
      </w:r>
    </w:p>
    <w:p w14:paraId="11FBB62D">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（4）属于同一集团、协会、商会等组织成员的投标人按照该组织要求协同投标；</w:t>
      </w:r>
    </w:p>
    <w:p w14:paraId="548FB1B2">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（5）投标人之间为谋取中标或者排斥特定投标人而采取的其他联合行动。</w:t>
      </w:r>
    </w:p>
    <w:p w14:paraId="4899343F">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有下列情形之一的，视为投标人相互串通投标：</w:t>
      </w:r>
    </w:p>
    <w:p w14:paraId="1EF952E9">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（1）不同投标人的投标文件由同一单位或者个人编制；</w:t>
      </w:r>
    </w:p>
    <w:p w14:paraId="1E1532FC">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（2）不同投标人委托同一单位或者个人办理投标事宜；</w:t>
      </w:r>
    </w:p>
    <w:p w14:paraId="1203FE89">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（3）不同投标人的投标文件载明的项目管理成员为同一人；</w:t>
      </w:r>
    </w:p>
    <w:p w14:paraId="1F6FE4D9">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（4）不同投标人的投标文件异常一致或者投标报价呈规律性差异；</w:t>
      </w:r>
    </w:p>
    <w:p w14:paraId="1593A986">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（5）不同投标人的投标文件相互混装；</w:t>
      </w:r>
    </w:p>
    <w:p w14:paraId="480E15FE">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（6）不同投标人的投标保证金从同一单位或者个人的账户转出。</w:t>
      </w:r>
    </w:p>
    <w:p w14:paraId="2ED840C5">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使用通过受让或者租借等方式获取的资格、资质证书投标的，属于以他人名义投标。</w:t>
      </w:r>
    </w:p>
    <w:p w14:paraId="5A7AB465">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9.2.4  </w:t>
      </w:r>
      <w:r>
        <w:rPr>
          <w:rFonts w:ascii="宋体" w:hAnsi="宋体"/>
          <w:color w:val="auto"/>
          <w:highlight w:val="none"/>
        </w:rPr>
        <w:t>投标人有下列情形之一的，属于以其他方式弄虚作假的行为：</w:t>
      </w:r>
    </w:p>
    <w:p w14:paraId="06F60F63">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）使用伪造、变造的许可证件；</w:t>
      </w:r>
    </w:p>
    <w:p w14:paraId="4304C769">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14:paraId="6AAF02F4">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14:paraId="3F587409">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14:paraId="4A380FF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14:paraId="05B1B55F">
      <w:pPr>
        <w:pStyle w:val="4"/>
        <w:snapToGrid w:val="0"/>
        <w:spacing w:before="0" w:after="0" w:line="360" w:lineRule="auto"/>
        <w:rPr>
          <w:rFonts w:ascii="宋体" w:hAnsi="宋体"/>
          <w:b w:val="0"/>
          <w:snapToGrid w:val="0"/>
          <w:color w:val="auto"/>
          <w:sz w:val="24"/>
          <w:szCs w:val="24"/>
          <w:highlight w:val="none"/>
        </w:rPr>
      </w:pPr>
      <w:bookmarkStart w:id="530" w:name="_Toc430530484"/>
      <w:bookmarkStart w:id="531" w:name="_Toc224103366"/>
      <w:bookmarkStart w:id="532" w:name="_Toc509218759"/>
      <w:bookmarkStart w:id="533" w:name="_Toc277082601"/>
      <w:bookmarkStart w:id="534" w:name="_Toc27742"/>
      <w:bookmarkStart w:id="535" w:name="_Toc57905880"/>
      <w:bookmarkStart w:id="536" w:name="_Toc287607795"/>
      <w:bookmarkStart w:id="537" w:name="_Toc200513175"/>
      <w:bookmarkStart w:id="538" w:name="_Toc287620734"/>
      <w:r>
        <w:rPr>
          <w:rFonts w:ascii="宋体" w:hAnsi="宋体"/>
          <w:b w:val="0"/>
          <w:snapToGrid w:val="0"/>
          <w:color w:val="auto"/>
          <w:sz w:val="24"/>
          <w:szCs w:val="24"/>
          <w:highlight w:val="none"/>
        </w:rPr>
        <w:t>9.3  对评标委员会成员的纪律要求</w:t>
      </w:r>
      <w:bookmarkEnd w:id="530"/>
      <w:bookmarkEnd w:id="531"/>
      <w:bookmarkEnd w:id="532"/>
      <w:bookmarkEnd w:id="533"/>
      <w:bookmarkEnd w:id="534"/>
      <w:bookmarkEnd w:id="535"/>
      <w:bookmarkEnd w:id="536"/>
      <w:bookmarkEnd w:id="537"/>
      <w:bookmarkEnd w:id="538"/>
    </w:p>
    <w:p w14:paraId="011C53F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，不得对招标文件中《否决投标情况一览表》以外的内容予以否决投标，否则对评标委员会成员按《重庆市综合评标专家库和评标专家管理暂行办法》进行处理</w:t>
      </w:r>
      <w:r>
        <w:rPr>
          <w:rFonts w:ascii="宋体" w:hAnsi="宋体"/>
          <w:snapToGrid w:val="0"/>
          <w:color w:val="auto"/>
          <w:kern w:val="0"/>
          <w:szCs w:val="21"/>
          <w:highlight w:val="none"/>
        </w:rPr>
        <w:t>。</w:t>
      </w:r>
    </w:p>
    <w:p w14:paraId="516E5F13">
      <w:pPr>
        <w:pStyle w:val="4"/>
        <w:snapToGrid w:val="0"/>
        <w:spacing w:before="0" w:after="0" w:line="360" w:lineRule="auto"/>
        <w:rPr>
          <w:rFonts w:ascii="宋体" w:hAnsi="宋体"/>
          <w:b w:val="0"/>
          <w:snapToGrid w:val="0"/>
          <w:color w:val="auto"/>
          <w:sz w:val="24"/>
          <w:szCs w:val="24"/>
          <w:highlight w:val="none"/>
        </w:rPr>
      </w:pPr>
      <w:bookmarkStart w:id="539" w:name="_Toc509218760"/>
      <w:bookmarkStart w:id="540" w:name="_Toc57905881"/>
      <w:bookmarkStart w:id="541" w:name="_Toc17353"/>
      <w:bookmarkStart w:id="542" w:name="_Toc287620735"/>
      <w:bookmarkStart w:id="543" w:name="_Toc224103367"/>
      <w:bookmarkStart w:id="544" w:name="_Toc277082602"/>
      <w:bookmarkStart w:id="545" w:name="_Toc287607796"/>
      <w:bookmarkStart w:id="546" w:name="_Toc430530485"/>
      <w:bookmarkStart w:id="547" w:name="_Toc200513176"/>
      <w:r>
        <w:rPr>
          <w:rFonts w:ascii="宋体" w:hAnsi="宋体"/>
          <w:b w:val="0"/>
          <w:snapToGrid w:val="0"/>
          <w:color w:val="auto"/>
          <w:sz w:val="24"/>
          <w:szCs w:val="24"/>
          <w:highlight w:val="none"/>
        </w:rPr>
        <w:t>9.4  对与评标活动有关的工作人员的纪律要求</w:t>
      </w:r>
      <w:bookmarkEnd w:id="539"/>
      <w:bookmarkEnd w:id="540"/>
      <w:bookmarkEnd w:id="541"/>
      <w:bookmarkEnd w:id="542"/>
      <w:bookmarkEnd w:id="543"/>
      <w:bookmarkEnd w:id="544"/>
      <w:bookmarkEnd w:id="545"/>
      <w:bookmarkEnd w:id="546"/>
      <w:bookmarkEnd w:id="547"/>
    </w:p>
    <w:p w14:paraId="205B21B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14:paraId="724DF158">
      <w:pPr>
        <w:pStyle w:val="4"/>
        <w:snapToGrid w:val="0"/>
        <w:spacing w:before="0" w:after="0" w:line="360" w:lineRule="auto"/>
        <w:rPr>
          <w:rFonts w:ascii="宋体" w:hAnsi="宋体"/>
          <w:b w:val="0"/>
          <w:snapToGrid w:val="0"/>
          <w:color w:val="auto"/>
          <w:sz w:val="24"/>
          <w:szCs w:val="24"/>
          <w:highlight w:val="none"/>
        </w:rPr>
      </w:pPr>
      <w:bookmarkStart w:id="548" w:name="_Toc200513177"/>
      <w:bookmarkStart w:id="549" w:name="_Toc509218761"/>
      <w:bookmarkStart w:id="550" w:name="_Toc277082603"/>
      <w:bookmarkStart w:id="551" w:name="_Toc224103368"/>
      <w:bookmarkStart w:id="552" w:name="_Toc287620736"/>
      <w:bookmarkStart w:id="553" w:name="_Toc430530486"/>
      <w:bookmarkStart w:id="554" w:name="_Toc57905882"/>
      <w:bookmarkStart w:id="555" w:name="_Toc287607797"/>
      <w:bookmarkStart w:id="556" w:name="_Toc17234"/>
      <w:r>
        <w:rPr>
          <w:rFonts w:ascii="宋体" w:hAnsi="宋体"/>
          <w:b w:val="0"/>
          <w:snapToGrid w:val="0"/>
          <w:color w:val="auto"/>
          <w:sz w:val="24"/>
          <w:szCs w:val="24"/>
          <w:highlight w:val="none"/>
        </w:rPr>
        <w:t>9.5  投诉</w:t>
      </w:r>
      <w:bookmarkEnd w:id="548"/>
      <w:bookmarkEnd w:id="549"/>
      <w:bookmarkEnd w:id="550"/>
      <w:bookmarkEnd w:id="551"/>
      <w:bookmarkEnd w:id="552"/>
      <w:bookmarkEnd w:id="553"/>
      <w:bookmarkEnd w:id="554"/>
      <w:bookmarkEnd w:id="555"/>
      <w:bookmarkEnd w:id="556"/>
    </w:p>
    <w:p w14:paraId="13A7BD1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投标人和其他利害关系人认为本次招标活动违反法律、法规和规章规定的，有权向有关行政监督部门投诉。</w:t>
      </w:r>
    </w:p>
    <w:p w14:paraId="5F0FF996">
      <w:pPr>
        <w:pStyle w:val="3"/>
        <w:spacing w:before="0" w:after="0" w:line="360" w:lineRule="auto"/>
        <w:rPr>
          <w:rFonts w:ascii="宋体" w:hAnsi="宋体"/>
          <w:b w:val="0"/>
          <w:snapToGrid w:val="0"/>
          <w:color w:val="auto"/>
          <w:highlight w:val="none"/>
        </w:rPr>
      </w:pPr>
      <w:bookmarkStart w:id="557" w:name="_Toc430530487"/>
      <w:bookmarkStart w:id="558" w:name="_Toc200513178"/>
      <w:bookmarkStart w:id="559" w:name="_Toc509218762"/>
      <w:bookmarkStart w:id="560" w:name="_Toc57905883"/>
      <w:bookmarkStart w:id="561" w:name="_Toc13382"/>
      <w:bookmarkStart w:id="562" w:name="_Toc287607798"/>
      <w:bookmarkStart w:id="563" w:name="_Toc224103369"/>
      <w:bookmarkStart w:id="564" w:name="_Toc287620737"/>
      <w:bookmarkStart w:id="565" w:name="_Toc277082604"/>
      <w:r>
        <w:rPr>
          <w:rFonts w:ascii="宋体" w:hAnsi="宋体"/>
          <w:b w:val="0"/>
          <w:snapToGrid w:val="0"/>
          <w:color w:val="auto"/>
          <w:highlight w:val="none"/>
        </w:rPr>
        <w:t>10. 需要补充的其他内容</w:t>
      </w:r>
      <w:bookmarkEnd w:id="557"/>
      <w:bookmarkEnd w:id="558"/>
      <w:bookmarkEnd w:id="559"/>
      <w:bookmarkEnd w:id="560"/>
      <w:bookmarkEnd w:id="561"/>
      <w:bookmarkEnd w:id="562"/>
      <w:bookmarkEnd w:id="563"/>
      <w:bookmarkEnd w:id="564"/>
      <w:bookmarkEnd w:id="565"/>
    </w:p>
    <w:p w14:paraId="03BCD3B1">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7" w:type="default"/>
          <w:footerReference r:id="rId8" w:type="even"/>
          <w:pgSz w:w="11906" w:h="16838"/>
          <w:pgMar w:top="1304" w:right="1134" w:bottom="1304" w:left="1304" w:header="851" w:footer="992" w:gutter="0"/>
          <w:cols w:space="720" w:num="1"/>
          <w:docGrid w:type="lines" w:linePitch="312" w:charSpace="0"/>
        </w:sectPr>
      </w:pPr>
      <w:r>
        <w:rPr>
          <w:rFonts w:ascii="宋体" w:hAnsi="宋体"/>
          <w:snapToGrid w:val="0"/>
          <w:color w:val="auto"/>
          <w:kern w:val="0"/>
          <w:szCs w:val="21"/>
          <w:highlight w:val="none"/>
        </w:rPr>
        <w:t>需要补充的其他内容：见投标人须知前附表。</w:t>
      </w:r>
    </w:p>
    <w:p w14:paraId="0FAA66F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p>
    <w:p w14:paraId="10DE61AB">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附表一：开标记录表</w:t>
      </w:r>
    </w:p>
    <w:p w14:paraId="04A014A2">
      <w:pPr>
        <w:autoSpaceDE w:val="0"/>
        <w:autoSpaceDN w:val="0"/>
        <w:adjustRightInd w:val="0"/>
        <w:snapToGrid w:val="0"/>
        <w:spacing w:line="360" w:lineRule="auto"/>
        <w:jc w:val="left"/>
        <w:rPr>
          <w:rFonts w:ascii="宋体" w:hAnsi="宋体"/>
          <w:b/>
          <w:snapToGrid w:val="0"/>
          <w:color w:val="auto"/>
          <w:kern w:val="0"/>
          <w:highlight w:val="none"/>
        </w:rPr>
      </w:pPr>
    </w:p>
    <w:p w14:paraId="22F7CEA8">
      <w:pPr>
        <w:tabs>
          <w:tab w:val="left" w:pos="3529"/>
          <w:tab w:val="left" w:pos="5060"/>
        </w:tabs>
        <w:autoSpaceDE w:val="0"/>
        <w:autoSpaceDN w:val="0"/>
        <w:adjustRightInd w:val="0"/>
        <w:snapToGrid w:val="0"/>
        <w:spacing w:line="360" w:lineRule="auto"/>
        <w:ind w:firstLine="3324" w:firstLineChars="600"/>
        <w:jc w:val="left"/>
        <w:rPr>
          <w:rFonts w:ascii="宋体" w:hAnsi="宋体"/>
          <w:b/>
          <w:snapToGrid w:val="0"/>
          <w:color w:val="auto"/>
          <w:kern w:val="0"/>
          <w:sz w:val="28"/>
          <w:szCs w:val="28"/>
          <w:highlight w:val="none"/>
        </w:rPr>
      </w:pPr>
      <w:r>
        <w:rPr>
          <w:rFonts w:hint="eastAsia" w:ascii="宋体" w:hAnsi="宋体" w:cs="MingLiU"/>
          <w:snapToGrid w:val="0"/>
          <w:color w:val="auto"/>
          <w:w w:val="198"/>
          <w:kern w:val="0"/>
          <w:sz w:val="28"/>
          <w:szCs w:val="28"/>
          <w:highlight w:val="none"/>
          <w:u w:val="single"/>
        </w:rPr>
        <w:t xml:space="preserve">              </w:t>
      </w:r>
      <w:r>
        <w:rPr>
          <w:rFonts w:hint="eastAsia" w:ascii="宋体" w:hAnsi="宋体"/>
          <w:snapToGrid w:val="0"/>
          <w:color w:val="auto"/>
          <w:kern w:val="0"/>
          <w:sz w:val="28"/>
          <w:szCs w:val="28"/>
          <w:highlight w:val="none"/>
          <w:u w:val="single"/>
        </w:rPr>
        <w:t xml:space="preserve"> </w:t>
      </w:r>
      <w:r>
        <w:rPr>
          <w:rFonts w:ascii="宋体" w:hAnsi="宋体"/>
          <w:b/>
          <w:snapToGrid w:val="0"/>
          <w:color w:val="auto"/>
          <w:w w:val="99"/>
          <w:kern w:val="0"/>
          <w:sz w:val="28"/>
          <w:szCs w:val="28"/>
          <w:highlight w:val="none"/>
          <w:u w:val="single"/>
        </w:rPr>
        <w:t>（项目名称）</w:t>
      </w:r>
      <w:r>
        <w:rPr>
          <w:rFonts w:ascii="宋体" w:hAnsi="宋体"/>
          <w:b/>
          <w:snapToGrid w:val="0"/>
          <w:color w:val="auto"/>
          <w:w w:val="99"/>
          <w:kern w:val="0"/>
          <w:sz w:val="28"/>
          <w:szCs w:val="28"/>
          <w:highlight w:val="none"/>
        </w:rPr>
        <w:t>开标记录表</w:t>
      </w:r>
    </w:p>
    <w:p w14:paraId="75B74726">
      <w:pPr>
        <w:tabs>
          <w:tab w:val="left" w:pos="2260"/>
          <w:tab w:val="left" w:pos="5060"/>
        </w:tabs>
        <w:autoSpaceDE w:val="0"/>
        <w:autoSpaceDN w:val="0"/>
        <w:adjustRightInd w:val="0"/>
        <w:snapToGrid w:val="0"/>
        <w:spacing w:line="360" w:lineRule="auto"/>
        <w:jc w:val="right"/>
        <w:rPr>
          <w:rFonts w:ascii="宋体" w:hAnsi="宋体"/>
          <w:snapToGrid w:val="0"/>
          <w:color w:val="auto"/>
          <w:kern w:val="0"/>
          <w:szCs w:val="21"/>
          <w:highlight w:val="none"/>
        </w:rPr>
      </w:pPr>
      <w:r>
        <w:rPr>
          <w:rFonts w:ascii="宋体" w:hAnsi="宋体"/>
          <w:b/>
          <w:snapToGrid w:val="0"/>
          <w:color w:val="auto"/>
          <w:kern w:val="0"/>
          <w:sz w:val="28"/>
          <w:szCs w:val="28"/>
          <w:highlight w:val="none"/>
        </w:rPr>
        <w:t xml:space="preserve">                             </w:t>
      </w:r>
      <w:r>
        <w:rPr>
          <w:rFonts w:ascii="宋体" w:hAnsi="宋体"/>
          <w:snapToGrid w:val="0"/>
          <w:color w:val="auto"/>
          <w:kern w:val="0"/>
          <w:szCs w:val="21"/>
          <w:highlight w:val="none"/>
        </w:rPr>
        <w:t>开标时间：</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分</w:t>
      </w:r>
    </w:p>
    <w:tbl>
      <w:tblPr>
        <w:tblStyle w:val="45"/>
        <w:tblW w:w="1375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1134"/>
        <w:gridCol w:w="1559"/>
        <w:gridCol w:w="1560"/>
        <w:gridCol w:w="1275"/>
        <w:gridCol w:w="993"/>
        <w:gridCol w:w="1369"/>
        <w:gridCol w:w="863"/>
        <w:gridCol w:w="1311"/>
      </w:tblGrid>
      <w:tr w14:paraId="5223D8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33" w:type="dxa"/>
            <w:vAlign w:val="center"/>
          </w:tcPr>
          <w:p w14:paraId="7129F815">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3260" w:type="dxa"/>
            <w:vAlign w:val="center"/>
          </w:tcPr>
          <w:p w14:paraId="51F9FA60">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投标人</w:t>
            </w:r>
          </w:p>
        </w:tc>
        <w:tc>
          <w:tcPr>
            <w:tcW w:w="1134" w:type="dxa"/>
            <w:vAlign w:val="center"/>
          </w:tcPr>
          <w:p w14:paraId="63E1E6CA">
            <w:pPr>
              <w:autoSpaceDE w:val="0"/>
              <w:autoSpaceDN w:val="0"/>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密封情况</w:t>
            </w:r>
          </w:p>
        </w:tc>
        <w:tc>
          <w:tcPr>
            <w:tcW w:w="1559" w:type="dxa"/>
            <w:tcBorders>
              <w:right w:val="single" w:color="auto" w:sz="4" w:space="0"/>
            </w:tcBorders>
            <w:vAlign w:val="center"/>
          </w:tcPr>
          <w:p w14:paraId="66FDFAD3">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投标总报价</w:t>
            </w:r>
          </w:p>
        </w:tc>
        <w:tc>
          <w:tcPr>
            <w:tcW w:w="1560" w:type="dxa"/>
            <w:tcBorders>
              <w:left w:val="single" w:color="auto" w:sz="4" w:space="0"/>
            </w:tcBorders>
            <w:vAlign w:val="center"/>
          </w:tcPr>
          <w:p w14:paraId="1F30B0E9">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安全文明施工费暂定金额</w:t>
            </w:r>
          </w:p>
        </w:tc>
        <w:tc>
          <w:tcPr>
            <w:tcW w:w="1275" w:type="dxa"/>
            <w:vAlign w:val="center"/>
          </w:tcPr>
          <w:p w14:paraId="6CFB2FFA">
            <w:pPr>
              <w:autoSpaceDE w:val="0"/>
              <w:autoSpaceDN w:val="0"/>
              <w:adjustRightInd w:val="0"/>
              <w:snapToGrid w:val="0"/>
              <w:jc w:val="center"/>
              <w:rPr>
                <w:rFonts w:hint="eastAsia" w:ascii="宋体" w:hAnsi="宋体" w:eastAsia="宋体"/>
                <w:snapToGrid w:val="0"/>
                <w:color w:val="auto"/>
                <w:kern w:val="0"/>
                <w:szCs w:val="21"/>
                <w:highlight w:val="none"/>
                <w:lang w:eastAsia="zh-CN"/>
              </w:rPr>
            </w:pPr>
            <w:r>
              <w:rPr>
                <w:rFonts w:ascii="宋体" w:hAnsi="宋体"/>
                <w:snapToGrid w:val="0"/>
                <w:color w:val="auto"/>
                <w:kern w:val="0"/>
                <w:szCs w:val="21"/>
                <w:highlight w:val="none"/>
              </w:rPr>
              <w:t>质量</w:t>
            </w:r>
            <w:r>
              <w:rPr>
                <w:rFonts w:hint="eastAsia" w:ascii="宋体" w:hAnsi="宋体"/>
                <w:snapToGrid w:val="0"/>
                <w:color w:val="auto"/>
                <w:kern w:val="0"/>
                <w:szCs w:val="21"/>
                <w:highlight w:val="none"/>
                <w:lang w:val="en-US" w:eastAsia="zh-CN"/>
              </w:rPr>
              <w:t>要求</w:t>
            </w:r>
          </w:p>
        </w:tc>
        <w:tc>
          <w:tcPr>
            <w:tcW w:w="993" w:type="dxa"/>
            <w:vAlign w:val="center"/>
          </w:tcPr>
          <w:p w14:paraId="27189C97">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1369" w:type="dxa"/>
            <w:vAlign w:val="center"/>
          </w:tcPr>
          <w:p w14:paraId="60D97267">
            <w:pPr>
              <w:autoSpaceDE w:val="0"/>
              <w:autoSpaceDN w:val="0"/>
              <w:adjustRightInd w:val="0"/>
              <w:snapToGrid w:val="0"/>
              <w:jc w:val="center"/>
              <w:rPr>
                <w:rFonts w:hint="eastAsia"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是否递交投标保证金</w:t>
            </w:r>
          </w:p>
        </w:tc>
        <w:tc>
          <w:tcPr>
            <w:tcW w:w="863" w:type="dxa"/>
            <w:vAlign w:val="center"/>
          </w:tcPr>
          <w:p w14:paraId="067773D0">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c>
          <w:tcPr>
            <w:tcW w:w="1311" w:type="dxa"/>
            <w:vAlign w:val="center"/>
          </w:tcPr>
          <w:p w14:paraId="508EAB2C">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签名</w:t>
            </w:r>
          </w:p>
        </w:tc>
      </w:tr>
      <w:tr w14:paraId="53ED5D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0" w:hRule="exact"/>
          <w:jc w:val="center"/>
        </w:trPr>
        <w:tc>
          <w:tcPr>
            <w:tcW w:w="433" w:type="dxa"/>
            <w:vAlign w:val="center"/>
          </w:tcPr>
          <w:p w14:paraId="00919BF8">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0363F5D5">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552762B0">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2130F9A8">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3F659B34">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6BE3062D">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128A70DE">
            <w:pPr>
              <w:autoSpaceDE w:val="0"/>
              <w:autoSpaceDN w:val="0"/>
              <w:adjustRightInd w:val="0"/>
              <w:snapToGrid w:val="0"/>
              <w:jc w:val="left"/>
              <w:rPr>
                <w:rFonts w:ascii="宋体" w:hAnsi="宋体"/>
                <w:snapToGrid w:val="0"/>
                <w:color w:val="auto"/>
                <w:kern w:val="0"/>
                <w:sz w:val="28"/>
                <w:szCs w:val="28"/>
                <w:highlight w:val="none"/>
              </w:rPr>
            </w:pPr>
          </w:p>
        </w:tc>
        <w:tc>
          <w:tcPr>
            <w:tcW w:w="1369" w:type="dxa"/>
            <w:vAlign w:val="center"/>
          </w:tcPr>
          <w:p w14:paraId="091B2649">
            <w:pPr>
              <w:autoSpaceDE w:val="0"/>
              <w:autoSpaceDN w:val="0"/>
              <w:adjustRightInd w:val="0"/>
              <w:snapToGrid w:val="0"/>
              <w:jc w:val="left"/>
              <w:rPr>
                <w:rFonts w:ascii="宋体" w:hAnsi="宋体"/>
                <w:snapToGrid w:val="0"/>
                <w:color w:val="auto"/>
                <w:kern w:val="0"/>
                <w:sz w:val="28"/>
                <w:szCs w:val="28"/>
                <w:highlight w:val="none"/>
              </w:rPr>
            </w:pPr>
          </w:p>
        </w:tc>
        <w:tc>
          <w:tcPr>
            <w:tcW w:w="863" w:type="dxa"/>
            <w:vAlign w:val="center"/>
          </w:tcPr>
          <w:p w14:paraId="7BBBA033">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39238F70">
            <w:pPr>
              <w:autoSpaceDE w:val="0"/>
              <w:autoSpaceDN w:val="0"/>
              <w:adjustRightInd w:val="0"/>
              <w:snapToGrid w:val="0"/>
              <w:jc w:val="left"/>
              <w:rPr>
                <w:rFonts w:ascii="宋体" w:hAnsi="宋体"/>
                <w:snapToGrid w:val="0"/>
                <w:color w:val="auto"/>
                <w:kern w:val="0"/>
                <w:sz w:val="28"/>
                <w:szCs w:val="28"/>
                <w:highlight w:val="none"/>
              </w:rPr>
            </w:pPr>
          </w:p>
        </w:tc>
      </w:tr>
      <w:tr w14:paraId="4BCCA0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085D6967">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6C47CCA4">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4C7AD88F">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33CEB0FE">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29BDA2D2">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0CD6896A">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394E40E3">
            <w:pPr>
              <w:autoSpaceDE w:val="0"/>
              <w:autoSpaceDN w:val="0"/>
              <w:adjustRightInd w:val="0"/>
              <w:snapToGrid w:val="0"/>
              <w:jc w:val="left"/>
              <w:rPr>
                <w:rFonts w:ascii="宋体" w:hAnsi="宋体"/>
                <w:snapToGrid w:val="0"/>
                <w:color w:val="auto"/>
                <w:kern w:val="0"/>
                <w:sz w:val="28"/>
                <w:szCs w:val="28"/>
                <w:highlight w:val="none"/>
              </w:rPr>
            </w:pPr>
          </w:p>
        </w:tc>
        <w:tc>
          <w:tcPr>
            <w:tcW w:w="1369" w:type="dxa"/>
            <w:vAlign w:val="center"/>
          </w:tcPr>
          <w:p w14:paraId="0CE84940">
            <w:pPr>
              <w:autoSpaceDE w:val="0"/>
              <w:autoSpaceDN w:val="0"/>
              <w:adjustRightInd w:val="0"/>
              <w:snapToGrid w:val="0"/>
              <w:jc w:val="left"/>
              <w:rPr>
                <w:rFonts w:ascii="宋体" w:hAnsi="宋体"/>
                <w:snapToGrid w:val="0"/>
                <w:color w:val="auto"/>
                <w:kern w:val="0"/>
                <w:sz w:val="28"/>
                <w:szCs w:val="28"/>
                <w:highlight w:val="none"/>
              </w:rPr>
            </w:pPr>
          </w:p>
        </w:tc>
        <w:tc>
          <w:tcPr>
            <w:tcW w:w="863" w:type="dxa"/>
            <w:vAlign w:val="center"/>
          </w:tcPr>
          <w:p w14:paraId="1DE64CAC">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1CF2E7FA">
            <w:pPr>
              <w:autoSpaceDE w:val="0"/>
              <w:autoSpaceDN w:val="0"/>
              <w:adjustRightInd w:val="0"/>
              <w:snapToGrid w:val="0"/>
              <w:jc w:val="left"/>
              <w:rPr>
                <w:rFonts w:ascii="宋体" w:hAnsi="宋体"/>
                <w:snapToGrid w:val="0"/>
                <w:color w:val="auto"/>
                <w:kern w:val="0"/>
                <w:sz w:val="28"/>
                <w:szCs w:val="28"/>
                <w:highlight w:val="none"/>
              </w:rPr>
            </w:pPr>
          </w:p>
        </w:tc>
      </w:tr>
      <w:tr w14:paraId="0EF156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458A30E2">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68E9FD48">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46C1936B">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36A4136E">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264809F3">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44B9C5AC">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67062DC2">
            <w:pPr>
              <w:autoSpaceDE w:val="0"/>
              <w:autoSpaceDN w:val="0"/>
              <w:adjustRightInd w:val="0"/>
              <w:snapToGrid w:val="0"/>
              <w:jc w:val="left"/>
              <w:rPr>
                <w:rFonts w:ascii="宋体" w:hAnsi="宋体"/>
                <w:snapToGrid w:val="0"/>
                <w:color w:val="auto"/>
                <w:kern w:val="0"/>
                <w:sz w:val="28"/>
                <w:szCs w:val="28"/>
                <w:highlight w:val="none"/>
              </w:rPr>
            </w:pPr>
          </w:p>
        </w:tc>
        <w:tc>
          <w:tcPr>
            <w:tcW w:w="1369" w:type="dxa"/>
            <w:vAlign w:val="center"/>
          </w:tcPr>
          <w:p w14:paraId="170FE788">
            <w:pPr>
              <w:autoSpaceDE w:val="0"/>
              <w:autoSpaceDN w:val="0"/>
              <w:adjustRightInd w:val="0"/>
              <w:snapToGrid w:val="0"/>
              <w:jc w:val="left"/>
              <w:rPr>
                <w:rFonts w:ascii="宋体" w:hAnsi="宋体"/>
                <w:snapToGrid w:val="0"/>
                <w:color w:val="auto"/>
                <w:kern w:val="0"/>
                <w:sz w:val="28"/>
                <w:szCs w:val="28"/>
                <w:highlight w:val="none"/>
              </w:rPr>
            </w:pPr>
          </w:p>
        </w:tc>
        <w:tc>
          <w:tcPr>
            <w:tcW w:w="863" w:type="dxa"/>
            <w:vAlign w:val="center"/>
          </w:tcPr>
          <w:p w14:paraId="50717041">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026AC692">
            <w:pPr>
              <w:autoSpaceDE w:val="0"/>
              <w:autoSpaceDN w:val="0"/>
              <w:adjustRightInd w:val="0"/>
              <w:snapToGrid w:val="0"/>
              <w:jc w:val="left"/>
              <w:rPr>
                <w:rFonts w:ascii="宋体" w:hAnsi="宋体"/>
                <w:snapToGrid w:val="0"/>
                <w:color w:val="auto"/>
                <w:kern w:val="0"/>
                <w:sz w:val="28"/>
                <w:szCs w:val="28"/>
                <w:highlight w:val="none"/>
              </w:rPr>
            </w:pPr>
          </w:p>
        </w:tc>
      </w:tr>
      <w:tr w14:paraId="5F9FB5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004767CA">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28344219">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59893877">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14629078">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2B34DEE7">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5D03600F">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0B987B9D">
            <w:pPr>
              <w:autoSpaceDE w:val="0"/>
              <w:autoSpaceDN w:val="0"/>
              <w:adjustRightInd w:val="0"/>
              <w:snapToGrid w:val="0"/>
              <w:jc w:val="left"/>
              <w:rPr>
                <w:rFonts w:ascii="宋体" w:hAnsi="宋体"/>
                <w:snapToGrid w:val="0"/>
                <w:color w:val="auto"/>
                <w:kern w:val="0"/>
                <w:sz w:val="28"/>
                <w:szCs w:val="28"/>
                <w:highlight w:val="none"/>
              </w:rPr>
            </w:pPr>
          </w:p>
        </w:tc>
        <w:tc>
          <w:tcPr>
            <w:tcW w:w="1369" w:type="dxa"/>
            <w:vAlign w:val="center"/>
          </w:tcPr>
          <w:p w14:paraId="53A70502">
            <w:pPr>
              <w:autoSpaceDE w:val="0"/>
              <w:autoSpaceDN w:val="0"/>
              <w:adjustRightInd w:val="0"/>
              <w:snapToGrid w:val="0"/>
              <w:jc w:val="left"/>
              <w:rPr>
                <w:rFonts w:ascii="宋体" w:hAnsi="宋体"/>
                <w:snapToGrid w:val="0"/>
                <w:color w:val="auto"/>
                <w:kern w:val="0"/>
                <w:sz w:val="28"/>
                <w:szCs w:val="28"/>
                <w:highlight w:val="none"/>
              </w:rPr>
            </w:pPr>
          </w:p>
        </w:tc>
        <w:tc>
          <w:tcPr>
            <w:tcW w:w="863" w:type="dxa"/>
            <w:vAlign w:val="center"/>
          </w:tcPr>
          <w:p w14:paraId="599CC55F">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597F4A97">
            <w:pPr>
              <w:autoSpaceDE w:val="0"/>
              <w:autoSpaceDN w:val="0"/>
              <w:adjustRightInd w:val="0"/>
              <w:snapToGrid w:val="0"/>
              <w:jc w:val="left"/>
              <w:rPr>
                <w:rFonts w:ascii="宋体" w:hAnsi="宋体"/>
                <w:snapToGrid w:val="0"/>
                <w:color w:val="auto"/>
                <w:kern w:val="0"/>
                <w:sz w:val="28"/>
                <w:szCs w:val="28"/>
                <w:highlight w:val="none"/>
              </w:rPr>
            </w:pPr>
          </w:p>
        </w:tc>
      </w:tr>
      <w:tr w14:paraId="6C4F7C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35456D71">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042A47B9">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7EC1C2C3">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77DAB13A">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7302FD07">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18C90707">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66DFD85D">
            <w:pPr>
              <w:autoSpaceDE w:val="0"/>
              <w:autoSpaceDN w:val="0"/>
              <w:adjustRightInd w:val="0"/>
              <w:snapToGrid w:val="0"/>
              <w:jc w:val="left"/>
              <w:rPr>
                <w:rFonts w:ascii="宋体" w:hAnsi="宋体"/>
                <w:snapToGrid w:val="0"/>
                <w:color w:val="auto"/>
                <w:kern w:val="0"/>
                <w:sz w:val="28"/>
                <w:szCs w:val="28"/>
                <w:highlight w:val="none"/>
              </w:rPr>
            </w:pPr>
          </w:p>
        </w:tc>
        <w:tc>
          <w:tcPr>
            <w:tcW w:w="1369" w:type="dxa"/>
            <w:vAlign w:val="center"/>
          </w:tcPr>
          <w:p w14:paraId="01D0E8DD">
            <w:pPr>
              <w:autoSpaceDE w:val="0"/>
              <w:autoSpaceDN w:val="0"/>
              <w:adjustRightInd w:val="0"/>
              <w:snapToGrid w:val="0"/>
              <w:jc w:val="left"/>
              <w:rPr>
                <w:rFonts w:ascii="宋体" w:hAnsi="宋体"/>
                <w:snapToGrid w:val="0"/>
                <w:color w:val="auto"/>
                <w:kern w:val="0"/>
                <w:sz w:val="28"/>
                <w:szCs w:val="28"/>
                <w:highlight w:val="none"/>
              </w:rPr>
            </w:pPr>
          </w:p>
        </w:tc>
        <w:tc>
          <w:tcPr>
            <w:tcW w:w="863" w:type="dxa"/>
            <w:vAlign w:val="center"/>
          </w:tcPr>
          <w:p w14:paraId="5250F06B">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75A5B33E">
            <w:pPr>
              <w:autoSpaceDE w:val="0"/>
              <w:autoSpaceDN w:val="0"/>
              <w:adjustRightInd w:val="0"/>
              <w:snapToGrid w:val="0"/>
              <w:jc w:val="left"/>
              <w:rPr>
                <w:rFonts w:ascii="宋体" w:hAnsi="宋体"/>
                <w:snapToGrid w:val="0"/>
                <w:color w:val="auto"/>
                <w:kern w:val="0"/>
                <w:sz w:val="28"/>
                <w:szCs w:val="28"/>
                <w:highlight w:val="none"/>
              </w:rPr>
            </w:pPr>
          </w:p>
        </w:tc>
      </w:tr>
      <w:tr w14:paraId="35A6E2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56001CC1">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5A33C084">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4CC2F1DD">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52A68B52">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5F2FAE2D">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26B25FAA">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074353C9">
            <w:pPr>
              <w:autoSpaceDE w:val="0"/>
              <w:autoSpaceDN w:val="0"/>
              <w:adjustRightInd w:val="0"/>
              <w:snapToGrid w:val="0"/>
              <w:jc w:val="left"/>
              <w:rPr>
                <w:rFonts w:ascii="宋体" w:hAnsi="宋体"/>
                <w:snapToGrid w:val="0"/>
                <w:color w:val="auto"/>
                <w:kern w:val="0"/>
                <w:sz w:val="28"/>
                <w:szCs w:val="28"/>
                <w:highlight w:val="none"/>
              </w:rPr>
            </w:pPr>
          </w:p>
        </w:tc>
        <w:tc>
          <w:tcPr>
            <w:tcW w:w="1369" w:type="dxa"/>
            <w:vAlign w:val="center"/>
          </w:tcPr>
          <w:p w14:paraId="6A413990">
            <w:pPr>
              <w:autoSpaceDE w:val="0"/>
              <w:autoSpaceDN w:val="0"/>
              <w:adjustRightInd w:val="0"/>
              <w:snapToGrid w:val="0"/>
              <w:jc w:val="left"/>
              <w:rPr>
                <w:rFonts w:ascii="宋体" w:hAnsi="宋体"/>
                <w:snapToGrid w:val="0"/>
                <w:color w:val="auto"/>
                <w:kern w:val="0"/>
                <w:sz w:val="28"/>
                <w:szCs w:val="28"/>
                <w:highlight w:val="none"/>
              </w:rPr>
            </w:pPr>
          </w:p>
        </w:tc>
        <w:tc>
          <w:tcPr>
            <w:tcW w:w="863" w:type="dxa"/>
            <w:vAlign w:val="center"/>
          </w:tcPr>
          <w:p w14:paraId="15ED8A17">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40C2DD0E">
            <w:pPr>
              <w:autoSpaceDE w:val="0"/>
              <w:autoSpaceDN w:val="0"/>
              <w:adjustRightInd w:val="0"/>
              <w:snapToGrid w:val="0"/>
              <w:jc w:val="left"/>
              <w:rPr>
                <w:rFonts w:ascii="宋体" w:hAnsi="宋体"/>
                <w:snapToGrid w:val="0"/>
                <w:color w:val="auto"/>
                <w:kern w:val="0"/>
                <w:sz w:val="28"/>
                <w:szCs w:val="28"/>
                <w:highlight w:val="none"/>
              </w:rPr>
            </w:pPr>
          </w:p>
        </w:tc>
      </w:tr>
      <w:tr w14:paraId="2E1E63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0EEFC62C">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6344D829">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3E318C61">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11F4B648">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1F51F428">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381173EB">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013649E5">
            <w:pPr>
              <w:autoSpaceDE w:val="0"/>
              <w:autoSpaceDN w:val="0"/>
              <w:adjustRightInd w:val="0"/>
              <w:snapToGrid w:val="0"/>
              <w:jc w:val="left"/>
              <w:rPr>
                <w:rFonts w:ascii="宋体" w:hAnsi="宋体"/>
                <w:snapToGrid w:val="0"/>
                <w:color w:val="auto"/>
                <w:kern w:val="0"/>
                <w:sz w:val="28"/>
                <w:szCs w:val="28"/>
                <w:highlight w:val="none"/>
              </w:rPr>
            </w:pPr>
          </w:p>
        </w:tc>
        <w:tc>
          <w:tcPr>
            <w:tcW w:w="1369" w:type="dxa"/>
            <w:vAlign w:val="center"/>
          </w:tcPr>
          <w:p w14:paraId="1AB9C433">
            <w:pPr>
              <w:autoSpaceDE w:val="0"/>
              <w:autoSpaceDN w:val="0"/>
              <w:adjustRightInd w:val="0"/>
              <w:snapToGrid w:val="0"/>
              <w:jc w:val="left"/>
              <w:rPr>
                <w:rFonts w:ascii="宋体" w:hAnsi="宋体"/>
                <w:snapToGrid w:val="0"/>
                <w:color w:val="auto"/>
                <w:kern w:val="0"/>
                <w:sz w:val="28"/>
                <w:szCs w:val="28"/>
                <w:highlight w:val="none"/>
              </w:rPr>
            </w:pPr>
          </w:p>
        </w:tc>
        <w:tc>
          <w:tcPr>
            <w:tcW w:w="863" w:type="dxa"/>
            <w:vAlign w:val="center"/>
          </w:tcPr>
          <w:p w14:paraId="02CABFF5">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54B25C1D">
            <w:pPr>
              <w:autoSpaceDE w:val="0"/>
              <w:autoSpaceDN w:val="0"/>
              <w:adjustRightInd w:val="0"/>
              <w:snapToGrid w:val="0"/>
              <w:jc w:val="left"/>
              <w:rPr>
                <w:rFonts w:ascii="宋体" w:hAnsi="宋体"/>
                <w:snapToGrid w:val="0"/>
                <w:color w:val="auto"/>
                <w:kern w:val="0"/>
                <w:sz w:val="28"/>
                <w:szCs w:val="28"/>
                <w:highlight w:val="none"/>
              </w:rPr>
            </w:pPr>
          </w:p>
        </w:tc>
      </w:tr>
      <w:tr w14:paraId="5B12B9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98" w:hRule="exact"/>
          <w:jc w:val="center"/>
        </w:trPr>
        <w:tc>
          <w:tcPr>
            <w:tcW w:w="3693" w:type="dxa"/>
            <w:gridSpan w:val="2"/>
            <w:tcBorders>
              <w:bottom w:val="single" w:color="auto" w:sz="4" w:space="0"/>
            </w:tcBorders>
            <w:vAlign w:val="center"/>
          </w:tcPr>
          <w:p w14:paraId="11CDE555">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最高限价</w:t>
            </w:r>
          </w:p>
        </w:tc>
        <w:tc>
          <w:tcPr>
            <w:tcW w:w="10064" w:type="dxa"/>
            <w:gridSpan w:val="8"/>
            <w:tcBorders>
              <w:bottom w:val="single" w:color="auto" w:sz="4" w:space="0"/>
            </w:tcBorders>
            <w:vAlign w:val="center"/>
          </w:tcPr>
          <w:p w14:paraId="4ABD8EE1">
            <w:pPr>
              <w:autoSpaceDE w:val="0"/>
              <w:autoSpaceDN w:val="0"/>
              <w:adjustRightInd w:val="0"/>
              <w:snapToGrid w:val="0"/>
              <w:jc w:val="left"/>
              <w:rPr>
                <w:rFonts w:ascii="宋体" w:hAnsi="宋体"/>
                <w:snapToGrid w:val="0"/>
                <w:color w:val="auto"/>
                <w:kern w:val="0"/>
                <w:szCs w:val="21"/>
                <w:highlight w:val="none"/>
              </w:rPr>
            </w:pPr>
          </w:p>
        </w:tc>
      </w:tr>
      <w:tr w14:paraId="5FF1D0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tcBorders>
            <w:vAlign w:val="center"/>
          </w:tcPr>
          <w:p w14:paraId="2308AE05">
            <w:pPr>
              <w:autoSpaceDE w:val="0"/>
              <w:autoSpaceDN w:val="0"/>
              <w:adjustRightInd w:val="0"/>
              <w:snapToGrid w:val="0"/>
              <w:jc w:val="center"/>
              <w:rPr>
                <w:rFonts w:ascii="宋体" w:hAnsi="宋体"/>
                <w:snapToGrid w:val="0"/>
                <w:color w:val="auto"/>
                <w:kern w:val="0"/>
                <w:szCs w:val="21"/>
                <w:highlight w:val="none"/>
              </w:rPr>
            </w:pPr>
            <w:r>
              <w:rPr>
                <w:rFonts w:hint="eastAsia"/>
                <w:color w:val="auto"/>
                <w:szCs w:val="21"/>
                <w:highlight w:val="none"/>
              </w:rPr>
              <w:t>最高限价的8</w:t>
            </w:r>
            <w:r>
              <w:rPr>
                <w:color w:val="auto"/>
                <w:szCs w:val="21"/>
                <w:highlight w:val="none"/>
              </w:rPr>
              <w:t>5</w:t>
            </w:r>
            <w:r>
              <w:rPr>
                <w:rFonts w:hint="eastAsia"/>
                <w:color w:val="auto"/>
                <w:szCs w:val="21"/>
                <w:highlight w:val="none"/>
              </w:rPr>
              <w:t>%</w:t>
            </w:r>
          </w:p>
        </w:tc>
        <w:tc>
          <w:tcPr>
            <w:tcW w:w="10064" w:type="dxa"/>
            <w:gridSpan w:val="8"/>
            <w:tcBorders>
              <w:top w:val="single" w:color="auto" w:sz="4" w:space="0"/>
            </w:tcBorders>
            <w:vAlign w:val="center"/>
          </w:tcPr>
          <w:p w14:paraId="2BCFCBD7">
            <w:pPr>
              <w:autoSpaceDE w:val="0"/>
              <w:autoSpaceDN w:val="0"/>
              <w:adjustRightInd w:val="0"/>
              <w:snapToGrid w:val="0"/>
              <w:jc w:val="left"/>
              <w:rPr>
                <w:rFonts w:ascii="宋体" w:hAnsi="宋体"/>
                <w:snapToGrid w:val="0"/>
                <w:color w:val="auto"/>
                <w:kern w:val="0"/>
                <w:szCs w:val="21"/>
                <w:highlight w:val="none"/>
              </w:rPr>
            </w:pPr>
            <w:r>
              <w:rPr>
                <w:rFonts w:hint="eastAsia" w:ascii="宋体" w:hAnsi="宋体"/>
                <w:i/>
                <w:color w:val="auto"/>
                <w:kern w:val="0"/>
                <w:szCs w:val="21"/>
                <w:highlight w:val="none"/>
              </w:rPr>
              <w:t>[提示：经评审的最低投标价法适用]</w:t>
            </w:r>
          </w:p>
        </w:tc>
      </w:tr>
    </w:tbl>
    <w:p w14:paraId="0EA935EF">
      <w:pPr>
        <w:tabs>
          <w:tab w:val="left" w:pos="2740"/>
          <w:tab w:val="left" w:pos="4940"/>
          <w:tab w:val="left" w:pos="7140"/>
        </w:tabs>
        <w:autoSpaceDE w:val="0"/>
        <w:autoSpaceDN w:val="0"/>
        <w:adjustRightInd w:val="0"/>
        <w:snapToGrid w:val="0"/>
        <w:spacing w:line="360" w:lineRule="auto"/>
        <w:jc w:val="left"/>
        <w:rPr>
          <w:rFonts w:ascii="宋体" w:hAnsi="宋体"/>
          <w:snapToGrid w:val="0"/>
          <w:color w:val="auto"/>
          <w:kern w:val="0"/>
          <w:szCs w:val="21"/>
          <w:highlight w:val="none"/>
        </w:rPr>
      </w:pPr>
    </w:p>
    <w:p w14:paraId="08D55A24">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color w:val="auto"/>
          <w:w w:val="200"/>
          <w:kern w:val="0"/>
          <w:szCs w:val="21"/>
          <w:highlight w:val="none"/>
          <w:u w:val="single"/>
        </w:rPr>
      </w:pPr>
      <w:r>
        <w:rPr>
          <w:rFonts w:ascii="宋体" w:hAnsi="宋体"/>
          <w:snapToGrid w:val="0"/>
          <w:color w:val="auto"/>
          <w:kern w:val="0"/>
          <w:szCs w:val="21"/>
          <w:highlight w:val="none"/>
        </w:rPr>
        <w:t>招标人代表：</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监标人：</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hint="eastAsia" w:ascii="宋体" w:hAnsi="宋体"/>
          <w:snapToGrid w:val="0"/>
          <w:color w:val="auto"/>
          <w:kern w:val="0"/>
          <w:szCs w:val="21"/>
          <w:highlight w:val="none"/>
        </w:rPr>
        <w:t>主持人</w:t>
      </w:r>
      <w:r>
        <w:rPr>
          <w:rFonts w:ascii="宋体" w:hAnsi="宋体"/>
          <w:snapToGrid w:val="0"/>
          <w:color w:val="auto"/>
          <w:kern w:val="0"/>
          <w:szCs w:val="21"/>
          <w:highlight w:val="none"/>
        </w:rPr>
        <w:t>：</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记录人：</w:t>
      </w:r>
      <w:r>
        <w:rPr>
          <w:rFonts w:hint="eastAsia" w:ascii="宋体" w:hAnsi="宋体" w:cs="MingLiU"/>
          <w:snapToGrid w:val="0"/>
          <w:color w:val="auto"/>
          <w:w w:val="200"/>
          <w:kern w:val="0"/>
          <w:szCs w:val="21"/>
          <w:highlight w:val="none"/>
          <w:u w:val="single"/>
        </w:rPr>
        <w:t xml:space="preserve">      </w:t>
      </w:r>
    </w:p>
    <w:p w14:paraId="5A897DBE">
      <w:pPr>
        <w:autoSpaceDE w:val="0"/>
        <w:autoSpaceDN w:val="0"/>
        <w:adjustRightInd w:val="0"/>
        <w:snapToGrid w:val="0"/>
        <w:spacing w:before="62" w:beforeLines="20" w:line="360" w:lineRule="auto"/>
        <w:jc w:val="right"/>
        <w:rPr>
          <w:rFonts w:ascii="宋体" w:hAnsi="宋体"/>
          <w:snapToGrid w:val="0"/>
          <w:color w:val="auto"/>
          <w:kern w:val="0"/>
          <w:sz w:val="24"/>
          <w:highlight w:val="none"/>
        </w:rPr>
      </w:pPr>
      <w:r>
        <w:rPr>
          <w:rFonts w:ascii="宋体" w:hAnsi="宋体"/>
          <w:snapToGrid w:val="0"/>
          <w:color w:val="auto"/>
          <w:kern w:val="0"/>
          <w:sz w:val="24"/>
          <w:highlight w:val="none"/>
        </w:rPr>
        <w:t xml:space="preserve">                                       </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月</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日</w:t>
      </w:r>
    </w:p>
    <w:p w14:paraId="521C6163">
      <w:pPr>
        <w:autoSpaceDE w:val="0"/>
        <w:autoSpaceDN w:val="0"/>
        <w:adjustRightInd w:val="0"/>
        <w:snapToGrid w:val="0"/>
        <w:spacing w:before="62" w:beforeLines="20" w:line="360" w:lineRule="auto"/>
        <w:rPr>
          <w:rFonts w:ascii="宋体" w:hAnsi="宋体"/>
          <w:snapToGrid w:val="0"/>
          <w:color w:val="auto"/>
          <w:kern w:val="0"/>
          <w:sz w:val="24"/>
          <w:highlight w:val="none"/>
        </w:rPr>
      </w:pPr>
      <w:r>
        <w:rPr>
          <w:rFonts w:ascii="宋体" w:hAnsi="宋体"/>
          <w:snapToGrid w:val="0"/>
          <w:color w:val="auto"/>
          <w:kern w:val="0"/>
          <w:sz w:val="24"/>
          <w:highlight w:val="none"/>
        </w:rPr>
        <w:br w:type="page"/>
      </w:r>
      <w:r>
        <w:rPr>
          <w:rFonts w:ascii="宋体" w:hAnsi="宋体"/>
          <w:b/>
          <w:snapToGrid w:val="0"/>
          <w:color w:val="auto"/>
          <w:kern w:val="0"/>
          <w:highlight w:val="none"/>
        </w:rPr>
        <w:t>附表</w:t>
      </w:r>
      <w:r>
        <w:rPr>
          <w:rFonts w:hint="eastAsia" w:ascii="宋体" w:hAnsi="宋体"/>
          <w:b/>
          <w:snapToGrid w:val="0"/>
          <w:color w:val="auto"/>
          <w:kern w:val="0"/>
          <w:highlight w:val="none"/>
        </w:rPr>
        <w:t>二</w:t>
      </w:r>
      <w:r>
        <w:rPr>
          <w:rFonts w:ascii="宋体" w:hAnsi="宋体"/>
          <w:b/>
          <w:snapToGrid w:val="0"/>
          <w:color w:val="auto"/>
          <w:kern w:val="0"/>
          <w:highlight w:val="none"/>
        </w:rPr>
        <w:t>：纸质投标保函递交情况一览表（如有）</w:t>
      </w:r>
    </w:p>
    <w:p w14:paraId="0A8E5E06">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s="MingLiU"/>
          <w:snapToGrid w:val="0"/>
          <w:color w:val="auto"/>
          <w:w w:val="198"/>
          <w:kern w:val="0"/>
          <w:sz w:val="28"/>
          <w:szCs w:val="28"/>
          <w:highlight w:val="none"/>
          <w:u w:val="single"/>
        </w:rPr>
        <w:t xml:space="preserve">              </w:t>
      </w:r>
      <w:r>
        <w:rPr>
          <w:rFonts w:hint="eastAsia" w:ascii="宋体" w:hAnsi="宋体"/>
          <w:snapToGrid w:val="0"/>
          <w:color w:val="auto"/>
          <w:kern w:val="0"/>
          <w:sz w:val="28"/>
          <w:szCs w:val="28"/>
          <w:highlight w:val="none"/>
          <w:u w:val="single"/>
        </w:rPr>
        <w:t xml:space="preserve"> </w:t>
      </w:r>
      <w:r>
        <w:rPr>
          <w:rFonts w:ascii="宋体" w:hAnsi="宋体"/>
          <w:b/>
          <w:snapToGrid w:val="0"/>
          <w:color w:val="auto"/>
          <w:w w:val="99"/>
          <w:kern w:val="0"/>
          <w:sz w:val="28"/>
          <w:szCs w:val="28"/>
          <w:highlight w:val="none"/>
          <w:u w:val="single"/>
        </w:rPr>
        <w:t>（项目名称）纸质投标保函</w:t>
      </w:r>
      <w:r>
        <w:rPr>
          <w:rFonts w:hint="eastAsia" w:ascii="宋体" w:hAnsi="宋体"/>
          <w:b/>
          <w:snapToGrid w:val="0"/>
          <w:color w:val="auto"/>
          <w:w w:val="99"/>
          <w:kern w:val="0"/>
          <w:sz w:val="28"/>
          <w:szCs w:val="28"/>
          <w:highlight w:val="none"/>
          <w:u w:val="single"/>
        </w:rPr>
        <w:t>递交</w:t>
      </w:r>
      <w:r>
        <w:rPr>
          <w:rFonts w:ascii="宋体" w:hAnsi="宋体"/>
          <w:b/>
          <w:snapToGrid w:val="0"/>
          <w:color w:val="auto"/>
          <w:w w:val="99"/>
          <w:kern w:val="0"/>
          <w:sz w:val="28"/>
          <w:szCs w:val="28"/>
          <w:highlight w:val="none"/>
          <w:u w:val="single"/>
        </w:rPr>
        <w:t>情况一览表</w:t>
      </w:r>
    </w:p>
    <w:p w14:paraId="65BB4CE5">
      <w:pPr>
        <w:autoSpaceDE w:val="0"/>
        <w:autoSpaceDN w:val="0"/>
        <w:adjustRightInd w:val="0"/>
        <w:snapToGrid w:val="0"/>
        <w:spacing w:before="62" w:beforeLines="20" w:line="360" w:lineRule="auto"/>
        <w:ind w:firstLine="8610" w:firstLineChars="4100"/>
        <w:rPr>
          <w:rFonts w:ascii="宋体" w:hAnsi="宋体"/>
          <w:color w:val="auto"/>
          <w:szCs w:val="21"/>
          <w:highlight w:val="none"/>
        </w:rPr>
      </w:pPr>
      <w:r>
        <w:rPr>
          <w:rFonts w:hint="eastAsia" w:ascii="宋体" w:hAnsi="宋体"/>
          <w:snapToGrid w:val="0"/>
          <w:color w:val="auto"/>
          <w:kern w:val="0"/>
          <w:szCs w:val="21"/>
          <w:highlight w:val="none"/>
        </w:rPr>
        <w:t>投标截止时间</w:t>
      </w:r>
      <w:r>
        <w:rPr>
          <w:rFonts w:ascii="宋体" w:hAnsi="宋体"/>
          <w:snapToGrid w:val="0"/>
          <w:color w:val="auto"/>
          <w:kern w:val="0"/>
          <w:szCs w:val="21"/>
          <w:highlight w:val="none"/>
        </w:rPr>
        <w:t>：</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分</w:t>
      </w:r>
    </w:p>
    <w:tbl>
      <w:tblPr>
        <w:tblStyle w:val="46"/>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14:paraId="4BC4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6FDBF6CD">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4160" w:type="dxa"/>
          </w:tcPr>
          <w:p w14:paraId="32F17FFB">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投标人</w:t>
            </w:r>
          </w:p>
        </w:tc>
        <w:tc>
          <w:tcPr>
            <w:tcW w:w="3088" w:type="dxa"/>
          </w:tcPr>
          <w:p w14:paraId="40907E44">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金额（元）</w:t>
            </w:r>
          </w:p>
        </w:tc>
        <w:tc>
          <w:tcPr>
            <w:tcW w:w="2987" w:type="dxa"/>
          </w:tcPr>
          <w:p w14:paraId="55FD0A4A">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递交时间</w:t>
            </w:r>
          </w:p>
        </w:tc>
        <w:tc>
          <w:tcPr>
            <w:tcW w:w="3175" w:type="dxa"/>
          </w:tcPr>
          <w:p w14:paraId="6CA90905">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备注</w:t>
            </w:r>
          </w:p>
        </w:tc>
      </w:tr>
      <w:tr w14:paraId="11295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65A3261F">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4E80848A">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21A72792">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7647EEBE">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5F890B69">
            <w:pPr>
              <w:autoSpaceDE w:val="0"/>
              <w:autoSpaceDN w:val="0"/>
              <w:adjustRightInd w:val="0"/>
              <w:snapToGrid w:val="0"/>
              <w:spacing w:before="62" w:beforeLines="20" w:line="360" w:lineRule="auto"/>
              <w:rPr>
                <w:rFonts w:ascii="宋体" w:hAnsi="宋体"/>
                <w:color w:val="auto"/>
                <w:szCs w:val="21"/>
                <w:highlight w:val="none"/>
              </w:rPr>
            </w:pPr>
          </w:p>
        </w:tc>
      </w:tr>
      <w:tr w14:paraId="2247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10AFC3C">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61EC303A">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4C76E751">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5B3A8D4A">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0236592C">
            <w:pPr>
              <w:autoSpaceDE w:val="0"/>
              <w:autoSpaceDN w:val="0"/>
              <w:adjustRightInd w:val="0"/>
              <w:snapToGrid w:val="0"/>
              <w:spacing w:before="62" w:beforeLines="20" w:line="360" w:lineRule="auto"/>
              <w:rPr>
                <w:rFonts w:ascii="宋体" w:hAnsi="宋体"/>
                <w:color w:val="auto"/>
                <w:szCs w:val="21"/>
                <w:highlight w:val="none"/>
              </w:rPr>
            </w:pPr>
          </w:p>
        </w:tc>
      </w:tr>
      <w:tr w14:paraId="44A0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342DC17E">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771AB0B9">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28EF014C">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022FFB7C">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68745087">
            <w:pPr>
              <w:autoSpaceDE w:val="0"/>
              <w:autoSpaceDN w:val="0"/>
              <w:adjustRightInd w:val="0"/>
              <w:snapToGrid w:val="0"/>
              <w:spacing w:before="62" w:beforeLines="20" w:line="360" w:lineRule="auto"/>
              <w:rPr>
                <w:rFonts w:ascii="宋体" w:hAnsi="宋体"/>
                <w:color w:val="auto"/>
                <w:szCs w:val="21"/>
                <w:highlight w:val="none"/>
              </w:rPr>
            </w:pPr>
          </w:p>
        </w:tc>
      </w:tr>
      <w:tr w14:paraId="4868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6B52E58">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75E8A65E">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5700D61C">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3FE0AD72">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62B10BFA">
            <w:pPr>
              <w:autoSpaceDE w:val="0"/>
              <w:autoSpaceDN w:val="0"/>
              <w:adjustRightInd w:val="0"/>
              <w:snapToGrid w:val="0"/>
              <w:spacing w:before="62" w:beforeLines="20" w:line="360" w:lineRule="auto"/>
              <w:rPr>
                <w:rFonts w:ascii="宋体" w:hAnsi="宋体"/>
                <w:color w:val="auto"/>
                <w:szCs w:val="21"/>
                <w:highlight w:val="none"/>
              </w:rPr>
            </w:pPr>
          </w:p>
        </w:tc>
      </w:tr>
      <w:tr w14:paraId="6348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8E51AF4">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6A677C8B">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5134FBD2">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7E519325">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7FB76AF3">
            <w:pPr>
              <w:autoSpaceDE w:val="0"/>
              <w:autoSpaceDN w:val="0"/>
              <w:adjustRightInd w:val="0"/>
              <w:snapToGrid w:val="0"/>
              <w:spacing w:before="62" w:beforeLines="20" w:line="360" w:lineRule="auto"/>
              <w:rPr>
                <w:rFonts w:ascii="宋体" w:hAnsi="宋体"/>
                <w:color w:val="auto"/>
                <w:szCs w:val="21"/>
                <w:highlight w:val="none"/>
              </w:rPr>
            </w:pPr>
          </w:p>
        </w:tc>
      </w:tr>
      <w:tr w14:paraId="071EA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01839888">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73C584FB">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19B40EA6">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0C2C9FB7">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5DED6305">
            <w:pPr>
              <w:autoSpaceDE w:val="0"/>
              <w:autoSpaceDN w:val="0"/>
              <w:adjustRightInd w:val="0"/>
              <w:snapToGrid w:val="0"/>
              <w:spacing w:before="62" w:beforeLines="20" w:line="360" w:lineRule="auto"/>
              <w:rPr>
                <w:rFonts w:ascii="宋体" w:hAnsi="宋体"/>
                <w:color w:val="auto"/>
                <w:szCs w:val="21"/>
                <w:highlight w:val="none"/>
              </w:rPr>
            </w:pPr>
          </w:p>
        </w:tc>
      </w:tr>
      <w:tr w14:paraId="0D97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36FBC690">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33842ECD">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0252772A">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41C8DFB0">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3940EF1F">
            <w:pPr>
              <w:autoSpaceDE w:val="0"/>
              <w:autoSpaceDN w:val="0"/>
              <w:adjustRightInd w:val="0"/>
              <w:snapToGrid w:val="0"/>
              <w:spacing w:before="62" w:beforeLines="20" w:line="360" w:lineRule="auto"/>
              <w:rPr>
                <w:rFonts w:ascii="宋体" w:hAnsi="宋体"/>
                <w:color w:val="auto"/>
                <w:szCs w:val="21"/>
                <w:highlight w:val="none"/>
              </w:rPr>
            </w:pPr>
          </w:p>
        </w:tc>
      </w:tr>
      <w:tr w14:paraId="748C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2CE329AF">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0F6F8884">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4D3903DA">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3FFF1518">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04163BBF">
            <w:pPr>
              <w:autoSpaceDE w:val="0"/>
              <w:autoSpaceDN w:val="0"/>
              <w:adjustRightInd w:val="0"/>
              <w:snapToGrid w:val="0"/>
              <w:spacing w:before="62" w:beforeLines="20" w:line="360" w:lineRule="auto"/>
              <w:rPr>
                <w:rFonts w:ascii="宋体" w:hAnsi="宋体"/>
                <w:color w:val="auto"/>
                <w:szCs w:val="21"/>
                <w:highlight w:val="none"/>
              </w:rPr>
            </w:pPr>
          </w:p>
        </w:tc>
      </w:tr>
      <w:tr w14:paraId="0A8E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25AF2753">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455911F9">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7968A5FC">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407C69A2">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00BA721A">
            <w:pPr>
              <w:autoSpaceDE w:val="0"/>
              <w:autoSpaceDN w:val="0"/>
              <w:adjustRightInd w:val="0"/>
              <w:snapToGrid w:val="0"/>
              <w:spacing w:before="62" w:beforeLines="20" w:line="360" w:lineRule="auto"/>
              <w:rPr>
                <w:rFonts w:ascii="宋体" w:hAnsi="宋体"/>
                <w:color w:val="auto"/>
                <w:szCs w:val="21"/>
                <w:highlight w:val="none"/>
              </w:rPr>
            </w:pPr>
          </w:p>
        </w:tc>
      </w:tr>
      <w:tr w14:paraId="3E2E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27CA97E2">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50A7A08F">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69FB5D78">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4BBF98FD">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1DA66925">
            <w:pPr>
              <w:autoSpaceDE w:val="0"/>
              <w:autoSpaceDN w:val="0"/>
              <w:adjustRightInd w:val="0"/>
              <w:snapToGrid w:val="0"/>
              <w:spacing w:before="62" w:beforeLines="20" w:line="360" w:lineRule="auto"/>
              <w:rPr>
                <w:rFonts w:ascii="宋体" w:hAnsi="宋体"/>
                <w:color w:val="auto"/>
                <w:szCs w:val="21"/>
                <w:highlight w:val="none"/>
              </w:rPr>
            </w:pPr>
          </w:p>
        </w:tc>
      </w:tr>
      <w:tr w14:paraId="21421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04D597DA">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66C81DEA">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3EFF7E33">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4418C297">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7532CABF">
            <w:pPr>
              <w:autoSpaceDE w:val="0"/>
              <w:autoSpaceDN w:val="0"/>
              <w:adjustRightInd w:val="0"/>
              <w:snapToGrid w:val="0"/>
              <w:spacing w:before="62" w:beforeLines="20" w:line="360" w:lineRule="auto"/>
              <w:rPr>
                <w:rFonts w:ascii="宋体" w:hAnsi="宋体"/>
                <w:color w:val="auto"/>
                <w:szCs w:val="21"/>
                <w:highlight w:val="none"/>
              </w:rPr>
            </w:pPr>
          </w:p>
        </w:tc>
      </w:tr>
      <w:tr w14:paraId="4F01F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243FE5E">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47AB921C">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0112098F">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3BFF5151">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78C42FEA">
            <w:pPr>
              <w:autoSpaceDE w:val="0"/>
              <w:autoSpaceDN w:val="0"/>
              <w:adjustRightInd w:val="0"/>
              <w:snapToGrid w:val="0"/>
              <w:spacing w:before="62" w:beforeLines="20" w:line="360" w:lineRule="auto"/>
              <w:rPr>
                <w:rFonts w:ascii="宋体" w:hAnsi="宋体"/>
                <w:color w:val="auto"/>
                <w:szCs w:val="21"/>
                <w:highlight w:val="none"/>
              </w:rPr>
            </w:pPr>
          </w:p>
        </w:tc>
      </w:tr>
    </w:tbl>
    <w:p w14:paraId="1F05A473">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color w:val="auto"/>
          <w:kern w:val="0"/>
          <w:szCs w:val="21"/>
          <w:highlight w:val="none"/>
        </w:rPr>
      </w:pPr>
    </w:p>
    <w:p w14:paraId="31053AC1">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color w:val="auto"/>
          <w:w w:val="200"/>
          <w:kern w:val="0"/>
          <w:szCs w:val="21"/>
          <w:highlight w:val="none"/>
          <w:u w:val="single"/>
        </w:rPr>
      </w:pPr>
      <w:r>
        <w:rPr>
          <w:rFonts w:ascii="宋体" w:hAnsi="宋体"/>
          <w:snapToGrid w:val="0"/>
          <w:color w:val="auto"/>
          <w:kern w:val="0"/>
          <w:szCs w:val="21"/>
          <w:highlight w:val="none"/>
        </w:rPr>
        <w:t>招标人代表：</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监标人：</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记录人：</w:t>
      </w:r>
      <w:r>
        <w:rPr>
          <w:rFonts w:hint="eastAsia" w:ascii="宋体" w:hAnsi="宋体" w:cs="MingLiU"/>
          <w:snapToGrid w:val="0"/>
          <w:color w:val="auto"/>
          <w:w w:val="200"/>
          <w:kern w:val="0"/>
          <w:szCs w:val="21"/>
          <w:highlight w:val="none"/>
          <w:u w:val="single"/>
        </w:rPr>
        <w:t xml:space="preserve">      </w:t>
      </w:r>
    </w:p>
    <w:p w14:paraId="7E9E2765">
      <w:pPr>
        <w:pStyle w:val="17"/>
        <w:jc w:val="right"/>
        <w:rPr>
          <w:color w:val="auto"/>
          <w:highlight w:val="none"/>
        </w:rPr>
      </w:pP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月</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日</w:t>
      </w:r>
    </w:p>
    <w:p w14:paraId="6A0268AB">
      <w:pPr>
        <w:autoSpaceDE w:val="0"/>
        <w:autoSpaceDN w:val="0"/>
        <w:adjustRightInd w:val="0"/>
        <w:snapToGrid w:val="0"/>
        <w:spacing w:before="62" w:beforeLines="20" w:line="360" w:lineRule="auto"/>
        <w:rPr>
          <w:rFonts w:ascii="宋体" w:hAnsi="宋体"/>
          <w:color w:val="auto"/>
          <w:szCs w:val="21"/>
          <w:highlight w:val="none"/>
        </w:rPr>
      </w:pPr>
    </w:p>
    <w:p w14:paraId="66A23ABB">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color w:val="auto"/>
          <w:w w:val="200"/>
          <w:kern w:val="0"/>
          <w:szCs w:val="21"/>
          <w:highlight w:val="none"/>
          <w:u w:val="single"/>
        </w:rPr>
        <w:sectPr>
          <w:pgSz w:w="16838" w:h="11906" w:orient="landscape"/>
          <w:pgMar w:top="1304" w:right="1304" w:bottom="1134" w:left="1304" w:header="851" w:footer="992" w:gutter="0"/>
          <w:cols w:space="720" w:num="1"/>
          <w:docGrid w:type="lines" w:linePitch="312" w:charSpace="0"/>
        </w:sectPr>
      </w:pPr>
    </w:p>
    <w:p w14:paraId="13E8F37C">
      <w:pPr>
        <w:autoSpaceDE w:val="0"/>
        <w:autoSpaceDN w:val="0"/>
        <w:adjustRightInd w:val="0"/>
        <w:snapToGrid w:val="0"/>
        <w:spacing w:line="360" w:lineRule="auto"/>
        <w:jc w:val="left"/>
        <w:rPr>
          <w:rFonts w:ascii="宋体" w:hAnsi="宋体"/>
          <w:b/>
          <w:snapToGrid w:val="0"/>
          <w:color w:val="auto"/>
          <w:kern w:val="0"/>
          <w:highlight w:val="none"/>
        </w:rPr>
      </w:pPr>
    </w:p>
    <w:p w14:paraId="43949CDE">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三</w:t>
      </w:r>
      <w:r>
        <w:rPr>
          <w:rFonts w:ascii="宋体" w:hAnsi="宋体"/>
          <w:b/>
          <w:snapToGrid w:val="0"/>
          <w:color w:val="auto"/>
          <w:kern w:val="0"/>
          <w:highlight w:val="none"/>
        </w:rPr>
        <w:t>：问题澄清通知</w:t>
      </w:r>
    </w:p>
    <w:p w14:paraId="5D9AC006">
      <w:pPr>
        <w:autoSpaceDE w:val="0"/>
        <w:autoSpaceDN w:val="0"/>
        <w:adjustRightInd w:val="0"/>
        <w:snapToGrid w:val="0"/>
        <w:spacing w:line="360" w:lineRule="auto"/>
        <w:jc w:val="left"/>
        <w:rPr>
          <w:rFonts w:ascii="宋体" w:hAnsi="宋体"/>
          <w:b/>
          <w:snapToGrid w:val="0"/>
          <w:color w:val="auto"/>
          <w:kern w:val="0"/>
          <w:sz w:val="24"/>
          <w:highlight w:val="none"/>
        </w:rPr>
      </w:pPr>
    </w:p>
    <w:p w14:paraId="0E346356">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问题澄清通知</w:t>
      </w:r>
    </w:p>
    <w:p w14:paraId="41F52C50">
      <w:pPr>
        <w:autoSpaceDE w:val="0"/>
        <w:autoSpaceDN w:val="0"/>
        <w:adjustRightInd w:val="0"/>
        <w:snapToGrid w:val="0"/>
        <w:spacing w:line="360" w:lineRule="auto"/>
        <w:jc w:val="left"/>
        <w:rPr>
          <w:rFonts w:ascii="宋体" w:hAnsi="宋体"/>
          <w:b/>
          <w:snapToGrid w:val="0"/>
          <w:color w:val="auto"/>
          <w:kern w:val="0"/>
          <w:sz w:val="24"/>
          <w:highlight w:val="none"/>
        </w:rPr>
      </w:pPr>
    </w:p>
    <w:p w14:paraId="71B4A574">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14:paraId="2D32469E">
      <w:pPr>
        <w:autoSpaceDE w:val="0"/>
        <w:autoSpaceDN w:val="0"/>
        <w:adjustRightInd w:val="0"/>
        <w:snapToGrid w:val="0"/>
        <w:spacing w:line="360" w:lineRule="auto"/>
        <w:jc w:val="left"/>
        <w:rPr>
          <w:rFonts w:ascii="宋体" w:hAnsi="宋体"/>
          <w:b/>
          <w:snapToGrid w:val="0"/>
          <w:color w:val="auto"/>
          <w:kern w:val="0"/>
          <w:sz w:val="24"/>
          <w:highlight w:val="none"/>
        </w:rPr>
      </w:pPr>
    </w:p>
    <w:p w14:paraId="41D30E73">
      <w:pPr>
        <w:autoSpaceDE w:val="0"/>
        <w:autoSpaceDN w:val="0"/>
        <w:adjustRightInd w:val="0"/>
        <w:snapToGrid w:val="0"/>
        <w:spacing w:line="360" w:lineRule="auto"/>
        <w:rPr>
          <w:rFonts w:ascii="宋体" w:hAnsi="宋体"/>
          <w:snapToGrid w:val="0"/>
          <w:color w:val="auto"/>
          <w:kern w:val="0"/>
          <w:sz w:val="28"/>
          <w:szCs w:val="28"/>
          <w:highlight w:val="none"/>
        </w:rPr>
      </w:pPr>
    </w:p>
    <w:p w14:paraId="67FD4541">
      <w:pPr>
        <w:tabs>
          <w:tab w:val="left" w:pos="158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（投标人名称）：</w:t>
      </w:r>
    </w:p>
    <w:p w14:paraId="53F8CF01">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的评标委员会，对你方的投标文件进行了仔细的审查，现需你方对下列问题以书面形式予以澄清：</w:t>
      </w:r>
    </w:p>
    <w:p w14:paraId="64531938">
      <w:pPr>
        <w:autoSpaceDE w:val="0"/>
        <w:autoSpaceDN w:val="0"/>
        <w:adjustRightInd w:val="0"/>
        <w:snapToGrid w:val="0"/>
        <w:spacing w:line="360" w:lineRule="auto"/>
        <w:jc w:val="left"/>
        <w:rPr>
          <w:rFonts w:ascii="宋体" w:hAnsi="宋体"/>
          <w:snapToGrid w:val="0"/>
          <w:color w:val="auto"/>
          <w:kern w:val="0"/>
          <w:sz w:val="24"/>
          <w:highlight w:val="none"/>
        </w:rPr>
      </w:pPr>
    </w:p>
    <w:p w14:paraId="5603BFFC">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14:paraId="48626096">
      <w:pPr>
        <w:autoSpaceDE w:val="0"/>
        <w:autoSpaceDN w:val="0"/>
        <w:adjustRightInd w:val="0"/>
        <w:snapToGrid w:val="0"/>
        <w:spacing w:line="360" w:lineRule="auto"/>
        <w:jc w:val="left"/>
        <w:rPr>
          <w:rFonts w:ascii="宋体" w:hAnsi="宋体"/>
          <w:snapToGrid w:val="0"/>
          <w:color w:val="auto"/>
          <w:kern w:val="0"/>
          <w:szCs w:val="21"/>
          <w:highlight w:val="none"/>
        </w:rPr>
      </w:pPr>
    </w:p>
    <w:p w14:paraId="2E5A8A80">
      <w:pPr>
        <w:autoSpaceDE w:val="0"/>
        <w:autoSpaceDN w:val="0"/>
        <w:adjustRightInd w:val="0"/>
        <w:snapToGrid w:val="0"/>
        <w:spacing w:line="360" w:lineRule="auto"/>
        <w:jc w:val="left"/>
        <w:rPr>
          <w:rFonts w:ascii="宋体" w:hAnsi="宋体"/>
          <w:snapToGrid w:val="0"/>
          <w:color w:val="auto"/>
          <w:kern w:val="0"/>
          <w:szCs w:val="21"/>
          <w:highlight w:val="none"/>
        </w:rPr>
      </w:pPr>
    </w:p>
    <w:p w14:paraId="00FC95ED">
      <w:pPr>
        <w:autoSpaceDE w:val="0"/>
        <w:autoSpaceDN w:val="0"/>
        <w:adjustRightInd w:val="0"/>
        <w:snapToGrid w:val="0"/>
        <w:spacing w:line="360" w:lineRule="auto"/>
        <w:jc w:val="left"/>
        <w:rPr>
          <w:rFonts w:ascii="宋体" w:hAnsi="宋体"/>
          <w:snapToGrid w:val="0"/>
          <w:color w:val="auto"/>
          <w:kern w:val="0"/>
          <w:szCs w:val="21"/>
          <w:highlight w:val="none"/>
        </w:rPr>
      </w:pPr>
    </w:p>
    <w:p w14:paraId="6016410D">
      <w:pPr>
        <w:autoSpaceDE w:val="0"/>
        <w:autoSpaceDN w:val="0"/>
        <w:adjustRightInd w:val="0"/>
        <w:snapToGrid w:val="0"/>
        <w:spacing w:line="360" w:lineRule="auto"/>
        <w:jc w:val="left"/>
        <w:rPr>
          <w:rFonts w:ascii="宋体" w:hAnsi="宋体"/>
          <w:snapToGrid w:val="0"/>
          <w:color w:val="auto"/>
          <w:kern w:val="0"/>
          <w:szCs w:val="21"/>
          <w:highlight w:val="none"/>
        </w:rPr>
      </w:pPr>
    </w:p>
    <w:p w14:paraId="1BFEA7A1">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14:paraId="15A5C005">
      <w:pPr>
        <w:autoSpaceDE w:val="0"/>
        <w:autoSpaceDN w:val="0"/>
        <w:adjustRightInd w:val="0"/>
        <w:snapToGrid w:val="0"/>
        <w:spacing w:line="360" w:lineRule="auto"/>
        <w:jc w:val="left"/>
        <w:rPr>
          <w:rFonts w:ascii="宋体" w:hAnsi="宋体"/>
          <w:snapToGrid w:val="0"/>
          <w:color w:val="auto"/>
          <w:kern w:val="0"/>
          <w:szCs w:val="21"/>
          <w:highlight w:val="none"/>
        </w:rPr>
      </w:pPr>
    </w:p>
    <w:p w14:paraId="3F8DD8E0">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14:paraId="60A0AFB6">
      <w:pPr>
        <w:autoSpaceDE w:val="0"/>
        <w:autoSpaceDN w:val="0"/>
        <w:adjustRightInd w:val="0"/>
        <w:snapToGrid w:val="0"/>
        <w:spacing w:line="360" w:lineRule="auto"/>
        <w:jc w:val="left"/>
        <w:rPr>
          <w:rFonts w:ascii="宋体" w:hAnsi="宋体"/>
          <w:snapToGrid w:val="0"/>
          <w:color w:val="auto"/>
          <w:kern w:val="0"/>
          <w:sz w:val="14"/>
          <w:szCs w:val="14"/>
          <w:highlight w:val="none"/>
        </w:rPr>
      </w:pPr>
    </w:p>
    <w:p w14:paraId="5DA1BAC7">
      <w:pPr>
        <w:autoSpaceDE w:val="0"/>
        <w:autoSpaceDN w:val="0"/>
        <w:adjustRightInd w:val="0"/>
        <w:snapToGrid w:val="0"/>
        <w:spacing w:line="360" w:lineRule="auto"/>
        <w:jc w:val="left"/>
        <w:rPr>
          <w:rFonts w:ascii="宋体" w:hAnsi="宋体"/>
          <w:snapToGrid w:val="0"/>
          <w:color w:val="auto"/>
          <w:kern w:val="0"/>
          <w:sz w:val="14"/>
          <w:szCs w:val="14"/>
          <w:highlight w:val="none"/>
        </w:rPr>
      </w:pPr>
    </w:p>
    <w:p w14:paraId="2B76AE4B">
      <w:pPr>
        <w:autoSpaceDE w:val="0"/>
        <w:autoSpaceDN w:val="0"/>
        <w:adjustRightInd w:val="0"/>
        <w:snapToGrid w:val="0"/>
        <w:spacing w:line="360" w:lineRule="auto"/>
        <w:jc w:val="left"/>
        <w:rPr>
          <w:rFonts w:ascii="宋体" w:hAnsi="宋体"/>
          <w:snapToGrid w:val="0"/>
          <w:color w:val="auto"/>
          <w:kern w:val="0"/>
          <w:sz w:val="14"/>
          <w:szCs w:val="14"/>
          <w:highlight w:val="none"/>
        </w:rPr>
      </w:pPr>
    </w:p>
    <w:p w14:paraId="2B34E226">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请将上述问题的澄清于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时前递交至</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（详细地址）或传真至</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（传真号码）。采用传真方式的，应在</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时前将原件递交至</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（详细地址）。</w:t>
      </w:r>
    </w:p>
    <w:p w14:paraId="1775B421">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12CAECA0">
      <w:pPr>
        <w:autoSpaceDE w:val="0"/>
        <w:autoSpaceDN w:val="0"/>
        <w:adjustRightInd w:val="0"/>
        <w:snapToGrid w:val="0"/>
        <w:spacing w:line="360" w:lineRule="auto"/>
        <w:jc w:val="left"/>
        <w:rPr>
          <w:rFonts w:ascii="宋体" w:hAnsi="宋体"/>
          <w:snapToGrid w:val="0"/>
          <w:color w:val="auto"/>
          <w:kern w:val="0"/>
          <w:sz w:val="28"/>
          <w:szCs w:val="28"/>
          <w:highlight w:val="none"/>
        </w:rPr>
      </w:pPr>
    </w:p>
    <w:p w14:paraId="59CBCE06">
      <w:pPr>
        <w:tabs>
          <w:tab w:val="left" w:pos="6400"/>
        </w:tabs>
        <w:autoSpaceDE w:val="0"/>
        <w:autoSpaceDN w:val="0"/>
        <w:adjustRightInd w:val="0"/>
        <w:snapToGrid w:val="0"/>
        <w:spacing w:line="360" w:lineRule="auto"/>
        <w:jc w:val="right"/>
        <w:rPr>
          <w:rFonts w:ascii="宋体" w:hAnsi="宋体"/>
          <w:snapToGrid w:val="0"/>
          <w:color w:val="auto"/>
          <w:kern w:val="0"/>
          <w:sz w:val="24"/>
          <w:highlight w:val="none"/>
        </w:rPr>
      </w:pPr>
      <w:r>
        <w:rPr>
          <w:rFonts w:ascii="宋体" w:hAnsi="宋体"/>
          <w:snapToGrid w:val="0"/>
          <w:color w:val="auto"/>
          <w:kern w:val="0"/>
          <w:szCs w:val="21"/>
          <w:highlight w:val="none"/>
        </w:rPr>
        <w:t xml:space="preserve">                             评标委员会：</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r>
        <w:rPr>
          <w:rFonts w:ascii="宋体" w:hAnsi="宋体"/>
          <w:snapToGrid w:val="0"/>
          <w:color w:val="auto"/>
          <w:kern w:val="0"/>
          <w:sz w:val="24"/>
          <w:highlight w:val="none"/>
        </w:rPr>
        <w:t xml:space="preserve"> </w:t>
      </w:r>
    </w:p>
    <w:p w14:paraId="2653344D">
      <w:pPr>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p>
    <w:p w14:paraId="437206D2">
      <w:pPr>
        <w:wordWrap w:val="0"/>
        <w:autoSpaceDE w:val="0"/>
        <w:autoSpaceDN w:val="0"/>
        <w:adjustRightInd w:val="0"/>
        <w:snapToGrid w:val="0"/>
        <w:spacing w:line="360" w:lineRule="auto"/>
        <w:ind w:firstLine="850" w:firstLineChars="405"/>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3DD83B0F">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sz w:val="24"/>
          <w:highlight w:val="none"/>
        </w:rPr>
        <w:br w:type="page"/>
      </w:r>
      <w:r>
        <w:rPr>
          <w:rFonts w:ascii="宋体" w:hAnsi="宋体"/>
          <w:b/>
          <w:snapToGrid w:val="0"/>
          <w:color w:val="auto"/>
          <w:kern w:val="0"/>
          <w:highlight w:val="none"/>
        </w:rPr>
        <w:t>附表</w:t>
      </w:r>
      <w:r>
        <w:rPr>
          <w:rFonts w:hint="eastAsia" w:ascii="宋体" w:hAnsi="宋体"/>
          <w:b/>
          <w:snapToGrid w:val="0"/>
          <w:color w:val="auto"/>
          <w:kern w:val="0"/>
          <w:highlight w:val="none"/>
        </w:rPr>
        <w:t>四</w:t>
      </w:r>
      <w:r>
        <w:rPr>
          <w:rFonts w:ascii="宋体" w:hAnsi="宋体"/>
          <w:b/>
          <w:snapToGrid w:val="0"/>
          <w:color w:val="auto"/>
          <w:kern w:val="0"/>
          <w:highlight w:val="none"/>
        </w:rPr>
        <w:t>：问题的澄清</w:t>
      </w:r>
    </w:p>
    <w:p w14:paraId="5EAD2356">
      <w:pPr>
        <w:autoSpaceDE w:val="0"/>
        <w:autoSpaceDN w:val="0"/>
        <w:adjustRightInd w:val="0"/>
        <w:snapToGrid w:val="0"/>
        <w:spacing w:line="360" w:lineRule="auto"/>
        <w:jc w:val="left"/>
        <w:rPr>
          <w:rFonts w:ascii="宋体" w:hAnsi="宋体"/>
          <w:b/>
          <w:snapToGrid w:val="0"/>
          <w:color w:val="auto"/>
          <w:kern w:val="0"/>
          <w:sz w:val="10"/>
          <w:szCs w:val="10"/>
          <w:highlight w:val="none"/>
        </w:rPr>
      </w:pPr>
    </w:p>
    <w:p w14:paraId="32DCD753">
      <w:pPr>
        <w:autoSpaceDE w:val="0"/>
        <w:autoSpaceDN w:val="0"/>
        <w:adjustRightInd w:val="0"/>
        <w:snapToGrid w:val="0"/>
        <w:spacing w:line="360" w:lineRule="auto"/>
        <w:jc w:val="center"/>
        <w:rPr>
          <w:rFonts w:ascii="宋体" w:hAnsi="宋体"/>
          <w:b/>
          <w:snapToGrid w:val="0"/>
          <w:color w:val="auto"/>
          <w:kern w:val="0"/>
          <w:sz w:val="32"/>
          <w:szCs w:val="32"/>
          <w:highlight w:val="none"/>
        </w:rPr>
      </w:pPr>
      <w:r>
        <w:rPr>
          <w:rFonts w:ascii="宋体" w:hAnsi="宋体"/>
          <w:b/>
          <w:snapToGrid w:val="0"/>
          <w:color w:val="auto"/>
          <w:w w:val="99"/>
          <w:kern w:val="0"/>
          <w:sz w:val="32"/>
          <w:szCs w:val="32"/>
          <w:highlight w:val="none"/>
        </w:rPr>
        <w:t>问题的澄清</w:t>
      </w:r>
    </w:p>
    <w:p w14:paraId="78061346">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rPr>
      </w:pPr>
    </w:p>
    <w:p w14:paraId="3066F417">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14:paraId="076064EB">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14:paraId="0A826C3F">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14:paraId="1A9FE2F9">
      <w:pPr>
        <w:tabs>
          <w:tab w:val="left" w:pos="2415"/>
          <w:tab w:val="left" w:pos="3480"/>
          <w:tab w:val="left" w:pos="4200"/>
        </w:tabs>
        <w:autoSpaceDE w:val="0"/>
        <w:autoSpaceDN w:val="0"/>
        <w:adjustRightInd w:val="0"/>
        <w:snapToGrid w:val="0"/>
        <w:spacing w:line="480" w:lineRule="auto"/>
        <w:ind w:firstLine="840" w:firstLineChars="200"/>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评标委员会：</w:t>
      </w:r>
    </w:p>
    <w:p w14:paraId="121F85B0">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问题澄清通知（编号：</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）已收悉，现澄清如下：</w:t>
      </w:r>
    </w:p>
    <w:p w14:paraId="1C310BCA">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14:paraId="227072C7">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14:paraId="5D14D674">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14:paraId="49207997">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5710C546">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56CED1AB">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10E91EF8">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153E9535">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00D785A3">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14:paraId="5A10BEF0">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130F5E17">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10EBC257">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06CE1881">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1E73BC2D">
      <w:pPr>
        <w:autoSpaceDE w:val="0"/>
        <w:autoSpaceDN w:val="0"/>
        <w:adjustRightInd w:val="0"/>
        <w:snapToGrid w:val="0"/>
        <w:spacing w:line="360" w:lineRule="auto"/>
        <w:jc w:val="left"/>
        <w:rPr>
          <w:rFonts w:ascii="宋体" w:hAnsi="宋体"/>
          <w:snapToGrid w:val="0"/>
          <w:color w:val="auto"/>
          <w:kern w:val="0"/>
          <w:sz w:val="22"/>
          <w:szCs w:val="22"/>
          <w:highlight w:val="none"/>
        </w:rPr>
      </w:pPr>
    </w:p>
    <w:p w14:paraId="3727D9B4">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14:paraId="43FC66A7">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36BBC125">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46D3FB61">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76660ADD">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7F48DADB">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6F850276">
      <w:pPr>
        <w:tabs>
          <w:tab w:val="left" w:pos="7035"/>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投标人：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 xml:space="preserve">（盖单位法人章） </w:t>
      </w:r>
    </w:p>
    <w:p w14:paraId="0DC7E013">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02242946">
      <w:pPr>
        <w:autoSpaceDE w:val="0"/>
        <w:autoSpaceDN w:val="0"/>
        <w:adjustRightInd w:val="0"/>
        <w:snapToGrid w:val="0"/>
        <w:spacing w:line="360" w:lineRule="auto"/>
        <w:jc w:val="right"/>
        <w:rPr>
          <w:rFonts w:ascii="宋体" w:hAnsi="宋体"/>
          <w:snapToGrid w:val="0"/>
          <w:color w:val="auto"/>
          <w:kern w:val="0"/>
          <w:sz w:val="20"/>
          <w:szCs w:val="20"/>
          <w:highlight w:val="none"/>
        </w:rPr>
      </w:pPr>
    </w:p>
    <w:p w14:paraId="70E6FDC1">
      <w:pPr>
        <w:wordWrap w:val="0"/>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5822C412">
      <w:pPr>
        <w:autoSpaceDE w:val="0"/>
        <w:autoSpaceDN w:val="0"/>
        <w:adjustRightInd w:val="0"/>
        <w:snapToGrid w:val="0"/>
        <w:spacing w:line="360" w:lineRule="auto"/>
        <w:jc w:val="left"/>
        <w:rPr>
          <w:rFonts w:ascii="宋体" w:hAnsi="宋体"/>
          <w:b/>
          <w:snapToGrid w:val="0"/>
          <w:color w:val="auto"/>
          <w:kern w:val="0"/>
          <w:sz w:val="24"/>
          <w:highlight w:val="none"/>
        </w:rPr>
      </w:pPr>
    </w:p>
    <w:p w14:paraId="3C5707F3">
      <w:pPr>
        <w:autoSpaceDE w:val="0"/>
        <w:autoSpaceDN w:val="0"/>
        <w:adjustRightInd w:val="0"/>
        <w:snapToGrid w:val="0"/>
        <w:spacing w:line="360" w:lineRule="auto"/>
        <w:jc w:val="left"/>
        <w:rPr>
          <w:rFonts w:ascii="宋体" w:hAnsi="宋体"/>
          <w:snapToGrid w:val="0"/>
          <w:color w:val="auto"/>
          <w:kern w:val="0"/>
          <w:sz w:val="20"/>
          <w:szCs w:val="2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五</w:t>
      </w:r>
      <w:r>
        <w:rPr>
          <w:rFonts w:ascii="宋体" w:hAnsi="宋体"/>
          <w:b/>
          <w:snapToGrid w:val="0"/>
          <w:color w:val="auto"/>
          <w:kern w:val="0"/>
          <w:highlight w:val="none"/>
        </w:rPr>
        <w:t>：中标通知书</w:t>
      </w:r>
    </w:p>
    <w:p w14:paraId="1B7C9FC0">
      <w:pPr>
        <w:autoSpaceDE w:val="0"/>
        <w:autoSpaceDN w:val="0"/>
        <w:adjustRightInd w:val="0"/>
        <w:spacing w:line="360" w:lineRule="auto"/>
        <w:jc w:val="left"/>
        <w:rPr>
          <w:rFonts w:ascii="宋体" w:hAnsi="宋体"/>
          <w:snapToGrid w:val="0"/>
          <w:color w:val="auto"/>
          <w:kern w:val="0"/>
          <w:sz w:val="20"/>
          <w:szCs w:val="20"/>
          <w:highlight w:val="none"/>
        </w:rPr>
      </w:pPr>
    </w:p>
    <w:p w14:paraId="5227BCB6">
      <w:pPr>
        <w:autoSpaceDE w:val="0"/>
        <w:autoSpaceDN w:val="0"/>
        <w:adjustRightInd w:val="0"/>
        <w:spacing w:line="360" w:lineRule="auto"/>
        <w:jc w:val="left"/>
        <w:rPr>
          <w:rFonts w:ascii="宋体" w:hAnsi="宋体"/>
          <w:snapToGrid w:val="0"/>
          <w:color w:val="auto"/>
          <w:kern w:val="0"/>
          <w:sz w:val="20"/>
          <w:szCs w:val="20"/>
          <w:highlight w:val="none"/>
        </w:rPr>
      </w:pPr>
    </w:p>
    <w:p w14:paraId="3FEBA0CD">
      <w:pPr>
        <w:autoSpaceDE w:val="0"/>
        <w:autoSpaceDN w:val="0"/>
        <w:adjustRightInd w:val="0"/>
        <w:spacing w:line="360" w:lineRule="auto"/>
        <w:jc w:val="left"/>
        <w:rPr>
          <w:rFonts w:ascii="宋体" w:hAnsi="宋体"/>
          <w:snapToGrid w:val="0"/>
          <w:color w:val="auto"/>
          <w:kern w:val="0"/>
          <w:sz w:val="20"/>
          <w:szCs w:val="20"/>
          <w:highlight w:val="none"/>
        </w:rPr>
      </w:pPr>
    </w:p>
    <w:p w14:paraId="15AFB253">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重庆市建设工程中标通知书</w:t>
      </w:r>
    </w:p>
    <w:p w14:paraId="5D7E1B0F">
      <w:pPr>
        <w:spacing w:line="360" w:lineRule="auto"/>
        <w:rPr>
          <w:rFonts w:ascii="宋体" w:hAnsi="宋体"/>
          <w:bCs/>
          <w:color w:val="auto"/>
          <w:kern w:val="0"/>
          <w:szCs w:val="21"/>
          <w:highlight w:val="none"/>
          <w:u w:val="single"/>
        </w:rPr>
      </w:pPr>
      <w:r>
        <w:rPr>
          <w:rFonts w:ascii="宋体" w:hAnsi="宋体"/>
          <w:bCs/>
          <w:color w:val="auto"/>
          <w:kern w:val="0"/>
          <w:szCs w:val="21"/>
          <w:highlight w:val="none"/>
          <w:u w:val="single"/>
        </w:rPr>
        <w:t xml:space="preserve">       </w:t>
      </w:r>
      <w:r>
        <w:rPr>
          <w:rFonts w:ascii="宋体" w:hAnsi="宋体"/>
          <w:color w:val="auto"/>
          <w:kern w:val="0"/>
          <w:szCs w:val="21"/>
          <w:highlight w:val="none"/>
          <w:u w:val="single"/>
        </w:rPr>
        <w:t>中标单位</w:t>
      </w:r>
      <w:r>
        <w:rPr>
          <w:rFonts w:ascii="宋体" w:hAnsi="宋体"/>
          <w:bCs/>
          <w:color w:val="auto"/>
          <w:kern w:val="0"/>
          <w:szCs w:val="21"/>
          <w:highlight w:val="none"/>
          <w:u w:val="single"/>
        </w:rPr>
        <w:t xml:space="preserve">               </w:t>
      </w:r>
      <w:r>
        <w:rPr>
          <w:rFonts w:ascii="宋体" w:hAnsi="宋体"/>
          <w:bCs/>
          <w:color w:val="auto"/>
          <w:kern w:val="0"/>
          <w:szCs w:val="21"/>
          <w:highlight w:val="none"/>
        </w:rPr>
        <w:t>：</w:t>
      </w:r>
    </w:p>
    <w:p w14:paraId="0E7594F5">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我单位拟建的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（项目名称）</w:t>
      </w:r>
      <w:r>
        <w:rPr>
          <w:rFonts w:ascii="宋体" w:hAnsi="宋体"/>
          <w:bCs/>
          <w:color w:val="auto"/>
          <w:kern w:val="0"/>
          <w:szCs w:val="21"/>
          <w:highlight w:val="none"/>
          <w:u w:val="single"/>
        </w:rPr>
        <w:t xml:space="preserve">     </w:t>
      </w:r>
      <w:r>
        <w:rPr>
          <w:rFonts w:ascii="宋体" w:hAnsi="宋体"/>
          <w:color w:val="auto"/>
          <w:kern w:val="0"/>
          <w:szCs w:val="21"/>
          <w:highlight w:val="none"/>
        </w:rPr>
        <w:t>于</w:t>
      </w:r>
      <w:r>
        <w:rPr>
          <w:rFonts w:ascii="宋体" w:hAnsi="宋体"/>
          <w:bCs/>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日开标，经评标委员会评定，确定你单位为中标人，中标额为</w:t>
      </w:r>
      <w:r>
        <w:rPr>
          <w:rFonts w:hint="eastAsia" w:ascii="宋体" w:hAnsi="宋体"/>
          <w:color w:val="auto"/>
          <w:kern w:val="0"/>
          <w:szCs w:val="21"/>
          <w:highlight w:val="none"/>
        </w:rPr>
        <w:t>（大写）</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（其中含安全文明施工费 </w:t>
      </w:r>
      <w:r>
        <w:rPr>
          <w:rFonts w:ascii="宋体" w:hAnsi="宋体"/>
          <w:bCs/>
          <w:color w:val="auto"/>
          <w:kern w:val="0"/>
          <w:szCs w:val="21"/>
          <w:highlight w:val="none"/>
          <w:u w:val="single"/>
        </w:rPr>
        <w:t xml:space="preserve">￥    </w:t>
      </w:r>
      <w:r>
        <w:rPr>
          <w:rFonts w:ascii="宋体" w:hAnsi="宋体"/>
          <w:color w:val="auto"/>
          <w:kern w:val="0"/>
          <w:szCs w:val="21"/>
          <w:highlight w:val="none"/>
        </w:rPr>
        <w:t>）。中标工程范围：</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，工程规模为 </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，中标工期 </w:t>
      </w:r>
      <w:r>
        <w:rPr>
          <w:rFonts w:ascii="宋体" w:hAnsi="宋体"/>
          <w:bCs/>
          <w:color w:val="auto"/>
          <w:kern w:val="0"/>
          <w:szCs w:val="21"/>
          <w:highlight w:val="none"/>
          <w:u w:val="single"/>
        </w:rPr>
        <w:t xml:space="preserve">   </w:t>
      </w:r>
      <w:r>
        <w:rPr>
          <w:rFonts w:ascii="宋体" w:hAnsi="宋体"/>
          <w:color w:val="auto"/>
          <w:kern w:val="0"/>
          <w:szCs w:val="21"/>
          <w:highlight w:val="none"/>
          <w:u w:val="single"/>
        </w:rPr>
        <w:t>日历天</w:t>
      </w:r>
      <w:r>
        <w:rPr>
          <w:rFonts w:ascii="宋体" w:hAnsi="宋体"/>
          <w:color w:val="auto"/>
          <w:kern w:val="0"/>
          <w:szCs w:val="21"/>
          <w:highlight w:val="none"/>
        </w:rPr>
        <w:t>，工程质量达到国家施工验收规范标准。 项目经理由</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担任。</w:t>
      </w:r>
    </w:p>
    <w:p w14:paraId="63E7A2D8">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你单位收到中标通知书后，在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日内到我单位签订承发包合同。</w:t>
      </w:r>
      <w:r>
        <w:rPr>
          <w:rFonts w:hint="eastAsia" w:ascii="宋体" w:hAnsi="宋体"/>
          <w:color w:val="auto"/>
          <w:kern w:val="0"/>
          <w:szCs w:val="21"/>
          <w:highlight w:val="none"/>
        </w:rPr>
        <w:t>在此之前按招标文件第二章“投标人须知”第7.3款规定向我方提交履约担保。</w:t>
      </w:r>
    </w:p>
    <w:p w14:paraId="7E855436">
      <w:pPr>
        <w:spacing w:line="360" w:lineRule="auto"/>
        <w:rPr>
          <w:rFonts w:ascii="宋体" w:hAnsi="宋体"/>
          <w:color w:val="auto"/>
          <w:kern w:val="0"/>
          <w:szCs w:val="21"/>
          <w:highlight w:val="none"/>
        </w:rPr>
      </w:pPr>
      <w:r>
        <w:rPr>
          <w:rFonts w:ascii="宋体" w:hAnsi="宋体"/>
          <w:color w:val="auto"/>
          <w:kern w:val="0"/>
          <w:szCs w:val="21"/>
          <w:highlight w:val="none"/>
        </w:rPr>
        <w:t xml:space="preserve">    特此通知。</w:t>
      </w:r>
    </w:p>
    <w:p w14:paraId="35028247">
      <w:pPr>
        <w:spacing w:line="480" w:lineRule="auto"/>
        <w:rPr>
          <w:rFonts w:ascii="宋体" w:hAnsi="宋体"/>
          <w:color w:val="auto"/>
          <w:kern w:val="0"/>
          <w:sz w:val="24"/>
          <w:highlight w:val="none"/>
        </w:rPr>
      </w:pPr>
    </w:p>
    <w:p w14:paraId="5F00602A">
      <w:pPr>
        <w:spacing w:line="480" w:lineRule="auto"/>
        <w:rPr>
          <w:rFonts w:ascii="宋体" w:hAnsi="宋体"/>
          <w:color w:val="auto"/>
          <w:kern w:val="0"/>
          <w:sz w:val="24"/>
          <w:highlight w:val="none"/>
        </w:rPr>
      </w:pPr>
    </w:p>
    <w:p w14:paraId="36379CBD">
      <w:pPr>
        <w:spacing w:line="480" w:lineRule="auto"/>
        <w:rPr>
          <w:rFonts w:ascii="宋体" w:hAnsi="宋体"/>
          <w:color w:val="auto"/>
          <w:kern w:val="0"/>
          <w:sz w:val="24"/>
          <w:highlight w:val="none"/>
        </w:rPr>
      </w:pPr>
    </w:p>
    <w:p w14:paraId="2B3CD9A9">
      <w:pPr>
        <w:spacing w:line="480" w:lineRule="auto"/>
        <w:jc w:val="left"/>
        <w:rPr>
          <w:rFonts w:ascii="宋体" w:hAnsi="宋体"/>
          <w:color w:val="auto"/>
          <w:kern w:val="0"/>
          <w:sz w:val="24"/>
          <w:highlight w:val="none"/>
        </w:rPr>
      </w:pPr>
      <w:r>
        <w:rPr>
          <w:rFonts w:ascii="宋体" w:hAnsi="宋体"/>
          <w:color w:val="auto"/>
          <w:kern w:val="0"/>
          <w:sz w:val="24"/>
          <w:highlight w:val="none"/>
        </w:rPr>
        <w:t xml:space="preserve">                                 招标人</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r>
        <w:rPr>
          <w:rFonts w:ascii="宋体" w:hAnsi="宋体"/>
          <w:color w:val="auto"/>
          <w:kern w:val="0"/>
          <w:sz w:val="24"/>
          <w:highlight w:val="none"/>
        </w:rPr>
        <w:t>（</w:t>
      </w:r>
      <w:r>
        <w:rPr>
          <w:rFonts w:ascii="宋体" w:hAnsi="宋体"/>
          <w:snapToGrid w:val="0"/>
          <w:color w:val="auto"/>
          <w:kern w:val="0"/>
          <w:szCs w:val="21"/>
          <w:highlight w:val="none"/>
        </w:rPr>
        <w:t>盖单位法人章</w:t>
      </w:r>
      <w:r>
        <w:rPr>
          <w:rFonts w:ascii="宋体" w:hAnsi="宋体"/>
          <w:color w:val="auto"/>
          <w:kern w:val="0"/>
          <w:sz w:val="24"/>
          <w:highlight w:val="none"/>
        </w:rPr>
        <w:t>）</w:t>
      </w:r>
    </w:p>
    <w:p w14:paraId="477CD0E9">
      <w:pPr>
        <w:spacing w:line="480" w:lineRule="auto"/>
        <w:jc w:val="left"/>
        <w:rPr>
          <w:rFonts w:ascii="宋体" w:hAnsi="宋体"/>
          <w:color w:val="auto"/>
          <w:kern w:val="0"/>
          <w:sz w:val="24"/>
          <w:highlight w:val="none"/>
        </w:rPr>
      </w:pPr>
      <w:r>
        <w:rPr>
          <w:rFonts w:ascii="宋体" w:hAnsi="宋体"/>
          <w:color w:val="auto"/>
          <w:kern w:val="0"/>
          <w:sz w:val="24"/>
          <w:highlight w:val="none"/>
        </w:rPr>
        <w:t xml:space="preserve">                                 法定代表人</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r>
        <w:rPr>
          <w:rFonts w:ascii="宋体" w:hAnsi="宋体"/>
          <w:color w:val="auto"/>
          <w:kern w:val="0"/>
          <w:sz w:val="24"/>
          <w:highlight w:val="none"/>
        </w:rPr>
        <w:t>（</w:t>
      </w:r>
      <w:r>
        <w:rPr>
          <w:rFonts w:hint="eastAsia" w:ascii="宋体" w:hAnsi="宋体"/>
          <w:color w:val="auto"/>
          <w:kern w:val="0"/>
          <w:sz w:val="24"/>
          <w:highlight w:val="none"/>
        </w:rPr>
        <w:t>签名</w:t>
      </w:r>
      <w:r>
        <w:rPr>
          <w:rFonts w:ascii="宋体" w:hAnsi="宋体"/>
          <w:color w:val="auto"/>
          <w:kern w:val="0"/>
          <w:sz w:val="24"/>
          <w:highlight w:val="none"/>
        </w:rPr>
        <w:t>或盖章）</w:t>
      </w:r>
    </w:p>
    <w:p w14:paraId="301C80E3">
      <w:pPr>
        <w:spacing w:line="480" w:lineRule="auto"/>
        <w:jc w:val="left"/>
        <w:rPr>
          <w:rFonts w:ascii="宋体" w:hAnsi="宋体"/>
          <w:color w:val="auto"/>
          <w:kern w:val="0"/>
          <w:sz w:val="24"/>
          <w:highlight w:val="none"/>
          <w:u w:val="single"/>
        </w:rPr>
      </w:pPr>
      <w:r>
        <w:rPr>
          <w:rFonts w:ascii="宋体" w:hAnsi="宋体"/>
          <w:color w:val="auto"/>
          <w:kern w:val="0"/>
          <w:sz w:val="24"/>
          <w:highlight w:val="none"/>
        </w:rPr>
        <w:t xml:space="preserve">                                 联系人</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p>
    <w:p w14:paraId="5450A059">
      <w:pPr>
        <w:spacing w:line="480" w:lineRule="auto"/>
        <w:jc w:val="left"/>
        <w:rPr>
          <w:rFonts w:ascii="宋体" w:hAnsi="宋体"/>
          <w:color w:val="auto"/>
          <w:kern w:val="0"/>
          <w:sz w:val="24"/>
          <w:highlight w:val="none"/>
        </w:rPr>
      </w:pPr>
      <w:r>
        <w:rPr>
          <w:rFonts w:ascii="宋体" w:hAnsi="宋体"/>
          <w:color w:val="auto"/>
          <w:kern w:val="0"/>
          <w:sz w:val="24"/>
          <w:highlight w:val="none"/>
        </w:rPr>
        <w:t xml:space="preserve">                                 联系电话</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p>
    <w:p w14:paraId="5C46B6A6">
      <w:pPr>
        <w:spacing w:line="480" w:lineRule="auto"/>
        <w:jc w:val="right"/>
        <w:rPr>
          <w:rFonts w:ascii="宋体" w:hAnsi="宋体"/>
          <w:color w:val="auto"/>
          <w:kern w:val="0"/>
          <w:sz w:val="24"/>
          <w:highlight w:val="none"/>
        </w:rPr>
      </w:pPr>
    </w:p>
    <w:p w14:paraId="4958314C">
      <w:pPr>
        <w:spacing w:line="480" w:lineRule="auto"/>
        <w:jc w:val="right"/>
        <w:rPr>
          <w:rFonts w:ascii="宋体" w:hAnsi="宋体"/>
          <w:color w:val="auto"/>
          <w:kern w:val="0"/>
          <w:sz w:val="24"/>
          <w:highlight w:val="none"/>
        </w:rPr>
      </w:pPr>
    </w:p>
    <w:p w14:paraId="2EF07035">
      <w:pPr>
        <w:spacing w:line="480" w:lineRule="auto"/>
        <w:jc w:val="right"/>
        <w:rPr>
          <w:rFonts w:ascii="宋体" w:hAnsi="宋体"/>
          <w:color w:val="auto"/>
          <w:kern w:val="0"/>
          <w:sz w:val="24"/>
          <w:highlight w:val="none"/>
        </w:rPr>
      </w:pPr>
      <w:r>
        <w:rPr>
          <w:rFonts w:ascii="宋体" w:hAnsi="宋体"/>
          <w:color w:val="auto"/>
          <w:kern w:val="0"/>
          <w:sz w:val="24"/>
          <w:highlight w:val="none"/>
        </w:rPr>
        <w:t xml:space="preserve">                   签发日期</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r>
        <w:rPr>
          <w:rFonts w:ascii="宋体" w:hAnsi="宋体"/>
          <w:color w:val="auto"/>
          <w:kern w:val="0"/>
          <w:sz w:val="24"/>
          <w:highlight w:val="none"/>
        </w:rPr>
        <w:t>年</w:t>
      </w:r>
      <w:r>
        <w:rPr>
          <w:rFonts w:ascii="宋体" w:hAnsi="宋体"/>
          <w:color w:val="auto"/>
          <w:kern w:val="0"/>
          <w:sz w:val="24"/>
          <w:highlight w:val="none"/>
          <w:u w:val="single"/>
        </w:rPr>
        <w:t xml:space="preserve">     </w:t>
      </w:r>
      <w:r>
        <w:rPr>
          <w:rFonts w:ascii="宋体" w:hAnsi="宋体"/>
          <w:color w:val="auto"/>
          <w:kern w:val="0"/>
          <w:sz w:val="24"/>
          <w:highlight w:val="none"/>
        </w:rPr>
        <w:t>月</w:t>
      </w:r>
      <w:r>
        <w:rPr>
          <w:rFonts w:ascii="宋体" w:hAnsi="宋体"/>
          <w:color w:val="auto"/>
          <w:kern w:val="0"/>
          <w:sz w:val="24"/>
          <w:highlight w:val="none"/>
          <w:u w:val="single"/>
        </w:rPr>
        <w:t xml:space="preserve">     </w:t>
      </w:r>
      <w:r>
        <w:rPr>
          <w:rFonts w:ascii="宋体" w:hAnsi="宋体"/>
          <w:color w:val="auto"/>
          <w:kern w:val="0"/>
          <w:sz w:val="24"/>
          <w:highlight w:val="none"/>
        </w:rPr>
        <w:t>日</w:t>
      </w:r>
    </w:p>
    <w:p w14:paraId="166A66C0">
      <w:pPr>
        <w:pStyle w:val="2"/>
        <w:spacing w:line="360" w:lineRule="auto"/>
        <w:ind w:firstLine="482" w:firstLineChars="200"/>
        <w:jc w:val="center"/>
        <w:rPr>
          <w:rFonts w:ascii="宋体" w:hAnsi="宋体"/>
        </w:rPr>
      </w:pPr>
      <w:r>
        <w:rPr>
          <w:rFonts w:ascii="宋体" w:hAnsi="宋体"/>
          <w:color w:val="auto"/>
          <w:kern w:val="0"/>
          <w:sz w:val="24"/>
          <w:highlight w:val="none"/>
        </w:rPr>
        <w:br w:type="page"/>
      </w:r>
      <w:bookmarkStart w:id="566" w:name="_Toc20466"/>
      <w:bookmarkStart w:id="567" w:name="_Toc57905884"/>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bookmarkEnd w:id="566"/>
      <w:bookmarkEnd w:id="567"/>
      <w:r>
        <w:rPr>
          <w:rFonts w:ascii="宋体" w:hAnsi="宋体"/>
        </w:rPr>
        <w:t>评标办法（综合评估法）</w:t>
      </w:r>
      <w:bookmarkStart w:id="568" w:name="_Toc224103383"/>
      <w:bookmarkStart w:id="569" w:name="_Toc287620750"/>
      <w:bookmarkStart w:id="570" w:name="_Toc287607811"/>
      <w:bookmarkStart w:id="571" w:name="_Toc277082617"/>
      <w:bookmarkStart w:id="572" w:name="_Toc430530499"/>
    </w:p>
    <w:p w14:paraId="165306A4">
      <w:pPr>
        <w:pStyle w:val="3"/>
        <w:spacing w:before="100" w:after="100" w:line="360" w:lineRule="auto"/>
        <w:rPr>
          <w:rFonts w:ascii="宋体" w:hAnsi="宋体"/>
        </w:rPr>
      </w:pPr>
      <w:bookmarkStart w:id="573" w:name="_Toc57905896"/>
      <w:bookmarkStart w:id="574" w:name="_Toc14663"/>
      <w:bookmarkStart w:id="575" w:name="_Toc509218775"/>
      <w:r>
        <w:rPr>
          <w:rFonts w:hint="eastAsia" w:ascii="宋体" w:hAnsi="宋体"/>
        </w:rPr>
        <w:t>评标办法前附表</w:t>
      </w:r>
      <w:bookmarkEnd w:id="573"/>
      <w:bookmarkEnd w:id="574"/>
      <w:bookmarkEnd w:id="575"/>
    </w:p>
    <w:p w14:paraId="777932E7">
      <w:pPr>
        <w:spacing w:line="360" w:lineRule="auto"/>
        <w:ind w:firstLine="420" w:firstLineChars="200"/>
        <w:rPr>
          <w:szCs w:val="21"/>
        </w:rPr>
      </w:pPr>
      <w:r>
        <w:rPr>
          <w:szCs w:val="21"/>
        </w:rPr>
        <w:t>评标办法中的评审内容必须和投标人须知中的对应内容一致，若投标人须知中未作要求的内容，不得列入评标办法作为评定依据。</w:t>
      </w:r>
    </w:p>
    <w:bookmarkEnd w:id="568"/>
    <w:bookmarkEnd w:id="569"/>
    <w:bookmarkEnd w:id="570"/>
    <w:bookmarkEnd w:id="571"/>
    <w:bookmarkEnd w:id="572"/>
    <w:tbl>
      <w:tblPr>
        <w:tblStyle w:val="45"/>
        <w:tblW w:w="947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
        <w:gridCol w:w="567"/>
        <w:gridCol w:w="568"/>
        <w:gridCol w:w="978"/>
        <w:gridCol w:w="1013"/>
        <w:gridCol w:w="5493"/>
      </w:tblGrid>
      <w:tr w14:paraId="5A47AE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233FAB3F">
            <w:pPr>
              <w:spacing w:line="400" w:lineRule="exact"/>
              <w:jc w:val="center"/>
              <w:rPr>
                <w:rFonts w:ascii="宋体" w:hAnsi="宋体"/>
                <w:b/>
                <w:kern w:val="0"/>
              </w:rPr>
            </w:pPr>
            <w:bookmarkStart w:id="576" w:name="_Toc509218776"/>
            <w:r>
              <w:rPr>
                <w:rFonts w:ascii="宋体" w:hAnsi="宋体"/>
                <w:b/>
                <w:kern w:val="0"/>
              </w:rPr>
              <w:t>条款号</w:t>
            </w:r>
          </w:p>
        </w:tc>
        <w:tc>
          <w:tcPr>
            <w:tcW w:w="2559" w:type="dxa"/>
            <w:gridSpan w:val="3"/>
            <w:vAlign w:val="center"/>
          </w:tcPr>
          <w:p w14:paraId="040417DC">
            <w:pPr>
              <w:spacing w:line="400" w:lineRule="exact"/>
              <w:jc w:val="center"/>
              <w:rPr>
                <w:rFonts w:ascii="宋体" w:hAnsi="宋体"/>
                <w:b/>
                <w:kern w:val="0"/>
              </w:rPr>
            </w:pPr>
            <w:r>
              <w:rPr>
                <w:rFonts w:ascii="宋体" w:hAnsi="宋体"/>
                <w:b/>
                <w:kern w:val="0"/>
              </w:rPr>
              <w:t>评审因素</w:t>
            </w:r>
          </w:p>
        </w:tc>
        <w:tc>
          <w:tcPr>
            <w:tcW w:w="5493" w:type="dxa"/>
            <w:vAlign w:val="center"/>
          </w:tcPr>
          <w:p w14:paraId="78A0EB41">
            <w:pPr>
              <w:spacing w:line="400" w:lineRule="exact"/>
              <w:jc w:val="center"/>
              <w:rPr>
                <w:rFonts w:ascii="宋体" w:hAnsi="宋体"/>
                <w:b/>
                <w:kern w:val="0"/>
              </w:rPr>
            </w:pPr>
            <w:r>
              <w:rPr>
                <w:rFonts w:ascii="宋体" w:hAnsi="宋体"/>
                <w:b/>
                <w:kern w:val="0"/>
              </w:rPr>
              <w:t>评审标准</w:t>
            </w:r>
          </w:p>
        </w:tc>
      </w:tr>
      <w:tr w14:paraId="790103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41C23B20">
            <w:pPr>
              <w:spacing w:line="400" w:lineRule="exact"/>
              <w:jc w:val="center"/>
              <w:rPr>
                <w:rFonts w:ascii="宋体" w:hAnsi="宋体"/>
                <w:kern w:val="0"/>
              </w:rPr>
            </w:pPr>
            <w:r>
              <w:rPr>
                <w:rFonts w:hint="eastAsia" w:ascii="宋体" w:hAnsi="宋体"/>
                <w:kern w:val="0"/>
              </w:rPr>
              <w:t>1</w:t>
            </w:r>
          </w:p>
        </w:tc>
        <w:tc>
          <w:tcPr>
            <w:tcW w:w="2559" w:type="dxa"/>
            <w:gridSpan w:val="3"/>
            <w:vAlign w:val="center"/>
          </w:tcPr>
          <w:p w14:paraId="5A8E7DE9">
            <w:pPr>
              <w:spacing w:line="400" w:lineRule="exact"/>
              <w:jc w:val="center"/>
              <w:rPr>
                <w:rFonts w:ascii="宋体" w:hAnsi="宋体"/>
                <w:kern w:val="0"/>
              </w:rPr>
            </w:pPr>
            <w:r>
              <w:rPr>
                <w:rFonts w:ascii="宋体" w:hAnsi="宋体"/>
                <w:kern w:val="0"/>
              </w:rPr>
              <w:t>评标办法</w:t>
            </w:r>
          </w:p>
        </w:tc>
        <w:tc>
          <w:tcPr>
            <w:tcW w:w="5493" w:type="dxa"/>
            <w:vAlign w:val="center"/>
          </w:tcPr>
          <w:p w14:paraId="7EC8B970">
            <w:pPr>
              <w:spacing w:line="400" w:lineRule="exact"/>
              <w:ind w:firstLine="420" w:firstLineChars="200"/>
              <w:jc w:val="left"/>
              <w:rPr>
                <w:rFonts w:ascii="宋体" w:hAnsi="宋体"/>
                <w:kern w:val="0"/>
              </w:rPr>
            </w:pPr>
            <w:r>
              <w:rPr>
                <w:rFonts w:ascii="宋体" w:hAnsi="宋体"/>
                <w:kern w:val="0"/>
                <w:szCs w:val="21"/>
              </w:rPr>
              <w:t>本次评标采用综合评估法</w:t>
            </w:r>
            <w:r>
              <w:rPr>
                <w:rFonts w:ascii="宋体" w:hAnsi="宋体"/>
                <w:spacing w:val="-47"/>
                <w:kern w:val="0"/>
                <w:szCs w:val="21"/>
              </w:rPr>
              <w:t>。</w:t>
            </w:r>
            <w:r>
              <w:rPr>
                <w:rFonts w:ascii="宋体" w:hAnsi="宋体"/>
                <w:kern w:val="0"/>
                <w:szCs w:val="21"/>
              </w:rPr>
              <w:t xml:space="preserve">评标委员会按照本章第 </w:t>
            </w:r>
            <w:r>
              <w:rPr>
                <w:rFonts w:ascii="宋体" w:hAnsi="宋体"/>
                <w:spacing w:val="1"/>
                <w:kern w:val="0"/>
                <w:szCs w:val="21"/>
              </w:rPr>
              <w:t>2</w:t>
            </w:r>
            <w:r>
              <w:rPr>
                <w:rFonts w:ascii="宋体" w:hAnsi="宋体"/>
                <w:spacing w:val="-1"/>
                <w:kern w:val="0"/>
                <w:szCs w:val="21"/>
              </w:rPr>
              <w:t>.</w:t>
            </w:r>
            <w:r>
              <w:rPr>
                <w:rFonts w:ascii="宋体" w:hAnsi="宋体"/>
                <w:kern w:val="0"/>
                <w:szCs w:val="21"/>
              </w:rPr>
              <w:t>2</w:t>
            </w:r>
            <w:r>
              <w:rPr>
                <w:rFonts w:ascii="宋体" w:hAnsi="宋体"/>
                <w:spacing w:val="1"/>
                <w:kern w:val="0"/>
                <w:szCs w:val="21"/>
              </w:rPr>
              <w:t xml:space="preserve"> </w:t>
            </w:r>
            <w:r>
              <w:rPr>
                <w:rFonts w:ascii="宋体" w:hAnsi="宋体"/>
                <w:kern w:val="0"/>
                <w:szCs w:val="21"/>
              </w:rPr>
              <w:t>款</w:t>
            </w:r>
            <w:r>
              <w:rPr>
                <w:rFonts w:ascii="宋体" w:hAnsi="宋体"/>
                <w:spacing w:val="-1"/>
                <w:kern w:val="0"/>
                <w:szCs w:val="21"/>
              </w:rPr>
              <w:t>规</w:t>
            </w:r>
            <w:r>
              <w:rPr>
                <w:rFonts w:ascii="宋体" w:hAnsi="宋体"/>
                <w:kern w:val="0"/>
                <w:szCs w:val="21"/>
              </w:rPr>
              <w:t>定的评分标准进行</w:t>
            </w:r>
            <w:r>
              <w:rPr>
                <w:rFonts w:hint="eastAsia" w:ascii="宋体" w:hAnsi="宋体"/>
                <w:kern w:val="0"/>
                <w:szCs w:val="21"/>
                <w:lang w:eastAsia="zh-CN"/>
              </w:rPr>
              <w:t>评分</w:t>
            </w:r>
            <w:r>
              <w:rPr>
                <w:rFonts w:ascii="宋体" w:hAnsi="宋体"/>
                <w:kern w:val="0"/>
                <w:szCs w:val="21"/>
              </w:rPr>
              <w:t>，按得分由高到低顺序推荐中标候选人</w:t>
            </w:r>
            <w:r>
              <w:rPr>
                <w:rFonts w:ascii="宋体" w:hAnsi="宋体"/>
                <w:spacing w:val="-20"/>
                <w:kern w:val="0"/>
                <w:szCs w:val="21"/>
              </w:rPr>
              <w:t>，</w:t>
            </w:r>
            <w:r>
              <w:rPr>
                <w:rFonts w:ascii="宋体" w:hAnsi="宋体"/>
                <w:kern w:val="0"/>
                <w:szCs w:val="21"/>
              </w:rPr>
              <w:t>或根据招标人授权直接确定中标人</w:t>
            </w:r>
            <w:r>
              <w:rPr>
                <w:rFonts w:ascii="宋体" w:hAnsi="宋体"/>
                <w:spacing w:val="-31"/>
                <w:kern w:val="0"/>
                <w:szCs w:val="21"/>
              </w:rPr>
              <w:t>。</w:t>
            </w:r>
            <w:r>
              <w:rPr>
                <w:rFonts w:ascii="宋体" w:hAnsi="宋体"/>
                <w:b/>
                <w:bCs/>
                <w:kern w:val="0"/>
                <w:szCs w:val="21"/>
              </w:rPr>
              <w:t>综合评分相等时</w:t>
            </w:r>
            <w:r>
              <w:rPr>
                <w:rFonts w:ascii="宋体" w:hAnsi="宋体"/>
                <w:b/>
                <w:bCs/>
                <w:spacing w:val="-31"/>
                <w:kern w:val="0"/>
                <w:szCs w:val="21"/>
              </w:rPr>
              <w:t>，</w:t>
            </w:r>
            <w:r>
              <w:rPr>
                <w:rFonts w:ascii="宋体" w:hAnsi="宋体"/>
                <w:b/>
                <w:bCs/>
                <w:kern w:val="0"/>
                <w:szCs w:val="21"/>
              </w:rPr>
              <w:t>以投标报价低的优先；投标报价相等的</w:t>
            </w:r>
            <w:r>
              <w:rPr>
                <w:rFonts w:hint="eastAsia" w:ascii="宋体" w:hAnsi="宋体"/>
                <w:b/>
                <w:bCs/>
                <w:kern w:val="0"/>
                <w:szCs w:val="21"/>
              </w:rPr>
              <w:t>，由评标委员会按照</w:t>
            </w:r>
            <w:r>
              <w:rPr>
                <w:rFonts w:hint="eastAsia" w:ascii="宋体" w:hAnsi="宋体"/>
                <w:b/>
                <w:bCs/>
                <w:kern w:val="0"/>
                <w:szCs w:val="21"/>
                <w:u w:val="single"/>
              </w:rPr>
              <w:t>业绩金额高到低</w:t>
            </w:r>
            <w:r>
              <w:rPr>
                <w:rFonts w:hint="eastAsia" w:ascii="宋体" w:hAnsi="宋体"/>
                <w:b/>
                <w:bCs/>
                <w:kern w:val="0"/>
                <w:szCs w:val="21"/>
              </w:rPr>
              <w:t>原则排序。</w:t>
            </w:r>
          </w:p>
        </w:tc>
      </w:tr>
      <w:tr w14:paraId="5C12A8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46F4B777">
            <w:pPr>
              <w:spacing w:line="400" w:lineRule="exact"/>
              <w:jc w:val="center"/>
              <w:rPr>
                <w:rFonts w:ascii="宋体" w:hAnsi="宋体"/>
                <w:kern w:val="0"/>
              </w:rPr>
            </w:pPr>
            <w:r>
              <w:rPr>
                <w:rFonts w:ascii="宋体" w:hAnsi="宋体"/>
                <w:kern w:val="0"/>
              </w:rPr>
              <w:t>2.1.</w:t>
            </w:r>
            <w:r>
              <w:rPr>
                <w:rFonts w:hint="eastAsia" w:ascii="宋体" w:hAnsi="宋体"/>
                <w:kern w:val="0"/>
              </w:rPr>
              <w:t>1</w:t>
            </w:r>
          </w:p>
        </w:tc>
        <w:tc>
          <w:tcPr>
            <w:tcW w:w="567" w:type="dxa"/>
            <w:vMerge w:val="restart"/>
            <w:vAlign w:val="center"/>
          </w:tcPr>
          <w:p w14:paraId="466561A8">
            <w:pPr>
              <w:spacing w:line="400" w:lineRule="exact"/>
              <w:jc w:val="center"/>
              <w:rPr>
                <w:rFonts w:ascii="宋体" w:hAnsi="宋体"/>
                <w:kern w:val="0"/>
              </w:rPr>
            </w:pPr>
            <w:r>
              <w:rPr>
                <w:rFonts w:ascii="宋体" w:hAnsi="宋体"/>
                <w:kern w:val="0"/>
              </w:rPr>
              <w:t>资格评审标准</w:t>
            </w:r>
          </w:p>
        </w:tc>
        <w:tc>
          <w:tcPr>
            <w:tcW w:w="2559" w:type="dxa"/>
            <w:gridSpan w:val="3"/>
            <w:tcBorders>
              <w:bottom w:val="single" w:color="auto" w:sz="4" w:space="0"/>
            </w:tcBorders>
            <w:vAlign w:val="center"/>
          </w:tcPr>
          <w:p w14:paraId="1AB1347F">
            <w:pPr>
              <w:spacing w:line="400" w:lineRule="exact"/>
              <w:jc w:val="left"/>
              <w:rPr>
                <w:rFonts w:ascii="宋体" w:hAnsi="宋体"/>
                <w:kern w:val="0"/>
              </w:rPr>
            </w:pPr>
            <w:r>
              <w:rPr>
                <w:rFonts w:hint="eastAsia" w:ascii="宋体" w:hAnsi="宋体"/>
                <w:kern w:val="0"/>
              </w:rPr>
              <w:t>资质条件</w:t>
            </w:r>
          </w:p>
        </w:tc>
        <w:tc>
          <w:tcPr>
            <w:tcW w:w="5493" w:type="dxa"/>
            <w:vAlign w:val="center"/>
          </w:tcPr>
          <w:p w14:paraId="39201755">
            <w:pPr>
              <w:spacing w:line="400" w:lineRule="exact"/>
              <w:ind w:firstLine="420" w:firstLineChars="200"/>
              <w:rPr>
                <w:rFonts w:ascii="宋体" w:hAnsi="宋体"/>
                <w:kern w:val="0"/>
              </w:rPr>
            </w:pPr>
            <w:r>
              <w:rPr>
                <w:rFonts w:ascii="宋体" w:hAnsi="宋体"/>
                <w:kern w:val="0"/>
              </w:rPr>
              <w:t>符合第二章“投标人须知”第1.4.1项规定。</w:t>
            </w:r>
          </w:p>
        </w:tc>
      </w:tr>
      <w:tr w14:paraId="3EF9E3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A3A8BB0">
            <w:pPr>
              <w:spacing w:line="400" w:lineRule="exact"/>
              <w:rPr>
                <w:rFonts w:ascii="宋体" w:hAnsi="宋体"/>
              </w:rPr>
            </w:pPr>
          </w:p>
        </w:tc>
        <w:tc>
          <w:tcPr>
            <w:tcW w:w="567" w:type="dxa"/>
            <w:vMerge w:val="continue"/>
          </w:tcPr>
          <w:p w14:paraId="69DA28D9">
            <w:pPr>
              <w:spacing w:line="400" w:lineRule="exact"/>
              <w:rPr>
                <w:rFonts w:ascii="宋体" w:hAnsi="宋体"/>
              </w:rPr>
            </w:pPr>
          </w:p>
        </w:tc>
        <w:tc>
          <w:tcPr>
            <w:tcW w:w="2559" w:type="dxa"/>
            <w:gridSpan w:val="3"/>
            <w:tcBorders>
              <w:top w:val="single" w:color="auto" w:sz="4" w:space="0"/>
              <w:bottom w:val="single" w:color="auto" w:sz="4" w:space="0"/>
            </w:tcBorders>
          </w:tcPr>
          <w:p w14:paraId="42B164D4">
            <w:pPr>
              <w:spacing w:line="400" w:lineRule="exact"/>
              <w:jc w:val="left"/>
              <w:rPr>
                <w:rFonts w:ascii="宋体" w:hAnsi="宋体"/>
                <w:kern w:val="0"/>
              </w:rPr>
            </w:pPr>
            <w:r>
              <w:rPr>
                <w:rFonts w:hint="eastAsia" w:ascii="宋体" w:hAnsi="宋体"/>
                <w:kern w:val="0"/>
              </w:rPr>
              <w:t>营业执照</w:t>
            </w:r>
          </w:p>
        </w:tc>
        <w:tc>
          <w:tcPr>
            <w:tcW w:w="5493" w:type="dxa"/>
            <w:vAlign w:val="center"/>
          </w:tcPr>
          <w:p w14:paraId="06AD2C6F">
            <w:pPr>
              <w:autoSpaceDE w:val="0"/>
              <w:autoSpaceDN w:val="0"/>
              <w:adjustRightInd w:val="0"/>
              <w:spacing w:line="400" w:lineRule="exact"/>
              <w:ind w:firstLine="420" w:firstLineChars="200"/>
              <w:rPr>
                <w:rFonts w:ascii="宋体" w:hAnsi="宋体"/>
                <w:kern w:val="0"/>
              </w:rPr>
            </w:pPr>
            <w:r>
              <w:rPr>
                <w:rFonts w:ascii="宋体" w:hAnsi="宋体"/>
                <w:kern w:val="0"/>
              </w:rPr>
              <w:t>符合第二章“投标人须知”第1.4.1项规定。</w:t>
            </w:r>
          </w:p>
        </w:tc>
      </w:tr>
      <w:tr w14:paraId="76BF2E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51" w:type="dxa"/>
            <w:gridSpan w:val="2"/>
            <w:vMerge w:val="continue"/>
          </w:tcPr>
          <w:p w14:paraId="5F7D06DD">
            <w:pPr>
              <w:spacing w:line="400" w:lineRule="exact"/>
              <w:rPr>
                <w:rFonts w:ascii="宋体" w:hAnsi="宋体"/>
              </w:rPr>
            </w:pPr>
          </w:p>
        </w:tc>
        <w:tc>
          <w:tcPr>
            <w:tcW w:w="567" w:type="dxa"/>
            <w:vMerge w:val="continue"/>
          </w:tcPr>
          <w:p w14:paraId="256662EE">
            <w:pPr>
              <w:spacing w:line="400" w:lineRule="exact"/>
              <w:rPr>
                <w:rFonts w:ascii="宋体" w:hAnsi="宋体"/>
              </w:rPr>
            </w:pPr>
          </w:p>
        </w:tc>
        <w:tc>
          <w:tcPr>
            <w:tcW w:w="2559" w:type="dxa"/>
            <w:gridSpan w:val="3"/>
            <w:tcBorders>
              <w:top w:val="single" w:color="auto" w:sz="4" w:space="0"/>
            </w:tcBorders>
          </w:tcPr>
          <w:p w14:paraId="54AF1E50">
            <w:pPr>
              <w:spacing w:line="400" w:lineRule="exact"/>
              <w:jc w:val="left"/>
              <w:rPr>
                <w:rFonts w:ascii="宋体" w:hAnsi="宋体"/>
                <w:kern w:val="0"/>
              </w:rPr>
            </w:pPr>
            <w:r>
              <w:rPr>
                <w:rFonts w:hint="eastAsia" w:ascii="宋体" w:hAnsi="宋体"/>
                <w:kern w:val="0"/>
              </w:rPr>
              <w:t>安全生产条件</w:t>
            </w:r>
          </w:p>
        </w:tc>
        <w:tc>
          <w:tcPr>
            <w:tcW w:w="5493" w:type="dxa"/>
            <w:vAlign w:val="center"/>
          </w:tcPr>
          <w:p w14:paraId="7FCE79F7">
            <w:pPr>
              <w:spacing w:line="400" w:lineRule="exact"/>
              <w:ind w:firstLine="420" w:firstLineChars="200"/>
              <w:rPr>
                <w:rFonts w:ascii="宋体" w:hAnsi="宋体"/>
                <w:kern w:val="0"/>
              </w:rPr>
            </w:pPr>
            <w:r>
              <w:rPr>
                <w:rFonts w:ascii="宋体" w:hAnsi="宋体"/>
                <w:kern w:val="0"/>
              </w:rPr>
              <w:t>符合第二章“投标人须知”第1.4.1项规定</w:t>
            </w:r>
          </w:p>
        </w:tc>
      </w:tr>
      <w:tr w14:paraId="43B4C4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1CBD065">
            <w:pPr>
              <w:spacing w:line="400" w:lineRule="exact"/>
              <w:rPr>
                <w:rFonts w:ascii="宋体" w:hAnsi="宋体"/>
              </w:rPr>
            </w:pPr>
          </w:p>
        </w:tc>
        <w:tc>
          <w:tcPr>
            <w:tcW w:w="567" w:type="dxa"/>
            <w:vMerge w:val="continue"/>
          </w:tcPr>
          <w:p w14:paraId="16D0B15F">
            <w:pPr>
              <w:spacing w:line="400" w:lineRule="exact"/>
              <w:rPr>
                <w:rFonts w:ascii="宋体" w:hAnsi="宋体"/>
              </w:rPr>
            </w:pPr>
          </w:p>
        </w:tc>
        <w:tc>
          <w:tcPr>
            <w:tcW w:w="2559" w:type="dxa"/>
            <w:gridSpan w:val="3"/>
            <w:tcBorders>
              <w:top w:val="single" w:color="auto" w:sz="4" w:space="0"/>
              <w:bottom w:val="single" w:color="auto" w:sz="4" w:space="0"/>
            </w:tcBorders>
          </w:tcPr>
          <w:p w14:paraId="11EDCA6E">
            <w:pPr>
              <w:spacing w:line="400" w:lineRule="exact"/>
              <w:jc w:val="left"/>
              <w:rPr>
                <w:rFonts w:ascii="宋体" w:hAnsi="宋体"/>
                <w:kern w:val="0"/>
              </w:rPr>
            </w:pPr>
            <w:r>
              <w:rPr>
                <w:rFonts w:hint="eastAsia" w:ascii="宋体" w:hAnsi="宋体"/>
                <w:kern w:val="0"/>
              </w:rPr>
              <w:t>业绩要求</w:t>
            </w:r>
          </w:p>
        </w:tc>
        <w:tc>
          <w:tcPr>
            <w:tcW w:w="5493" w:type="dxa"/>
            <w:vAlign w:val="center"/>
          </w:tcPr>
          <w:p w14:paraId="71083DF2">
            <w:pPr>
              <w:spacing w:line="400" w:lineRule="exact"/>
              <w:ind w:firstLine="420" w:firstLineChars="200"/>
              <w:rPr>
                <w:rFonts w:ascii="宋体" w:hAnsi="宋体"/>
                <w:kern w:val="0"/>
              </w:rPr>
            </w:pPr>
            <w:r>
              <w:rPr>
                <w:rFonts w:ascii="宋体" w:hAnsi="宋体"/>
                <w:kern w:val="0"/>
              </w:rPr>
              <w:t>符合第二章“投标人须知”第1.4.1项规定</w:t>
            </w:r>
          </w:p>
        </w:tc>
      </w:tr>
      <w:tr w14:paraId="1B1681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6B2488F">
            <w:pPr>
              <w:spacing w:line="400" w:lineRule="exact"/>
              <w:rPr>
                <w:rFonts w:ascii="宋体" w:hAnsi="宋体"/>
              </w:rPr>
            </w:pPr>
          </w:p>
        </w:tc>
        <w:tc>
          <w:tcPr>
            <w:tcW w:w="567" w:type="dxa"/>
            <w:vMerge w:val="continue"/>
          </w:tcPr>
          <w:p w14:paraId="7AD9A007">
            <w:pPr>
              <w:spacing w:line="400" w:lineRule="exact"/>
              <w:rPr>
                <w:rFonts w:ascii="宋体" w:hAnsi="宋体"/>
              </w:rPr>
            </w:pPr>
          </w:p>
        </w:tc>
        <w:tc>
          <w:tcPr>
            <w:tcW w:w="2559" w:type="dxa"/>
            <w:gridSpan w:val="3"/>
            <w:tcBorders>
              <w:top w:val="single" w:color="auto" w:sz="4" w:space="0"/>
              <w:bottom w:val="single" w:color="auto" w:sz="4" w:space="0"/>
            </w:tcBorders>
          </w:tcPr>
          <w:p w14:paraId="66EA6CAB">
            <w:pPr>
              <w:spacing w:line="400" w:lineRule="exact"/>
              <w:jc w:val="left"/>
              <w:rPr>
                <w:rFonts w:ascii="宋体" w:hAnsi="宋体"/>
                <w:kern w:val="0"/>
              </w:rPr>
            </w:pPr>
            <w:r>
              <w:rPr>
                <w:rFonts w:ascii="宋体" w:hAnsi="宋体"/>
                <w:szCs w:val="21"/>
              </w:rPr>
              <w:t>投标截止日投标资格情况</w:t>
            </w:r>
          </w:p>
        </w:tc>
        <w:tc>
          <w:tcPr>
            <w:tcW w:w="5493" w:type="dxa"/>
            <w:vAlign w:val="center"/>
          </w:tcPr>
          <w:p w14:paraId="3F98247D">
            <w:pPr>
              <w:spacing w:line="400" w:lineRule="exact"/>
              <w:ind w:firstLine="420" w:firstLineChars="200"/>
              <w:rPr>
                <w:rFonts w:ascii="宋体" w:hAnsi="宋体"/>
                <w:kern w:val="0"/>
              </w:rPr>
            </w:pPr>
            <w:r>
              <w:rPr>
                <w:rFonts w:ascii="宋体" w:hAnsi="宋体"/>
                <w:kern w:val="0"/>
              </w:rPr>
              <w:t>符合第二章“投标人须知”第1.4.1项规定</w:t>
            </w:r>
          </w:p>
        </w:tc>
      </w:tr>
      <w:tr w14:paraId="22A0B75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BA3FB8B">
            <w:pPr>
              <w:spacing w:line="400" w:lineRule="exact"/>
              <w:rPr>
                <w:rFonts w:ascii="宋体" w:hAnsi="宋体"/>
              </w:rPr>
            </w:pPr>
          </w:p>
        </w:tc>
        <w:tc>
          <w:tcPr>
            <w:tcW w:w="567" w:type="dxa"/>
            <w:vMerge w:val="continue"/>
          </w:tcPr>
          <w:p w14:paraId="11B23371">
            <w:pPr>
              <w:spacing w:line="400" w:lineRule="exact"/>
              <w:rPr>
                <w:rFonts w:ascii="宋体" w:hAnsi="宋体"/>
              </w:rPr>
            </w:pPr>
          </w:p>
        </w:tc>
        <w:tc>
          <w:tcPr>
            <w:tcW w:w="2559" w:type="dxa"/>
            <w:gridSpan w:val="3"/>
            <w:tcBorders>
              <w:top w:val="single" w:color="auto" w:sz="4" w:space="0"/>
              <w:bottom w:val="single" w:color="auto" w:sz="4" w:space="0"/>
            </w:tcBorders>
          </w:tcPr>
          <w:p w14:paraId="63D78EA4">
            <w:pPr>
              <w:spacing w:line="400" w:lineRule="exact"/>
              <w:jc w:val="left"/>
              <w:rPr>
                <w:rFonts w:ascii="宋体" w:hAnsi="宋体"/>
                <w:szCs w:val="21"/>
              </w:rPr>
            </w:pPr>
            <w:r>
              <w:rPr>
                <w:rFonts w:ascii="宋体" w:hAnsi="宋体"/>
                <w:kern w:val="0"/>
              </w:rPr>
              <w:t>项目经理资格</w:t>
            </w:r>
            <w:r>
              <w:rPr>
                <w:rFonts w:hint="eastAsia" w:ascii="宋体" w:hAnsi="宋体"/>
                <w:kern w:val="0"/>
              </w:rPr>
              <w:t>要求</w:t>
            </w:r>
          </w:p>
        </w:tc>
        <w:tc>
          <w:tcPr>
            <w:tcW w:w="5493" w:type="dxa"/>
            <w:vAlign w:val="center"/>
          </w:tcPr>
          <w:p w14:paraId="4D347A91">
            <w:pPr>
              <w:spacing w:line="400" w:lineRule="exact"/>
              <w:ind w:firstLine="420" w:firstLineChars="200"/>
              <w:rPr>
                <w:rFonts w:ascii="宋体" w:hAnsi="宋体"/>
                <w:kern w:val="0"/>
              </w:rPr>
            </w:pPr>
            <w:r>
              <w:rPr>
                <w:rFonts w:ascii="宋体" w:hAnsi="宋体"/>
                <w:kern w:val="0"/>
              </w:rPr>
              <w:t>符合第二章“投标人须知”第1.4.1项规定</w:t>
            </w:r>
          </w:p>
        </w:tc>
      </w:tr>
      <w:tr w14:paraId="408049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508C3DDB">
            <w:pPr>
              <w:spacing w:line="400" w:lineRule="exact"/>
              <w:rPr>
                <w:rFonts w:ascii="宋体" w:hAnsi="宋体"/>
              </w:rPr>
            </w:pPr>
          </w:p>
        </w:tc>
        <w:tc>
          <w:tcPr>
            <w:tcW w:w="567" w:type="dxa"/>
            <w:vMerge w:val="continue"/>
          </w:tcPr>
          <w:p w14:paraId="30AF224C">
            <w:pPr>
              <w:spacing w:line="400" w:lineRule="exact"/>
              <w:rPr>
                <w:rFonts w:ascii="宋体" w:hAnsi="宋体"/>
              </w:rPr>
            </w:pPr>
          </w:p>
        </w:tc>
        <w:tc>
          <w:tcPr>
            <w:tcW w:w="2559" w:type="dxa"/>
            <w:gridSpan w:val="3"/>
            <w:tcBorders>
              <w:top w:val="single" w:color="auto" w:sz="4" w:space="0"/>
              <w:bottom w:val="single" w:color="auto" w:sz="4" w:space="0"/>
            </w:tcBorders>
          </w:tcPr>
          <w:p w14:paraId="5A6FD9B4">
            <w:pPr>
              <w:spacing w:line="400" w:lineRule="exact"/>
              <w:jc w:val="left"/>
              <w:rPr>
                <w:rFonts w:ascii="宋体" w:hAnsi="宋体"/>
                <w:kern w:val="0"/>
              </w:rPr>
            </w:pPr>
            <w:r>
              <w:rPr>
                <w:rFonts w:ascii="宋体" w:hAnsi="宋体"/>
                <w:kern w:val="0"/>
              </w:rPr>
              <w:t>其他要求</w:t>
            </w:r>
          </w:p>
        </w:tc>
        <w:tc>
          <w:tcPr>
            <w:tcW w:w="5493" w:type="dxa"/>
            <w:vAlign w:val="center"/>
          </w:tcPr>
          <w:p w14:paraId="1E13813A">
            <w:pPr>
              <w:spacing w:line="400" w:lineRule="exact"/>
              <w:ind w:firstLine="420" w:firstLineChars="200"/>
              <w:rPr>
                <w:rFonts w:ascii="宋体" w:hAnsi="宋体"/>
                <w:kern w:val="0"/>
              </w:rPr>
            </w:pPr>
            <w:r>
              <w:rPr>
                <w:rFonts w:ascii="宋体" w:hAnsi="宋体"/>
                <w:kern w:val="0"/>
              </w:rPr>
              <w:t>符合第二章“投标人须知”第1.4.1项规定</w:t>
            </w:r>
          </w:p>
        </w:tc>
      </w:tr>
      <w:tr w14:paraId="70E055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1BA83DDD">
            <w:pPr>
              <w:spacing w:line="400" w:lineRule="exact"/>
              <w:jc w:val="center"/>
              <w:rPr>
                <w:rFonts w:ascii="宋体" w:hAnsi="宋体"/>
              </w:rPr>
            </w:pPr>
            <w:r>
              <w:rPr>
                <w:rFonts w:ascii="宋体" w:hAnsi="宋体"/>
                <w:kern w:val="0"/>
              </w:rPr>
              <w:t>2.1.</w:t>
            </w:r>
            <w:r>
              <w:rPr>
                <w:rFonts w:hint="eastAsia" w:ascii="宋体" w:hAnsi="宋体"/>
                <w:kern w:val="0"/>
              </w:rPr>
              <w:t>2</w:t>
            </w:r>
          </w:p>
        </w:tc>
        <w:tc>
          <w:tcPr>
            <w:tcW w:w="567" w:type="dxa"/>
            <w:vMerge w:val="restart"/>
            <w:vAlign w:val="center"/>
          </w:tcPr>
          <w:p w14:paraId="746E4C2A">
            <w:pPr>
              <w:spacing w:line="400" w:lineRule="exact"/>
              <w:jc w:val="center"/>
              <w:rPr>
                <w:rFonts w:ascii="宋体" w:hAnsi="宋体"/>
              </w:rPr>
            </w:pPr>
            <w:r>
              <w:rPr>
                <w:rFonts w:ascii="宋体" w:hAnsi="宋体"/>
                <w:kern w:val="0"/>
              </w:rPr>
              <w:t>形式评审标准</w:t>
            </w:r>
          </w:p>
        </w:tc>
        <w:tc>
          <w:tcPr>
            <w:tcW w:w="2559" w:type="dxa"/>
            <w:gridSpan w:val="3"/>
            <w:tcBorders>
              <w:top w:val="single" w:color="auto" w:sz="4" w:space="0"/>
              <w:bottom w:val="single" w:color="auto" w:sz="4" w:space="0"/>
            </w:tcBorders>
            <w:vAlign w:val="center"/>
          </w:tcPr>
          <w:p w14:paraId="5E280A7A">
            <w:pPr>
              <w:spacing w:line="400" w:lineRule="exact"/>
              <w:jc w:val="left"/>
              <w:rPr>
                <w:rFonts w:ascii="宋体" w:hAnsi="宋体"/>
                <w:kern w:val="0"/>
              </w:rPr>
            </w:pPr>
            <w:r>
              <w:rPr>
                <w:rFonts w:ascii="宋体" w:hAnsi="宋体"/>
                <w:kern w:val="0"/>
              </w:rPr>
              <w:t>投标人名称</w:t>
            </w:r>
          </w:p>
        </w:tc>
        <w:tc>
          <w:tcPr>
            <w:tcW w:w="5493" w:type="dxa"/>
            <w:vAlign w:val="center"/>
          </w:tcPr>
          <w:p w14:paraId="4FA6B82D">
            <w:pPr>
              <w:spacing w:line="400" w:lineRule="exact"/>
              <w:ind w:firstLine="420" w:firstLineChars="200"/>
              <w:rPr>
                <w:rFonts w:ascii="宋体" w:hAnsi="宋体"/>
                <w:kern w:val="0"/>
              </w:rPr>
            </w:pPr>
            <w:r>
              <w:rPr>
                <w:rFonts w:ascii="宋体" w:hAnsi="宋体"/>
                <w:kern w:val="0"/>
              </w:rPr>
              <w:t>与营业执照、资质证书、安全生产许可证一致</w:t>
            </w:r>
            <w:r>
              <w:rPr>
                <w:rFonts w:hint="eastAsia" w:ascii="宋体" w:hAnsi="宋体"/>
                <w:kern w:val="0"/>
              </w:rPr>
              <w:t>，依法变更名称的应提交相应证明材料</w:t>
            </w:r>
            <w:r>
              <w:rPr>
                <w:rFonts w:ascii="宋体" w:hAnsi="宋体"/>
                <w:kern w:val="0"/>
              </w:rPr>
              <w:t>。</w:t>
            </w:r>
          </w:p>
        </w:tc>
      </w:tr>
      <w:tr w14:paraId="07053A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F8B8DAD">
            <w:pPr>
              <w:spacing w:line="400" w:lineRule="exact"/>
              <w:rPr>
                <w:rFonts w:ascii="宋体" w:hAnsi="宋体"/>
              </w:rPr>
            </w:pPr>
          </w:p>
        </w:tc>
        <w:tc>
          <w:tcPr>
            <w:tcW w:w="567" w:type="dxa"/>
            <w:vMerge w:val="continue"/>
          </w:tcPr>
          <w:p w14:paraId="1183E6E4">
            <w:pPr>
              <w:spacing w:line="400" w:lineRule="exact"/>
              <w:rPr>
                <w:rFonts w:ascii="宋体" w:hAnsi="宋体"/>
              </w:rPr>
            </w:pPr>
          </w:p>
        </w:tc>
        <w:tc>
          <w:tcPr>
            <w:tcW w:w="2559" w:type="dxa"/>
            <w:gridSpan w:val="3"/>
            <w:tcBorders>
              <w:top w:val="single" w:color="auto" w:sz="4" w:space="0"/>
              <w:bottom w:val="single" w:color="auto" w:sz="4" w:space="0"/>
            </w:tcBorders>
            <w:vAlign w:val="center"/>
          </w:tcPr>
          <w:p w14:paraId="2E740932">
            <w:pPr>
              <w:spacing w:line="400" w:lineRule="exact"/>
              <w:jc w:val="left"/>
              <w:rPr>
                <w:rFonts w:ascii="宋体" w:hAnsi="宋体"/>
                <w:kern w:val="0"/>
              </w:rPr>
            </w:pPr>
            <w:r>
              <w:rPr>
                <w:rFonts w:ascii="宋体" w:hAnsi="宋体"/>
                <w:kern w:val="0"/>
              </w:rPr>
              <w:t>投标函</w:t>
            </w:r>
            <w:r>
              <w:rPr>
                <w:rFonts w:hint="eastAsia" w:ascii="宋体" w:hAnsi="宋体"/>
                <w:kern w:val="0"/>
              </w:rPr>
              <w:t>签名</w:t>
            </w:r>
            <w:r>
              <w:rPr>
                <w:rFonts w:ascii="宋体" w:hAnsi="宋体"/>
                <w:kern w:val="0"/>
              </w:rPr>
              <w:t>盖章</w:t>
            </w:r>
          </w:p>
        </w:tc>
        <w:tc>
          <w:tcPr>
            <w:tcW w:w="5493" w:type="dxa"/>
            <w:vAlign w:val="center"/>
          </w:tcPr>
          <w:p w14:paraId="0231FEE2">
            <w:pPr>
              <w:spacing w:line="400" w:lineRule="exact"/>
              <w:ind w:firstLine="420" w:firstLineChars="200"/>
              <w:rPr>
                <w:rFonts w:ascii="宋体" w:hAnsi="宋体"/>
                <w:kern w:val="0"/>
              </w:rPr>
            </w:pPr>
            <w:r>
              <w:rPr>
                <w:rFonts w:ascii="宋体" w:hAnsi="宋体"/>
                <w:kern w:val="0"/>
              </w:rPr>
              <w:t>投标函格式规定</w:t>
            </w:r>
            <w:r>
              <w:rPr>
                <w:rFonts w:hint="eastAsia" w:ascii="宋体" w:hAnsi="宋体"/>
                <w:kern w:val="0"/>
              </w:rPr>
              <w:t>签名、</w:t>
            </w:r>
            <w:r>
              <w:rPr>
                <w:rFonts w:ascii="宋体" w:hAnsi="宋体"/>
                <w:kern w:val="0"/>
              </w:rPr>
              <w:t>盖章的位置有法定代表人或其委托代理人</w:t>
            </w:r>
            <w:r>
              <w:rPr>
                <w:rFonts w:hint="eastAsia" w:ascii="宋体" w:hAnsi="宋体"/>
                <w:kern w:val="0"/>
              </w:rPr>
              <w:t>签名</w:t>
            </w:r>
            <w:r>
              <w:rPr>
                <w:rFonts w:ascii="宋体" w:hAnsi="宋体"/>
                <w:kern w:val="0"/>
              </w:rPr>
              <w:t>（或盖章）、加盖单位法人章。</w:t>
            </w:r>
          </w:p>
        </w:tc>
      </w:tr>
      <w:tr w14:paraId="69D35C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08631A3">
            <w:pPr>
              <w:spacing w:line="400" w:lineRule="exact"/>
              <w:rPr>
                <w:rFonts w:ascii="宋体" w:hAnsi="宋体"/>
              </w:rPr>
            </w:pPr>
          </w:p>
        </w:tc>
        <w:tc>
          <w:tcPr>
            <w:tcW w:w="567" w:type="dxa"/>
            <w:vMerge w:val="continue"/>
          </w:tcPr>
          <w:p w14:paraId="07A30672">
            <w:pPr>
              <w:spacing w:line="400" w:lineRule="exact"/>
              <w:rPr>
                <w:rFonts w:ascii="宋体" w:hAnsi="宋体"/>
              </w:rPr>
            </w:pPr>
          </w:p>
        </w:tc>
        <w:tc>
          <w:tcPr>
            <w:tcW w:w="2559" w:type="dxa"/>
            <w:gridSpan w:val="3"/>
            <w:tcBorders>
              <w:top w:val="single" w:color="auto" w:sz="4" w:space="0"/>
              <w:bottom w:val="single" w:color="auto" w:sz="4" w:space="0"/>
            </w:tcBorders>
            <w:vAlign w:val="center"/>
          </w:tcPr>
          <w:p w14:paraId="23224B16">
            <w:pPr>
              <w:spacing w:line="400" w:lineRule="exact"/>
              <w:jc w:val="left"/>
              <w:rPr>
                <w:rFonts w:ascii="宋体" w:hAnsi="宋体"/>
                <w:kern w:val="0"/>
              </w:rPr>
            </w:pPr>
            <w:r>
              <w:rPr>
                <w:rFonts w:ascii="宋体" w:hAnsi="宋体"/>
                <w:kern w:val="0"/>
              </w:rPr>
              <w:t>投标文件格式</w:t>
            </w:r>
          </w:p>
        </w:tc>
        <w:tc>
          <w:tcPr>
            <w:tcW w:w="5493" w:type="dxa"/>
            <w:vAlign w:val="center"/>
          </w:tcPr>
          <w:p w14:paraId="2F8F4D3F">
            <w:pPr>
              <w:spacing w:line="400" w:lineRule="exact"/>
              <w:ind w:firstLine="420" w:firstLineChars="200"/>
              <w:rPr>
                <w:rFonts w:ascii="宋体" w:hAnsi="宋体"/>
                <w:kern w:val="0"/>
              </w:rPr>
            </w:pPr>
            <w:r>
              <w:rPr>
                <w:rFonts w:ascii="宋体" w:hAnsi="宋体"/>
                <w:kern w:val="0"/>
              </w:rPr>
              <w:t>符合</w:t>
            </w:r>
            <w:r>
              <w:rPr>
                <w:rFonts w:hint="eastAsia" w:ascii="宋体" w:hAnsi="宋体"/>
                <w:kern w:val="0"/>
              </w:rPr>
              <w:t>第二</w:t>
            </w:r>
            <w:r>
              <w:rPr>
                <w:rFonts w:ascii="宋体" w:hAnsi="宋体"/>
                <w:kern w:val="0"/>
              </w:rPr>
              <w:t>章“</w:t>
            </w:r>
            <w:r>
              <w:rPr>
                <w:rFonts w:hint="eastAsia" w:ascii="宋体" w:hAnsi="宋体"/>
                <w:kern w:val="0"/>
              </w:rPr>
              <w:t>投标人须知</w:t>
            </w:r>
            <w:r>
              <w:rPr>
                <w:rFonts w:ascii="宋体" w:hAnsi="宋体"/>
                <w:kern w:val="0"/>
              </w:rPr>
              <w:t>”</w:t>
            </w:r>
            <w:r>
              <w:rPr>
                <w:rFonts w:hint="eastAsia" w:ascii="宋体" w:hAnsi="宋体"/>
                <w:kern w:val="0"/>
              </w:rPr>
              <w:t>第3.7款</w:t>
            </w:r>
            <w:r>
              <w:rPr>
                <w:rFonts w:ascii="宋体" w:hAnsi="宋体"/>
                <w:kern w:val="0"/>
              </w:rPr>
              <w:t>的要求。</w:t>
            </w:r>
          </w:p>
        </w:tc>
      </w:tr>
      <w:tr w14:paraId="2F600A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84CFC00">
            <w:pPr>
              <w:spacing w:line="400" w:lineRule="exact"/>
              <w:rPr>
                <w:rFonts w:ascii="宋体" w:hAnsi="宋体"/>
              </w:rPr>
            </w:pPr>
          </w:p>
        </w:tc>
        <w:tc>
          <w:tcPr>
            <w:tcW w:w="567" w:type="dxa"/>
            <w:vMerge w:val="continue"/>
          </w:tcPr>
          <w:p w14:paraId="2D41C958">
            <w:pPr>
              <w:spacing w:line="400" w:lineRule="exact"/>
              <w:rPr>
                <w:rFonts w:ascii="宋体" w:hAnsi="宋体"/>
              </w:rPr>
            </w:pPr>
          </w:p>
        </w:tc>
        <w:tc>
          <w:tcPr>
            <w:tcW w:w="2559" w:type="dxa"/>
            <w:gridSpan w:val="3"/>
            <w:tcBorders>
              <w:top w:val="single" w:color="auto" w:sz="4" w:space="0"/>
              <w:bottom w:val="single" w:color="auto" w:sz="4" w:space="0"/>
            </w:tcBorders>
            <w:vAlign w:val="center"/>
          </w:tcPr>
          <w:p w14:paraId="08B52D1E">
            <w:pPr>
              <w:spacing w:line="400" w:lineRule="exact"/>
              <w:jc w:val="left"/>
              <w:rPr>
                <w:rFonts w:ascii="宋体" w:hAnsi="宋体"/>
                <w:kern w:val="0"/>
              </w:rPr>
            </w:pPr>
            <w:r>
              <w:rPr>
                <w:rFonts w:hint="eastAsia" w:ascii="宋体" w:hAnsi="宋体"/>
                <w:kern w:val="0"/>
              </w:rPr>
              <w:t>投标文件份数</w:t>
            </w:r>
          </w:p>
        </w:tc>
        <w:tc>
          <w:tcPr>
            <w:tcW w:w="5493" w:type="dxa"/>
            <w:vAlign w:val="center"/>
          </w:tcPr>
          <w:p w14:paraId="1CC1A333">
            <w:pPr>
              <w:spacing w:line="400" w:lineRule="exact"/>
              <w:ind w:firstLine="420" w:firstLineChars="200"/>
              <w:rPr>
                <w:rFonts w:ascii="宋体" w:hAnsi="宋体"/>
                <w:kern w:val="0"/>
              </w:rPr>
            </w:pPr>
            <w:r>
              <w:rPr>
                <w:rFonts w:hint="eastAsia" w:ascii="宋体" w:hAnsi="宋体"/>
                <w:kern w:val="0"/>
              </w:rPr>
              <w:t>符合第二章“投标人须知”第3.7.4项规定。</w:t>
            </w:r>
          </w:p>
        </w:tc>
      </w:tr>
      <w:tr w14:paraId="4EF7BA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F8B8D05">
            <w:pPr>
              <w:spacing w:line="400" w:lineRule="exact"/>
              <w:rPr>
                <w:rFonts w:ascii="宋体" w:hAnsi="宋体"/>
              </w:rPr>
            </w:pPr>
          </w:p>
        </w:tc>
        <w:tc>
          <w:tcPr>
            <w:tcW w:w="567" w:type="dxa"/>
            <w:vMerge w:val="continue"/>
          </w:tcPr>
          <w:p w14:paraId="460BC9B3">
            <w:pPr>
              <w:spacing w:line="400" w:lineRule="exact"/>
              <w:rPr>
                <w:rFonts w:ascii="宋体" w:hAnsi="宋体"/>
              </w:rPr>
            </w:pPr>
          </w:p>
        </w:tc>
        <w:tc>
          <w:tcPr>
            <w:tcW w:w="2559" w:type="dxa"/>
            <w:gridSpan w:val="3"/>
            <w:tcBorders>
              <w:top w:val="single" w:color="auto" w:sz="4" w:space="0"/>
              <w:bottom w:val="single" w:color="auto" w:sz="4" w:space="0"/>
            </w:tcBorders>
            <w:vAlign w:val="center"/>
          </w:tcPr>
          <w:p w14:paraId="411BF791">
            <w:pPr>
              <w:spacing w:line="400" w:lineRule="exact"/>
              <w:jc w:val="left"/>
              <w:rPr>
                <w:rFonts w:ascii="宋体" w:hAnsi="宋体"/>
                <w:kern w:val="0"/>
              </w:rPr>
            </w:pPr>
            <w:r>
              <w:rPr>
                <w:rFonts w:ascii="宋体" w:hAnsi="宋体"/>
                <w:kern w:val="0"/>
              </w:rPr>
              <w:t>报价唯一</w:t>
            </w:r>
          </w:p>
        </w:tc>
        <w:tc>
          <w:tcPr>
            <w:tcW w:w="5493" w:type="dxa"/>
            <w:vAlign w:val="center"/>
          </w:tcPr>
          <w:p w14:paraId="068FFCFE">
            <w:pPr>
              <w:spacing w:line="400" w:lineRule="exact"/>
              <w:ind w:firstLine="420" w:firstLineChars="200"/>
              <w:rPr>
                <w:rFonts w:ascii="宋体" w:hAnsi="宋体"/>
                <w:kern w:val="0"/>
              </w:rPr>
            </w:pPr>
            <w:r>
              <w:rPr>
                <w:rFonts w:ascii="宋体" w:hAnsi="宋体"/>
                <w:kern w:val="0"/>
              </w:rPr>
              <w:t>只能有一个有效报价，在招标文件没有规定的情况下，不得提交选择性报价。</w:t>
            </w:r>
          </w:p>
        </w:tc>
      </w:tr>
      <w:tr w14:paraId="17EC50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1C72CC0">
            <w:pPr>
              <w:spacing w:line="400" w:lineRule="exact"/>
              <w:rPr>
                <w:rFonts w:ascii="宋体" w:hAnsi="宋体"/>
              </w:rPr>
            </w:pPr>
          </w:p>
        </w:tc>
        <w:tc>
          <w:tcPr>
            <w:tcW w:w="567" w:type="dxa"/>
            <w:vMerge w:val="continue"/>
          </w:tcPr>
          <w:p w14:paraId="37AB160D">
            <w:pPr>
              <w:spacing w:line="400" w:lineRule="exact"/>
              <w:rPr>
                <w:rFonts w:ascii="宋体" w:hAnsi="宋体"/>
              </w:rPr>
            </w:pPr>
          </w:p>
        </w:tc>
        <w:tc>
          <w:tcPr>
            <w:tcW w:w="2559" w:type="dxa"/>
            <w:gridSpan w:val="3"/>
            <w:tcBorders>
              <w:top w:val="single" w:color="auto" w:sz="4" w:space="0"/>
              <w:bottom w:val="single" w:color="auto" w:sz="4" w:space="0"/>
            </w:tcBorders>
            <w:vAlign w:val="center"/>
          </w:tcPr>
          <w:p w14:paraId="5BA5FDB5">
            <w:pPr>
              <w:spacing w:line="400" w:lineRule="exact"/>
              <w:jc w:val="left"/>
              <w:rPr>
                <w:rFonts w:ascii="宋体" w:hAnsi="宋体"/>
                <w:kern w:val="0"/>
              </w:rPr>
            </w:pPr>
            <w:r>
              <w:rPr>
                <w:rFonts w:ascii="宋体" w:hAnsi="宋体"/>
                <w:kern w:val="0"/>
              </w:rPr>
              <w:t>投标文件的签署</w:t>
            </w:r>
          </w:p>
        </w:tc>
        <w:tc>
          <w:tcPr>
            <w:tcW w:w="5493" w:type="dxa"/>
            <w:vAlign w:val="center"/>
          </w:tcPr>
          <w:p w14:paraId="71B67F75">
            <w:pPr>
              <w:spacing w:line="400" w:lineRule="exact"/>
              <w:ind w:firstLine="420" w:firstLineChars="200"/>
              <w:rPr>
                <w:rFonts w:ascii="宋体" w:hAnsi="宋体"/>
                <w:kern w:val="0"/>
              </w:rPr>
            </w:pPr>
            <w:r>
              <w:rPr>
                <w:rFonts w:hint="eastAsia" w:ascii="宋体" w:hAnsi="宋体"/>
                <w:kern w:val="0"/>
              </w:rPr>
              <w:t xml:space="preserve">第八章 </w:t>
            </w:r>
            <w:r>
              <w:rPr>
                <w:rFonts w:ascii="宋体" w:hAnsi="宋体"/>
                <w:kern w:val="0"/>
              </w:rPr>
              <w:t>投标文件</w:t>
            </w:r>
            <w:r>
              <w:rPr>
                <w:rFonts w:hint="eastAsia" w:ascii="宋体" w:hAnsi="宋体"/>
                <w:kern w:val="0"/>
              </w:rPr>
              <w:t>格式要求</w:t>
            </w:r>
            <w:r>
              <w:rPr>
                <w:rFonts w:ascii="宋体" w:hAnsi="宋体"/>
                <w:kern w:val="0"/>
              </w:rPr>
              <w:t>法定代表人或其委托代理人</w:t>
            </w:r>
            <w:r>
              <w:rPr>
                <w:rFonts w:hint="eastAsia" w:ascii="宋体" w:hAnsi="宋体"/>
                <w:kern w:val="0"/>
              </w:rPr>
              <w:t>签名</w:t>
            </w:r>
            <w:r>
              <w:rPr>
                <w:rFonts w:ascii="宋体" w:hAnsi="宋体"/>
                <w:kern w:val="0"/>
              </w:rPr>
              <w:t>（或盖章）</w:t>
            </w:r>
            <w:r>
              <w:rPr>
                <w:rFonts w:hint="eastAsia" w:ascii="宋体" w:hAnsi="宋体"/>
                <w:kern w:val="0"/>
              </w:rPr>
              <w:t>的须</w:t>
            </w:r>
            <w:r>
              <w:rPr>
                <w:rFonts w:ascii="宋体" w:hAnsi="宋体"/>
                <w:kern w:val="0"/>
              </w:rPr>
              <w:t>齐全。</w:t>
            </w:r>
          </w:p>
        </w:tc>
      </w:tr>
      <w:tr w14:paraId="321F05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9D4C79D">
            <w:pPr>
              <w:spacing w:line="400" w:lineRule="exact"/>
              <w:rPr>
                <w:rFonts w:ascii="宋体" w:hAnsi="宋体"/>
              </w:rPr>
            </w:pPr>
          </w:p>
        </w:tc>
        <w:tc>
          <w:tcPr>
            <w:tcW w:w="567" w:type="dxa"/>
            <w:vMerge w:val="continue"/>
          </w:tcPr>
          <w:p w14:paraId="0E50AD3D">
            <w:pPr>
              <w:spacing w:line="400" w:lineRule="exact"/>
              <w:rPr>
                <w:rFonts w:ascii="宋体" w:hAnsi="宋体"/>
              </w:rPr>
            </w:pPr>
          </w:p>
        </w:tc>
        <w:tc>
          <w:tcPr>
            <w:tcW w:w="2559" w:type="dxa"/>
            <w:gridSpan w:val="3"/>
            <w:tcBorders>
              <w:top w:val="single" w:color="auto" w:sz="4" w:space="0"/>
              <w:bottom w:val="single" w:color="auto" w:sz="4" w:space="0"/>
            </w:tcBorders>
            <w:vAlign w:val="center"/>
          </w:tcPr>
          <w:p w14:paraId="2294FCA8">
            <w:pPr>
              <w:spacing w:line="400" w:lineRule="exact"/>
              <w:jc w:val="left"/>
              <w:rPr>
                <w:rFonts w:ascii="宋体" w:hAnsi="宋体"/>
                <w:kern w:val="0"/>
              </w:rPr>
            </w:pPr>
            <w:r>
              <w:rPr>
                <w:rFonts w:ascii="宋体" w:hAnsi="宋体"/>
                <w:kern w:val="0"/>
              </w:rPr>
              <w:t>委托代理人</w:t>
            </w:r>
          </w:p>
        </w:tc>
        <w:tc>
          <w:tcPr>
            <w:tcW w:w="5493" w:type="dxa"/>
            <w:vAlign w:val="center"/>
          </w:tcPr>
          <w:p w14:paraId="3EC5E6BF">
            <w:pPr>
              <w:spacing w:line="400" w:lineRule="exact"/>
              <w:ind w:firstLine="420" w:firstLineChars="200"/>
              <w:rPr>
                <w:rFonts w:ascii="宋体" w:hAnsi="宋体"/>
                <w:kern w:val="0"/>
              </w:rPr>
            </w:pPr>
            <w:r>
              <w:rPr>
                <w:rFonts w:ascii="宋体" w:hAnsi="宋体"/>
                <w:kern w:val="0"/>
              </w:rPr>
              <w:t>投标人法定代表人的委托代理人有法定代表人签署的授权委托书</w:t>
            </w:r>
            <w:r>
              <w:rPr>
                <w:rFonts w:hint="eastAsia" w:ascii="宋体" w:hAnsi="宋体"/>
                <w:kern w:val="0"/>
              </w:rPr>
              <w:t>和投标人为其缴纳的养老保险。</w:t>
            </w:r>
          </w:p>
        </w:tc>
      </w:tr>
      <w:tr w14:paraId="0DF5B3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481213D3">
            <w:pPr>
              <w:spacing w:line="400" w:lineRule="exact"/>
              <w:jc w:val="center"/>
              <w:rPr>
                <w:rFonts w:ascii="宋体" w:hAnsi="宋体"/>
              </w:rPr>
            </w:pPr>
            <w:r>
              <w:rPr>
                <w:rFonts w:ascii="宋体" w:hAnsi="宋体"/>
                <w:kern w:val="0"/>
              </w:rPr>
              <w:t>2.1.3</w:t>
            </w:r>
          </w:p>
        </w:tc>
        <w:tc>
          <w:tcPr>
            <w:tcW w:w="567" w:type="dxa"/>
            <w:vMerge w:val="restart"/>
            <w:vAlign w:val="center"/>
          </w:tcPr>
          <w:p w14:paraId="73F3E2F1">
            <w:pPr>
              <w:spacing w:line="400" w:lineRule="exact"/>
              <w:jc w:val="center"/>
              <w:rPr>
                <w:rFonts w:ascii="宋体" w:hAnsi="宋体"/>
              </w:rPr>
            </w:pPr>
            <w:r>
              <w:rPr>
                <w:rFonts w:ascii="宋体" w:hAnsi="宋体"/>
                <w:kern w:val="0"/>
              </w:rPr>
              <w:t>响应性评审标准</w:t>
            </w:r>
          </w:p>
        </w:tc>
        <w:tc>
          <w:tcPr>
            <w:tcW w:w="2559" w:type="dxa"/>
            <w:gridSpan w:val="3"/>
            <w:vAlign w:val="center"/>
          </w:tcPr>
          <w:p w14:paraId="6B50D053">
            <w:pPr>
              <w:spacing w:line="400" w:lineRule="exact"/>
              <w:jc w:val="left"/>
              <w:rPr>
                <w:rFonts w:ascii="宋体" w:hAnsi="宋体"/>
                <w:kern w:val="0"/>
              </w:rPr>
            </w:pPr>
            <w:r>
              <w:rPr>
                <w:rFonts w:ascii="宋体" w:hAnsi="宋体"/>
                <w:kern w:val="0"/>
              </w:rPr>
              <w:t>投标总报价</w:t>
            </w:r>
          </w:p>
        </w:tc>
        <w:tc>
          <w:tcPr>
            <w:tcW w:w="5493" w:type="dxa"/>
            <w:vAlign w:val="center"/>
          </w:tcPr>
          <w:p w14:paraId="37C6ADBA">
            <w:pPr>
              <w:spacing w:line="400" w:lineRule="exact"/>
              <w:ind w:firstLine="420" w:firstLineChars="200"/>
              <w:rPr>
                <w:rFonts w:ascii="宋体" w:hAnsi="宋体"/>
                <w:kern w:val="0"/>
              </w:rPr>
            </w:pPr>
            <w:r>
              <w:rPr>
                <w:rFonts w:hint="eastAsia" w:ascii="宋体" w:hAnsi="宋体"/>
                <w:kern w:val="0"/>
              </w:rPr>
              <w:t>1.</w:t>
            </w:r>
            <w:r>
              <w:rPr>
                <w:rFonts w:hint="eastAsia" w:ascii="宋体" w:hAnsi="宋体" w:cs="宋体"/>
                <w:szCs w:val="21"/>
              </w:rPr>
              <w:t>投标总报价必须与已标价工程量清单总报价一致。</w:t>
            </w:r>
          </w:p>
          <w:p w14:paraId="1A750E90">
            <w:pPr>
              <w:spacing w:line="400" w:lineRule="exact"/>
              <w:ind w:firstLine="420" w:firstLineChars="200"/>
              <w:rPr>
                <w:rFonts w:ascii="宋体" w:hAnsi="宋体"/>
                <w:kern w:val="0"/>
              </w:rPr>
            </w:pPr>
            <w:r>
              <w:rPr>
                <w:rFonts w:hint="eastAsia" w:ascii="宋体" w:hAnsi="宋体"/>
                <w:kern w:val="0"/>
              </w:rPr>
              <w:t>2</w:t>
            </w:r>
            <w:r>
              <w:rPr>
                <w:rFonts w:ascii="宋体" w:hAnsi="宋体"/>
                <w:kern w:val="0"/>
              </w:rPr>
              <w:t>.投标总报价不得高于招标人公布的投标总报价最高限价</w:t>
            </w:r>
            <w:r>
              <w:rPr>
                <w:rFonts w:hint="eastAsia" w:ascii="宋体" w:hAnsi="宋体"/>
                <w:kern w:val="0"/>
              </w:rPr>
              <w:t>。</w:t>
            </w:r>
          </w:p>
        </w:tc>
      </w:tr>
      <w:tr w14:paraId="52D66E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28A7E05C">
            <w:pPr>
              <w:spacing w:line="400" w:lineRule="exact"/>
              <w:jc w:val="center"/>
              <w:rPr>
                <w:rFonts w:ascii="宋体" w:hAnsi="宋体"/>
                <w:kern w:val="0"/>
              </w:rPr>
            </w:pPr>
          </w:p>
        </w:tc>
        <w:tc>
          <w:tcPr>
            <w:tcW w:w="567" w:type="dxa"/>
            <w:vMerge w:val="continue"/>
            <w:textDirection w:val="tbRlV"/>
            <w:vAlign w:val="center"/>
          </w:tcPr>
          <w:p w14:paraId="108BBBB2">
            <w:pPr>
              <w:spacing w:line="400" w:lineRule="exact"/>
              <w:jc w:val="center"/>
              <w:rPr>
                <w:rFonts w:ascii="宋体" w:hAnsi="宋体"/>
                <w:kern w:val="0"/>
              </w:rPr>
            </w:pPr>
          </w:p>
        </w:tc>
        <w:tc>
          <w:tcPr>
            <w:tcW w:w="2559" w:type="dxa"/>
            <w:gridSpan w:val="3"/>
            <w:vAlign w:val="center"/>
          </w:tcPr>
          <w:p w14:paraId="723D2352">
            <w:pPr>
              <w:spacing w:line="400" w:lineRule="exact"/>
              <w:jc w:val="left"/>
              <w:rPr>
                <w:rFonts w:ascii="宋体" w:hAnsi="宋体"/>
                <w:kern w:val="0"/>
              </w:rPr>
            </w:pPr>
            <w:r>
              <w:rPr>
                <w:rFonts w:hint="eastAsia" w:ascii="宋体" w:hAnsi="宋体"/>
                <w:kern w:val="0"/>
              </w:rPr>
              <w:t>暂定金额</w:t>
            </w:r>
          </w:p>
        </w:tc>
        <w:tc>
          <w:tcPr>
            <w:tcW w:w="5493" w:type="dxa"/>
            <w:vAlign w:val="center"/>
          </w:tcPr>
          <w:p w14:paraId="114E9474">
            <w:pPr>
              <w:spacing w:line="400" w:lineRule="exact"/>
              <w:ind w:firstLine="420" w:firstLineChars="200"/>
              <w:rPr>
                <w:rFonts w:ascii="宋体" w:hAnsi="宋体"/>
                <w:kern w:val="0"/>
              </w:rPr>
            </w:pPr>
            <w:r>
              <w:rPr>
                <w:rFonts w:hint="eastAsia" w:ascii="宋体" w:hAnsi="宋体"/>
                <w:kern w:val="0"/>
              </w:rPr>
              <w:t>暂列金额、暂估价、安全文明施工费等暂定金额必须按照招标文件给定的金额填报</w:t>
            </w:r>
          </w:p>
        </w:tc>
      </w:tr>
      <w:tr w14:paraId="3890E1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7C96C388">
            <w:pPr>
              <w:spacing w:line="400" w:lineRule="exact"/>
              <w:jc w:val="center"/>
              <w:rPr>
                <w:rFonts w:ascii="宋体" w:hAnsi="宋体"/>
                <w:kern w:val="0"/>
              </w:rPr>
            </w:pPr>
          </w:p>
        </w:tc>
        <w:tc>
          <w:tcPr>
            <w:tcW w:w="567" w:type="dxa"/>
            <w:vMerge w:val="continue"/>
            <w:textDirection w:val="tbRlV"/>
            <w:vAlign w:val="center"/>
          </w:tcPr>
          <w:p w14:paraId="4E60C254">
            <w:pPr>
              <w:spacing w:line="400" w:lineRule="exact"/>
              <w:jc w:val="center"/>
              <w:rPr>
                <w:rFonts w:ascii="宋体" w:hAnsi="宋体"/>
                <w:kern w:val="0"/>
              </w:rPr>
            </w:pPr>
          </w:p>
        </w:tc>
        <w:tc>
          <w:tcPr>
            <w:tcW w:w="2559" w:type="dxa"/>
            <w:gridSpan w:val="3"/>
            <w:vAlign w:val="center"/>
          </w:tcPr>
          <w:p w14:paraId="54134AC2">
            <w:pPr>
              <w:spacing w:line="400" w:lineRule="exact"/>
              <w:jc w:val="left"/>
              <w:rPr>
                <w:rFonts w:ascii="宋体" w:hAnsi="宋体"/>
                <w:kern w:val="0"/>
              </w:rPr>
            </w:pPr>
            <w:r>
              <w:rPr>
                <w:rFonts w:ascii="宋体" w:hAnsi="宋体"/>
                <w:kern w:val="0"/>
              </w:rPr>
              <w:t>投标内容</w:t>
            </w:r>
          </w:p>
        </w:tc>
        <w:tc>
          <w:tcPr>
            <w:tcW w:w="5493" w:type="dxa"/>
            <w:vAlign w:val="center"/>
          </w:tcPr>
          <w:p w14:paraId="399C5989">
            <w:pPr>
              <w:spacing w:line="400" w:lineRule="exact"/>
              <w:ind w:firstLine="420" w:firstLineChars="200"/>
              <w:jc w:val="left"/>
              <w:rPr>
                <w:rFonts w:ascii="宋体" w:hAnsi="宋体"/>
                <w:kern w:val="0"/>
              </w:rPr>
            </w:pPr>
            <w:r>
              <w:rPr>
                <w:rFonts w:ascii="宋体" w:hAnsi="宋体"/>
                <w:kern w:val="0"/>
              </w:rPr>
              <w:t>符合第二章“投标人须知”第1.3.1项规定</w:t>
            </w:r>
          </w:p>
        </w:tc>
      </w:tr>
      <w:tr w14:paraId="4589A6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D09C76D">
            <w:pPr>
              <w:spacing w:line="400" w:lineRule="exact"/>
              <w:jc w:val="center"/>
              <w:rPr>
                <w:rFonts w:ascii="宋体" w:hAnsi="宋体"/>
              </w:rPr>
            </w:pPr>
          </w:p>
        </w:tc>
        <w:tc>
          <w:tcPr>
            <w:tcW w:w="567" w:type="dxa"/>
            <w:vMerge w:val="continue"/>
          </w:tcPr>
          <w:p w14:paraId="190D2F58">
            <w:pPr>
              <w:spacing w:line="400" w:lineRule="exact"/>
              <w:jc w:val="center"/>
              <w:rPr>
                <w:rFonts w:ascii="宋体" w:hAnsi="宋体"/>
              </w:rPr>
            </w:pPr>
          </w:p>
        </w:tc>
        <w:tc>
          <w:tcPr>
            <w:tcW w:w="2559" w:type="dxa"/>
            <w:gridSpan w:val="3"/>
            <w:vAlign w:val="center"/>
          </w:tcPr>
          <w:p w14:paraId="153E7FA6">
            <w:pPr>
              <w:spacing w:line="400" w:lineRule="exact"/>
              <w:jc w:val="left"/>
              <w:rPr>
                <w:rFonts w:ascii="宋体" w:hAnsi="宋体"/>
                <w:kern w:val="0"/>
              </w:rPr>
            </w:pPr>
            <w:r>
              <w:rPr>
                <w:rFonts w:ascii="宋体" w:hAnsi="宋体"/>
                <w:kern w:val="0"/>
              </w:rPr>
              <w:t>工期</w:t>
            </w:r>
          </w:p>
        </w:tc>
        <w:tc>
          <w:tcPr>
            <w:tcW w:w="5493" w:type="dxa"/>
            <w:vAlign w:val="center"/>
          </w:tcPr>
          <w:p w14:paraId="00D93A5A">
            <w:pPr>
              <w:spacing w:line="400" w:lineRule="exact"/>
              <w:ind w:firstLine="420" w:firstLineChars="200"/>
              <w:jc w:val="left"/>
              <w:rPr>
                <w:rFonts w:ascii="宋体" w:hAnsi="宋体"/>
                <w:kern w:val="0"/>
              </w:rPr>
            </w:pPr>
            <w:r>
              <w:rPr>
                <w:rFonts w:ascii="宋体" w:hAnsi="宋体"/>
                <w:kern w:val="0"/>
              </w:rPr>
              <w:t>符合第二章“投标人须知”第1.3.2项规定</w:t>
            </w:r>
          </w:p>
        </w:tc>
      </w:tr>
      <w:tr w14:paraId="3C45AC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7CF8017">
            <w:pPr>
              <w:spacing w:line="400" w:lineRule="exact"/>
              <w:jc w:val="center"/>
              <w:rPr>
                <w:rFonts w:ascii="宋体" w:hAnsi="宋体"/>
              </w:rPr>
            </w:pPr>
          </w:p>
        </w:tc>
        <w:tc>
          <w:tcPr>
            <w:tcW w:w="567" w:type="dxa"/>
            <w:vMerge w:val="continue"/>
          </w:tcPr>
          <w:p w14:paraId="319F4A56">
            <w:pPr>
              <w:spacing w:line="400" w:lineRule="exact"/>
              <w:jc w:val="center"/>
              <w:rPr>
                <w:rFonts w:ascii="宋体" w:hAnsi="宋体"/>
              </w:rPr>
            </w:pPr>
          </w:p>
        </w:tc>
        <w:tc>
          <w:tcPr>
            <w:tcW w:w="2559" w:type="dxa"/>
            <w:gridSpan w:val="3"/>
            <w:vAlign w:val="center"/>
          </w:tcPr>
          <w:p w14:paraId="4FA82A14">
            <w:pPr>
              <w:spacing w:line="400" w:lineRule="exact"/>
              <w:jc w:val="left"/>
              <w:rPr>
                <w:rFonts w:ascii="宋体" w:hAnsi="宋体"/>
                <w:kern w:val="0"/>
              </w:rPr>
            </w:pPr>
            <w:r>
              <w:rPr>
                <w:rFonts w:ascii="宋体" w:hAnsi="宋体"/>
                <w:kern w:val="0"/>
              </w:rPr>
              <w:t>工程质量</w:t>
            </w:r>
          </w:p>
        </w:tc>
        <w:tc>
          <w:tcPr>
            <w:tcW w:w="5493" w:type="dxa"/>
            <w:vAlign w:val="center"/>
          </w:tcPr>
          <w:p w14:paraId="52A909E1">
            <w:pPr>
              <w:spacing w:line="400" w:lineRule="exact"/>
              <w:ind w:firstLine="420" w:firstLineChars="200"/>
              <w:jc w:val="left"/>
              <w:rPr>
                <w:rFonts w:ascii="宋体" w:hAnsi="宋体"/>
                <w:kern w:val="0"/>
              </w:rPr>
            </w:pPr>
            <w:r>
              <w:rPr>
                <w:rFonts w:ascii="宋体" w:hAnsi="宋体"/>
                <w:kern w:val="0"/>
              </w:rPr>
              <w:t>符合第二章“投标人须知”第1.3.3项规定</w:t>
            </w:r>
          </w:p>
        </w:tc>
      </w:tr>
      <w:tr w14:paraId="0778A6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85695D1">
            <w:pPr>
              <w:spacing w:line="400" w:lineRule="exact"/>
              <w:jc w:val="center"/>
              <w:rPr>
                <w:rFonts w:ascii="宋体" w:hAnsi="宋体"/>
              </w:rPr>
            </w:pPr>
          </w:p>
        </w:tc>
        <w:tc>
          <w:tcPr>
            <w:tcW w:w="567" w:type="dxa"/>
            <w:vMerge w:val="continue"/>
          </w:tcPr>
          <w:p w14:paraId="012477E5">
            <w:pPr>
              <w:spacing w:line="400" w:lineRule="exact"/>
              <w:jc w:val="center"/>
              <w:rPr>
                <w:rFonts w:ascii="宋体" w:hAnsi="宋体"/>
              </w:rPr>
            </w:pPr>
          </w:p>
        </w:tc>
        <w:tc>
          <w:tcPr>
            <w:tcW w:w="2559" w:type="dxa"/>
            <w:gridSpan w:val="3"/>
            <w:vAlign w:val="center"/>
          </w:tcPr>
          <w:p w14:paraId="588EEEAC">
            <w:pPr>
              <w:spacing w:line="400" w:lineRule="exact"/>
              <w:jc w:val="left"/>
              <w:rPr>
                <w:rFonts w:ascii="宋体" w:hAnsi="宋体"/>
                <w:kern w:val="0"/>
              </w:rPr>
            </w:pPr>
            <w:r>
              <w:rPr>
                <w:rFonts w:ascii="宋体" w:hAnsi="宋体"/>
                <w:kern w:val="0"/>
              </w:rPr>
              <w:t>投标有效期</w:t>
            </w:r>
          </w:p>
        </w:tc>
        <w:tc>
          <w:tcPr>
            <w:tcW w:w="5493" w:type="dxa"/>
            <w:vAlign w:val="center"/>
          </w:tcPr>
          <w:p w14:paraId="00801AAC">
            <w:pPr>
              <w:spacing w:line="400" w:lineRule="exact"/>
              <w:ind w:firstLine="420" w:firstLineChars="200"/>
              <w:jc w:val="left"/>
              <w:rPr>
                <w:rFonts w:ascii="宋体" w:hAnsi="宋体"/>
                <w:kern w:val="0"/>
              </w:rPr>
            </w:pPr>
            <w:r>
              <w:rPr>
                <w:rFonts w:ascii="宋体" w:hAnsi="宋体"/>
                <w:kern w:val="0"/>
              </w:rPr>
              <w:t>符合第二章“投标人须知”第3.3.1项规定</w:t>
            </w:r>
          </w:p>
        </w:tc>
      </w:tr>
      <w:tr w14:paraId="17C765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5B9505E7">
            <w:pPr>
              <w:spacing w:line="400" w:lineRule="exact"/>
              <w:jc w:val="center"/>
              <w:rPr>
                <w:rFonts w:ascii="宋体" w:hAnsi="宋体"/>
              </w:rPr>
            </w:pPr>
          </w:p>
        </w:tc>
        <w:tc>
          <w:tcPr>
            <w:tcW w:w="567" w:type="dxa"/>
            <w:vMerge w:val="continue"/>
          </w:tcPr>
          <w:p w14:paraId="03C8F5FE">
            <w:pPr>
              <w:spacing w:line="400" w:lineRule="exact"/>
              <w:jc w:val="center"/>
              <w:rPr>
                <w:rFonts w:ascii="宋体" w:hAnsi="宋体"/>
              </w:rPr>
            </w:pPr>
          </w:p>
        </w:tc>
        <w:tc>
          <w:tcPr>
            <w:tcW w:w="2559" w:type="dxa"/>
            <w:gridSpan w:val="3"/>
            <w:vAlign w:val="center"/>
          </w:tcPr>
          <w:p w14:paraId="610D66A3">
            <w:pPr>
              <w:spacing w:line="400" w:lineRule="exact"/>
              <w:jc w:val="left"/>
              <w:rPr>
                <w:rFonts w:ascii="宋体" w:hAnsi="宋体"/>
                <w:kern w:val="0"/>
              </w:rPr>
            </w:pPr>
            <w:r>
              <w:rPr>
                <w:rFonts w:ascii="宋体" w:hAnsi="宋体"/>
                <w:kern w:val="0"/>
              </w:rPr>
              <w:t>投标保证金</w:t>
            </w:r>
          </w:p>
        </w:tc>
        <w:tc>
          <w:tcPr>
            <w:tcW w:w="5493" w:type="dxa"/>
            <w:vAlign w:val="center"/>
          </w:tcPr>
          <w:p w14:paraId="71D58978">
            <w:pPr>
              <w:tabs>
                <w:tab w:val="left" w:pos="601"/>
                <w:tab w:val="left" w:pos="669"/>
              </w:tabs>
              <w:snapToGrid w:val="0"/>
              <w:spacing w:line="400" w:lineRule="exact"/>
              <w:ind w:firstLine="420" w:firstLineChars="200"/>
              <w:rPr>
                <w:rFonts w:ascii="宋体" w:hAnsi="宋体"/>
                <w:kern w:val="0"/>
              </w:rPr>
            </w:pPr>
            <w:r>
              <w:rPr>
                <w:rFonts w:ascii="宋体" w:hAnsi="宋体"/>
                <w:kern w:val="0"/>
                <w:szCs w:val="21"/>
              </w:rPr>
              <w:t>符合第二章投标人须知前附表第3.4</w:t>
            </w:r>
            <w:r>
              <w:rPr>
                <w:rFonts w:hint="eastAsia" w:ascii="宋体" w:hAnsi="宋体"/>
                <w:kern w:val="0"/>
                <w:szCs w:val="21"/>
              </w:rPr>
              <w:t>款</w:t>
            </w:r>
            <w:r>
              <w:rPr>
                <w:rFonts w:ascii="宋体" w:hAnsi="宋体"/>
                <w:kern w:val="0"/>
              </w:rPr>
              <w:t>规定</w:t>
            </w:r>
          </w:p>
        </w:tc>
      </w:tr>
      <w:tr w14:paraId="5FDA94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54514C1B">
            <w:pPr>
              <w:spacing w:line="400" w:lineRule="exact"/>
              <w:jc w:val="center"/>
              <w:rPr>
                <w:rFonts w:ascii="宋体" w:hAnsi="宋体"/>
              </w:rPr>
            </w:pPr>
          </w:p>
        </w:tc>
        <w:tc>
          <w:tcPr>
            <w:tcW w:w="567" w:type="dxa"/>
            <w:vMerge w:val="continue"/>
          </w:tcPr>
          <w:p w14:paraId="7B1DEE55">
            <w:pPr>
              <w:spacing w:line="400" w:lineRule="exact"/>
              <w:jc w:val="center"/>
              <w:rPr>
                <w:rFonts w:ascii="宋体" w:hAnsi="宋体"/>
              </w:rPr>
            </w:pPr>
          </w:p>
        </w:tc>
        <w:tc>
          <w:tcPr>
            <w:tcW w:w="2559" w:type="dxa"/>
            <w:gridSpan w:val="3"/>
            <w:vAlign w:val="center"/>
          </w:tcPr>
          <w:p w14:paraId="00C5C6B2">
            <w:pPr>
              <w:spacing w:line="400" w:lineRule="exact"/>
              <w:jc w:val="left"/>
              <w:rPr>
                <w:rFonts w:ascii="宋体" w:hAnsi="宋体"/>
                <w:kern w:val="0"/>
              </w:rPr>
            </w:pPr>
            <w:r>
              <w:rPr>
                <w:rFonts w:ascii="宋体" w:hAnsi="宋体"/>
                <w:kern w:val="0"/>
              </w:rPr>
              <w:t>权利义务</w:t>
            </w:r>
          </w:p>
        </w:tc>
        <w:tc>
          <w:tcPr>
            <w:tcW w:w="5493" w:type="dxa"/>
            <w:vAlign w:val="center"/>
          </w:tcPr>
          <w:p w14:paraId="5ABFF4E5">
            <w:pPr>
              <w:spacing w:after="62" w:afterLines="20" w:line="400" w:lineRule="exact"/>
              <w:ind w:firstLine="420" w:firstLineChars="200"/>
              <w:rPr>
                <w:rFonts w:ascii="宋体" w:hAnsi="宋体"/>
                <w:kern w:val="0"/>
              </w:rPr>
            </w:pPr>
            <w:r>
              <w:rPr>
                <w:rFonts w:ascii="宋体" w:hAnsi="宋体"/>
                <w:kern w:val="0"/>
              </w:rPr>
              <w:t>符合第四章“合同条款及格式”规定，投标文件不应附有招标人不能接受的条件。</w:t>
            </w:r>
            <w:r>
              <w:rPr>
                <w:rFonts w:hint="eastAsia" w:ascii="宋体" w:hAnsi="宋体" w:cs="宋体"/>
                <w:kern w:val="0"/>
              </w:rPr>
              <w:t>（由投标人承诺，承诺书格式详见第八章投标文件格式。）</w:t>
            </w:r>
          </w:p>
        </w:tc>
      </w:tr>
      <w:tr w14:paraId="6A6CBB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0410FB2">
            <w:pPr>
              <w:spacing w:line="400" w:lineRule="exact"/>
              <w:jc w:val="center"/>
              <w:rPr>
                <w:rFonts w:ascii="宋体" w:hAnsi="宋体"/>
              </w:rPr>
            </w:pPr>
          </w:p>
        </w:tc>
        <w:tc>
          <w:tcPr>
            <w:tcW w:w="567" w:type="dxa"/>
            <w:vMerge w:val="continue"/>
          </w:tcPr>
          <w:p w14:paraId="600139FE">
            <w:pPr>
              <w:spacing w:line="400" w:lineRule="exact"/>
              <w:jc w:val="center"/>
              <w:rPr>
                <w:rFonts w:ascii="宋体" w:hAnsi="宋体"/>
              </w:rPr>
            </w:pPr>
          </w:p>
        </w:tc>
        <w:tc>
          <w:tcPr>
            <w:tcW w:w="2559" w:type="dxa"/>
            <w:gridSpan w:val="3"/>
            <w:vAlign w:val="center"/>
          </w:tcPr>
          <w:p w14:paraId="5AE94A98">
            <w:pPr>
              <w:spacing w:line="400" w:lineRule="exact"/>
              <w:jc w:val="left"/>
              <w:rPr>
                <w:rFonts w:ascii="宋体" w:hAnsi="宋体"/>
                <w:kern w:val="0"/>
              </w:rPr>
            </w:pPr>
            <w:r>
              <w:rPr>
                <w:rFonts w:ascii="宋体" w:hAnsi="宋体"/>
                <w:kern w:val="0"/>
              </w:rPr>
              <w:t>技术标准和要求</w:t>
            </w:r>
          </w:p>
        </w:tc>
        <w:tc>
          <w:tcPr>
            <w:tcW w:w="5493" w:type="dxa"/>
            <w:vAlign w:val="center"/>
          </w:tcPr>
          <w:p w14:paraId="56E42150">
            <w:pPr>
              <w:spacing w:line="400" w:lineRule="exact"/>
              <w:ind w:firstLine="420" w:firstLineChars="200"/>
              <w:rPr>
                <w:rFonts w:ascii="宋体" w:hAnsi="宋体"/>
                <w:kern w:val="0"/>
              </w:rPr>
            </w:pPr>
            <w:r>
              <w:rPr>
                <w:rFonts w:ascii="宋体" w:hAnsi="宋体"/>
                <w:kern w:val="0"/>
              </w:rPr>
              <w:t>符合第七章“技术标准和要求”规定</w:t>
            </w:r>
            <w:r>
              <w:rPr>
                <w:rFonts w:hint="eastAsia" w:ascii="宋体" w:hAnsi="宋体"/>
                <w:kern w:val="0"/>
              </w:rPr>
              <w:t>。</w:t>
            </w:r>
            <w:r>
              <w:rPr>
                <w:rFonts w:hint="eastAsia" w:ascii="宋体" w:hAnsi="宋体" w:cs="宋体"/>
                <w:kern w:val="0"/>
              </w:rPr>
              <w:t>（由投标人承诺，承诺书格式详见第八章投标文件格式。）</w:t>
            </w:r>
          </w:p>
        </w:tc>
      </w:tr>
      <w:tr w14:paraId="26F1CD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11AE34CF">
            <w:pPr>
              <w:spacing w:line="400" w:lineRule="exact"/>
              <w:jc w:val="center"/>
              <w:rPr>
                <w:rFonts w:ascii="宋体" w:hAnsi="宋体"/>
              </w:rPr>
            </w:pPr>
          </w:p>
        </w:tc>
        <w:tc>
          <w:tcPr>
            <w:tcW w:w="567" w:type="dxa"/>
            <w:vMerge w:val="continue"/>
            <w:vAlign w:val="center"/>
          </w:tcPr>
          <w:p w14:paraId="07CDFE86">
            <w:pPr>
              <w:spacing w:line="400" w:lineRule="exact"/>
              <w:jc w:val="center"/>
              <w:rPr>
                <w:rFonts w:ascii="宋体" w:hAnsi="宋体"/>
              </w:rPr>
            </w:pPr>
          </w:p>
        </w:tc>
        <w:tc>
          <w:tcPr>
            <w:tcW w:w="2559" w:type="dxa"/>
            <w:gridSpan w:val="3"/>
            <w:vAlign w:val="center"/>
          </w:tcPr>
          <w:p w14:paraId="03046B81">
            <w:pPr>
              <w:spacing w:line="400" w:lineRule="exact"/>
              <w:jc w:val="left"/>
              <w:rPr>
                <w:rFonts w:ascii="宋体" w:hAnsi="宋体"/>
                <w:kern w:val="0"/>
              </w:rPr>
            </w:pPr>
            <w:r>
              <w:rPr>
                <w:rFonts w:ascii="宋体" w:hAnsi="宋体"/>
                <w:kern w:val="0"/>
              </w:rPr>
              <w:t>已标价工程量清单</w:t>
            </w:r>
          </w:p>
        </w:tc>
        <w:tc>
          <w:tcPr>
            <w:tcW w:w="5493" w:type="dxa"/>
            <w:vAlign w:val="center"/>
          </w:tcPr>
          <w:p w14:paraId="3391F7BA">
            <w:pPr>
              <w:spacing w:after="62" w:afterLines="20" w:line="400" w:lineRule="exact"/>
              <w:ind w:firstLine="420" w:firstLineChars="200"/>
              <w:rPr>
                <w:rFonts w:ascii="宋体" w:hAnsi="宋体"/>
                <w:kern w:val="0"/>
              </w:rPr>
            </w:pPr>
            <w:r>
              <w:rPr>
                <w:rFonts w:hint="eastAsia" w:ascii="宋体" w:hAnsi="宋体"/>
                <w:kern w:val="0"/>
              </w:rPr>
              <w:t>投标人承诺满足以下内容：</w:t>
            </w:r>
          </w:p>
          <w:p w14:paraId="6ECE9E85">
            <w:pPr>
              <w:spacing w:after="62" w:afterLines="20" w:line="400" w:lineRule="exact"/>
              <w:ind w:firstLine="420" w:firstLineChars="200"/>
              <w:rPr>
                <w:rFonts w:ascii="宋体" w:hAnsi="宋体"/>
                <w:kern w:val="0"/>
              </w:rPr>
            </w:pPr>
            <w:r>
              <w:rPr>
                <w:rFonts w:hint="eastAsia" w:ascii="宋体" w:hAnsi="宋体"/>
                <w:kern w:val="0"/>
              </w:rPr>
              <w:t>1</w:t>
            </w:r>
            <w:r>
              <w:rPr>
                <w:rFonts w:ascii="宋体" w:hAnsi="宋体"/>
                <w:kern w:val="0"/>
              </w:rPr>
              <w:t>.符合第五章“工程量清单”给出的范围及数量。</w:t>
            </w:r>
          </w:p>
          <w:p w14:paraId="2385EC24">
            <w:pPr>
              <w:spacing w:after="62" w:afterLines="20" w:line="400" w:lineRule="exact"/>
              <w:ind w:firstLine="420" w:firstLineChars="200"/>
              <w:rPr>
                <w:rFonts w:ascii="宋体" w:hAnsi="宋体"/>
                <w:kern w:val="0"/>
              </w:rPr>
            </w:pPr>
            <w:r>
              <w:rPr>
                <w:rFonts w:ascii="宋体" w:hAnsi="宋体"/>
                <w:kern w:val="0"/>
              </w:rPr>
              <w:t>2.</w:t>
            </w:r>
            <w:r>
              <w:rPr>
                <w:rFonts w:hint="eastAsia" w:ascii="宋体" w:hAnsi="宋体"/>
                <w:kern w:val="0"/>
              </w:rPr>
              <w:t>招标文件中规定工程量清单不允许修改的内容不得修改。</w:t>
            </w:r>
          </w:p>
          <w:p w14:paraId="39B25895">
            <w:pPr>
              <w:spacing w:after="62" w:afterLines="20" w:line="400" w:lineRule="exact"/>
              <w:ind w:firstLine="420" w:firstLineChars="200"/>
              <w:rPr>
                <w:rFonts w:ascii="宋体" w:hAnsi="宋体"/>
                <w:kern w:val="0"/>
              </w:rPr>
            </w:pPr>
            <w:r>
              <w:rPr>
                <w:rFonts w:hint="eastAsia" w:ascii="宋体" w:hAnsi="宋体"/>
                <w:kern w:val="0"/>
              </w:rPr>
              <w:t>3.每项工程量清单综合单价报价不得高于对应工程量清单综合单价最高限价。</w:t>
            </w:r>
          </w:p>
        </w:tc>
      </w:tr>
      <w:tr w14:paraId="69B156C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DF82B61">
            <w:pPr>
              <w:spacing w:line="400" w:lineRule="exact"/>
              <w:rPr>
                <w:rFonts w:ascii="宋体" w:hAnsi="宋体"/>
              </w:rPr>
            </w:pPr>
          </w:p>
        </w:tc>
        <w:tc>
          <w:tcPr>
            <w:tcW w:w="567" w:type="dxa"/>
            <w:vMerge w:val="continue"/>
          </w:tcPr>
          <w:p w14:paraId="753EAAD9">
            <w:pPr>
              <w:spacing w:line="400" w:lineRule="exact"/>
              <w:rPr>
                <w:rFonts w:ascii="宋体" w:hAnsi="宋体"/>
              </w:rPr>
            </w:pPr>
          </w:p>
        </w:tc>
        <w:tc>
          <w:tcPr>
            <w:tcW w:w="2559" w:type="dxa"/>
            <w:gridSpan w:val="3"/>
            <w:vAlign w:val="center"/>
          </w:tcPr>
          <w:p w14:paraId="3FBB2F7C">
            <w:pPr>
              <w:spacing w:line="400" w:lineRule="exact"/>
              <w:jc w:val="left"/>
              <w:rPr>
                <w:rFonts w:ascii="宋体" w:hAnsi="宋体"/>
                <w:kern w:val="0"/>
              </w:rPr>
            </w:pPr>
            <w:r>
              <w:rPr>
                <w:rFonts w:ascii="宋体" w:hAnsi="宋体"/>
                <w:kern w:val="0"/>
              </w:rPr>
              <w:t>投标报价算术错误修正</w:t>
            </w:r>
          </w:p>
        </w:tc>
        <w:tc>
          <w:tcPr>
            <w:tcW w:w="5493" w:type="dxa"/>
            <w:vAlign w:val="center"/>
          </w:tcPr>
          <w:p w14:paraId="78BF3935">
            <w:pPr>
              <w:spacing w:line="400" w:lineRule="exact"/>
              <w:ind w:firstLine="420" w:firstLineChars="200"/>
              <w:rPr>
                <w:rFonts w:ascii="宋体" w:hAnsi="宋体"/>
                <w:kern w:val="0"/>
              </w:rPr>
            </w:pPr>
            <w:r>
              <w:rPr>
                <w:rFonts w:ascii="宋体" w:hAnsi="宋体"/>
                <w:kern w:val="0"/>
              </w:rPr>
              <w:t>符合第三章3.评标程序第3.1.3项规定。</w:t>
            </w:r>
          </w:p>
        </w:tc>
      </w:tr>
      <w:tr w14:paraId="571E85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BA78B65">
            <w:pPr>
              <w:spacing w:line="400" w:lineRule="exact"/>
              <w:rPr>
                <w:rFonts w:ascii="宋体" w:hAnsi="宋体"/>
              </w:rPr>
            </w:pPr>
          </w:p>
        </w:tc>
        <w:tc>
          <w:tcPr>
            <w:tcW w:w="567" w:type="dxa"/>
            <w:vMerge w:val="continue"/>
          </w:tcPr>
          <w:p w14:paraId="24BD816B">
            <w:pPr>
              <w:spacing w:line="400" w:lineRule="exact"/>
              <w:rPr>
                <w:rFonts w:ascii="宋体" w:hAnsi="宋体"/>
              </w:rPr>
            </w:pPr>
          </w:p>
        </w:tc>
        <w:tc>
          <w:tcPr>
            <w:tcW w:w="2559" w:type="dxa"/>
            <w:gridSpan w:val="3"/>
            <w:vAlign w:val="center"/>
          </w:tcPr>
          <w:p w14:paraId="7FD7BC50">
            <w:pPr>
              <w:spacing w:line="400" w:lineRule="exact"/>
              <w:jc w:val="left"/>
              <w:rPr>
                <w:rFonts w:ascii="宋体" w:hAnsi="宋体"/>
                <w:kern w:val="0"/>
              </w:rPr>
            </w:pPr>
            <w:r>
              <w:rPr>
                <w:rFonts w:ascii="宋体" w:hAnsi="宋体"/>
                <w:kern w:val="0"/>
              </w:rPr>
              <w:t>实质性要求</w:t>
            </w:r>
          </w:p>
        </w:tc>
        <w:tc>
          <w:tcPr>
            <w:tcW w:w="5493" w:type="dxa"/>
            <w:vAlign w:val="center"/>
          </w:tcPr>
          <w:p w14:paraId="4D7B8B1C">
            <w:pPr>
              <w:spacing w:after="62" w:afterLines="20" w:line="400" w:lineRule="exact"/>
              <w:ind w:firstLine="420" w:firstLineChars="200"/>
              <w:rPr>
                <w:rFonts w:ascii="宋体" w:hAnsi="宋体"/>
                <w:kern w:val="0"/>
              </w:rPr>
            </w:pPr>
            <w:r>
              <w:rPr>
                <w:rFonts w:hint="eastAsia" w:ascii="宋体" w:hAnsi="宋体"/>
                <w:kern w:val="0"/>
              </w:rPr>
              <w:t>符合第二章“投标人须知”第1.4.3项规定。</w:t>
            </w:r>
          </w:p>
          <w:p w14:paraId="1EBD9F81">
            <w:pPr>
              <w:spacing w:after="62" w:afterLines="20" w:line="400" w:lineRule="exact"/>
              <w:ind w:firstLine="420" w:firstLineChars="200"/>
              <w:rPr>
                <w:rFonts w:ascii="宋体" w:hAnsi="宋体"/>
                <w:kern w:val="0"/>
              </w:rPr>
            </w:pPr>
            <w:r>
              <w:rPr>
                <w:rFonts w:hint="eastAsia" w:ascii="宋体" w:hAnsi="宋体"/>
                <w:kern w:val="0"/>
              </w:rPr>
              <w:t>本次投标不得有串通投标</w:t>
            </w:r>
            <w:r>
              <w:rPr>
                <w:rFonts w:ascii="宋体" w:hAnsi="宋体"/>
                <w:kern w:val="0"/>
              </w:rPr>
              <w:t>、弄虚作假等其他违反招投标相关法律、法规行为。</w:t>
            </w:r>
          </w:p>
          <w:p w14:paraId="71D5F8CC">
            <w:pPr>
              <w:spacing w:after="62" w:afterLines="20" w:line="400" w:lineRule="exact"/>
              <w:ind w:firstLine="420" w:firstLineChars="200"/>
              <w:rPr>
                <w:rFonts w:ascii="宋体" w:hAnsi="宋体"/>
                <w:kern w:val="0"/>
              </w:rPr>
            </w:pPr>
            <w:r>
              <w:rPr>
                <w:rFonts w:hint="eastAsia" w:ascii="宋体" w:hAnsi="宋体" w:cs="宋体"/>
                <w:kern w:val="0"/>
              </w:rPr>
              <w:t>按评标委员会要求澄清、说明或补正。</w:t>
            </w:r>
          </w:p>
        </w:tc>
      </w:tr>
      <w:tr w14:paraId="7E3F70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13CBEBD3">
            <w:pPr>
              <w:spacing w:line="400" w:lineRule="exact"/>
              <w:ind w:firstLine="210" w:firstLineChars="100"/>
              <w:jc w:val="center"/>
              <w:rPr>
                <w:rFonts w:ascii="宋体" w:hAnsi="宋体"/>
                <w:kern w:val="0"/>
              </w:rPr>
            </w:pPr>
            <w:r>
              <w:rPr>
                <w:rFonts w:ascii="宋体" w:hAnsi="宋体"/>
                <w:kern w:val="0"/>
              </w:rPr>
              <w:t>2.2.1</w:t>
            </w:r>
          </w:p>
        </w:tc>
        <w:tc>
          <w:tcPr>
            <w:tcW w:w="2559" w:type="dxa"/>
            <w:gridSpan w:val="3"/>
            <w:vAlign w:val="center"/>
          </w:tcPr>
          <w:p w14:paraId="1B8CEF3E">
            <w:pPr>
              <w:tabs>
                <w:tab w:val="left" w:pos="1875"/>
              </w:tabs>
              <w:spacing w:line="400" w:lineRule="exact"/>
              <w:jc w:val="center"/>
              <w:rPr>
                <w:rFonts w:ascii="宋体" w:hAnsi="宋体"/>
                <w:kern w:val="0"/>
              </w:rPr>
            </w:pPr>
            <w:r>
              <w:rPr>
                <w:rFonts w:ascii="宋体" w:hAnsi="宋体"/>
                <w:kern w:val="0"/>
              </w:rPr>
              <w:t>分值构成 （总分1</w:t>
            </w:r>
            <w:r>
              <w:rPr>
                <w:rFonts w:hint="eastAsia" w:ascii="宋体" w:hAnsi="宋体"/>
                <w:kern w:val="0"/>
              </w:rPr>
              <w:t>00</w:t>
            </w:r>
            <w:r>
              <w:rPr>
                <w:rFonts w:ascii="宋体" w:hAnsi="宋体"/>
                <w:kern w:val="0"/>
              </w:rPr>
              <w:t>分）</w:t>
            </w:r>
          </w:p>
        </w:tc>
        <w:tc>
          <w:tcPr>
            <w:tcW w:w="5493" w:type="dxa"/>
            <w:vAlign w:val="center"/>
          </w:tcPr>
          <w:p w14:paraId="149E6D19">
            <w:pPr>
              <w:snapToGrid w:val="0"/>
              <w:spacing w:line="400" w:lineRule="exact"/>
              <w:ind w:firstLine="420" w:firstLineChars="200"/>
              <w:rPr>
                <w:rFonts w:ascii="宋体" w:hAnsi="宋体"/>
                <w:kern w:val="0"/>
              </w:rPr>
            </w:pPr>
            <w:r>
              <w:rPr>
                <w:rFonts w:hint="eastAsia" w:ascii="宋体" w:hAnsi="宋体"/>
                <w:kern w:val="0"/>
              </w:rPr>
              <w:t>1</w:t>
            </w:r>
            <w:r>
              <w:rPr>
                <w:rFonts w:ascii="宋体" w:hAnsi="宋体"/>
                <w:kern w:val="0"/>
              </w:rPr>
              <w:t>.</w:t>
            </w:r>
            <w:r>
              <w:rPr>
                <w:rFonts w:hint="eastAsia" w:ascii="宋体" w:hAnsi="宋体"/>
                <w:kern w:val="0"/>
              </w:rPr>
              <w:t xml:space="preserve">技术部分 </w:t>
            </w:r>
            <w:r>
              <w:rPr>
                <w:rFonts w:hint="eastAsia" w:ascii="宋体" w:hAnsi="宋体"/>
                <w:kern w:val="0"/>
                <w:u w:val="single"/>
                <w:lang w:val="en-US" w:eastAsia="zh-CN"/>
              </w:rPr>
              <w:t>50</w:t>
            </w:r>
            <w:r>
              <w:rPr>
                <w:rFonts w:ascii="宋体" w:hAnsi="宋体"/>
                <w:kern w:val="0"/>
              </w:rPr>
              <w:t>分</w:t>
            </w:r>
          </w:p>
          <w:p w14:paraId="5D2748F6">
            <w:pPr>
              <w:snapToGrid w:val="0"/>
              <w:spacing w:line="400" w:lineRule="exact"/>
              <w:ind w:firstLine="420" w:firstLineChars="200"/>
              <w:rPr>
                <w:rFonts w:ascii="宋体" w:hAnsi="宋体"/>
                <w:i/>
                <w:kern w:val="0"/>
              </w:rPr>
            </w:pPr>
            <w:r>
              <w:rPr>
                <w:rFonts w:hint="eastAsia" w:ascii="宋体" w:hAnsi="宋体"/>
                <w:kern w:val="0"/>
              </w:rPr>
              <w:t>2.投标总报价</w:t>
            </w:r>
            <w:r>
              <w:rPr>
                <w:rFonts w:hint="eastAsia" w:ascii="宋体" w:hAnsi="宋体"/>
                <w:kern w:val="0"/>
                <w:u w:val="single"/>
                <w:lang w:val="en-US" w:eastAsia="zh-CN"/>
              </w:rPr>
              <w:t>50</w:t>
            </w:r>
            <w:r>
              <w:rPr>
                <w:rFonts w:hint="eastAsia" w:ascii="宋体" w:hAnsi="宋体"/>
                <w:kern w:val="0"/>
              </w:rPr>
              <w:t>分</w:t>
            </w:r>
          </w:p>
        </w:tc>
      </w:tr>
      <w:tr w14:paraId="440047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restart"/>
            <w:tcBorders>
              <w:right w:val="single" w:color="auto" w:sz="4" w:space="0"/>
            </w:tcBorders>
            <w:vAlign w:val="center"/>
          </w:tcPr>
          <w:p w14:paraId="2D1BDCF9">
            <w:pPr>
              <w:spacing w:line="400" w:lineRule="exact"/>
              <w:jc w:val="center"/>
              <w:rPr>
                <w:rFonts w:ascii="宋体" w:hAnsi="宋体"/>
                <w:kern w:val="0"/>
              </w:rPr>
            </w:pPr>
            <w:r>
              <w:rPr>
                <w:rFonts w:hint="eastAsia" w:ascii="宋体" w:hAnsi="宋体"/>
                <w:kern w:val="0"/>
              </w:rPr>
              <w:t>2.2.2</w:t>
            </w:r>
          </w:p>
        </w:tc>
        <w:tc>
          <w:tcPr>
            <w:tcW w:w="585" w:type="dxa"/>
            <w:gridSpan w:val="2"/>
            <w:vMerge w:val="restart"/>
            <w:tcBorders>
              <w:left w:val="single" w:color="auto" w:sz="4" w:space="0"/>
            </w:tcBorders>
            <w:vAlign w:val="center"/>
          </w:tcPr>
          <w:p w14:paraId="00DDE313">
            <w:pPr>
              <w:spacing w:line="400" w:lineRule="exact"/>
              <w:jc w:val="center"/>
              <w:rPr>
                <w:rFonts w:ascii="宋体" w:hAnsi="宋体"/>
                <w:kern w:val="0"/>
              </w:rPr>
            </w:pPr>
            <w:r>
              <w:rPr>
                <w:rFonts w:hint="eastAsia" w:ascii="宋体" w:hAnsi="宋体"/>
                <w:kern w:val="0"/>
              </w:rPr>
              <w:t>技术部分评分标准</w:t>
            </w:r>
          </w:p>
        </w:tc>
        <w:tc>
          <w:tcPr>
            <w:tcW w:w="568" w:type="dxa"/>
            <w:vMerge w:val="restart"/>
            <w:tcBorders>
              <w:right w:val="single" w:color="auto" w:sz="4" w:space="0"/>
            </w:tcBorders>
            <w:vAlign w:val="center"/>
          </w:tcPr>
          <w:p w14:paraId="5E1630E8">
            <w:pPr>
              <w:tabs>
                <w:tab w:val="left" w:pos="1875"/>
              </w:tabs>
              <w:spacing w:line="400" w:lineRule="exact"/>
              <w:jc w:val="center"/>
              <w:rPr>
                <w:rFonts w:ascii="宋体" w:hAnsi="宋体"/>
                <w:kern w:val="0"/>
              </w:rPr>
            </w:pPr>
            <w:r>
              <w:rPr>
                <w:rFonts w:ascii="宋体" w:hAnsi="宋体"/>
                <w:kern w:val="0"/>
              </w:rPr>
              <w:t>技</w:t>
            </w:r>
          </w:p>
          <w:p w14:paraId="55ACDD76">
            <w:pPr>
              <w:tabs>
                <w:tab w:val="left" w:pos="1875"/>
              </w:tabs>
              <w:spacing w:line="400" w:lineRule="exact"/>
              <w:jc w:val="center"/>
              <w:rPr>
                <w:rFonts w:ascii="宋体" w:hAnsi="宋体"/>
                <w:kern w:val="0"/>
              </w:rPr>
            </w:pPr>
            <w:r>
              <w:rPr>
                <w:rFonts w:ascii="宋体" w:hAnsi="宋体"/>
                <w:kern w:val="0"/>
              </w:rPr>
              <w:t>术</w:t>
            </w:r>
          </w:p>
          <w:p w14:paraId="31270C1C">
            <w:pPr>
              <w:tabs>
                <w:tab w:val="left" w:pos="1875"/>
              </w:tabs>
              <w:spacing w:line="400" w:lineRule="exact"/>
              <w:jc w:val="center"/>
              <w:rPr>
                <w:rFonts w:ascii="宋体" w:hAnsi="宋体"/>
                <w:kern w:val="0"/>
              </w:rPr>
            </w:pPr>
            <w:r>
              <w:rPr>
                <w:rFonts w:ascii="宋体" w:hAnsi="宋体"/>
                <w:kern w:val="0"/>
              </w:rPr>
              <w:t>方</w:t>
            </w:r>
          </w:p>
          <w:p w14:paraId="2D8EA3ED">
            <w:pPr>
              <w:tabs>
                <w:tab w:val="left" w:pos="1875"/>
              </w:tabs>
              <w:spacing w:line="400" w:lineRule="exact"/>
              <w:jc w:val="center"/>
              <w:rPr>
                <w:rFonts w:ascii="宋体" w:hAnsi="宋体"/>
                <w:kern w:val="0"/>
              </w:rPr>
            </w:pPr>
            <w:r>
              <w:rPr>
                <w:rFonts w:ascii="宋体" w:hAnsi="宋体"/>
                <w:kern w:val="0"/>
              </w:rPr>
              <w:t>案</w:t>
            </w:r>
          </w:p>
          <w:p w14:paraId="4B921131">
            <w:pPr>
              <w:tabs>
                <w:tab w:val="left" w:pos="1875"/>
              </w:tabs>
              <w:spacing w:line="400" w:lineRule="exact"/>
              <w:jc w:val="center"/>
              <w:rPr>
                <w:rFonts w:ascii="宋体" w:hAnsi="宋体"/>
                <w:kern w:val="0"/>
              </w:rPr>
            </w:pPr>
            <w:r>
              <w:rPr>
                <w:rFonts w:ascii="宋体" w:hAnsi="宋体"/>
                <w:kern w:val="0"/>
              </w:rPr>
              <w:t>评</w:t>
            </w:r>
          </w:p>
          <w:p w14:paraId="08015677">
            <w:pPr>
              <w:tabs>
                <w:tab w:val="left" w:pos="1875"/>
              </w:tabs>
              <w:spacing w:line="400" w:lineRule="exact"/>
              <w:jc w:val="center"/>
              <w:rPr>
                <w:rFonts w:ascii="宋体" w:hAnsi="宋体"/>
                <w:kern w:val="0"/>
              </w:rPr>
            </w:pPr>
            <w:r>
              <w:rPr>
                <w:rFonts w:ascii="宋体" w:hAnsi="宋体"/>
                <w:kern w:val="0"/>
              </w:rPr>
              <w:t>审</w:t>
            </w:r>
          </w:p>
        </w:tc>
        <w:tc>
          <w:tcPr>
            <w:tcW w:w="1991" w:type="dxa"/>
            <w:gridSpan w:val="2"/>
            <w:tcBorders>
              <w:left w:val="single" w:color="auto" w:sz="4" w:space="0"/>
            </w:tcBorders>
            <w:vAlign w:val="center"/>
          </w:tcPr>
          <w:p w14:paraId="30BD46B2">
            <w:pPr>
              <w:tabs>
                <w:tab w:val="left" w:pos="1875"/>
              </w:tabs>
              <w:spacing w:line="360" w:lineRule="auto"/>
              <w:rPr>
                <w:rFonts w:ascii="宋体" w:hAnsi="宋体"/>
                <w:kern w:val="0"/>
              </w:rPr>
            </w:pPr>
            <w:r>
              <w:rPr>
                <w:rFonts w:hint="eastAsia" w:ascii="宋体" w:hAnsi="宋体"/>
                <w:color w:val="auto"/>
                <w:kern w:val="0"/>
              </w:rPr>
              <w:t>内容完整性和编制水平</w:t>
            </w:r>
          </w:p>
        </w:tc>
        <w:tc>
          <w:tcPr>
            <w:tcW w:w="5493" w:type="dxa"/>
            <w:vAlign w:val="center"/>
          </w:tcPr>
          <w:p w14:paraId="70C9AC20">
            <w:pPr>
              <w:snapToGrid w:val="0"/>
              <w:spacing w:line="360" w:lineRule="auto"/>
              <w:ind w:firstLine="420" w:firstLineChars="200"/>
              <w:rPr>
                <w:rFonts w:hint="eastAsia" w:ascii="宋体" w:hAnsi="宋体"/>
                <w:color w:val="auto"/>
              </w:rPr>
            </w:pPr>
            <w:r>
              <w:rPr>
                <w:rFonts w:hint="eastAsia" w:ascii="宋体" w:hAnsi="宋体"/>
                <w:color w:val="auto"/>
                <w:lang w:val="en-US" w:eastAsia="zh-CN"/>
              </w:rPr>
              <w:t>10</w:t>
            </w:r>
            <w:r>
              <w:rPr>
                <w:rFonts w:hint="eastAsia" w:ascii="宋体" w:hAnsi="宋体"/>
                <w:color w:val="auto"/>
              </w:rPr>
              <w:t>分   编制要点：内容齐全，符合相关规定，语言简明、准确、规范。</w:t>
            </w:r>
          </w:p>
          <w:p w14:paraId="45CF0089">
            <w:pPr>
              <w:snapToGrid w:val="0"/>
              <w:spacing w:line="360" w:lineRule="auto"/>
              <w:ind w:firstLine="420" w:firstLineChars="200"/>
              <w:rPr>
                <w:rFonts w:hint="default" w:ascii="宋体" w:hAnsi="宋体" w:eastAsia="宋体"/>
                <w:color w:val="auto"/>
                <w:lang w:val="en-US" w:eastAsia="zh-CN"/>
              </w:rPr>
            </w:pPr>
            <w:r>
              <w:rPr>
                <w:rFonts w:hint="eastAsia" w:ascii="宋体" w:hAnsi="宋体"/>
                <w:color w:val="auto"/>
                <w:lang w:val="en-US" w:eastAsia="zh-CN"/>
              </w:rPr>
              <w:t>优得：7.5分-10分，良得：5分-7.5分（不含），中得：2.5分-5分（不含），差得：0分-2.5分（不含）。</w:t>
            </w:r>
          </w:p>
        </w:tc>
      </w:tr>
      <w:tr w14:paraId="1422FA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755CE9DA">
            <w:pPr>
              <w:spacing w:line="400" w:lineRule="exact"/>
              <w:ind w:firstLine="210" w:firstLineChars="100"/>
              <w:jc w:val="center"/>
              <w:rPr>
                <w:rFonts w:ascii="宋体" w:hAnsi="宋体"/>
                <w:kern w:val="0"/>
              </w:rPr>
            </w:pPr>
          </w:p>
        </w:tc>
        <w:tc>
          <w:tcPr>
            <w:tcW w:w="585" w:type="dxa"/>
            <w:gridSpan w:val="2"/>
            <w:vMerge w:val="continue"/>
            <w:tcBorders>
              <w:left w:val="single" w:color="auto" w:sz="4" w:space="0"/>
            </w:tcBorders>
            <w:vAlign w:val="center"/>
          </w:tcPr>
          <w:p w14:paraId="554EE792">
            <w:pPr>
              <w:spacing w:line="400" w:lineRule="exact"/>
              <w:ind w:firstLine="210" w:firstLineChars="100"/>
              <w:jc w:val="center"/>
              <w:rPr>
                <w:rFonts w:ascii="宋体" w:hAnsi="宋体"/>
                <w:kern w:val="0"/>
              </w:rPr>
            </w:pPr>
          </w:p>
        </w:tc>
        <w:tc>
          <w:tcPr>
            <w:tcW w:w="568" w:type="dxa"/>
            <w:vMerge w:val="continue"/>
            <w:tcBorders>
              <w:right w:val="single" w:color="auto" w:sz="4" w:space="0"/>
            </w:tcBorders>
            <w:vAlign w:val="center"/>
          </w:tcPr>
          <w:p w14:paraId="07552DF1">
            <w:pPr>
              <w:tabs>
                <w:tab w:val="left" w:pos="1875"/>
              </w:tabs>
              <w:spacing w:line="400" w:lineRule="exact"/>
              <w:jc w:val="left"/>
              <w:rPr>
                <w:rFonts w:ascii="宋体" w:hAnsi="宋体"/>
                <w:kern w:val="0"/>
              </w:rPr>
            </w:pPr>
          </w:p>
        </w:tc>
        <w:tc>
          <w:tcPr>
            <w:tcW w:w="1991" w:type="dxa"/>
            <w:gridSpan w:val="2"/>
            <w:tcBorders>
              <w:left w:val="single" w:color="auto" w:sz="4" w:space="0"/>
            </w:tcBorders>
            <w:vAlign w:val="center"/>
          </w:tcPr>
          <w:p w14:paraId="4F830DE0">
            <w:pPr>
              <w:tabs>
                <w:tab w:val="left" w:pos="1875"/>
              </w:tabs>
              <w:spacing w:line="360" w:lineRule="auto"/>
              <w:rPr>
                <w:rFonts w:ascii="宋体" w:hAnsi="宋体"/>
                <w:kern w:val="0"/>
              </w:rPr>
            </w:pPr>
            <w:r>
              <w:rPr>
                <w:rFonts w:hint="eastAsia" w:ascii="宋体" w:hAnsi="宋体"/>
                <w:color w:val="auto"/>
                <w:kern w:val="0"/>
              </w:rPr>
              <w:t>施工方案与技术措施</w:t>
            </w:r>
          </w:p>
        </w:tc>
        <w:tc>
          <w:tcPr>
            <w:tcW w:w="5493" w:type="dxa"/>
            <w:vAlign w:val="center"/>
          </w:tcPr>
          <w:p w14:paraId="27CE8625">
            <w:pPr>
              <w:snapToGrid w:val="0"/>
              <w:spacing w:line="360" w:lineRule="auto"/>
              <w:ind w:firstLine="420" w:firstLineChars="200"/>
              <w:rPr>
                <w:rFonts w:hint="eastAsia" w:ascii="宋体" w:hAnsi="宋体" w:cs="宋体"/>
                <w:color w:val="auto"/>
              </w:rPr>
            </w:pPr>
            <w:r>
              <w:rPr>
                <w:rFonts w:hint="eastAsia" w:ascii="宋体" w:hAnsi="宋体"/>
                <w:color w:val="auto"/>
                <w:lang w:val="en-US" w:eastAsia="zh-CN"/>
              </w:rPr>
              <w:t>10</w:t>
            </w:r>
            <w:r>
              <w:rPr>
                <w:rFonts w:hint="eastAsia" w:ascii="宋体" w:hAnsi="宋体" w:cs="宋体"/>
                <w:color w:val="auto"/>
              </w:rPr>
              <w:t>分   编制要点：施工组织设计、规程措施针对性强，便于施工，施工技术适用性强。</w:t>
            </w:r>
          </w:p>
          <w:p w14:paraId="2834DDD8">
            <w:pPr>
              <w:snapToGrid w:val="0"/>
              <w:spacing w:line="360" w:lineRule="auto"/>
              <w:ind w:firstLine="420" w:firstLineChars="200"/>
              <w:rPr>
                <w:rFonts w:ascii="宋体" w:hAnsi="宋体"/>
                <w:kern w:val="0"/>
              </w:rPr>
            </w:pPr>
            <w:r>
              <w:rPr>
                <w:rFonts w:hint="eastAsia" w:ascii="宋体" w:hAnsi="宋体"/>
                <w:color w:val="auto"/>
                <w:lang w:val="en-US" w:eastAsia="zh-CN"/>
              </w:rPr>
              <w:t>优得：7.5分-10分，良得：5分-7.5分（不含），中得：2.5分-5分（不含），差得：0分-2.5分（不含）。</w:t>
            </w:r>
          </w:p>
        </w:tc>
      </w:tr>
      <w:tr w14:paraId="330B75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662E7EA0">
            <w:pPr>
              <w:spacing w:line="400" w:lineRule="exact"/>
              <w:ind w:firstLine="210" w:firstLineChars="100"/>
              <w:jc w:val="center"/>
              <w:rPr>
                <w:rFonts w:ascii="宋体" w:hAnsi="宋体"/>
                <w:kern w:val="0"/>
              </w:rPr>
            </w:pPr>
          </w:p>
        </w:tc>
        <w:tc>
          <w:tcPr>
            <w:tcW w:w="585" w:type="dxa"/>
            <w:gridSpan w:val="2"/>
            <w:vMerge w:val="continue"/>
            <w:tcBorders>
              <w:left w:val="single" w:color="auto" w:sz="4" w:space="0"/>
            </w:tcBorders>
            <w:vAlign w:val="center"/>
          </w:tcPr>
          <w:p w14:paraId="464D2EE3">
            <w:pPr>
              <w:spacing w:line="400" w:lineRule="exact"/>
              <w:ind w:firstLine="210" w:firstLineChars="100"/>
              <w:jc w:val="center"/>
              <w:rPr>
                <w:rFonts w:ascii="宋体" w:hAnsi="宋体"/>
                <w:kern w:val="0"/>
              </w:rPr>
            </w:pPr>
          </w:p>
        </w:tc>
        <w:tc>
          <w:tcPr>
            <w:tcW w:w="568" w:type="dxa"/>
            <w:vMerge w:val="continue"/>
            <w:tcBorders>
              <w:right w:val="single" w:color="auto" w:sz="4" w:space="0"/>
            </w:tcBorders>
            <w:vAlign w:val="center"/>
          </w:tcPr>
          <w:p w14:paraId="7C3D8919">
            <w:pPr>
              <w:tabs>
                <w:tab w:val="left" w:pos="1875"/>
              </w:tabs>
              <w:spacing w:line="400" w:lineRule="exact"/>
              <w:jc w:val="left"/>
              <w:rPr>
                <w:rFonts w:ascii="宋体" w:hAnsi="宋体"/>
                <w:kern w:val="0"/>
              </w:rPr>
            </w:pPr>
          </w:p>
        </w:tc>
        <w:tc>
          <w:tcPr>
            <w:tcW w:w="1991" w:type="dxa"/>
            <w:gridSpan w:val="2"/>
            <w:tcBorders>
              <w:left w:val="single" w:color="auto" w:sz="4" w:space="0"/>
            </w:tcBorders>
            <w:vAlign w:val="center"/>
          </w:tcPr>
          <w:p w14:paraId="348397F9">
            <w:pPr>
              <w:tabs>
                <w:tab w:val="left" w:pos="1875"/>
              </w:tabs>
              <w:spacing w:line="360" w:lineRule="auto"/>
              <w:rPr>
                <w:rFonts w:ascii="宋体" w:hAnsi="宋体"/>
                <w:kern w:val="0"/>
              </w:rPr>
            </w:pPr>
            <w:r>
              <w:rPr>
                <w:rFonts w:ascii="宋体" w:hAnsi="宋体"/>
                <w:color w:val="auto"/>
                <w:kern w:val="0"/>
              </w:rPr>
              <w:t>质量管理体系与措施</w:t>
            </w:r>
          </w:p>
        </w:tc>
        <w:tc>
          <w:tcPr>
            <w:tcW w:w="5493" w:type="dxa"/>
            <w:vAlign w:val="center"/>
          </w:tcPr>
          <w:p w14:paraId="65AB22F9">
            <w:pPr>
              <w:snapToGrid w:val="0"/>
              <w:spacing w:line="360" w:lineRule="auto"/>
              <w:ind w:firstLine="420" w:firstLineChars="200"/>
              <w:rPr>
                <w:rFonts w:hint="eastAsia" w:ascii="宋体" w:hAnsi="宋体" w:cs="宋体"/>
                <w:color w:val="auto"/>
              </w:rPr>
            </w:pPr>
            <w:r>
              <w:rPr>
                <w:rFonts w:hint="eastAsia" w:ascii="宋体" w:hAnsi="宋体"/>
                <w:color w:val="auto"/>
                <w:lang w:val="en-US" w:eastAsia="zh-CN"/>
              </w:rPr>
              <w:t>10</w:t>
            </w:r>
            <w:r>
              <w:rPr>
                <w:rFonts w:hint="eastAsia" w:ascii="宋体" w:hAnsi="宋体" w:cs="宋体"/>
                <w:color w:val="auto"/>
              </w:rPr>
              <w:t>分   编制要点：施工质量保证体系和质量检查监督机构健全，并有有效的控制措施和手段。</w:t>
            </w:r>
          </w:p>
          <w:p w14:paraId="472D8411">
            <w:pPr>
              <w:snapToGrid w:val="0"/>
              <w:spacing w:line="360" w:lineRule="auto"/>
              <w:ind w:firstLine="420" w:firstLineChars="200"/>
              <w:rPr>
                <w:rFonts w:ascii="宋体" w:hAnsi="宋体"/>
                <w:kern w:val="0"/>
              </w:rPr>
            </w:pPr>
            <w:r>
              <w:rPr>
                <w:rFonts w:hint="eastAsia" w:ascii="宋体" w:hAnsi="宋体"/>
                <w:color w:val="auto"/>
                <w:lang w:val="en-US" w:eastAsia="zh-CN"/>
              </w:rPr>
              <w:t>优得：7.5分-10分，良得：5分-7.5分（不含），中得：2.5分-5分（不含），差得：0分-2.5分（不含）。</w:t>
            </w:r>
          </w:p>
        </w:tc>
      </w:tr>
      <w:tr w14:paraId="1C9E34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3BF669D3">
            <w:pPr>
              <w:spacing w:line="400" w:lineRule="exact"/>
              <w:ind w:firstLine="210" w:firstLineChars="100"/>
              <w:jc w:val="center"/>
              <w:rPr>
                <w:rFonts w:ascii="宋体" w:hAnsi="宋体"/>
                <w:kern w:val="0"/>
              </w:rPr>
            </w:pPr>
          </w:p>
        </w:tc>
        <w:tc>
          <w:tcPr>
            <w:tcW w:w="585" w:type="dxa"/>
            <w:gridSpan w:val="2"/>
            <w:vMerge w:val="continue"/>
            <w:tcBorders>
              <w:left w:val="single" w:color="auto" w:sz="4" w:space="0"/>
            </w:tcBorders>
            <w:vAlign w:val="center"/>
          </w:tcPr>
          <w:p w14:paraId="6CAF26F0">
            <w:pPr>
              <w:spacing w:line="400" w:lineRule="exact"/>
              <w:ind w:firstLine="210" w:firstLineChars="100"/>
              <w:jc w:val="center"/>
              <w:rPr>
                <w:rFonts w:ascii="宋体" w:hAnsi="宋体"/>
                <w:kern w:val="0"/>
              </w:rPr>
            </w:pPr>
          </w:p>
        </w:tc>
        <w:tc>
          <w:tcPr>
            <w:tcW w:w="568" w:type="dxa"/>
            <w:vMerge w:val="continue"/>
            <w:tcBorders>
              <w:right w:val="single" w:color="auto" w:sz="4" w:space="0"/>
            </w:tcBorders>
            <w:vAlign w:val="center"/>
          </w:tcPr>
          <w:p w14:paraId="22AF3A1B">
            <w:pPr>
              <w:tabs>
                <w:tab w:val="left" w:pos="1875"/>
              </w:tabs>
              <w:spacing w:line="400" w:lineRule="exact"/>
              <w:jc w:val="left"/>
              <w:rPr>
                <w:rFonts w:ascii="宋体" w:hAnsi="宋体"/>
                <w:kern w:val="0"/>
              </w:rPr>
            </w:pPr>
          </w:p>
        </w:tc>
        <w:tc>
          <w:tcPr>
            <w:tcW w:w="1991" w:type="dxa"/>
            <w:gridSpan w:val="2"/>
            <w:tcBorders>
              <w:left w:val="single" w:color="auto" w:sz="4" w:space="0"/>
            </w:tcBorders>
            <w:vAlign w:val="center"/>
          </w:tcPr>
          <w:p w14:paraId="5148DC8E">
            <w:pPr>
              <w:tabs>
                <w:tab w:val="left" w:pos="1875"/>
              </w:tabs>
              <w:spacing w:line="360" w:lineRule="auto"/>
              <w:rPr>
                <w:rFonts w:ascii="宋体" w:hAnsi="宋体"/>
                <w:kern w:val="0"/>
              </w:rPr>
            </w:pPr>
            <w:r>
              <w:rPr>
                <w:rFonts w:ascii="宋体" w:hAnsi="宋体"/>
                <w:color w:val="auto"/>
                <w:kern w:val="0"/>
              </w:rPr>
              <w:t>安全管理体系与措施</w:t>
            </w:r>
          </w:p>
        </w:tc>
        <w:tc>
          <w:tcPr>
            <w:tcW w:w="5493" w:type="dxa"/>
            <w:vAlign w:val="center"/>
          </w:tcPr>
          <w:p w14:paraId="3FE684B1">
            <w:pPr>
              <w:snapToGrid w:val="0"/>
              <w:spacing w:line="360" w:lineRule="auto"/>
              <w:ind w:firstLine="420" w:firstLineChars="200"/>
              <w:rPr>
                <w:rFonts w:hint="eastAsia" w:ascii="宋体" w:hAnsi="宋体" w:cs="宋体"/>
                <w:color w:val="auto"/>
              </w:rPr>
            </w:pPr>
            <w:r>
              <w:rPr>
                <w:rFonts w:hint="eastAsia" w:ascii="宋体" w:hAnsi="宋体"/>
                <w:color w:val="auto"/>
                <w:lang w:val="en-US" w:eastAsia="zh-CN"/>
              </w:rPr>
              <w:t>5</w:t>
            </w:r>
            <w:r>
              <w:rPr>
                <w:rFonts w:hint="eastAsia" w:ascii="宋体" w:hAnsi="宋体" w:cs="宋体"/>
                <w:color w:val="auto"/>
              </w:rPr>
              <w:t>分   编制要点：建立了施工安全保障体系，施工现场管理人员安全生产职责明确、施工安全保证目标明确，针对工程特点、周边环境和施工工艺，确定危险源并制定具体的防护措施。</w:t>
            </w:r>
          </w:p>
          <w:p w14:paraId="090002F3">
            <w:pPr>
              <w:snapToGrid w:val="0"/>
              <w:spacing w:line="360" w:lineRule="auto"/>
              <w:ind w:firstLine="420" w:firstLineChars="200"/>
              <w:rPr>
                <w:rFonts w:ascii="宋体" w:hAnsi="宋体"/>
                <w:kern w:val="0"/>
              </w:rPr>
            </w:pPr>
            <w:r>
              <w:rPr>
                <w:rFonts w:hint="eastAsia" w:ascii="宋体" w:hAnsi="宋体"/>
                <w:color w:val="auto"/>
                <w:lang w:val="en-US" w:eastAsia="zh-CN"/>
              </w:rPr>
              <w:t>优得：7.5分-10分，良得：5分-7.5分（不含），中得：2.5分-5分（不含），差得：0分-2.5分（不含）。</w:t>
            </w:r>
          </w:p>
        </w:tc>
      </w:tr>
      <w:tr w14:paraId="7E3C5A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833" w:type="dxa"/>
            <w:vMerge w:val="continue"/>
            <w:tcBorders>
              <w:right w:val="single" w:color="auto" w:sz="4" w:space="0"/>
            </w:tcBorders>
            <w:vAlign w:val="center"/>
          </w:tcPr>
          <w:p w14:paraId="350588EB">
            <w:pPr>
              <w:spacing w:line="400" w:lineRule="exact"/>
              <w:ind w:firstLine="210" w:firstLineChars="100"/>
              <w:jc w:val="center"/>
              <w:rPr>
                <w:rFonts w:ascii="宋体" w:hAnsi="宋体"/>
                <w:kern w:val="0"/>
              </w:rPr>
            </w:pPr>
          </w:p>
        </w:tc>
        <w:tc>
          <w:tcPr>
            <w:tcW w:w="585" w:type="dxa"/>
            <w:gridSpan w:val="2"/>
            <w:vMerge w:val="continue"/>
            <w:tcBorders>
              <w:left w:val="single" w:color="auto" w:sz="4" w:space="0"/>
            </w:tcBorders>
            <w:vAlign w:val="center"/>
          </w:tcPr>
          <w:p w14:paraId="79571B2F">
            <w:pPr>
              <w:spacing w:line="400" w:lineRule="exact"/>
              <w:ind w:firstLine="210" w:firstLineChars="100"/>
              <w:jc w:val="center"/>
              <w:rPr>
                <w:rFonts w:ascii="宋体" w:hAnsi="宋体"/>
                <w:kern w:val="0"/>
              </w:rPr>
            </w:pPr>
          </w:p>
        </w:tc>
        <w:tc>
          <w:tcPr>
            <w:tcW w:w="568" w:type="dxa"/>
            <w:vMerge w:val="continue"/>
            <w:tcBorders>
              <w:right w:val="single" w:color="auto" w:sz="4" w:space="0"/>
            </w:tcBorders>
            <w:vAlign w:val="center"/>
          </w:tcPr>
          <w:p w14:paraId="7AE29E49">
            <w:pPr>
              <w:tabs>
                <w:tab w:val="left" w:pos="1875"/>
              </w:tabs>
              <w:spacing w:line="400" w:lineRule="exact"/>
              <w:jc w:val="left"/>
              <w:rPr>
                <w:rFonts w:ascii="宋体" w:hAnsi="宋体"/>
                <w:kern w:val="0"/>
              </w:rPr>
            </w:pPr>
          </w:p>
        </w:tc>
        <w:tc>
          <w:tcPr>
            <w:tcW w:w="1991" w:type="dxa"/>
            <w:gridSpan w:val="2"/>
            <w:tcBorders>
              <w:left w:val="single" w:color="auto" w:sz="4" w:space="0"/>
            </w:tcBorders>
            <w:vAlign w:val="center"/>
          </w:tcPr>
          <w:p w14:paraId="17736C13">
            <w:pPr>
              <w:tabs>
                <w:tab w:val="left" w:pos="1875"/>
              </w:tabs>
              <w:spacing w:line="360" w:lineRule="auto"/>
              <w:rPr>
                <w:rFonts w:ascii="宋体" w:hAnsi="宋体"/>
                <w:kern w:val="0"/>
              </w:rPr>
            </w:pPr>
            <w:r>
              <w:rPr>
                <w:rFonts w:ascii="宋体" w:hAnsi="宋体"/>
                <w:color w:val="auto"/>
                <w:kern w:val="0"/>
              </w:rPr>
              <w:t>环境保护管理体系措施</w:t>
            </w:r>
          </w:p>
        </w:tc>
        <w:tc>
          <w:tcPr>
            <w:tcW w:w="5493" w:type="dxa"/>
            <w:vAlign w:val="center"/>
          </w:tcPr>
          <w:p w14:paraId="500AD3D1">
            <w:pPr>
              <w:snapToGrid w:val="0"/>
              <w:spacing w:line="360" w:lineRule="auto"/>
              <w:ind w:firstLine="420" w:firstLineChars="200"/>
              <w:rPr>
                <w:rFonts w:hint="eastAsia" w:ascii="宋体" w:hAnsi="宋体" w:cs="宋体"/>
                <w:color w:val="auto"/>
              </w:rPr>
            </w:pPr>
            <w:r>
              <w:rPr>
                <w:rFonts w:hint="eastAsia" w:ascii="宋体" w:hAnsi="宋体"/>
                <w:color w:val="auto"/>
                <w:lang w:val="en-US" w:eastAsia="zh-CN"/>
              </w:rPr>
              <w:t>5</w:t>
            </w:r>
            <w:r>
              <w:rPr>
                <w:rFonts w:hint="eastAsia" w:ascii="宋体" w:hAnsi="宋体" w:cs="宋体"/>
                <w:color w:val="auto"/>
              </w:rPr>
              <w:t>分   编制要点：对废弃物的管理和处理措施妥当，对施工车辆有效控制。</w:t>
            </w:r>
          </w:p>
          <w:p w14:paraId="0458E0AB">
            <w:pPr>
              <w:snapToGrid w:val="0"/>
              <w:spacing w:line="360" w:lineRule="auto"/>
              <w:ind w:firstLine="420" w:firstLineChars="200"/>
              <w:rPr>
                <w:rFonts w:ascii="宋体" w:hAnsi="宋体"/>
                <w:kern w:val="0"/>
              </w:rPr>
            </w:pPr>
            <w:r>
              <w:rPr>
                <w:rFonts w:hint="eastAsia" w:ascii="宋体" w:hAnsi="宋体"/>
                <w:color w:val="auto"/>
                <w:lang w:val="en-US" w:eastAsia="zh-CN"/>
              </w:rPr>
              <w:t>优得：3.75分-5分，良得：2.5分-3.75分（不含），中得：1.25分-2.5分（不含），差得：0分-1.25分（不含）。</w:t>
            </w:r>
          </w:p>
        </w:tc>
      </w:tr>
      <w:tr w14:paraId="0C9FA59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1669585E">
            <w:pPr>
              <w:spacing w:line="400" w:lineRule="exact"/>
              <w:ind w:firstLine="210" w:firstLineChars="100"/>
              <w:jc w:val="center"/>
              <w:rPr>
                <w:rFonts w:ascii="宋体" w:hAnsi="宋体"/>
                <w:kern w:val="0"/>
              </w:rPr>
            </w:pPr>
          </w:p>
        </w:tc>
        <w:tc>
          <w:tcPr>
            <w:tcW w:w="585" w:type="dxa"/>
            <w:gridSpan w:val="2"/>
            <w:vMerge w:val="continue"/>
            <w:tcBorders>
              <w:left w:val="single" w:color="auto" w:sz="4" w:space="0"/>
            </w:tcBorders>
            <w:vAlign w:val="center"/>
          </w:tcPr>
          <w:p w14:paraId="2920E146">
            <w:pPr>
              <w:spacing w:line="400" w:lineRule="exact"/>
              <w:ind w:firstLine="210" w:firstLineChars="100"/>
              <w:jc w:val="center"/>
              <w:rPr>
                <w:rFonts w:ascii="宋体" w:hAnsi="宋体"/>
                <w:kern w:val="0"/>
              </w:rPr>
            </w:pPr>
          </w:p>
        </w:tc>
        <w:tc>
          <w:tcPr>
            <w:tcW w:w="568" w:type="dxa"/>
            <w:vMerge w:val="continue"/>
            <w:tcBorders>
              <w:right w:val="single" w:color="auto" w:sz="4" w:space="0"/>
            </w:tcBorders>
            <w:vAlign w:val="center"/>
          </w:tcPr>
          <w:p w14:paraId="6C3E4186">
            <w:pPr>
              <w:tabs>
                <w:tab w:val="left" w:pos="1875"/>
              </w:tabs>
              <w:spacing w:line="400" w:lineRule="exact"/>
              <w:jc w:val="left"/>
              <w:rPr>
                <w:rFonts w:ascii="宋体" w:hAnsi="宋体"/>
                <w:kern w:val="0"/>
              </w:rPr>
            </w:pPr>
          </w:p>
        </w:tc>
        <w:tc>
          <w:tcPr>
            <w:tcW w:w="1991" w:type="dxa"/>
            <w:gridSpan w:val="2"/>
            <w:tcBorders>
              <w:left w:val="single" w:color="auto" w:sz="4" w:space="0"/>
            </w:tcBorders>
            <w:vAlign w:val="center"/>
          </w:tcPr>
          <w:p w14:paraId="347C33DE">
            <w:pPr>
              <w:tabs>
                <w:tab w:val="left" w:pos="1875"/>
              </w:tabs>
              <w:spacing w:line="360" w:lineRule="auto"/>
              <w:rPr>
                <w:rFonts w:ascii="宋体" w:hAnsi="宋体"/>
                <w:kern w:val="0"/>
              </w:rPr>
            </w:pPr>
            <w:r>
              <w:rPr>
                <w:rFonts w:ascii="宋体" w:hAnsi="宋体"/>
                <w:color w:val="auto"/>
                <w:kern w:val="0"/>
              </w:rPr>
              <w:t>工程进度计划与措施</w:t>
            </w:r>
          </w:p>
        </w:tc>
        <w:tc>
          <w:tcPr>
            <w:tcW w:w="5493" w:type="dxa"/>
            <w:vAlign w:val="center"/>
          </w:tcPr>
          <w:p w14:paraId="4BE019DF">
            <w:pPr>
              <w:snapToGrid w:val="0"/>
              <w:spacing w:line="360" w:lineRule="auto"/>
              <w:ind w:firstLine="420" w:firstLineChars="200"/>
              <w:rPr>
                <w:rFonts w:hint="eastAsia" w:ascii="宋体" w:hAnsi="宋体" w:cs="宋体"/>
                <w:color w:val="auto"/>
              </w:rPr>
            </w:pPr>
            <w:r>
              <w:rPr>
                <w:rFonts w:hint="eastAsia" w:ascii="宋体" w:hAnsi="宋体"/>
                <w:color w:val="auto"/>
                <w:lang w:val="en-US" w:eastAsia="zh-CN"/>
              </w:rPr>
              <w:t>5</w:t>
            </w:r>
            <w:r>
              <w:rPr>
                <w:rFonts w:hint="eastAsia" w:ascii="宋体" w:hAnsi="宋体" w:cs="宋体"/>
                <w:color w:val="auto"/>
              </w:rPr>
              <w:t>分   编制要点：具备有效的进度控制计划、赶工方案，冬雨季专项施工方案。</w:t>
            </w:r>
          </w:p>
          <w:p w14:paraId="7AEF0709">
            <w:pPr>
              <w:snapToGrid w:val="0"/>
              <w:spacing w:line="360" w:lineRule="auto"/>
              <w:ind w:firstLine="420" w:firstLineChars="200"/>
              <w:rPr>
                <w:rFonts w:ascii="宋体" w:hAnsi="宋体"/>
                <w:kern w:val="0"/>
              </w:rPr>
            </w:pPr>
            <w:r>
              <w:rPr>
                <w:rFonts w:hint="eastAsia" w:ascii="宋体" w:hAnsi="宋体"/>
                <w:color w:val="auto"/>
                <w:lang w:val="en-US" w:eastAsia="zh-CN"/>
              </w:rPr>
              <w:t>优得：3.75分-5分，良得：2.5分-3.75分（不含），中得：1.25分-2.5分（不含），差得：0分-1.25分（不含）。</w:t>
            </w:r>
          </w:p>
        </w:tc>
      </w:tr>
      <w:tr w14:paraId="33AC86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022C9BF2">
            <w:pPr>
              <w:spacing w:line="400" w:lineRule="exact"/>
              <w:ind w:firstLine="210" w:firstLineChars="100"/>
              <w:jc w:val="center"/>
              <w:rPr>
                <w:rFonts w:ascii="宋体" w:hAnsi="宋体"/>
                <w:kern w:val="0"/>
              </w:rPr>
            </w:pPr>
          </w:p>
        </w:tc>
        <w:tc>
          <w:tcPr>
            <w:tcW w:w="585" w:type="dxa"/>
            <w:gridSpan w:val="2"/>
            <w:vMerge w:val="continue"/>
            <w:tcBorders>
              <w:left w:val="single" w:color="auto" w:sz="4" w:space="0"/>
            </w:tcBorders>
            <w:vAlign w:val="center"/>
          </w:tcPr>
          <w:p w14:paraId="57BDCF7A">
            <w:pPr>
              <w:spacing w:line="400" w:lineRule="exact"/>
              <w:ind w:firstLine="210" w:firstLineChars="100"/>
              <w:jc w:val="center"/>
              <w:rPr>
                <w:rFonts w:ascii="宋体" w:hAnsi="宋体"/>
                <w:kern w:val="0"/>
              </w:rPr>
            </w:pPr>
          </w:p>
        </w:tc>
        <w:tc>
          <w:tcPr>
            <w:tcW w:w="568" w:type="dxa"/>
            <w:vMerge w:val="continue"/>
            <w:tcBorders>
              <w:right w:val="single" w:color="auto" w:sz="4" w:space="0"/>
            </w:tcBorders>
            <w:vAlign w:val="center"/>
          </w:tcPr>
          <w:p w14:paraId="178B3685">
            <w:pPr>
              <w:tabs>
                <w:tab w:val="left" w:pos="1875"/>
              </w:tabs>
              <w:spacing w:line="400" w:lineRule="exact"/>
              <w:jc w:val="left"/>
              <w:rPr>
                <w:rFonts w:ascii="宋体" w:hAnsi="宋体"/>
                <w:kern w:val="0"/>
              </w:rPr>
            </w:pPr>
          </w:p>
        </w:tc>
        <w:tc>
          <w:tcPr>
            <w:tcW w:w="1991" w:type="dxa"/>
            <w:gridSpan w:val="2"/>
            <w:tcBorders>
              <w:left w:val="single" w:color="auto" w:sz="4" w:space="0"/>
            </w:tcBorders>
            <w:vAlign w:val="center"/>
          </w:tcPr>
          <w:p w14:paraId="0850024E">
            <w:pPr>
              <w:tabs>
                <w:tab w:val="left" w:pos="1875"/>
              </w:tabs>
              <w:spacing w:line="360" w:lineRule="auto"/>
              <w:rPr>
                <w:rFonts w:ascii="宋体" w:hAnsi="宋体"/>
                <w:kern w:val="0"/>
              </w:rPr>
            </w:pPr>
            <w:r>
              <w:rPr>
                <w:rFonts w:ascii="宋体" w:hAnsi="宋体"/>
                <w:color w:val="auto"/>
                <w:kern w:val="0"/>
              </w:rPr>
              <w:t>资源配备计划与先进性</w:t>
            </w:r>
          </w:p>
        </w:tc>
        <w:tc>
          <w:tcPr>
            <w:tcW w:w="5493" w:type="dxa"/>
            <w:vAlign w:val="center"/>
          </w:tcPr>
          <w:p w14:paraId="679FC9D7">
            <w:pPr>
              <w:snapToGrid w:val="0"/>
              <w:spacing w:line="360" w:lineRule="auto"/>
              <w:ind w:firstLine="420" w:firstLineChars="200"/>
              <w:rPr>
                <w:rFonts w:hint="eastAsia" w:ascii="宋体" w:hAnsi="宋体" w:cs="宋体"/>
                <w:color w:val="auto"/>
              </w:rPr>
            </w:pPr>
            <w:r>
              <w:rPr>
                <w:rFonts w:hint="eastAsia" w:ascii="宋体" w:hAnsi="宋体" w:cs="宋体"/>
                <w:color w:val="auto"/>
                <w:lang w:val="en-US" w:eastAsia="zh-CN"/>
              </w:rPr>
              <w:t>5</w:t>
            </w:r>
            <w:r>
              <w:rPr>
                <w:rFonts w:hint="eastAsia" w:ascii="宋体" w:hAnsi="宋体" w:cs="宋体"/>
                <w:color w:val="auto"/>
              </w:rPr>
              <w:t>分   编制要点：施工设备、材料和人力能保证施工顺畅，有备用计划。</w:t>
            </w:r>
          </w:p>
          <w:p w14:paraId="3CC239B4">
            <w:pPr>
              <w:snapToGrid w:val="0"/>
              <w:spacing w:line="360" w:lineRule="auto"/>
              <w:ind w:firstLine="420" w:firstLineChars="200"/>
              <w:rPr>
                <w:rFonts w:ascii="宋体" w:hAnsi="宋体"/>
                <w:kern w:val="0"/>
              </w:rPr>
            </w:pPr>
            <w:r>
              <w:rPr>
                <w:rFonts w:hint="eastAsia" w:ascii="宋体" w:hAnsi="宋体"/>
                <w:color w:val="auto"/>
                <w:lang w:val="en-US" w:eastAsia="zh-CN"/>
              </w:rPr>
              <w:t>优得：3.75分-5分，良得：2.5分-3.75分（不含），中得：1.25分-2.5分（不含），差得：0分-1.25分（不含）。</w:t>
            </w:r>
          </w:p>
        </w:tc>
      </w:tr>
      <w:tr w14:paraId="387232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Align w:val="center"/>
          </w:tcPr>
          <w:p w14:paraId="48DB931A">
            <w:pPr>
              <w:spacing w:line="400" w:lineRule="exact"/>
              <w:jc w:val="center"/>
              <w:rPr>
                <w:rFonts w:ascii="宋体" w:hAnsi="宋体"/>
                <w:kern w:val="0"/>
              </w:rPr>
            </w:pPr>
            <w:r>
              <w:rPr>
                <w:rFonts w:ascii="宋体" w:hAnsi="宋体"/>
                <w:kern w:val="0"/>
              </w:rPr>
              <w:t>2.2.</w:t>
            </w:r>
            <w:r>
              <w:rPr>
                <w:rFonts w:hint="eastAsia" w:ascii="宋体" w:hAnsi="宋体"/>
                <w:kern w:val="0"/>
              </w:rPr>
              <w:t>3</w:t>
            </w:r>
          </w:p>
        </w:tc>
        <w:tc>
          <w:tcPr>
            <w:tcW w:w="2131" w:type="dxa"/>
            <w:gridSpan w:val="4"/>
            <w:vAlign w:val="center"/>
          </w:tcPr>
          <w:p w14:paraId="68C373E9">
            <w:pPr>
              <w:spacing w:line="400" w:lineRule="exact"/>
              <w:jc w:val="center"/>
              <w:rPr>
                <w:rFonts w:ascii="宋体" w:hAnsi="宋体"/>
                <w:kern w:val="0"/>
              </w:rPr>
            </w:pPr>
            <w:r>
              <w:rPr>
                <w:rFonts w:ascii="宋体" w:hAnsi="宋体"/>
                <w:kern w:val="0"/>
              </w:rPr>
              <w:t>评标基准价计算方法</w:t>
            </w:r>
          </w:p>
        </w:tc>
        <w:tc>
          <w:tcPr>
            <w:tcW w:w="1013" w:type="dxa"/>
            <w:vAlign w:val="center"/>
          </w:tcPr>
          <w:p w14:paraId="193021D4">
            <w:pPr>
              <w:spacing w:line="400" w:lineRule="exact"/>
              <w:jc w:val="center"/>
              <w:rPr>
                <w:rFonts w:ascii="宋体" w:hAnsi="宋体"/>
                <w:kern w:val="0"/>
              </w:rPr>
            </w:pPr>
            <w:r>
              <w:rPr>
                <w:rFonts w:ascii="宋体" w:hAnsi="宋体"/>
                <w:kern w:val="0"/>
              </w:rPr>
              <w:t>投标总报价</w:t>
            </w:r>
          </w:p>
        </w:tc>
        <w:tc>
          <w:tcPr>
            <w:tcW w:w="5493" w:type="dxa"/>
          </w:tcPr>
          <w:p w14:paraId="7F39A35F">
            <w:pPr>
              <w:snapToGrid w:val="0"/>
              <w:spacing w:line="400" w:lineRule="exact"/>
              <w:ind w:firstLine="420" w:firstLineChars="200"/>
              <w:rPr>
                <w:rFonts w:ascii="宋体" w:hAnsi="宋体"/>
                <w:i/>
                <w:kern w:val="0"/>
                <w:szCs w:val="21"/>
              </w:rPr>
            </w:pPr>
            <w:r>
              <w:rPr>
                <w:rFonts w:ascii="宋体" w:hAnsi="宋体"/>
                <w:kern w:val="0"/>
                <w:szCs w:val="21"/>
              </w:rPr>
              <w:t>所有通过初步评审合格的投标人</w:t>
            </w:r>
            <w:r>
              <w:rPr>
                <w:rFonts w:ascii="宋体" w:hAnsi="宋体"/>
                <w:szCs w:val="21"/>
              </w:rPr>
              <w:t>的投标总报</w:t>
            </w:r>
            <w:r>
              <w:rPr>
                <w:rFonts w:ascii="宋体" w:hAnsi="宋体"/>
                <w:kern w:val="0"/>
                <w:szCs w:val="21"/>
              </w:rPr>
              <w:t>价中去掉六分之一（不能整除的按小数点前整数取整，不足六家报价则不去掉）的最低价和相同家数的最高价后的算术平均值</w:t>
            </w:r>
            <w:r>
              <w:rPr>
                <w:rFonts w:hint="eastAsia" w:ascii="宋体" w:hAnsi="宋体"/>
                <w:kern w:val="0"/>
                <w:szCs w:val="21"/>
              </w:rPr>
              <w:t>，即为本项目的投标总报价的评标基准价。</w:t>
            </w:r>
          </w:p>
          <w:p w14:paraId="242ED734">
            <w:pPr>
              <w:snapToGrid w:val="0"/>
              <w:spacing w:line="400" w:lineRule="exact"/>
              <w:ind w:firstLine="420" w:firstLineChars="200"/>
              <w:rPr>
                <w:rFonts w:ascii="宋体" w:hAnsi="宋体"/>
                <w:kern w:val="0"/>
                <w:szCs w:val="21"/>
              </w:rPr>
            </w:pPr>
            <w:r>
              <w:rPr>
                <w:rFonts w:hint="eastAsia" w:ascii="宋体" w:hAnsi="宋体"/>
                <w:kern w:val="0"/>
                <w:szCs w:val="21"/>
              </w:rPr>
              <w:t>评标基准价计算的最终</w:t>
            </w:r>
            <w:r>
              <w:rPr>
                <w:rFonts w:ascii="宋体" w:hAnsi="宋体"/>
                <w:kern w:val="0"/>
                <w:szCs w:val="21"/>
              </w:rPr>
              <w:t>结果取小数点后两位，第三位四舍五入。</w:t>
            </w:r>
          </w:p>
          <w:p w14:paraId="5E779904">
            <w:pPr>
              <w:snapToGrid w:val="0"/>
              <w:spacing w:line="400" w:lineRule="exact"/>
              <w:ind w:firstLine="420" w:firstLineChars="200"/>
              <w:rPr>
                <w:rFonts w:ascii="宋体" w:hAnsi="宋体"/>
                <w:kern w:val="0"/>
                <w:szCs w:val="21"/>
              </w:rPr>
            </w:pPr>
            <w:r>
              <w:rPr>
                <w:rFonts w:ascii="宋体" w:hAnsi="宋体"/>
                <w:kern w:val="0"/>
                <w:szCs w:val="21"/>
              </w:rPr>
              <w:t>在评标基准价计算完成后（除计算错误外），在后续的评审中不得再对其做出调整。</w:t>
            </w:r>
          </w:p>
        </w:tc>
      </w:tr>
      <w:tr w14:paraId="0F0E51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Align w:val="center"/>
          </w:tcPr>
          <w:p w14:paraId="6DB3DD4B">
            <w:pPr>
              <w:spacing w:line="400" w:lineRule="exact"/>
              <w:jc w:val="center"/>
              <w:rPr>
                <w:rFonts w:ascii="宋体" w:hAnsi="宋体"/>
                <w:kern w:val="0"/>
              </w:rPr>
            </w:pPr>
            <w:r>
              <w:rPr>
                <w:rFonts w:ascii="宋体" w:hAnsi="宋体"/>
                <w:kern w:val="0"/>
              </w:rPr>
              <w:t>2.2.</w:t>
            </w:r>
            <w:r>
              <w:rPr>
                <w:rFonts w:hint="eastAsia" w:ascii="宋体" w:hAnsi="宋体"/>
                <w:kern w:val="0"/>
              </w:rPr>
              <w:t>4</w:t>
            </w:r>
          </w:p>
          <w:p w14:paraId="46337F8E">
            <w:pPr>
              <w:spacing w:line="400" w:lineRule="exact"/>
              <w:jc w:val="center"/>
              <w:rPr>
                <w:rFonts w:ascii="宋体" w:hAnsi="宋体"/>
                <w:kern w:val="0"/>
              </w:rPr>
            </w:pPr>
            <w:r>
              <w:rPr>
                <w:rFonts w:hint="eastAsia" w:ascii="宋体" w:hAnsi="宋体"/>
                <w:kern w:val="0"/>
              </w:rPr>
              <w:t>（1）</w:t>
            </w:r>
          </w:p>
        </w:tc>
        <w:tc>
          <w:tcPr>
            <w:tcW w:w="3144" w:type="dxa"/>
            <w:gridSpan w:val="5"/>
            <w:vAlign w:val="center"/>
          </w:tcPr>
          <w:p w14:paraId="4FB05E74">
            <w:pPr>
              <w:spacing w:line="400" w:lineRule="exact"/>
              <w:jc w:val="center"/>
              <w:rPr>
                <w:rFonts w:ascii="宋体" w:hAnsi="宋体"/>
                <w:kern w:val="0"/>
              </w:rPr>
            </w:pPr>
            <w:r>
              <w:rPr>
                <w:rFonts w:hint="eastAsia" w:ascii="宋体" w:hAnsi="宋体"/>
                <w:kern w:val="0"/>
              </w:rPr>
              <w:t>允许偏差率</w:t>
            </w:r>
          </w:p>
        </w:tc>
        <w:tc>
          <w:tcPr>
            <w:tcW w:w="5493" w:type="dxa"/>
            <w:vAlign w:val="center"/>
          </w:tcPr>
          <w:p w14:paraId="593079EF">
            <w:pPr>
              <w:spacing w:line="400" w:lineRule="exact"/>
              <w:ind w:firstLine="420" w:firstLineChars="200"/>
              <w:jc w:val="left"/>
              <w:rPr>
                <w:rFonts w:ascii="宋体" w:hAnsi="宋体"/>
                <w:kern w:val="0"/>
              </w:rPr>
            </w:pPr>
            <w:r>
              <w:rPr>
                <w:rFonts w:ascii="宋体" w:hAnsi="宋体"/>
                <w:kern w:val="0"/>
              </w:rPr>
              <w:t>投标总报价的偏差率计算公式</w:t>
            </w:r>
          </w:p>
          <w:p w14:paraId="7B9E106F">
            <w:pPr>
              <w:spacing w:line="400" w:lineRule="exact"/>
              <w:ind w:firstLine="420" w:firstLineChars="200"/>
              <w:jc w:val="left"/>
              <w:rPr>
                <w:rFonts w:ascii="宋体" w:hAnsi="宋体"/>
                <w:kern w:val="0"/>
              </w:rPr>
            </w:pPr>
            <w:r>
              <w:rPr>
                <w:rFonts w:ascii="宋体" w:hAnsi="宋体"/>
                <w:kern w:val="0"/>
              </w:rPr>
              <w:t>偏差率</w:t>
            </w:r>
            <w:r>
              <w:rPr>
                <w:rFonts w:ascii="宋体" w:hAnsi="宋体"/>
                <w:kern w:val="0"/>
                <w:sz w:val="28"/>
                <w:szCs w:val="28"/>
              </w:rPr>
              <w:t>=</w:t>
            </w:r>
            <w:r>
              <w:rPr>
                <w:rFonts w:ascii="宋体" w:hAnsi="宋体"/>
                <w:kern w:val="0"/>
              </w:rPr>
              <w:t>100％×（投标人报价一评标基准价）／评标基准价</w:t>
            </w:r>
          </w:p>
          <w:p w14:paraId="481D7135">
            <w:pPr>
              <w:spacing w:line="400" w:lineRule="exact"/>
              <w:ind w:firstLine="200"/>
              <w:rPr>
                <w:rFonts w:ascii="宋体" w:hAnsi="宋体"/>
                <w:kern w:val="0"/>
              </w:rPr>
            </w:pPr>
            <w:r>
              <w:rPr>
                <w:rFonts w:ascii="宋体" w:hAnsi="宋体"/>
                <w:kern w:val="0"/>
              </w:rPr>
              <w:t xml:space="preserve">  偏差率</w:t>
            </w:r>
            <w:r>
              <w:rPr>
                <w:rFonts w:ascii="宋体" w:hAnsi="宋体"/>
                <w:kern w:val="0"/>
                <w:szCs w:val="21"/>
              </w:rPr>
              <w:t>计算的最终结果</w:t>
            </w:r>
            <w:r>
              <w:rPr>
                <w:rFonts w:hint="eastAsia" w:ascii="宋体" w:hAnsi="宋体"/>
                <w:kern w:val="0"/>
                <w:szCs w:val="21"/>
              </w:rPr>
              <w:t>取</w:t>
            </w:r>
            <w:r>
              <w:rPr>
                <w:rFonts w:ascii="宋体" w:hAnsi="宋体"/>
                <w:kern w:val="0"/>
                <w:szCs w:val="21"/>
              </w:rPr>
              <w:t>小数点后两位，小数点后第三位“四舍五入”。</w:t>
            </w:r>
          </w:p>
        </w:tc>
      </w:tr>
      <w:tr w14:paraId="2D5780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Align w:val="center"/>
          </w:tcPr>
          <w:p w14:paraId="7CBCAAD5">
            <w:pPr>
              <w:spacing w:line="400" w:lineRule="exact"/>
              <w:jc w:val="center"/>
              <w:rPr>
                <w:rFonts w:ascii="宋体" w:hAnsi="宋体"/>
                <w:kern w:val="0"/>
              </w:rPr>
            </w:pPr>
            <w:r>
              <w:rPr>
                <w:rFonts w:ascii="宋体" w:hAnsi="宋体"/>
              </w:rPr>
              <w:t>3</w:t>
            </w:r>
          </w:p>
        </w:tc>
        <w:tc>
          <w:tcPr>
            <w:tcW w:w="1135" w:type="dxa"/>
            <w:gridSpan w:val="2"/>
            <w:vAlign w:val="center"/>
          </w:tcPr>
          <w:p w14:paraId="297AAA50">
            <w:pPr>
              <w:spacing w:line="400" w:lineRule="exact"/>
              <w:jc w:val="center"/>
              <w:rPr>
                <w:rFonts w:ascii="宋体" w:hAnsi="宋体"/>
                <w:kern w:val="0"/>
              </w:rPr>
            </w:pPr>
            <w:r>
              <w:rPr>
                <w:rFonts w:ascii="宋体" w:hAnsi="宋体"/>
              </w:rPr>
              <w:t>评标程序</w:t>
            </w:r>
          </w:p>
        </w:tc>
        <w:tc>
          <w:tcPr>
            <w:tcW w:w="7484" w:type="dxa"/>
            <w:gridSpan w:val="3"/>
          </w:tcPr>
          <w:p w14:paraId="29860514">
            <w:pPr>
              <w:spacing w:line="400" w:lineRule="exact"/>
              <w:ind w:firstLine="420" w:firstLineChars="200"/>
              <w:rPr>
                <w:rFonts w:ascii="宋体" w:hAnsi="宋体"/>
                <w:szCs w:val="21"/>
              </w:rPr>
            </w:pPr>
            <w:r>
              <w:rPr>
                <w:rFonts w:hint="eastAsia" w:ascii="宋体" w:hAnsi="宋体"/>
                <w:szCs w:val="21"/>
              </w:rPr>
              <w:t>1.按本章评标办法第3.1款进行初步评审。未通过初步评审或评标委员会认定为无效的投标文件的不再进行后续评审。</w:t>
            </w:r>
          </w:p>
          <w:p w14:paraId="47932DAF">
            <w:pPr>
              <w:spacing w:line="400" w:lineRule="exact"/>
              <w:ind w:firstLine="420" w:firstLineChars="200"/>
              <w:rPr>
                <w:rFonts w:ascii="宋体" w:hAnsi="宋体"/>
                <w:szCs w:val="21"/>
              </w:rPr>
            </w:pPr>
            <w:r>
              <w:rPr>
                <w:rFonts w:hint="eastAsia" w:ascii="宋体" w:hAnsi="宋体"/>
                <w:szCs w:val="21"/>
              </w:rPr>
              <w:t>2.按本章评标办法前附表第2.2.2项及第3.2.1（1）目的规定对技术部分进行评审。</w:t>
            </w:r>
          </w:p>
          <w:p w14:paraId="678F5AA3">
            <w:pPr>
              <w:spacing w:line="400" w:lineRule="exact"/>
              <w:ind w:firstLine="420" w:firstLineChars="200"/>
              <w:rPr>
                <w:rFonts w:ascii="宋体" w:hAnsi="宋体"/>
                <w:szCs w:val="21"/>
              </w:rPr>
            </w:pPr>
            <w:r>
              <w:rPr>
                <w:rFonts w:hint="eastAsia" w:ascii="宋体" w:hAnsi="宋体"/>
                <w:szCs w:val="21"/>
              </w:rPr>
              <w:t>3.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p w14:paraId="7C2421D0">
            <w:pPr>
              <w:spacing w:line="400" w:lineRule="exact"/>
              <w:ind w:firstLine="420" w:firstLineChars="200"/>
              <w:rPr>
                <w:rFonts w:ascii="宋体" w:hAnsi="宋体"/>
                <w:szCs w:val="21"/>
              </w:rPr>
            </w:pPr>
            <w:r>
              <w:rPr>
                <w:rFonts w:hint="eastAsia" w:ascii="宋体" w:hAnsi="宋体"/>
                <w:szCs w:val="21"/>
              </w:rPr>
              <w:t>4.对初步评审合格的投标人按照本章第2.2.3项计算方法计算评标基准价，并按本附表第3.2.1（2）目规定的评分方法对投标总报价进行评分。</w:t>
            </w:r>
          </w:p>
          <w:p w14:paraId="3933159D">
            <w:pPr>
              <w:spacing w:line="400" w:lineRule="exact"/>
              <w:ind w:firstLine="420" w:firstLineChars="200"/>
              <w:rPr>
                <w:rFonts w:ascii="宋体" w:hAnsi="宋体"/>
                <w:szCs w:val="21"/>
              </w:rPr>
            </w:pPr>
            <w:r>
              <w:rPr>
                <w:rFonts w:hint="eastAsia" w:ascii="宋体" w:hAnsi="宋体"/>
                <w:szCs w:val="21"/>
              </w:rPr>
              <w:t>5.对技术部分、投标总报价得分进行汇总，确定得分由高至低前三名投标人为中标候选人。</w:t>
            </w:r>
          </w:p>
        </w:tc>
      </w:tr>
      <w:tr w14:paraId="5A9963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1" w:type="dxa"/>
            <w:gridSpan w:val="2"/>
            <w:vMerge w:val="restart"/>
            <w:vAlign w:val="center"/>
          </w:tcPr>
          <w:p w14:paraId="13FA69AC">
            <w:pPr>
              <w:spacing w:line="400" w:lineRule="exact"/>
              <w:jc w:val="center"/>
              <w:rPr>
                <w:rFonts w:ascii="宋体" w:hAnsi="宋体"/>
              </w:rPr>
            </w:pPr>
            <w:r>
              <w:rPr>
                <w:rFonts w:ascii="宋体" w:hAnsi="宋体"/>
              </w:rPr>
              <w:t>3.2.1</w:t>
            </w:r>
          </w:p>
          <w:p w14:paraId="1D0DA0B8">
            <w:pPr>
              <w:spacing w:line="400" w:lineRule="exact"/>
              <w:jc w:val="center"/>
              <w:rPr>
                <w:rFonts w:ascii="宋体" w:hAnsi="宋体"/>
              </w:rPr>
            </w:pPr>
            <w:r>
              <w:rPr>
                <w:rFonts w:ascii="宋体" w:hAnsi="宋体"/>
              </w:rPr>
              <w:t>（</w:t>
            </w:r>
            <w:r>
              <w:rPr>
                <w:rFonts w:hint="eastAsia" w:ascii="宋体" w:hAnsi="宋体"/>
              </w:rPr>
              <w:t>1</w:t>
            </w:r>
            <w:r>
              <w:rPr>
                <w:rFonts w:ascii="宋体" w:hAnsi="宋体"/>
              </w:rPr>
              <w:t>）</w:t>
            </w:r>
          </w:p>
        </w:tc>
        <w:tc>
          <w:tcPr>
            <w:tcW w:w="1135" w:type="dxa"/>
            <w:gridSpan w:val="2"/>
            <w:vMerge w:val="restart"/>
            <w:vAlign w:val="center"/>
          </w:tcPr>
          <w:p w14:paraId="179288B1">
            <w:pPr>
              <w:spacing w:line="400" w:lineRule="exact"/>
              <w:jc w:val="center"/>
              <w:rPr>
                <w:rFonts w:ascii="宋体" w:hAnsi="宋体"/>
              </w:rPr>
            </w:pPr>
            <w:r>
              <w:rPr>
                <w:rFonts w:hint="eastAsia" w:ascii="宋体" w:hAnsi="宋体"/>
              </w:rPr>
              <w:t>技术部分</w:t>
            </w:r>
            <w:r>
              <w:rPr>
                <w:rFonts w:ascii="宋体" w:hAnsi="宋体"/>
                <w:kern w:val="0"/>
              </w:rPr>
              <w:t>得分</w:t>
            </w:r>
            <w:r>
              <w:rPr>
                <w:rFonts w:ascii="宋体" w:hAnsi="宋体"/>
                <w:spacing w:val="-4"/>
              </w:rPr>
              <w:t>（</w:t>
            </w:r>
            <w:r>
              <w:rPr>
                <w:rFonts w:hint="eastAsia" w:ascii="宋体" w:hAnsi="宋体"/>
                <w:spacing w:val="-4"/>
              </w:rPr>
              <w:t>A）</w:t>
            </w:r>
          </w:p>
        </w:tc>
        <w:tc>
          <w:tcPr>
            <w:tcW w:w="1991" w:type="dxa"/>
            <w:gridSpan w:val="2"/>
            <w:tcBorders>
              <w:bottom w:val="single" w:color="auto" w:sz="4" w:space="0"/>
            </w:tcBorders>
            <w:vAlign w:val="center"/>
          </w:tcPr>
          <w:p w14:paraId="59B0C34B">
            <w:pPr>
              <w:tabs>
                <w:tab w:val="left" w:pos="1875"/>
              </w:tabs>
              <w:spacing w:line="360" w:lineRule="auto"/>
              <w:jc w:val="center"/>
              <w:rPr>
                <w:rFonts w:ascii="宋体" w:hAnsi="宋体"/>
              </w:rPr>
            </w:pPr>
            <w:r>
              <w:rPr>
                <w:rFonts w:hint="eastAsia" w:ascii="宋体" w:hAnsi="宋体"/>
                <w:color w:val="auto"/>
                <w:kern w:val="0"/>
              </w:rPr>
              <w:t>内容完整性和编制水平</w:t>
            </w:r>
          </w:p>
        </w:tc>
        <w:tc>
          <w:tcPr>
            <w:tcW w:w="5493" w:type="dxa"/>
            <w:tcBorders>
              <w:bottom w:val="single" w:color="auto" w:sz="4" w:space="0"/>
            </w:tcBorders>
            <w:vAlign w:val="center"/>
          </w:tcPr>
          <w:p w14:paraId="299B2871">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szCs w:val="21"/>
              </w:rPr>
              <w:t>不符合第二章投标人须知前附表第3.7.5项</w:t>
            </w: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lang w:val="en-US" w:eastAsia="zh-CN"/>
              </w:rPr>
              <w:t>技术部分装订</w:t>
            </w:r>
            <w:r>
              <w:rPr>
                <w:rFonts w:hint="eastAsia" w:ascii="宋体" w:hAnsi="宋体"/>
                <w:szCs w:val="21"/>
              </w:rPr>
              <w:t>要求的，技术方案得0分。</w:t>
            </w:r>
          </w:p>
        </w:tc>
      </w:tr>
      <w:tr w14:paraId="685FEF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1" w:type="dxa"/>
            <w:gridSpan w:val="2"/>
            <w:vMerge w:val="continue"/>
            <w:vAlign w:val="center"/>
          </w:tcPr>
          <w:p w14:paraId="230C7762">
            <w:pPr>
              <w:spacing w:line="400" w:lineRule="exact"/>
              <w:jc w:val="center"/>
              <w:rPr>
                <w:rFonts w:ascii="宋体" w:hAnsi="宋体"/>
              </w:rPr>
            </w:pPr>
          </w:p>
        </w:tc>
        <w:tc>
          <w:tcPr>
            <w:tcW w:w="1135" w:type="dxa"/>
            <w:gridSpan w:val="2"/>
            <w:vMerge w:val="continue"/>
            <w:vAlign w:val="center"/>
          </w:tcPr>
          <w:p w14:paraId="72F78713">
            <w:pPr>
              <w:spacing w:line="400" w:lineRule="exact"/>
              <w:jc w:val="center"/>
              <w:rPr>
                <w:rFonts w:hint="eastAsia" w:ascii="宋体" w:hAnsi="宋体"/>
              </w:rPr>
            </w:pPr>
          </w:p>
        </w:tc>
        <w:tc>
          <w:tcPr>
            <w:tcW w:w="1991" w:type="dxa"/>
            <w:gridSpan w:val="2"/>
            <w:tcBorders>
              <w:top w:val="single" w:color="auto" w:sz="4" w:space="0"/>
              <w:bottom w:val="single" w:color="auto" w:sz="4" w:space="0"/>
            </w:tcBorders>
            <w:vAlign w:val="center"/>
          </w:tcPr>
          <w:p w14:paraId="46E9DBC6">
            <w:pPr>
              <w:tabs>
                <w:tab w:val="left" w:pos="1875"/>
              </w:tabs>
              <w:spacing w:line="360" w:lineRule="auto"/>
              <w:jc w:val="center"/>
              <w:rPr>
                <w:rFonts w:ascii="宋体" w:hAnsi="宋体"/>
                <w:kern w:val="0"/>
              </w:rPr>
            </w:pPr>
            <w:r>
              <w:rPr>
                <w:rFonts w:hint="eastAsia" w:ascii="宋体" w:hAnsi="宋体"/>
                <w:color w:val="auto"/>
                <w:kern w:val="0"/>
              </w:rPr>
              <w:t>施工方案与技术措施</w:t>
            </w:r>
          </w:p>
        </w:tc>
        <w:tc>
          <w:tcPr>
            <w:tcW w:w="5493" w:type="dxa"/>
            <w:vMerge w:val="restart"/>
            <w:tcBorders>
              <w:top w:val="single" w:color="auto" w:sz="4" w:space="0"/>
            </w:tcBorders>
            <w:vAlign w:val="center"/>
          </w:tcPr>
          <w:p w14:paraId="444D1A85">
            <w:pPr>
              <w:autoSpaceDE w:val="0"/>
              <w:autoSpaceDN w:val="0"/>
              <w:adjustRightInd w:val="0"/>
              <w:snapToGrid w:val="0"/>
              <w:spacing w:line="400" w:lineRule="exact"/>
              <w:ind w:firstLine="420" w:firstLineChars="200"/>
              <w:rPr>
                <w:rFonts w:ascii="宋体" w:hAnsi="宋体"/>
                <w:szCs w:val="21"/>
              </w:rPr>
            </w:pPr>
            <w:r>
              <w:rPr>
                <w:rFonts w:ascii="宋体" w:hAnsi="宋体"/>
                <w:szCs w:val="21"/>
              </w:rPr>
              <w:t>评标委员会按</w:t>
            </w:r>
            <w:r>
              <w:rPr>
                <w:rFonts w:hint="eastAsia" w:ascii="宋体" w:hAnsi="宋体"/>
                <w:szCs w:val="21"/>
              </w:rPr>
              <w:t>第</w:t>
            </w:r>
            <w:r>
              <w:rPr>
                <w:rFonts w:ascii="宋体" w:hAnsi="宋体"/>
                <w:szCs w:val="21"/>
              </w:rPr>
              <w:t>2.2.</w:t>
            </w:r>
            <w:r>
              <w:rPr>
                <w:rFonts w:hint="eastAsia" w:ascii="宋体" w:hAnsi="宋体"/>
                <w:szCs w:val="21"/>
              </w:rPr>
              <w:t>2</w:t>
            </w:r>
            <w:r>
              <w:rPr>
                <w:rFonts w:ascii="宋体" w:hAnsi="宋体"/>
                <w:szCs w:val="21"/>
              </w:rPr>
              <w:t>项各评审因素设定的分值评分。</w:t>
            </w:r>
          </w:p>
          <w:p w14:paraId="04113B5C">
            <w:pPr>
              <w:spacing w:line="400" w:lineRule="exact"/>
              <w:ind w:firstLine="420" w:firstLineChars="200"/>
              <w:rPr>
                <w:rFonts w:ascii="宋体" w:hAnsi="宋体"/>
                <w:kern w:val="0"/>
                <w:szCs w:val="21"/>
              </w:rPr>
            </w:pPr>
            <w:r>
              <w:rPr>
                <w:rFonts w:ascii="宋体" w:hAnsi="宋体"/>
                <w:kern w:val="0"/>
                <w:szCs w:val="21"/>
              </w:rPr>
              <w:t>技术方案得分的最终结果取小数点后两位，第三位四舍五入。</w:t>
            </w:r>
          </w:p>
        </w:tc>
      </w:tr>
      <w:tr w14:paraId="29CE96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51" w:type="dxa"/>
            <w:gridSpan w:val="2"/>
            <w:vMerge w:val="continue"/>
            <w:vAlign w:val="center"/>
          </w:tcPr>
          <w:p w14:paraId="38D6EAD4">
            <w:pPr>
              <w:spacing w:line="400" w:lineRule="exact"/>
              <w:jc w:val="center"/>
              <w:rPr>
                <w:rFonts w:ascii="宋体" w:hAnsi="宋体"/>
              </w:rPr>
            </w:pPr>
          </w:p>
        </w:tc>
        <w:tc>
          <w:tcPr>
            <w:tcW w:w="1135" w:type="dxa"/>
            <w:gridSpan w:val="2"/>
            <w:vMerge w:val="continue"/>
            <w:vAlign w:val="center"/>
          </w:tcPr>
          <w:p w14:paraId="39ABB3F6">
            <w:pPr>
              <w:spacing w:line="400" w:lineRule="exact"/>
              <w:jc w:val="center"/>
              <w:rPr>
                <w:rFonts w:ascii="宋体" w:hAnsi="宋体"/>
              </w:rPr>
            </w:pPr>
          </w:p>
        </w:tc>
        <w:tc>
          <w:tcPr>
            <w:tcW w:w="1991" w:type="dxa"/>
            <w:gridSpan w:val="2"/>
            <w:tcBorders>
              <w:top w:val="single" w:color="auto" w:sz="4" w:space="0"/>
              <w:bottom w:val="single" w:color="auto" w:sz="4" w:space="0"/>
            </w:tcBorders>
            <w:vAlign w:val="center"/>
          </w:tcPr>
          <w:p w14:paraId="06B25A01">
            <w:pPr>
              <w:tabs>
                <w:tab w:val="left" w:pos="1875"/>
              </w:tabs>
              <w:spacing w:line="360" w:lineRule="auto"/>
              <w:jc w:val="center"/>
              <w:rPr>
                <w:rFonts w:ascii="宋体" w:hAnsi="宋体"/>
              </w:rPr>
            </w:pPr>
            <w:r>
              <w:rPr>
                <w:rFonts w:ascii="宋体" w:hAnsi="宋体"/>
                <w:color w:val="auto"/>
                <w:kern w:val="0"/>
              </w:rPr>
              <w:t>质量管理体系与措施</w:t>
            </w:r>
          </w:p>
        </w:tc>
        <w:tc>
          <w:tcPr>
            <w:tcW w:w="5493" w:type="dxa"/>
            <w:vMerge w:val="continue"/>
            <w:vAlign w:val="center"/>
          </w:tcPr>
          <w:p w14:paraId="3D300DD1">
            <w:pPr>
              <w:autoSpaceDE w:val="0"/>
              <w:autoSpaceDN w:val="0"/>
              <w:adjustRightInd w:val="0"/>
              <w:snapToGrid w:val="0"/>
              <w:spacing w:line="400" w:lineRule="exact"/>
              <w:ind w:firstLine="420" w:firstLineChars="200"/>
              <w:rPr>
                <w:rFonts w:ascii="宋体" w:hAnsi="宋体"/>
                <w:szCs w:val="21"/>
              </w:rPr>
            </w:pPr>
          </w:p>
        </w:tc>
      </w:tr>
      <w:tr w14:paraId="0E090F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851" w:type="dxa"/>
            <w:gridSpan w:val="2"/>
            <w:vMerge w:val="continue"/>
            <w:vAlign w:val="center"/>
          </w:tcPr>
          <w:p w14:paraId="1EBC1B59">
            <w:pPr>
              <w:spacing w:line="400" w:lineRule="exact"/>
              <w:jc w:val="center"/>
              <w:rPr>
                <w:rFonts w:ascii="宋体" w:hAnsi="宋体"/>
              </w:rPr>
            </w:pPr>
          </w:p>
        </w:tc>
        <w:tc>
          <w:tcPr>
            <w:tcW w:w="1135" w:type="dxa"/>
            <w:gridSpan w:val="2"/>
            <w:vMerge w:val="continue"/>
            <w:vAlign w:val="center"/>
          </w:tcPr>
          <w:p w14:paraId="4D9133AC">
            <w:pPr>
              <w:spacing w:line="400" w:lineRule="exact"/>
              <w:jc w:val="center"/>
              <w:rPr>
                <w:rFonts w:ascii="宋体" w:hAnsi="宋体"/>
              </w:rPr>
            </w:pPr>
          </w:p>
        </w:tc>
        <w:tc>
          <w:tcPr>
            <w:tcW w:w="1991" w:type="dxa"/>
            <w:gridSpan w:val="2"/>
            <w:tcBorders>
              <w:top w:val="single" w:color="auto" w:sz="4" w:space="0"/>
              <w:bottom w:val="single" w:color="auto" w:sz="4" w:space="0"/>
            </w:tcBorders>
            <w:vAlign w:val="center"/>
          </w:tcPr>
          <w:p w14:paraId="31CDD015">
            <w:pPr>
              <w:tabs>
                <w:tab w:val="left" w:pos="1875"/>
              </w:tabs>
              <w:spacing w:line="360" w:lineRule="auto"/>
              <w:jc w:val="center"/>
              <w:rPr>
                <w:rFonts w:ascii="宋体" w:hAnsi="宋体"/>
              </w:rPr>
            </w:pPr>
            <w:r>
              <w:rPr>
                <w:rFonts w:ascii="宋体" w:hAnsi="宋体"/>
                <w:color w:val="auto"/>
                <w:kern w:val="0"/>
              </w:rPr>
              <w:t>安全管理体系与措施</w:t>
            </w:r>
          </w:p>
        </w:tc>
        <w:tc>
          <w:tcPr>
            <w:tcW w:w="5493" w:type="dxa"/>
            <w:vMerge w:val="continue"/>
            <w:vAlign w:val="center"/>
          </w:tcPr>
          <w:p w14:paraId="2B3B36BE">
            <w:pPr>
              <w:autoSpaceDE w:val="0"/>
              <w:autoSpaceDN w:val="0"/>
              <w:adjustRightInd w:val="0"/>
              <w:snapToGrid w:val="0"/>
              <w:spacing w:line="400" w:lineRule="exact"/>
              <w:ind w:firstLine="420" w:firstLineChars="200"/>
              <w:rPr>
                <w:rFonts w:ascii="宋体" w:hAnsi="宋体"/>
                <w:szCs w:val="21"/>
              </w:rPr>
            </w:pPr>
          </w:p>
        </w:tc>
      </w:tr>
      <w:tr w14:paraId="2634DC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51" w:type="dxa"/>
            <w:gridSpan w:val="2"/>
            <w:vMerge w:val="continue"/>
            <w:vAlign w:val="center"/>
          </w:tcPr>
          <w:p w14:paraId="03048B5A">
            <w:pPr>
              <w:spacing w:line="400" w:lineRule="exact"/>
              <w:jc w:val="center"/>
              <w:rPr>
                <w:rFonts w:ascii="宋体" w:hAnsi="宋体"/>
              </w:rPr>
            </w:pPr>
          </w:p>
        </w:tc>
        <w:tc>
          <w:tcPr>
            <w:tcW w:w="1135" w:type="dxa"/>
            <w:gridSpan w:val="2"/>
            <w:vMerge w:val="continue"/>
            <w:vAlign w:val="center"/>
          </w:tcPr>
          <w:p w14:paraId="7B9698A0">
            <w:pPr>
              <w:spacing w:line="400" w:lineRule="exact"/>
              <w:jc w:val="center"/>
              <w:rPr>
                <w:rFonts w:ascii="宋体" w:hAnsi="宋体"/>
              </w:rPr>
            </w:pPr>
          </w:p>
        </w:tc>
        <w:tc>
          <w:tcPr>
            <w:tcW w:w="1991" w:type="dxa"/>
            <w:gridSpan w:val="2"/>
            <w:tcBorders>
              <w:top w:val="single" w:color="auto" w:sz="4" w:space="0"/>
              <w:bottom w:val="single" w:color="auto" w:sz="4" w:space="0"/>
            </w:tcBorders>
            <w:vAlign w:val="center"/>
          </w:tcPr>
          <w:p w14:paraId="651EB498">
            <w:pPr>
              <w:tabs>
                <w:tab w:val="left" w:pos="1875"/>
              </w:tabs>
              <w:spacing w:line="360" w:lineRule="auto"/>
              <w:jc w:val="center"/>
              <w:rPr>
                <w:rFonts w:ascii="宋体" w:hAnsi="宋体"/>
              </w:rPr>
            </w:pPr>
            <w:r>
              <w:rPr>
                <w:rFonts w:ascii="宋体" w:hAnsi="宋体"/>
                <w:color w:val="auto"/>
                <w:kern w:val="0"/>
              </w:rPr>
              <w:t>环境保护管理体系措施</w:t>
            </w:r>
          </w:p>
        </w:tc>
        <w:tc>
          <w:tcPr>
            <w:tcW w:w="5493" w:type="dxa"/>
            <w:vMerge w:val="continue"/>
            <w:vAlign w:val="center"/>
          </w:tcPr>
          <w:p w14:paraId="568BD9AF">
            <w:pPr>
              <w:autoSpaceDE w:val="0"/>
              <w:autoSpaceDN w:val="0"/>
              <w:adjustRightInd w:val="0"/>
              <w:snapToGrid w:val="0"/>
              <w:spacing w:line="400" w:lineRule="exact"/>
              <w:ind w:firstLine="420" w:firstLineChars="200"/>
              <w:rPr>
                <w:rFonts w:ascii="宋体" w:hAnsi="宋体"/>
                <w:szCs w:val="21"/>
              </w:rPr>
            </w:pPr>
          </w:p>
        </w:tc>
      </w:tr>
      <w:tr w14:paraId="1E6E45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851" w:type="dxa"/>
            <w:gridSpan w:val="2"/>
            <w:vMerge w:val="continue"/>
            <w:vAlign w:val="center"/>
          </w:tcPr>
          <w:p w14:paraId="10FC72D1">
            <w:pPr>
              <w:spacing w:line="400" w:lineRule="exact"/>
              <w:jc w:val="center"/>
              <w:rPr>
                <w:rFonts w:ascii="宋体" w:hAnsi="宋体"/>
              </w:rPr>
            </w:pPr>
          </w:p>
        </w:tc>
        <w:tc>
          <w:tcPr>
            <w:tcW w:w="1135" w:type="dxa"/>
            <w:gridSpan w:val="2"/>
            <w:vMerge w:val="continue"/>
            <w:vAlign w:val="center"/>
          </w:tcPr>
          <w:p w14:paraId="1E71A744">
            <w:pPr>
              <w:spacing w:line="400" w:lineRule="exact"/>
              <w:jc w:val="center"/>
              <w:rPr>
                <w:rFonts w:ascii="宋体" w:hAnsi="宋体"/>
              </w:rPr>
            </w:pPr>
          </w:p>
        </w:tc>
        <w:tc>
          <w:tcPr>
            <w:tcW w:w="1991" w:type="dxa"/>
            <w:gridSpan w:val="2"/>
            <w:tcBorders>
              <w:top w:val="single" w:color="auto" w:sz="4" w:space="0"/>
              <w:bottom w:val="single" w:color="auto" w:sz="4" w:space="0"/>
            </w:tcBorders>
            <w:vAlign w:val="center"/>
          </w:tcPr>
          <w:p w14:paraId="624682A3">
            <w:pPr>
              <w:tabs>
                <w:tab w:val="left" w:pos="1875"/>
              </w:tabs>
              <w:spacing w:line="360" w:lineRule="auto"/>
              <w:jc w:val="center"/>
              <w:rPr>
                <w:rFonts w:ascii="宋体" w:hAnsi="宋体"/>
              </w:rPr>
            </w:pPr>
            <w:r>
              <w:rPr>
                <w:rFonts w:ascii="宋体" w:hAnsi="宋体"/>
                <w:color w:val="auto"/>
                <w:kern w:val="0"/>
              </w:rPr>
              <w:t>工程进度计划与措施</w:t>
            </w:r>
          </w:p>
        </w:tc>
        <w:tc>
          <w:tcPr>
            <w:tcW w:w="5493" w:type="dxa"/>
            <w:vMerge w:val="continue"/>
            <w:vAlign w:val="center"/>
          </w:tcPr>
          <w:p w14:paraId="39B18AAD">
            <w:pPr>
              <w:autoSpaceDE w:val="0"/>
              <w:autoSpaceDN w:val="0"/>
              <w:adjustRightInd w:val="0"/>
              <w:snapToGrid w:val="0"/>
              <w:spacing w:line="400" w:lineRule="exact"/>
              <w:ind w:firstLine="420" w:firstLineChars="200"/>
              <w:rPr>
                <w:rFonts w:ascii="宋体" w:hAnsi="宋体"/>
                <w:szCs w:val="21"/>
              </w:rPr>
            </w:pPr>
          </w:p>
        </w:tc>
      </w:tr>
      <w:tr w14:paraId="38C3C2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51" w:type="dxa"/>
            <w:gridSpan w:val="2"/>
            <w:vMerge w:val="continue"/>
            <w:vAlign w:val="center"/>
          </w:tcPr>
          <w:p w14:paraId="72EB6D3A">
            <w:pPr>
              <w:spacing w:line="400" w:lineRule="exact"/>
              <w:jc w:val="center"/>
              <w:rPr>
                <w:rFonts w:ascii="宋体" w:hAnsi="宋体"/>
              </w:rPr>
            </w:pPr>
          </w:p>
        </w:tc>
        <w:tc>
          <w:tcPr>
            <w:tcW w:w="1135" w:type="dxa"/>
            <w:gridSpan w:val="2"/>
            <w:vMerge w:val="continue"/>
            <w:vAlign w:val="center"/>
          </w:tcPr>
          <w:p w14:paraId="5FFF97B1">
            <w:pPr>
              <w:spacing w:line="400" w:lineRule="exact"/>
              <w:jc w:val="center"/>
              <w:rPr>
                <w:rFonts w:ascii="宋体" w:hAnsi="宋体"/>
              </w:rPr>
            </w:pPr>
          </w:p>
        </w:tc>
        <w:tc>
          <w:tcPr>
            <w:tcW w:w="1991" w:type="dxa"/>
            <w:gridSpan w:val="2"/>
            <w:tcBorders>
              <w:top w:val="single" w:color="auto" w:sz="4" w:space="0"/>
              <w:bottom w:val="single" w:color="auto" w:sz="4" w:space="0"/>
            </w:tcBorders>
            <w:vAlign w:val="center"/>
          </w:tcPr>
          <w:p w14:paraId="37589298">
            <w:pPr>
              <w:tabs>
                <w:tab w:val="left" w:pos="1875"/>
              </w:tabs>
              <w:spacing w:line="360" w:lineRule="auto"/>
              <w:jc w:val="center"/>
              <w:rPr>
                <w:rFonts w:ascii="宋体" w:hAnsi="宋体"/>
              </w:rPr>
            </w:pPr>
            <w:r>
              <w:rPr>
                <w:rFonts w:ascii="宋体" w:hAnsi="宋体"/>
                <w:color w:val="auto"/>
                <w:kern w:val="0"/>
              </w:rPr>
              <w:t>资源配备计划与先进性</w:t>
            </w:r>
          </w:p>
        </w:tc>
        <w:tc>
          <w:tcPr>
            <w:tcW w:w="5493" w:type="dxa"/>
            <w:vMerge w:val="continue"/>
            <w:vAlign w:val="center"/>
          </w:tcPr>
          <w:p w14:paraId="1B19F0FA">
            <w:pPr>
              <w:autoSpaceDE w:val="0"/>
              <w:autoSpaceDN w:val="0"/>
              <w:adjustRightInd w:val="0"/>
              <w:snapToGrid w:val="0"/>
              <w:spacing w:line="400" w:lineRule="exact"/>
              <w:ind w:firstLine="420" w:firstLineChars="200"/>
              <w:rPr>
                <w:rFonts w:ascii="宋体" w:hAnsi="宋体"/>
                <w:szCs w:val="21"/>
              </w:rPr>
            </w:pPr>
          </w:p>
        </w:tc>
      </w:tr>
      <w:tr w14:paraId="32228D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1" w:type="dxa"/>
            <w:gridSpan w:val="2"/>
            <w:vAlign w:val="center"/>
          </w:tcPr>
          <w:p w14:paraId="1139463C">
            <w:pPr>
              <w:spacing w:line="400" w:lineRule="exact"/>
              <w:jc w:val="center"/>
              <w:rPr>
                <w:rFonts w:ascii="宋体" w:hAnsi="宋体"/>
              </w:rPr>
            </w:pPr>
            <w:r>
              <w:rPr>
                <w:rFonts w:ascii="宋体" w:hAnsi="宋体"/>
              </w:rPr>
              <w:t>3.2.1（</w:t>
            </w:r>
            <w:r>
              <w:rPr>
                <w:rFonts w:hint="eastAsia" w:ascii="宋体" w:hAnsi="宋体"/>
              </w:rPr>
              <w:t>2</w:t>
            </w:r>
            <w:r>
              <w:rPr>
                <w:rFonts w:ascii="宋体" w:hAnsi="宋体"/>
              </w:rPr>
              <w:t>）</w:t>
            </w:r>
          </w:p>
        </w:tc>
        <w:tc>
          <w:tcPr>
            <w:tcW w:w="1135" w:type="dxa"/>
            <w:gridSpan w:val="2"/>
            <w:vAlign w:val="center"/>
          </w:tcPr>
          <w:p w14:paraId="66B03B21">
            <w:pPr>
              <w:spacing w:line="400" w:lineRule="exact"/>
              <w:jc w:val="center"/>
              <w:rPr>
                <w:rFonts w:ascii="宋体" w:hAnsi="宋体"/>
              </w:rPr>
            </w:pPr>
            <w:r>
              <w:rPr>
                <w:rFonts w:ascii="宋体" w:hAnsi="宋体"/>
              </w:rPr>
              <w:t>投标报价</w:t>
            </w:r>
            <w:r>
              <w:rPr>
                <w:rFonts w:ascii="宋体" w:hAnsi="宋体"/>
                <w:kern w:val="0"/>
              </w:rPr>
              <w:t>得分</w:t>
            </w:r>
            <w:r>
              <w:rPr>
                <w:rFonts w:ascii="宋体" w:hAnsi="宋体"/>
                <w:spacing w:val="-8"/>
              </w:rPr>
              <w:t>（</w:t>
            </w:r>
            <w:r>
              <w:rPr>
                <w:rFonts w:hint="eastAsia" w:ascii="宋体" w:hAnsi="宋体"/>
                <w:spacing w:val="-8"/>
              </w:rPr>
              <w:t>B</w:t>
            </w:r>
            <w:r>
              <w:rPr>
                <w:rFonts w:ascii="宋体" w:hAnsi="宋体"/>
                <w:spacing w:val="-8"/>
              </w:rPr>
              <w:t>）</w:t>
            </w:r>
          </w:p>
        </w:tc>
        <w:tc>
          <w:tcPr>
            <w:tcW w:w="1991" w:type="dxa"/>
            <w:gridSpan w:val="2"/>
            <w:tcBorders>
              <w:top w:val="single" w:color="auto" w:sz="4" w:space="0"/>
            </w:tcBorders>
            <w:vAlign w:val="center"/>
          </w:tcPr>
          <w:p w14:paraId="2C29B1BB">
            <w:pPr>
              <w:spacing w:line="400" w:lineRule="exact"/>
              <w:jc w:val="center"/>
              <w:rPr>
                <w:rFonts w:ascii="宋体" w:hAnsi="宋体"/>
              </w:rPr>
            </w:pPr>
            <w:r>
              <w:rPr>
                <w:rFonts w:ascii="宋体" w:hAnsi="宋体"/>
              </w:rPr>
              <w:t>投标总报价</w:t>
            </w:r>
          </w:p>
        </w:tc>
        <w:tc>
          <w:tcPr>
            <w:tcW w:w="5493" w:type="dxa"/>
            <w:vAlign w:val="center"/>
          </w:tcPr>
          <w:p w14:paraId="710B46E2">
            <w:pPr>
              <w:spacing w:line="400" w:lineRule="exact"/>
              <w:ind w:firstLine="420" w:firstLineChars="200"/>
              <w:rPr>
                <w:rFonts w:ascii="宋体" w:hAnsi="宋体"/>
                <w:szCs w:val="21"/>
              </w:rPr>
            </w:pPr>
            <w:r>
              <w:rPr>
                <w:rFonts w:hint="eastAsia" w:ascii="宋体" w:hAnsi="宋体"/>
                <w:bCs/>
                <w:kern w:val="0"/>
                <w:szCs w:val="21"/>
              </w:rPr>
              <w:t>设置允许偏差范围的，</w:t>
            </w:r>
            <w:r>
              <w:rPr>
                <w:rFonts w:ascii="宋体" w:hAnsi="宋体"/>
                <w:kern w:val="0"/>
              </w:rPr>
              <w:t>投标总报价的偏差在</w:t>
            </w:r>
            <w:r>
              <w:rPr>
                <w:rFonts w:ascii="宋体" w:hAnsi="宋体"/>
                <w:szCs w:val="21"/>
              </w:rPr>
              <w:t>允许偏差范围外的，</w:t>
            </w:r>
            <w:r>
              <w:rPr>
                <w:rFonts w:ascii="宋体" w:hAnsi="宋体"/>
                <w:bCs/>
                <w:szCs w:val="28"/>
              </w:rPr>
              <w:t>得零分</w:t>
            </w:r>
            <w:r>
              <w:rPr>
                <w:rFonts w:ascii="宋体" w:hAnsi="宋体"/>
                <w:kern w:val="0"/>
              </w:rPr>
              <w:t>；</w:t>
            </w:r>
            <w:r>
              <w:rPr>
                <w:rFonts w:hint="eastAsia" w:ascii="宋体" w:hAnsi="宋体"/>
                <w:kern w:val="0"/>
              </w:rPr>
              <w:t>不设置允许偏差范围或</w:t>
            </w:r>
            <w:r>
              <w:rPr>
                <w:rFonts w:ascii="宋体" w:hAnsi="宋体"/>
                <w:szCs w:val="21"/>
              </w:rPr>
              <w:t>投标总报价偏差在允许范围内的（含上、下限值），得</w:t>
            </w:r>
            <w:r>
              <w:rPr>
                <w:rFonts w:ascii="宋体" w:hAnsi="宋体"/>
                <w:bCs/>
                <w:szCs w:val="28"/>
              </w:rPr>
              <w:t>本附表</w:t>
            </w:r>
            <w:r>
              <w:rPr>
                <w:rFonts w:hint="eastAsia" w:ascii="宋体" w:hAnsi="宋体"/>
                <w:bCs/>
                <w:szCs w:val="28"/>
              </w:rPr>
              <w:t>第</w:t>
            </w:r>
            <w:r>
              <w:rPr>
                <w:rFonts w:ascii="宋体" w:hAnsi="宋体"/>
                <w:bCs/>
                <w:szCs w:val="28"/>
              </w:rPr>
              <w:t>2.2.1</w:t>
            </w:r>
            <w:r>
              <w:rPr>
                <w:rFonts w:hint="eastAsia" w:ascii="宋体" w:hAnsi="宋体"/>
                <w:bCs/>
                <w:szCs w:val="28"/>
              </w:rPr>
              <w:t>项</w:t>
            </w:r>
            <w:r>
              <w:rPr>
                <w:rFonts w:ascii="宋体" w:hAnsi="宋体"/>
                <w:bCs/>
                <w:szCs w:val="28"/>
              </w:rPr>
              <w:t>规定分值的满分</w:t>
            </w:r>
            <w:r>
              <w:rPr>
                <w:rFonts w:hint="eastAsia" w:ascii="宋体" w:hAnsi="宋体"/>
                <w:bCs/>
                <w:szCs w:val="28"/>
                <w:u w:val="single"/>
                <w:lang w:val="en-US" w:eastAsia="zh-CN"/>
              </w:rPr>
              <w:t>70</w:t>
            </w:r>
            <w:r>
              <w:rPr>
                <w:rFonts w:ascii="宋体" w:hAnsi="宋体"/>
                <w:szCs w:val="21"/>
              </w:rPr>
              <w:t>分。在此基础上，投标总报价与评标基准价相比，每增加1%扣</w:t>
            </w:r>
            <w:r>
              <w:rPr>
                <w:rFonts w:hint="eastAsia" w:ascii="宋体" w:hAnsi="宋体"/>
                <w:szCs w:val="21"/>
                <w:u w:val="single"/>
                <w:lang w:val="en-US" w:eastAsia="zh-CN"/>
              </w:rPr>
              <w:t>1</w:t>
            </w:r>
            <w:r>
              <w:rPr>
                <w:rFonts w:ascii="宋体" w:hAnsi="宋体"/>
                <w:szCs w:val="21"/>
              </w:rPr>
              <w:t>分，每减少1%扣</w:t>
            </w:r>
            <w:r>
              <w:rPr>
                <w:rFonts w:hint="eastAsia" w:ascii="宋体" w:hAnsi="宋体"/>
                <w:szCs w:val="21"/>
                <w:u w:val="single"/>
                <w:lang w:val="en-US" w:eastAsia="zh-CN"/>
              </w:rPr>
              <w:t xml:space="preserve">0.5 </w:t>
            </w:r>
            <w:r>
              <w:rPr>
                <w:rFonts w:ascii="宋体" w:hAnsi="宋体"/>
                <w:szCs w:val="21"/>
              </w:rPr>
              <w:t>分，扣完为止。</w:t>
            </w:r>
          </w:p>
          <w:p w14:paraId="3DC93A09">
            <w:pPr>
              <w:spacing w:line="400" w:lineRule="exact"/>
              <w:ind w:firstLine="420" w:firstLineChars="200"/>
              <w:rPr>
                <w:rFonts w:ascii="宋体" w:hAnsi="宋体"/>
                <w:szCs w:val="21"/>
              </w:rPr>
            </w:pPr>
            <w:r>
              <w:rPr>
                <w:rFonts w:ascii="宋体" w:hAnsi="宋体"/>
                <w:szCs w:val="21"/>
              </w:rPr>
              <w:t>按插入法计算得分。</w:t>
            </w:r>
          </w:p>
          <w:p w14:paraId="664CE660">
            <w:pPr>
              <w:spacing w:line="400" w:lineRule="exact"/>
              <w:ind w:firstLine="420" w:firstLineChars="200"/>
              <w:rPr>
                <w:rFonts w:ascii="宋体" w:hAnsi="宋体"/>
                <w:szCs w:val="21"/>
              </w:rPr>
            </w:pPr>
            <w:r>
              <w:rPr>
                <w:rFonts w:ascii="宋体" w:hAnsi="宋体"/>
                <w:szCs w:val="21"/>
              </w:rPr>
              <w:t>在偏差范围内，未参与评标基准价计算的投标报价，仍应参加计算相应分值。</w:t>
            </w:r>
          </w:p>
          <w:p w14:paraId="452FEDB3">
            <w:pPr>
              <w:spacing w:line="400" w:lineRule="exact"/>
              <w:ind w:firstLine="420" w:firstLineChars="200"/>
              <w:rPr>
                <w:rFonts w:ascii="宋体" w:hAnsi="宋体"/>
                <w:kern w:val="0"/>
                <w:szCs w:val="21"/>
              </w:rPr>
            </w:pPr>
            <w:r>
              <w:rPr>
                <w:rFonts w:hint="eastAsia" w:ascii="宋体" w:hAnsi="宋体"/>
                <w:kern w:val="0"/>
                <w:szCs w:val="21"/>
              </w:rPr>
              <w:t>投标总报价得分最终结果</w:t>
            </w:r>
            <w:r>
              <w:rPr>
                <w:rFonts w:ascii="宋体" w:hAnsi="宋体"/>
                <w:kern w:val="0"/>
                <w:szCs w:val="21"/>
              </w:rPr>
              <w:t>取小数点后两位，第三位四舍五入。</w:t>
            </w:r>
          </w:p>
        </w:tc>
      </w:tr>
      <w:tr w14:paraId="131994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986" w:type="dxa"/>
            <w:gridSpan w:val="4"/>
            <w:vAlign w:val="center"/>
          </w:tcPr>
          <w:p w14:paraId="2CB3EE4C">
            <w:pPr>
              <w:spacing w:line="400" w:lineRule="exact"/>
              <w:ind w:firstLine="18" w:firstLineChars="9"/>
              <w:jc w:val="center"/>
              <w:rPr>
                <w:rFonts w:ascii="宋体" w:hAnsi="宋体"/>
                <w:szCs w:val="21"/>
              </w:rPr>
            </w:pPr>
            <w:r>
              <w:rPr>
                <w:rFonts w:ascii="宋体" w:hAnsi="宋体"/>
                <w:szCs w:val="21"/>
              </w:rPr>
              <w:t>3.2.3</w:t>
            </w:r>
          </w:p>
        </w:tc>
        <w:tc>
          <w:tcPr>
            <w:tcW w:w="1991" w:type="dxa"/>
            <w:gridSpan w:val="2"/>
            <w:vAlign w:val="center"/>
          </w:tcPr>
          <w:p w14:paraId="2AC3F9B5">
            <w:pPr>
              <w:spacing w:line="400" w:lineRule="exact"/>
              <w:ind w:firstLine="18" w:firstLineChars="9"/>
              <w:jc w:val="center"/>
              <w:rPr>
                <w:rFonts w:ascii="宋体" w:hAnsi="宋体"/>
                <w:szCs w:val="21"/>
              </w:rPr>
            </w:pPr>
            <w:r>
              <w:rPr>
                <w:rFonts w:ascii="宋体" w:hAnsi="宋体"/>
                <w:szCs w:val="21"/>
              </w:rPr>
              <w:t>投标人得分</w:t>
            </w:r>
          </w:p>
        </w:tc>
        <w:tc>
          <w:tcPr>
            <w:tcW w:w="5493" w:type="dxa"/>
            <w:vAlign w:val="center"/>
          </w:tcPr>
          <w:p w14:paraId="225563A5">
            <w:pPr>
              <w:spacing w:line="400" w:lineRule="exact"/>
              <w:jc w:val="center"/>
              <w:rPr>
                <w:rFonts w:ascii="宋体" w:hAnsi="宋体"/>
                <w:szCs w:val="21"/>
                <w:u w:val="single"/>
              </w:rPr>
            </w:pPr>
            <w:r>
              <w:rPr>
                <w:rFonts w:ascii="宋体" w:hAnsi="宋体"/>
                <w:szCs w:val="21"/>
                <w:u w:val="single"/>
              </w:rPr>
              <w:t>投标人得分=A+B</w:t>
            </w:r>
          </w:p>
        </w:tc>
      </w:tr>
    </w:tbl>
    <w:p w14:paraId="5D416E87">
      <w:pPr>
        <w:pStyle w:val="3"/>
        <w:spacing w:before="0" w:after="0" w:line="360" w:lineRule="auto"/>
        <w:rPr>
          <w:rFonts w:ascii="宋体" w:hAnsi="宋体"/>
          <w:b w:val="0"/>
          <w:snapToGrid w:val="0"/>
        </w:rPr>
      </w:pPr>
    </w:p>
    <w:p w14:paraId="5B6760D4">
      <w:pPr>
        <w:pStyle w:val="3"/>
        <w:spacing w:before="0" w:after="0" w:line="360" w:lineRule="auto"/>
        <w:rPr>
          <w:rFonts w:ascii="宋体" w:hAnsi="宋体"/>
          <w:b w:val="0"/>
          <w:snapToGrid w:val="0"/>
        </w:rPr>
      </w:pPr>
      <w:r>
        <w:rPr>
          <w:rFonts w:ascii="宋体" w:hAnsi="宋体"/>
          <w:b w:val="0"/>
          <w:snapToGrid w:val="0"/>
        </w:rPr>
        <w:br w:type="page"/>
      </w:r>
      <w:bookmarkStart w:id="577" w:name="_Toc2957"/>
      <w:bookmarkStart w:id="578" w:name="_Toc57905897"/>
      <w:r>
        <w:rPr>
          <w:rFonts w:ascii="宋体" w:hAnsi="宋体"/>
          <w:b w:val="0"/>
          <w:snapToGrid w:val="0"/>
        </w:rPr>
        <w:t>1.  评标方法</w:t>
      </w:r>
      <w:bookmarkEnd w:id="576"/>
      <w:bookmarkEnd w:id="577"/>
      <w:bookmarkEnd w:id="578"/>
    </w:p>
    <w:p w14:paraId="720C590B">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本次评标采用综合评估法</w:t>
      </w:r>
      <w:r>
        <w:rPr>
          <w:rFonts w:ascii="宋体" w:hAnsi="宋体"/>
          <w:spacing w:val="-47"/>
          <w:kern w:val="0"/>
          <w:szCs w:val="21"/>
        </w:rPr>
        <w:t>。</w:t>
      </w:r>
      <w:r>
        <w:rPr>
          <w:rFonts w:ascii="宋体" w:hAnsi="宋体"/>
          <w:kern w:val="0"/>
          <w:szCs w:val="21"/>
        </w:rPr>
        <w:t xml:space="preserve">评标委员会按照本章第 </w:t>
      </w:r>
      <w:r>
        <w:rPr>
          <w:rFonts w:ascii="宋体" w:hAnsi="宋体"/>
          <w:spacing w:val="1"/>
          <w:kern w:val="0"/>
          <w:szCs w:val="21"/>
        </w:rPr>
        <w:t>2</w:t>
      </w:r>
      <w:r>
        <w:rPr>
          <w:rFonts w:ascii="宋体" w:hAnsi="宋体"/>
          <w:spacing w:val="-1"/>
          <w:kern w:val="0"/>
          <w:szCs w:val="21"/>
        </w:rPr>
        <w:t>.</w:t>
      </w:r>
      <w:r>
        <w:rPr>
          <w:rFonts w:ascii="宋体" w:hAnsi="宋体"/>
          <w:kern w:val="0"/>
          <w:szCs w:val="21"/>
        </w:rPr>
        <w:t>2</w:t>
      </w:r>
      <w:r>
        <w:rPr>
          <w:rFonts w:ascii="宋体" w:hAnsi="宋体"/>
          <w:spacing w:val="1"/>
          <w:kern w:val="0"/>
          <w:szCs w:val="21"/>
        </w:rPr>
        <w:t xml:space="preserve"> </w:t>
      </w:r>
      <w:r>
        <w:rPr>
          <w:rFonts w:ascii="宋体" w:hAnsi="宋体"/>
          <w:kern w:val="0"/>
          <w:szCs w:val="21"/>
        </w:rPr>
        <w:t>款</w:t>
      </w:r>
      <w:r>
        <w:rPr>
          <w:rFonts w:ascii="宋体" w:hAnsi="宋体"/>
          <w:spacing w:val="-1"/>
          <w:kern w:val="0"/>
          <w:szCs w:val="21"/>
        </w:rPr>
        <w:t>规</w:t>
      </w:r>
      <w:r>
        <w:rPr>
          <w:rFonts w:ascii="宋体" w:hAnsi="宋体"/>
          <w:kern w:val="0"/>
          <w:szCs w:val="21"/>
        </w:rPr>
        <w:t>定的评分标准进行</w:t>
      </w:r>
      <w:r>
        <w:rPr>
          <w:rFonts w:hint="eastAsia" w:ascii="宋体" w:hAnsi="宋体"/>
          <w:kern w:val="0"/>
          <w:szCs w:val="21"/>
          <w:lang w:eastAsia="zh-CN"/>
        </w:rPr>
        <w:t>评分</w:t>
      </w:r>
      <w:r>
        <w:rPr>
          <w:rFonts w:ascii="宋体" w:hAnsi="宋体"/>
          <w:kern w:val="0"/>
          <w:szCs w:val="21"/>
        </w:rPr>
        <w:t>，按得分由高到低顺序推荐中标候选人</w:t>
      </w:r>
      <w:r>
        <w:rPr>
          <w:rFonts w:ascii="宋体" w:hAnsi="宋体"/>
          <w:spacing w:val="-20"/>
          <w:kern w:val="0"/>
          <w:szCs w:val="21"/>
        </w:rPr>
        <w:t>，</w:t>
      </w:r>
      <w:r>
        <w:rPr>
          <w:rFonts w:ascii="宋体" w:hAnsi="宋体"/>
          <w:kern w:val="0"/>
          <w:szCs w:val="21"/>
        </w:rPr>
        <w:t>或根据招标人授权直接确定中标人</w:t>
      </w:r>
      <w:r>
        <w:rPr>
          <w:rFonts w:hint="eastAsia" w:ascii="宋体" w:hAnsi="宋体"/>
          <w:kern w:val="0"/>
          <w:szCs w:val="21"/>
        </w:rPr>
        <w:t>，若出现投标人投标报价相同的，以评标办法前附表约定的原则确定排序</w:t>
      </w:r>
      <w:r>
        <w:rPr>
          <w:rFonts w:ascii="宋体" w:hAnsi="宋体"/>
          <w:spacing w:val="-31"/>
          <w:kern w:val="0"/>
          <w:szCs w:val="21"/>
        </w:rPr>
        <w:t>。</w:t>
      </w:r>
    </w:p>
    <w:p w14:paraId="742B445A">
      <w:pPr>
        <w:pStyle w:val="3"/>
        <w:spacing w:before="0" w:after="0" w:line="360" w:lineRule="auto"/>
        <w:rPr>
          <w:rFonts w:ascii="宋体" w:hAnsi="宋体"/>
          <w:b w:val="0"/>
          <w:snapToGrid w:val="0"/>
        </w:rPr>
      </w:pPr>
      <w:bookmarkStart w:id="579" w:name="_Toc57905898"/>
      <w:bookmarkStart w:id="580" w:name="_Toc509218777"/>
      <w:bookmarkStart w:id="581" w:name="_Toc430530501"/>
      <w:bookmarkStart w:id="582" w:name="_Toc277082619"/>
      <w:bookmarkStart w:id="583" w:name="_Toc200513199"/>
      <w:bookmarkStart w:id="584" w:name="_Toc287620752"/>
      <w:bookmarkStart w:id="585" w:name="_Toc28040"/>
      <w:bookmarkStart w:id="586" w:name="_Toc224103385"/>
      <w:bookmarkStart w:id="587" w:name="_Toc287607813"/>
      <w:r>
        <w:rPr>
          <w:rFonts w:ascii="宋体" w:hAnsi="宋体"/>
          <w:b w:val="0"/>
          <w:snapToGrid w:val="0"/>
        </w:rPr>
        <w:t>2.  评审标准</w:t>
      </w:r>
      <w:bookmarkEnd w:id="579"/>
      <w:bookmarkEnd w:id="580"/>
      <w:bookmarkEnd w:id="581"/>
      <w:bookmarkEnd w:id="582"/>
      <w:bookmarkEnd w:id="583"/>
      <w:bookmarkEnd w:id="584"/>
      <w:bookmarkEnd w:id="585"/>
      <w:bookmarkEnd w:id="586"/>
      <w:bookmarkEnd w:id="587"/>
    </w:p>
    <w:p w14:paraId="600DDE56">
      <w:pPr>
        <w:pStyle w:val="4"/>
        <w:snapToGrid w:val="0"/>
        <w:spacing w:before="0" w:after="0" w:line="360" w:lineRule="auto"/>
        <w:rPr>
          <w:rFonts w:ascii="宋体" w:hAnsi="宋体"/>
          <w:b w:val="0"/>
          <w:snapToGrid w:val="0"/>
          <w:sz w:val="24"/>
          <w:szCs w:val="24"/>
        </w:rPr>
      </w:pPr>
      <w:bookmarkStart w:id="588" w:name="_Toc224103386"/>
      <w:bookmarkStart w:id="589" w:name="_Toc509218778"/>
      <w:bookmarkStart w:id="590" w:name="_Toc430530502"/>
      <w:bookmarkStart w:id="591" w:name="_Toc57905899"/>
      <w:bookmarkStart w:id="592" w:name="_Toc287607814"/>
      <w:bookmarkStart w:id="593" w:name="_Toc277082620"/>
      <w:bookmarkStart w:id="594" w:name="_Toc287620753"/>
      <w:bookmarkStart w:id="595" w:name="_Toc200513200"/>
      <w:bookmarkStart w:id="596" w:name="_Toc2588"/>
      <w:r>
        <w:rPr>
          <w:rFonts w:ascii="宋体" w:hAnsi="宋体"/>
          <w:b w:val="0"/>
          <w:snapToGrid w:val="0"/>
          <w:sz w:val="24"/>
          <w:szCs w:val="24"/>
        </w:rPr>
        <w:t>2.1  初步评审标准</w:t>
      </w:r>
      <w:bookmarkEnd w:id="588"/>
      <w:bookmarkEnd w:id="589"/>
      <w:bookmarkEnd w:id="590"/>
      <w:bookmarkEnd w:id="591"/>
      <w:bookmarkEnd w:id="592"/>
      <w:bookmarkEnd w:id="593"/>
      <w:bookmarkEnd w:id="594"/>
      <w:bookmarkEnd w:id="595"/>
      <w:bookmarkEnd w:id="596"/>
    </w:p>
    <w:p w14:paraId="5720EDD0">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2.1.</w:t>
      </w:r>
      <w:r>
        <w:rPr>
          <w:rFonts w:hint="eastAsia" w:ascii="宋体" w:hAnsi="宋体"/>
          <w:kern w:val="0"/>
          <w:szCs w:val="21"/>
        </w:rPr>
        <w:t>1A</w:t>
      </w:r>
      <w:r>
        <w:rPr>
          <w:rFonts w:ascii="宋体" w:hAnsi="宋体"/>
          <w:kern w:val="0"/>
          <w:szCs w:val="21"/>
        </w:rPr>
        <w:t xml:space="preserve">  资格评审标准：见评标办法前附表（适用于未进行资格预审的）。</w:t>
      </w:r>
    </w:p>
    <w:p w14:paraId="72D1C7D4">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2.1.</w:t>
      </w:r>
      <w:r>
        <w:rPr>
          <w:rFonts w:hint="eastAsia" w:ascii="宋体" w:hAnsi="宋体"/>
          <w:kern w:val="0"/>
          <w:szCs w:val="21"/>
        </w:rPr>
        <w:t>1B</w:t>
      </w:r>
      <w:r>
        <w:rPr>
          <w:rFonts w:ascii="宋体" w:hAnsi="宋体"/>
          <w:kern w:val="0"/>
          <w:szCs w:val="21"/>
        </w:rPr>
        <w:t xml:space="preserve">  资格评审标准：见资格预审文件第三章“资格审查办法”详细审查标准（适用于已进行资格预审的）。</w:t>
      </w:r>
    </w:p>
    <w:p w14:paraId="3B8AB79A">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2.1.</w:t>
      </w:r>
      <w:r>
        <w:rPr>
          <w:rFonts w:hint="eastAsia" w:ascii="宋体" w:hAnsi="宋体"/>
          <w:kern w:val="0"/>
          <w:szCs w:val="21"/>
        </w:rPr>
        <w:t>2</w:t>
      </w:r>
      <w:r>
        <w:rPr>
          <w:rFonts w:ascii="宋体" w:hAnsi="宋体"/>
          <w:kern w:val="0"/>
          <w:szCs w:val="21"/>
        </w:rPr>
        <w:t xml:space="preserve">  形式评审标准：见评标办法前附表。</w:t>
      </w:r>
    </w:p>
    <w:p w14:paraId="1F639744">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2.1.3  响应性评审标准：见评标办法前附表。</w:t>
      </w:r>
    </w:p>
    <w:p w14:paraId="61815F98">
      <w:pPr>
        <w:pStyle w:val="4"/>
        <w:snapToGrid w:val="0"/>
        <w:spacing w:before="0" w:after="0" w:line="360" w:lineRule="auto"/>
        <w:rPr>
          <w:rFonts w:ascii="宋体" w:hAnsi="宋体"/>
          <w:b w:val="0"/>
          <w:snapToGrid w:val="0"/>
          <w:sz w:val="24"/>
          <w:szCs w:val="24"/>
        </w:rPr>
      </w:pPr>
      <w:bookmarkStart w:id="597" w:name="_Toc430530503"/>
      <w:bookmarkStart w:id="598" w:name="_Toc509218779"/>
      <w:bookmarkStart w:id="599" w:name="_Toc287620754"/>
      <w:bookmarkStart w:id="600" w:name="_Toc224103387"/>
      <w:bookmarkStart w:id="601" w:name="_Toc17923"/>
      <w:bookmarkStart w:id="602" w:name="_Toc200513201"/>
      <w:bookmarkStart w:id="603" w:name="_Toc57905900"/>
      <w:bookmarkStart w:id="604" w:name="_Toc287607815"/>
      <w:bookmarkStart w:id="605" w:name="_Toc277082621"/>
      <w:r>
        <w:rPr>
          <w:rFonts w:ascii="宋体" w:hAnsi="宋体"/>
          <w:b w:val="0"/>
          <w:snapToGrid w:val="0"/>
          <w:sz w:val="24"/>
          <w:szCs w:val="24"/>
        </w:rPr>
        <w:t>2.2  分值构成与评分标准</w:t>
      </w:r>
      <w:bookmarkEnd w:id="597"/>
      <w:bookmarkEnd w:id="598"/>
      <w:bookmarkEnd w:id="599"/>
      <w:bookmarkEnd w:id="600"/>
      <w:bookmarkEnd w:id="601"/>
      <w:bookmarkEnd w:id="602"/>
      <w:bookmarkEnd w:id="603"/>
      <w:bookmarkEnd w:id="604"/>
      <w:bookmarkEnd w:id="605"/>
    </w:p>
    <w:p w14:paraId="4ACCC294">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2.2.1  分值构成</w:t>
      </w:r>
    </w:p>
    <w:p w14:paraId="5E48DAEB">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spacing w:val="1"/>
          <w:kern w:val="0"/>
          <w:szCs w:val="21"/>
        </w:rPr>
        <w:t>1</w:t>
      </w:r>
      <w:r>
        <w:rPr>
          <w:rFonts w:ascii="宋体" w:hAnsi="宋体"/>
          <w:kern w:val="0"/>
          <w:szCs w:val="21"/>
        </w:rPr>
        <w:t>）技术</w:t>
      </w:r>
      <w:r>
        <w:rPr>
          <w:rFonts w:hint="eastAsia" w:ascii="宋体" w:hAnsi="宋体"/>
          <w:kern w:val="0"/>
          <w:szCs w:val="21"/>
        </w:rPr>
        <w:t>部分</w:t>
      </w:r>
      <w:r>
        <w:rPr>
          <w:rFonts w:ascii="宋体" w:hAnsi="宋体"/>
          <w:kern w:val="0"/>
          <w:szCs w:val="21"/>
        </w:rPr>
        <w:t>：见评标办法前附表</w:t>
      </w:r>
      <w:r>
        <w:rPr>
          <w:rFonts w:hint="eastAsia" w:ascii="宋体" w:hAnsi="宋体"/>
          <w:kern w:val="0"/>
          <w:szCs w:val="21"/>
        </w:rPr>
        <w:t>；</w:t>
      </w:r>
    </w:p>
    <w:p w14:paraId="1797D07A">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spacing w:val="1"/>
          <w:kern w:val="0"/>
          <w:szCs w:val="21"/>
        </w:rPr>
        <w:t>2</w:t>
      </w:r>
      <w:r>
        <w:rPr>
          <w:rFonts w:ascii="宋体" w:hAnsi="宋体"/>
          <w:kern w:val="0"/>
          <w:szCs w:val="21"/>
        </w:rPr>
        <w:t>）投标</w:t>
      </w:r>
      <w:r>
        <w:rPr>
          <w:rFonts w:hint="eastAsia" w:ascii="宋体" w:hAnsi="宋体"/>
          <w:kern w:val="0"/>
          <w:szCs w:val="21"/>
        </w:rPr>
        <w:t>总</w:t>
      </w:r>
      <w:r>
        <w:rPr>
          <w:rFonts w:ascii="宋体" w:hAnsi="宋体"/>
          <w:spacing w:val="-1"/>
          <w:kern w:val="0"/>
          <w:szCs w:val="21"/>
        </w:rPr>
        <w:t>报</w:t>
      </w:r>
      <w:r>
        <w:rPr>
          <w:rFonts w:ascii="宋体" w:hAnsi="宋体"/>
          <w:kern w:val="0"/>
          <w:szCs w:val="21"/>
        </w:rPr>
        <w:t>价：见评标办法前附表</w:t>
      </w:r>
      <w:r>
        <w:rPr>
          <w:rFonts w:hint="eastAsia" w:ascii="宋体" w:hAnsi="宋体"/>
          <w:kern w:val="0"/>
          <w:szCs w:val="21"/>
        </w:rPr>
        <w:t>。</w:t>
      </w:r>
    </w:p>
    <w:p w14:paraId="6777BFFE">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 xml:space="preserve">2.2.2  </w:t>
      </w:r>
      <w:r>
        <w:rPr>
          <w:rFonts w:hint="eastAsia" w:ascii="宋体" w:hAnsi="宋体"/>
          <w:kern w:val="0"/>
          <w:szCs w:val="21"/>
        </w:rPr>
        <w:t>评分标准</w:t>
      </w:r>
    </w:p>
    <w:p w14:paraId="73814F88">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技术</w:t>
      </w:r>
      <w:r>
        <w:rPr>
          <w:rFonts w:hint="eastAsia" w:ascii="宋体" w:hAnsi="宋体"/>
          <w:kern w:val="0"/>
          <w:szCs w:val="21"/>
        </w:rPr>
        <w:t>部分</w:t>
      </w:r>
      <w:r>
        <w:rPr>
          <w:rFonts w:ascii="宋体" w:hAnsi="宋体"/>
          <w:kern w:val="0"/>
          <w:szCs w:val="21"/>
        </w:rPr>
        <w:t>评分标准：见评标办法前附表；（对于施工难度大、专业技术复杂的项目，应由招标人会同设计单位提出技术方案编写要点，作为评分标准）。</w:t>
      </w:r>
    </w:p>
    <w:p w14:paraId="0C971431">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 xml:space="preserve">2.2.3  </w:t>
      </w:r>
      <w:r>
        <w:rPr>
          <w:rFonts w:ascii="宋体" w:hAnsi="宋体"/>
          <w:kern w:val="0"/>
          <w:szCs w:val="21"/>
        </w:rPr>
        <w:t>评标基准价计算</w:t>
      </w:r>
    </w:p>
    <w:p w14:paraId="0ABB4A06">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评标基准价计算方法：见评标办法前附表。</w:t>
      </w:r>
    </w:p>
    <w:p w14:paraId="2E0D917F">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2.2.</w:t>
      </w:r>
      <w:r>
        <w:rPr>
          <w:rFonts w:hint="eastAsia" w:ascii="宋体" w:hAnsi="宋体"/>
          <w:kern w:val="0"/>
          <w:szCs w:val="21"/>
        </w:rPr>
        <w:t>4</w:t>
      </w:r>
      <w:r>
        <w:rPr>
          <w:rFonts w:ascii="宋体" w:hAnsi="宋体"/>
          <w:kern w:val="0"/>
          <w:szCs w:val="21"/>
        </w:rPr>
        <w:t xml:space="preserve">  投标报价的偏差率计算</w:t>
      </w:r>
      <w:r>
        <w:rPr>
          <w:rFonts w:hint="eastAsia" w:ascii="宋体" w:hAnsi="宋体"/>
          <w:kern w:val="0"/>
          <w:szCs w:val="21"/>
        </w:rPr>
        <w:t>和允许偏差范围</w:t>
      </w:r>
    </w:p>
    <w:p w14:paraId="2E98F04F">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（1）</w:t>
      </w:r>
      <w:r>
        <w:rPr>
          <w:rFonts w:ascii="宋体" w:hAnsi="宋体"/>
          <w:kern w:val="0"/>
          <w:szCs w:val="21"/>
        </w:rPr>
        <w:t>投标报价的偏差率计算公式：见评标办法前附表</w:t>
      </w:r>
      <w:r>
        <w:rPr>
          <w:rFonts w:hint="eastAsia" w:ascii="宋体" w:hAnsi="宋体"/>
          <w:kern w:val="0"/>
          <w:szCs w:val="21"/>
        </w:rPr>
        <w:t>；</w:t>
      </w:r>
    </w:p>
    <w:p w14:paraId="1C6E7C70">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（2）投标报价的允许偏差范围</w:t>
      </w:r>
      <w:r>
        <w:rPr>
          <w:rFonts w:ascii="宋体" w:hAnsi="宋体"/>
          <w:kern w:val="0"/>
          <w:szCs w:val="21"/>
        </w:rPr>
        <w:t>：见评标办法前附表</w:t>
      </w:r>
      <w:r>
        <w:rPr>
          <w:rFonts w:hint="eastAsia" w:ascii="宋体" w:hAnsi="宋体"/>
          <w:kern w:val="0"/>
          <w:szCs w:val="21"/>
        </w:rPr>
        <w:t>。</w:t>
      </w:r>
    </w:p>
    <w:p w14:paraId="77601AD4">
      <w:pPr>
        <w:pStyle w:val="3"/>
        <w:spacing w:before="0" w:after="0" w:line="360" w:lineRule="auto"/>
        <w:rPr>
          <w:rFonts w:ascii="宋体" w:hAnsi="宋体"/>
          <w:b w:val="0"/>
          <w:snapToGrid w:val="0"/>
        </w:rPr>
      </w:pPr>
      <w:bookmarkStart w:id="606" w:name="_Toc430530504"/>
      <w:bookmarkStart w:id="607" w:name="_Toc224103388"/>
      <w:bookmarkStart w:id="608" w:name="_Toc57905901"/>
      <w:bookmarkStart w:id="609" w:name="_Toc4568"/>
      <w:bookmarkStart w:id="610" w:name="_Toc200513202"/>
      <w:bookmarkStart w:id="611" w:name="_Toc287620755"/>
      <w:bookmarkStart w:id="612" w:name="_Toc509218780"/>
      <w:bookmarkStart w:id="613" w:name="_Toc287607816"/>
      <w:bookmarkStart w:id="614" w:name="_Toc277082622"/>
      <w:r>
        <w:rPr>
          <w:rFonts w:ascii="宋体" w:hAnsi="宋体"/>
          <w:b w:val="0"/>
          <w:snapToGrid w:val="0"/>
        </w:rPr>
        <w:t>3.  评标程序</w:t>
      </w:r>
      <w:bookmarkEnd w:id="606"/>
      <w:bookmarkEnd w:id="607"/>
      <w:bookmarkEnd w:id="608"/>
      <w:bookmarkEnd w:id="609"/>
      <w:bookmarkEnd w:id="610"/>
      <w:bookmarkEnd w:id="611"/>
      <w:bookmarkEnd w:id="612"/>
      <w:bookmarkEnd w:id="613"/>
      <w:bookmarkEnd w:id="614"/>
    </w:p>
    <w:p w14:paraId="4E8B8BBD">
      <w:pPr>
        <w:pStyle w:val="4"/>
        <w:snapToGrid w:val="0"/>
        <w:spacing w:before="0" w:after="0" w:line="360" w:lineRule="auto"/>
        <w:rPr>
          <w:rFonts w:ascii="宋体" w:hAnsi="宋体"/>
          <w:b w:val="0"/>
          <w:snapToGrid w:val="0"/>
          <w:sz w:val="24"/>
          <w:szCs w:val="24"/>
        </w:rPr>
      </w:pPr>
      <w:bookmarkStart w:id="615" w:name="_Toc287607817"/>
      <w:bookmarkStart w:id="616" w:name="_Toc200513203"/>
      <w:bookmarkStart w:id="617" w:name="_Toc224103389"/>
      <w:bookmarkStart w:id="618" w:name="_Toc277082623"/>
      <w:bookmarkStart w:id="619" w:name="_Toc287620756"/>
      <w:bookmarkStart w:id="620" w:name="_Toc57905902"/>
      <w:bookmarkStart w:id="621" w:name="_Toc509218781"/>
      <w:bookmarkStart w:id="622" w:name="_Toc21102"/>
      <w:bookmarkStart w:id="623" w:name="_Toc430530505"/>
      <w:r>
        <w:rPr>
          <w:rFonts w:ascii="宋体" w:hAnsi="宋体"/>
          <w:b w:val="0"/>
          <w:snapToGrid w:val="0"/>
          <w:sz w:val="24"/>
          <w:szCs w:val="24"/>
        </w:rPr>
        <w:t>3.1  初步评审</w:t>
      </w:r>
      <w:bookmarkEnd w:id="615"/>
      <w:bookmarkEnd w:id="616"/>
      <w:bookmarkEnd w:id="617"/>
      <w:bookmarkEnd w:id="618"/>
      <w:bookmarkEnd w:id="619"/>
      <w:bookmarkEnd w:id="620"/>
      <w:bookmarkEnd w:id="621"/>
      <w:bookmarkEnd w:id="622"/>
      <w:bookmarkEnd w:id="623"/>
    </w:p>
    <w:p w14:paraId="2B49D4FE">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3.1.1  评标委员会依据本章第 2.1 款规定的标准对投标文件进行初步评审。有一项不符合评审标准的，作否决投标处理。（适用于未进行资格预审的）</w:t>
      </w:r>
    </w:p>
    <w:p w14:paraId="7B1CDF2F">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3.1.1  评标委员会依据本章第2.1.1项</w:t>
      </w:r>
      <w:r>
        <w:rPr>
          <w:rFonts w:hint="eastAsia" w:ascii="宋体" w:hAnsi="宋体"/>
          <w:kern w:val="0"/>
          <w:szCs w:val="21"/>
        </w:rPr>
        <w:t>至</w:t>
      </w:r>
      <w:r>
        <w:rPr>
          <w:rFonts w:ascii="宋体" w:hAnsi="宋体"/>
          <w:kern w:val="0"/>
          <w:szCs w:val="21"/>
        </w:rPr>
        <w:t>第2.1.3项规定的评审标准对投标文件进行初步评审。有一项不符合评审标准的，作否决投标处理。当投标人资格预审申请文件的内容发生重大变化时，评标委员会依据本章第2.1.2项规定的标准对其更新资料进行评审</w:t>
      </w:r>
      <w:r>
        <w:rPr>
          <w:rFonts w:hint="eastAsia" w:ascii="宋体" w:hAnsi="宋体"/>
          <w:kern w:val="0"/>
          <w:szCs w:val="21"/>
        </w:rPr>
        <w:t>。</w:t>
      </w:r>
      <w:r>
        <w:rPr>
          <w:rFonts w:ascii="宋体" w:hAnsi="宋体"/>
          <w:kern w:val="0"/>
          <w:szCs w:val="21"/>
        </w:rPr>
        <w:t>（适用于已进行资格预审的）</w:t>
      </w:r>
    </w:p>
    <w:p w14:paraId="15C09D63">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3.1.2  投标人有以下情形之一的，其投标作否决投标处理：</w:t>
      </w:r>
    </w:p>
    <w:p w14:paraId="2C5EE266">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ascii="宋体" w:hAnsi="宋体"/>
          <w:spacing w:val="1"/>
          <w:kern w:val="0"/>
          <w:szCs w:val="21"/>
        </w:rPr>
        <w:t>1</w:t>
      </w:r>
      <w:r>
        <w:rPr>
          <w:rFonts w:ascii="宋体" w:hAnsi="宋体"/>
          <w:kern w:val="0"/>
          <w:szCs w:val="21"/>
        </w:rPr>
        <w:t>）第二</w:t>
      </w:r>
      <w:r>
        <w:rPr>
          <w:rFonts w:ascii="宋体" w:hAnsi="宋体"/>
          <w:spacing w:val="-1"/>
          <w:kern w:val="0"/>
          <w:szCs w:val="21"/>
        </w:rPr>
        <w:t>章</w:t>
      </w:r>
      <w:r>
        <w:rPr>
          <w:rFonts w:ascii="宋体" w:hAnsi="宋体"/>
          <w:kern w:val="0"/>
          <w:szCs w:val="21"/>
        </w:rPr>
        <w:t>“投标人须知”第</w:t>
      </w:r>
      <w:r>
        <w:rPr>
          <w:rFonts w:ascii="宋体" w:hAnsi="宋体"/>
          <w:spacing w:val="1"/>
          <w:kern w:val="0"/>
          <w:szCs w:val="21"/>
        </w:rPr>
        <w:t>1</w:t>
      </w:r>
      <w:r>
        <w:rPr>
          <w:rFonts w:ascii="宋体" w:hAnsi="宋体"/>
          <w:spacing w:val="-1"/>
          <w:kern w:val="0"/>
          <w:szCs w:val="21"/>
        </w:rPr>
        <w:t>.</w:t>
      </w:r>
      <w:r>
        <w:rPr>
          <w:rFonts w:ascii="宋体" w:hAnsi="宋体"/>
          <w:spacing w:val="1"/>
          <w:kern w:val="0"/>
          <w:szCs w:val="21"/>
        </w:rPr>
        <w:t>4</w:t>
      </w:r>
      <w:r>
        <w:rPr>
          <w:rFonts w:ascii="宋体" w:hAnsi="宋体"/>
          <w:spacing w:val="-1"/>
          <w:kern w:val="0"/>
          <w:szCs w:val="21"/>
        </w:rPr>
        <w:t>.</w:t>
      </w:r>
      <w:r>
        <w:rPr>
          <w:rFonts w:ascii="宋体" w:hAnsi="宋体"/>
          <w:kern w:val="0"/>
          <w:szCs w:val="21"/>
        </w:rPr>
        <w:t>3项规定的任何一种情形的；</w:t>
      </w:r>
    </w:p>
    <w:p w14:paraId="2BCDB4F4">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ascii="宋体" w:hAnsi="宋体"/>
          <w:spacing w:val="1"/>
          <w:kern w:val="0"/>
          <w:szCs w:val="21"/>
        </w:rPr>
        <w:t>2</w:t>
      </w:r>
      <w:r>
        <w:rPr>
          <w:rFonts w:ascii="宋体" w:hAnsi="宋体"/>
          <w:kern w:val="0"/>
          <w:szCs w:val="21"/>
        </w:rPr>
        <w:t>）</w:t>
      </w:r>
      <w:r>
        <w:rPr>
          <w:rFonts w:hint="eastAsia" w:ascii="宋体" w:hAnsi="宋体" w:cs="宋体"/>
          <w:szCs w:val="21"/>
        </w:rPr>
        <w:t>本次投标有串通投标、弄虚作假等其他违反招投标相关法律、法规行为的</w:t>
      </w:r>
      <w:r>
        <w:rPr>
          <w:rFonts w:ascii="宋体" w:hAnsi="宋体"/>
          <w:kern w:val="0"/>
          <w:szCs w:val="21"/>
        </w:rPr>
        <w:t>；</w:t>
      </w:r>
    </w:p>
    <w:p w14:paraId="5F6A1CF1">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ascii="宋体" w:hAnsi="宋体"/>
          <w:spacing w:val="1"/>
          <w:kern w:val="0"/>
          <w:szCs w:val="21"/>
        </w:rPr>
        <w:t>3</w:t>
      </w:r>
      <w:r>
        <w:rPr>
          <w:rFonts w:ascii="宋体" w:hAnsi="宋体"/>
          <w:kern w:val="0"/>
          <w:szCs w:val="21"/>
        </w:rPr>
        <w:t>）</w:t>
      </w:r>
      <w:r>
        <w:rPr>
          <w:rFonts w:hint="eastAsia" w:ascii="宋体" w:hAnsi="宋体"/>
          <w:kern w:val="0"/>
          <w:szCs w:val="21"/>
        </w:rPr>
        <w:t>拒绝</w:t>
      </w:r>
      <w:r>
        <w:rPr>
          <w:rFonts w:ascii="宋体" w:hAnsi="宋体"/>
          <w:kern w:val="0"/>
          <w:szCs w:val="21"/>
        </w:rPr>
        <w:t>按</w:t>
      </w:r>
      <w:r>
        <w:rPr>
          <w:rFonts w:ascii="宋体" w:hAnsi="宋体"/>
          <w:spacing w:val="-1"/>
          <w:kern w:val="0"/>
          <w:szCs w:val="21"/>
        </w:rPr>
        <w:t>评</w:t>
      </w:r>
      <w:r>
        <w:rPr>
          <w:rFonts w:ascii="宋体" w:hAnsi="宋体"/>
          <w:kern w:val="0"/>
          <w:szCs w:val="21"/>
        </w:rPr>
        <w:t>标委员会要求澄清、说明或补正的</w:t>
      </w:r>
      <w:r>
        <w:rPr>
          <w:rFonts w:hint="eastAsia" w:ascii="宋体" w:hAnsi="宋体"/>
          <w:kern w:val="0"/>
          <w:szCs w:val="21"/>
        </w:rPr>
        <w:t>。</w:t>
      </w:r>
    </w:p>
    <w:p w14:paraId="7EEF8036">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3.1.3  投标报价有算术错误的，评标委员会按以下原则对投标报价进行修正，修正的价格经投标人书面确认后具有约束力</w:t>
      </w:r>
      <w:r>
        <w:rPr>
          <w:rFonts w:hint="eastAsia" w:ascii="宋体" w:hAnsi="宋体"/>
          <w:kern w:val="0"/>
          <w:szCs w:val="21"/>
        </w:rPr>
        <w:t>，修正原则如下：</w:t>
      </w:r>
    </w:p>
    <w:p w14:paraId="662F693D">
      <w:pPr>
        <w:autoSpaceDE w:val="0"/>
        <w:autoSpaceDN w:val="0"/>
        <w:adjustRightInd w:val="0"/>
        <w:snapToGrid w:val="0"/>
        <w:spacing w:line="360" w:lineRule="auto"/>
        <w:ind w:firstLine="532"/>
        <w:rPr>
          <w:rFonts w:ascii="宋体" w:hAnsi="宋体"/>
          <w:kern w:val="0"/>
          <w:szCs w:val="21"/>
        </w:rPr>
      </w:pPr>
      <w:r>
        <w:rPr>
          <w:rFonts w:ascii="宋体" w:hAnsi="宋体"/>
          <w:spacing w:val="-1"/>
          <w:kern w:val="0"/>
          <w:szCs w:val="21"/>
        </w:rPr>
        <w:t>（1）投标文件中的大写金额与小写金额不一致的，以大写金</w:t>
      </w:r>
      <w:r>
        <w:rPr>
          <w:rFonts w:ascii="宋体" w:hAnsi="宋体"/>
          <w:kern w:val="0"/>
          <w:szCs w:val="21"/>
        </w:rPr>
        <w:t>额为准</w:t>
      </w:r>
      <w:r>
        <w:rPr>
          <w:rFonts w:hint="eastAsia" w:ascii="宋体" w:hAnsi="宋体"/>
          <w:kern w:val="0"/>
          <w:szCs w:val="21"/>
        </w:rPr>
        <w:t>；</w:t>
      </w:r>
    </w:p>
    <w:p w14:paraId="07F7FDAF">
      <w:pPr>
        <w:autoSpaceDE w:val="0"/>
        <w:autoSpaceDN w:val="0"/>
        <w:adjustRightInd w:val="0"/>
        <w:snapToGrid w:val="0"/>
        <w:spacing w:line="360" w:lineRule="auto"/>
        <w:ind w:firstLine="532"/>
        <w:rPr>
          <w:rFonts w:ascii="宋体" w:hAnsi="宋体"/>
          <w:kern w:val="0"/>
          <w:szCs w:val="21"/>
        </w:rPr>
      </w:pPr>
      <w:r>
        <w:rPr>
          <w:rFonts w:hint="eastAsia" w:ascii="宋体" w:hAnsi="宋体"/>
          <w:kern w:val="0"/>
          <w:szCs w:val="21"/>
        </w:rPr>
        <w:t>（2）投标函中的总报价与已标价工程量清单总报价不一致的，由评标委员会作否决投标处理。</w:t>
      </w:r>
    </w:p>
    <w:p w14:paraId="1435CCF7">
      <w:pPr>
        <w:pStyle w:val="4"/>
        <w:snapToGrid w:val="0"/>
        <w:spacing w:before="0" w:after="0" w:line="360" w:lineRule="auto"/>
        <w:rPr>
          <w:rFonts w:ascii="宋体" w:hAnsi="宋体"/>
          <w:b w:val="0"/>
          <w:snapToGrid w:val="0"/>
          <w:sz w:val="24"/>
          <w:szCs w:val="24"/>
        </w:rPr>
      </w:pPr>
      <w:bookmarkStart w:id="624" w:name="_Toc509218782"/>
      <w:bookmarkStart w:id="625" w:name="_Toc224103390"/>
      <w:bookmarkStart w:id="626" w:name="_Toc31837"/>
      <w:bookmarkStart w:id="627" w:name="_Toc430530506"/>
      <w:bookmarkStart w:id="628" w:name="_Toc57905903"/>
      <w:bookmarkStart w:id="629" w:name="_Toc200513204"/>
      <w:bookmarkStart w:id="630" w:name="_Toc287620757"/>
      <w:bookmarkStart w:id="631" w:name="_Toc277082624"/>
      <w:bookmarkStart w:id="632" w:name="_Toc287607818"/>
      <w:r>
        <w:rPr>
          <w:rFonts w:ascii="宋体" w:hAnsi="宋体"/>
          <w:b w:val="0"/>
          <w:snapToGrid w:val="0"/>
          <w:sz w:val="24"/>
          <w:szCs w:val="24"/>
        </w:rPr>
        <w:t>3.2  详细评审</w:t>
      </w:r>
      <w:bookmarkEnd w:id="624"/>
      <w:bookmarkEnd w:id="625"/>
      <w:bookmarkEnd w:id="626"/>
      <w:bookmarkEnd w:id="627"/>
      <w:bookmarkEnd w:id="628"/>
      <w:bookmarkEnd w:id="629"/>
      <w:bookmarkEnd w:id="630"/>
      <w:bookmarkEnd w:id="631"/>
      <w:bookmarkEnd w:id="632"/>
    </w:p>
    <w:p w14:paraId="171FB203">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3.2.1  评标委员会按本章第2.2款规定的量化因素和分值进行</w:t>
      </w:r>
      <w:r>
        <w:rPr>
          <w:rFonts w:hint="eastAsia" w:ascii="宋体" w:hAnsi="宋体"/>
          <w:kern w:val="0"/>
          <w:szCs w:val="21"/>
          <w:lang w:eastAsia="zh-CN"/>
        </w:rPr>
        <w:t>评分</w:t>
      </w:r>
      <w:r>
        <w:rPr>
          <w:rFonts w:ascii="宋体" w:hAnsi="宋体"/>
          <w:kern w:val="0"/>
          <w:szCs w:val="21"/>
        </w:rPr>
        <w:t>，并计算出综合评估得分。</w:t>
      </w:r>
    </w:p>
    <w:p w14:paraId="1C1946A2">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1</w:t>
      </w:r>
      <w:r>
        <w:rPr>
          <w:rFonts w:ascii="宋体" w:hAnsi="宋体"/>
          <w:kern w:val="0"/>
          <w:szCs w:val="21"/>
        </w:rPr>
        <w:t>）按本章第3.2.1（</w:t>
      </w:r>
      <w:r>
        <w:rPr>
          <w:rFonts w:hint="eastAsia" w:ascii="宋体" w:hAnsi="宋体"/>
          <w:kern w:val="0"/>
          <w:szCs w:val="21"/>
        </w:rPr>
        <w:t>1</w:t>
      </w:r>
      <w:r>
        <w:rPr>
          <w:rFonts w:ascii="宋体" w:hAnsi="宋体"/>
          <w:kern w:val="0"/>
          <w:szCs w:val="21"/>
        </w:rPr>
        <w:t>）目规定的评审因素和分值对技术方案计算出得分</w:t>
      </w:r>
      <w:r>
        <w:rPr>
          <w:rFonts w:hint="eastAsia" w:ascii="宋体" w:hAnsi="宋体"/>
          <w:kern w:val="0"/>
          <w:szCs w:val="21"/>
        </w:rPr>
        <w:t>A</w:t>
      </w:r>
      <w:r>
        <w:rPr>
          <w:rFonts w:ascii="宋体" w:hAnsi="宋体"/>
          <w:kern w:val="0"/>
          <w:szCs w:val="21"/>
        </w:rPr>
        <w:t>(</w:t>
      </w:r>
      <w:r>
        <w:rPr>
          <w:rFonts w:ascii="宋体" w:hAnsi="宋体"/>
          <w:snapToGrid w:val="0"/>
          <w:kern w:val="0"/>
          <w:szCs w:val="21"/>
        </w:rPr>
        <w:t>所有评委</w:t>
      </w:r>
      <w:r>
        <w:rPr>
          <w:rFonts w:hint="eastAsia" w:ascii="宋体" w:hAnsi="宋体"/>
          <w:snapToGrid w:val="0"/>
          <w:kern w:val="0"/>
          <w:szCs w:val="21"/>
          <w:lang w:eastAsia="zh-CN"/>
        </w:rPr>
        <w:t>评分</w:t>
      </w:r>
      <w:r>
        <w:rPr>
          <w:rFonts w:ascii="宋体" w:hAnsi="宋体"/>
          <w:snapToGrid w:val="0"/>
          <w:kern w:val="0"/>
          <w:szCs w:val="21"/>
        </w:rPr>
        <w:t>中去掉一个最高和一个最低分，余下评委</w:t>
      </w:r>
      <w:r>
        <w:rPr>
          <w:rFonts w:hint="eastAsia" w:ascii="宋体" w:hAnsi="宋体"/>
          <w:snapToGrid w:val="0"/>
          <w:kern w:val="0"/>
          <w:szCs w:val="21"/>
          <w:lang w:eastAsia="zh-CN"/>
        </w:rPr>
        <w:t>评分</w:t>
      </w:r>
      <w:r>
        <w:rPr>
          <w:rFonts w:ascii="宋体" w:hAnsi="宋体"/>
          <w:snapToGrid w:val="0"/>
          <w:kern w:val="0"/>
          <w:szCs w:val="21"/>
        </w:rPr>
        <w:t>取算术平均值为该投标人技术方案得分。</w:t>
      </w:r>
      <w:r>
        <w:rPr>
          <w:rFonts w:ascii="宋体" w:hAnsi="宋体"/>
          <w:kern w:val="0"/>
          <w:szCs w:val="21"/>
        </w:rPr>
        <w:t>）</w:t>
      </w:r>
    </w:p>
    <w:p w14:paraId="7FF2AFEB">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2</w:t>
      </w:r>
      <w:r>
        <w:rPr>
          <w:rFonts w:ascii="宋体" w:hAnsi="宋体"/>
          <w:kern w:val="0"/>
          <w:szCs w:val="21"/>
        </w:rPr>
        <w:t>）按本章第3.2.1（</w:t>
      </w:r>
      <w:r>
        <w:rPr>
          <w:rFonts w:hint="eastAsia" w:ascii="宋体" w:hAnsi="宋体"/>
          <w:kern w:val="0"/>
          <w:szCs w:val="21"/>
        </w:rPr>
        <w:t>2</w:t>
      </w:r>
      <w:r>
        <w:rPr>
          <w:rFonts w:ascii="宋体" w:hAnsi="宋体"/>
          <w:kern w:val="0"/>
          <w:szCs w:val="21"/>
        </w:rPr>
        <w:t>）目规定的评审因素和分值对投标总报价计算出得分</w:t>
      </w:r>
      <w:r>
        <w:rPr>
          <w:rFonts w:hint="eastAsia" w:ascii="宋体" w:hAnsi="宋体"/>
          <w:kern w:val="0"/>
          <w:szCs w:val="21"/>
        </w:rPr>
        <w:t>B。</w:t>
      </w:r>
    </w:p>
    <w:p w14:paraId="64B6BCF6">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3.2.2  各类评分分值的最终计算结果保留小数点后两位，小数点后第三位“四舍五入”。</w:t>
      </w:r>
    </w:p>
    <w:p w14:paraId="64E0A54E">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3.2.3  投标人得分=A+B</w:t>
      </w:r>
      <w:r>
        <w:rPr>
          <w:rFonts w:hint="eastAsia" w:ascii="宋体" w:hAnsi="宋体"/>
          <w:kern w:val="0"/>
          <w:szCs w:val="21"/>
        </w:rPr>
        <w:t>。</w:t>
      </w:r>
    </w:p>
    <w:p w14:paraId="1B8DF3AA">
      <w:pPr>
        <w:pStyle w:val="4"/>
        <w:snapToGrid w:val="0"/>
        <w:spacing w:before="0" w:after="0" w:line="360" w:lineRule="auto"/>
        <w:rPr>
          <w:rFonts w:ascii="宋体" w:hAnsi="宋体"/>
          <w:b w:val="0"/>
          <w:snapToGrid w:val="0"/>
          <w:sz w:val="24"/>
          <w:szCs w:val="24"/>
        </w:rPr>
      </w:pPr>
      <w:bookmarkStart w:id="633" w:name="_Toc287607819"/>
      <w:bookmarkStart w:id="634" w:name="_Toc509218783"/>
      <w:bookmarkStart w:id="635" w:name="_Toc287620758"/>
      <w:bookmarkStart w:id="636" w:name="_Toc57905904"/>
      <w:bookmarkStart w:id="637" w:name="_Toc29615"/>
      <w:bookmarkStart w:id="638" w:name="_Toc430530507"/>
      <w:bookmarkStart w:id="639" w:name="_Toc224103391"/>
      <w:bookmarkStart w:id="640" w:name="_Toc277082625"/>
      <w:bookmarkStart w:id="641" w:name="_Toc200513205"/>
      <w:r>
        <w:rPr>
          <w:rFonts w:ascii="宋体" w:hAnsi="宋体"/>
          <w:b w:val="0"/>
          <w:snapToGrid w:val="0"/>
          <w:sz w:val="24"/>
          <w:szCs w:val="24"/>
        </w:rPr>
        <w:t>3.3  投标文件的澄清和补正</w:t>
      </w:r>
      <w:bookmarkEnd w:id="633"/>
      <w:bookmarkEnd w:id="634"/>
      <w:bookmarkEnd w:id="635"/>
      <w:bookmarkEnd w:id="636"/>
      <w:bookmarkEnd w:id="637"/>
      <w:bookmarkEnd w:id="638"/>
      <w:bookmarkEnd w:id="639"/>
      <w:bookmarkEnd w:id="640"/>
      <w:bookmarkEnd w:id="641"/>
    </w:p>
    <w:p w14:paraId="536D3184">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3.3.1  在评标过程中，评标委员会可以书面形式要求投标人对所提交投标文件中不明确的内容进行书面澄清或说明，或者对细微偏差进行补正。评标委员会不接受投标人主动提出的澄清、说明或补正。</w:t>
      </w:r>
    </w:p>
    <w:p w14:paraId="20ADC7BA">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3.3.2  澄清、说明和补正不得改变投标文件的实质性内容（算术性错误修正的除外）。投标人的书面澄清、说明和补正属于投标文件的组成部分。</w:t>
      </w:r>
    </w:p>
    <w:p w14:paraId="1AA9D0FB">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3.3.3  评标委员会对投标人提交的澄清、说明或补正有疑问的，可以要求投标人进一步澄清、说明或补正，直至满足评标委员会的要求。</w:t>
      </w:r>
    </w:p>
    <w:p w14:paraId="3D306F1D">
      <w:pPr>
        <w:pStyle w:val="4"/>
        <w:snapToGrid w:val="0"/>
        <w:spacing w:before="0" w:after="0" w:line="360" w:lineRule="auto"/>
        <w:rPr>
          <w:rFonts w:ascii="宋体" w:hAnsi="宋体"/>
          <w:b w:val="0"/>
          <w:snapToGrid w:val="0"/>
          <w:sz w:val="24"/>
          <w:szCs w:val="24"/>
        </w:rPr>
      </w:pPr>
      <w:bookmarkStart w:id="642" w:name="_Toc277082626"/>
      <w:bookmarkStart w:id="643" w:name="_Toc224103392"/>
      <w:bookmarkStart w:id="644" w:name="_Toc287620759"/>
      <w:bookmarkStart w:id="645" w:name="_Toc287607820"/>
      <w:bookmarkStart w:id="646" w:name="_Toc430530508"/>
      <w:bookmarkStart w:id="647" w:name="_Toc200513206"/>
      <w:bookmarkStart w:id="648" w:name="_Toc17868"/>
      <w:bookmarkStart w:id="649" w:name="_Toc509218784"/>
      <w:bookmarkStart w:id="650" w:name="_Toc57905905"/>
      <w:r>
        <w:rPr>
          <w:rFonts w:ascii="宋体" w:hAnsi="宋体"/>
          <w:b w:val="0"/>
          <w:snapToGrid w:val="0"/>
          <w:sz w:val="24"/>
          <w:szCs w:val="24"/>
        </w:rPr>
        <w:t>3.4  评标结果</w:t>
      </w:r>
      <w:bookmarkEnd w:id="642"/>
      <w:bookmarkEnd w:id="643"/>
      <w:bookmarkEnd w:id="644"/>
      <w:bookmarkEnd w:id="645"/>
      <w:bookmarkEnd w:id="646"/>
      <w:bookmarkEnd w:id="647"/>
      <w:bookmarkEnd w:id="648"/>
      <w:bookmarkEnd w:id="649"/>
      <w:bookmarkEnd w:id="650"/>
    </w:p>
    <w:p w14:paraId="598233CA">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 xml:space="preserve">.1 </w:t>
      </w:r>
      <w:r>
        <w:rPr>
          <w:rFonts w:ascii="宋体" w:hAnsi="宋体"/>
          <w:spacing w:val="1"/>
          <w:kern w:val="0"/>
          <w:szCs w:val="21"/>
        </w:rPr>
        <w:t xml:space="preserve"> </w:t>
      </w:r>
      <w:r>
        <w:rPr>
          <w:rFonts w:ascii="宋体" w:hAnsi="宋体"/>
          <w:kern w:val="0"/>
          <w:szCs w:val="21"/>
        </w:rPr>
        <w:t>除第二章“投标</w:t>
      </w:r>
      <w:r>
        <w:rPr>
          <w:rFonts w:ascii="宋体" w:hAnsi="宋体"/>
          <w:spacing w:val="1"/>
          <w:kern w:val="0"/>
          <w:szCs w:val="21"/>
        </w:rPr>
        <w:t>人</w:t>
      </w:r>
      <w:r>
        <w:rPr>
          <w:rFonts w:ascii="宋体" w:hAnsi="宋体"/>
          <w:kern w:val="0"/>
          <w:szCs w:val="21"/>
        </w:rPr>
        <w:t>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员会按照</w:t>
      </w:r>
      <w:r>
        <w:rPr>
          <w:rFonts w:ascii="宋体" w:hAnsi="宋体"/>
          <w:spacing w:val="1"/>
          <w:kern w:val="0"/>
          <w:szCs w:val="21"/>
        </w:rPr>
        <w:t>得分</w:t>
      </w:r>
      <w:r>
        <w:rPr>
          <w:rFonts w:ascii="宋体" w:hAnsi="宋体"/>
          <w:kern w:val="0"/>
          <w:szCs w:val="21"/>
        </w:rPr>
        <w:t>由高到低的顺序推荐中标候选人。</w:t>
      </w:r>
    </w:p>
    <w:p w14:paraId="2A4F4D55">
      <w:pPr>
        <w:autoSpaceDE w:val="0"/>
        <w:autoSpaceDN w:val="0"/>
        <w:adjustRightInd w:val="0"/>
        <w:snapToGrid w:val="0"/>
        <w:spacing w:line="360" w:lineRule="auto"/>
        <w:ind w:firstLine="424" w:firstLineChars="200"/>
        <w:rPr>
          <w:rFonts w:ascii="宋体" w:hAnsi="宋体"/>
          <w:kern w:val="0"/>
          <w:szCs w:val="21"/>
        </w:rPr>
      </w:pPr>
      <w:r>
        <w:rPr>
          <w:rFonts w:ascii="宋体" w:hAnsi="宋体"/>
          <w:spacing w:val="1"/>
          <w:kern w:val="0"/>
          <w:szCs w:val="21"/>
        </w:rPr>
        <w:t>3</w:t>
      </w:r>
      <w:r>
        <w:rPr>
          <w:rFonts w:ascii="宋体" w:hAnsi="宋体"/>
          <w:kern w:val="0"/>
          <w:szCs w:val="21"/>
        </w:rPr>
        <w:t>.4.2  评标</w:t>
      </w:r>
      <w:r>
        <w:rPr>
          <w:rFonts w:ascii="宋体" w:hAnsi="宋体"/>
          <w:spacing w:val="-1"/>
          <w:kern w:val="0"/>
          <w:szCs w:val="21"/>
        </w:rPr>
        <w:t>委</w:t>
      </w:r>
      <w:r>
        <w:rPr>
          <w:rFonts w:ascii="宋体" w:hAnsi="宋体"/>
          <w:kern w:val="0"/>
          <w:szCs w:val="21"/>
        </w:rPr>
        <w:t>员会完成评标后，应当向招标人提交书面评标报告。</w:t>
      </w:r>
    </w:p>
    <w:p w14:paraId="7DBA8D78">
      <w:pPr>
        <w:spacing w:line="360" w:lineRule="auto"/>
        <w:rPr>
          <w:rFonts w:ascii="宋体" w:hAnsi="宋体"/>
          <w:b/>
          <w:szCs w:val="20"/>
        </w:rPr>
      </w:pPr>
      <w:r>
        <w:rPr>
          <w:rFonts w:ascii="宋体" w:hAnsi="宋体"/>
          <w:kern w:val="0"/>
          <w:sz w:val="20"/>
          <w:szCs w:val="20"/>
        </w:rPr>
        <w:br w:type="page"/>
      </w:r>
    </w:p>
    <w:p w14:paraId="785F2762">
      <w:pPr>
        <w:pStyle w:val="33"/>
        <w:spacing w:line="360" w:lineRule="auto"/>
        <w:rPr>
          <w:rFonts w:ascii="宋体" w:hAnsi="宋体"/>
          <w:b/>
          <w:sz w:val="28"/>
          <w:szCs w:val="28"/>
          <w:u w:val="none"/>
          <w:lang w:eastAsia="zh-CN"/>
        </w:rPr>
      </w:pPr>
      <w:bookmarkStart w:id="651" w:name="招标文件04章合同条款及格式"/>
      <w:bookmarkEnd w:id="651"/>
      <w:bookmarkStart w:id="652" w:name="招标文件03章02评标办法综合评估法02附件02"/>
      <w:bookmarkEnd w:id="652"/>
      <w:bookmarkStart w:id="653" w:name="_Toc230410480"/>
      <w:bookmarkStart w:id="654" w:name="_Toc277082627"/>
      <w:r>
        <w:rPr>
          <w:rFonts w:ascii="宋体" w:hAnsi="宋体"/>
          <w:b/>
          <w:sz w:val="28"/>
          <w:szCs w:val="28"/>
          <w:u w:val="none"/>
          <w:lang w:eastAsia="zh-CN"/>
        </w:rPr>
        <w:t>附件A：综合评估法否决投标情况一览表</w:t>
      </w:r>
      <w:bookmarkEnd w:id="653"/>
    </w:p>
    <w:bookmarkEnd w:id="654"/>
    <w:p w14:paraId="42E2DBB7">
      <w:pPr>
        <w:pStyle w:val="33"/>
        <w:spacing w:line="360" w:lineRule="auto"/>
        <w:ind w:firstLine="420" w:firstLineChars="200"/>
        <w:jc w:val="both"/>
        <w:rPr>
          <w:rFonts w:ascii="宋体" w:hAnsi="宋体"/>
          <w:sz w:val="21"/>
          <w:szCs w:val="21"/>
          <w:u w:val="none"/>
          <w:lang w:eastAsia="zh-CN"/>
        </w:rPr>
      </w:pPr>
      <w:r>
        <w:rPr>
          <w:rFonts w:hint="eastAsia" w:ascii="宋体" w:hAnsi="宋体"/>
          <w:sz w:val="21"/>
          <w:szCs w:val="21"/>
          <w:u w:val="none"/>
          <w:lang w:eastAsia="zh-CN"/>
        </w:rPr>
        <w:t>投标文件存在本一览表下列情形之一的，投标文件视为重大偏差并作否决投标处理，否则，评标委员会不得视为重大偏差而否决投标人的投标文件</w:t>
      </w:r>
      <w:r>
        <w:rPr>
          <w:rFonts w:ascii="宋体" w:hAnsi="宋体"/>
          <w:sz w:val="21"/>
          <w:szCs w:val="21"/>
          <w:u w:val="none"/>
          <w:lang w:eastAsia="zh-CN"/>
        </w:rPr>
        <w:t>。</w:t>
      </w:r>
    </w:p>
    <w:tbl>
      <w:tblPr>
        <w:tblStyle w:val="45"/>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3F6F28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4B2CF968">
            <w:pPr>
              <w:spacing w:line="400" w:lineRule="exact"/>
              <w:jc w:val="center"/>
              <w:rPr>
                <w:rFonts w:ascii="宋体" w:hAnsi="宋体"/>
                <w:b/>
                <w:szCs w:val="21"/>
              </w:rPr>
            </w:pPr>
            <w:r>
              <w:rPr>
                <w:rFonts w:ascii="宋体" w:hAnsi="宋体"/>
                <w:b/>
                <w:szCs w:val="21"/>
              </w:rPr>
              <w:t>章节号</w:t>
            </w:r>
          </w:p>
        </w:tc>
        <w:tc>
          <w:tcPr>
            <w:tcW w:w="1899" w:type="dxa"/>
            <w:vAlign w:val="center"/>
          </w:tcPr>
          <w:p w14:paraId="2D374DE2">
            <w:pPr>
              <w:spacing w:line="400" w:lineRule="exact"/>
              <w:jc w:val="center"/>
              <w:rPr>
                <w:rFonts w:ascii="宋体" w:hAnsi="宋体"/>
                <w:b/>
                <w:szCs w:val="21"/>
              </w:rPr>
            </w:pPr>
            <w:r>
              <w:rPr>
                <w:rFonts w:ascii="宋体" w:hAnsi="宋体"/>
                <w:b/>
                <w:szCs w:val="21"/>
              </w:rPr>
              <w:t>条款名称</w:t>
            </w:r>
          </w:p>
        </w:tc>
        <w:tc>
          <w:tcPr>
            <w:tcW w:w="6333" w:type="dxa"/>
            <w:vAlign w:val="center"/>
          </w:tcPr>
          <w:p w14:paraId="1A40FE44">
            <w:pPr>
              <w:spacing w:line="400" w:lineRule="exact"/>
              <w:jc w:val="center"/>
              <w:rPr>
                <w:rFonts w:ascii="宋体" w:hAnsi="宋体"/>
                <w:b/>
                <w:szCs w:val="21"/>
              </w:rPr>
            </w:pPr>
            <w:r>
              <w:rPr>
                <w:rFonts w:ascii="宋体" w:hAnsi="宋体"/>
                <w:b/>
                <w:szCs w:val="21"/>
              </w:rPr>
              <w:t>否决投标条件</w:t>
            </w:r>
          </w:p>
        </w:tc>
      </w:tr>
      <w:tr w14:paraId="7A7708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38913AA0">
            <w:pPr>
              <w:spacing w:line="400" w:lineRule="exact"/>
              <w:jc w:val="center"/>
              <w:rPr>
                <w:rFonts w:ascii="宋体" w:hAnsi="宋体"/>
                <w:szCs w:val="21"/>
              </w:rPr>
            </w:pPr>
          </w:p>
        </w:tc>
        <w:tc>
          <w:tcPr>
            <w:tcW w:w="1899" w:type="dxa"/>
            <w:vMerge w:val="restart"/>
            <w:vAlign w:val="center"/>
          </w:tcPr>
          <w:p w14:paraId="6C7B0F00">
            <w:pPr>
              <w:spacing w:line="400" w:lineRule="exact"/>
              <w:jc w:val="center"/>
              <w:rPr>
                <w:rFonts w:ascii="宋体" w:hAnsi="宋体"/>
                <w:szCs w:val="21"/>
              </w:rPr>
            </w:pPr>
            <w:r>
              <w:rPr>
                <w:rFonts w:hint="eastAsia" w:ascii="宋体" w:hAnsi="宋体"/>
                <w:szCs w:val="21"/>
              </w:rPr>
              <w:t>资格评审</w:t>
            </w:r>
          </w:p>
        </w:tc>
        <w:tc>
          <w:tcPr>
            <w:tcW w:w="6333" w:type="dxa"/>
            <w:vAlign w:val="center"/>
          </w:tcPr>
          <w:p w14:paraId="06D31404">
            <w:pPr>
              <w:spacing w:line="400" w:lineRule="exact"/>
              <w:ind w:firstLine="420" w:firstLineChars="200"/>
              <w:rPr>
                <w:rFonts w:ascii="宋体" w:hAnsi="宋体"/>
                <w:szCs w:val="21"/>
              </w:rPr>
            </w:pPr>
            <w:r>
              <w:rPr>
                <w:rFonts w:hint="eastAsia" w:ascii="宋体" w:hAnsi="宋体"/>
                <w:szCs w:val="21"/>
              </w:rPr>
              <w:t>A-1投标人的资质条件、营业执照及安全生产条件须满足投标人须知前附表1.4.1项的要求，否则由评标委员会作否决投标处理。</w:t>
            </w:r>
          </w:p>
        </w:tc>
      </w:tr>
      <w:tr w14:paraId="50E03A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475CFC9B">
            <w:pPr>
              <w:spacing w:line="400" w:lineRule="exact"/>
              <w:jc w:val="center"/>
              <w:rPr>
                <w:rFonts w:ascii="宋体" w:hAnsi="宋体"/>
                <w:szCs w:val="21"/>
              </w:rPr>
            </w:pPr>
          </w:p>
        </w:tc>
        <w:tc>
          <w:tcPr>
            <w:tcW w:w="1899" w:type="dxa"/>
            <w:vMerge w:val="continue"/>
            <w:vAlign w:val="center"/>
          </w:tcPr>
          <w:p w14:paraId="5C42331B">
            <w:pPr>
              <w:spacing w:line="400" w:lineRule="exact"/>
              <w:jc w:val="center"/>
              <w:rPr>
                <w:rFonts w:ascii="宋体" w:hAnsi="宋体"/>
                <w:szCs w:val="21"/>
              </w:rPr>
            </w:pPr>
          </w:p>
        </w:tc>
        <w:tc>
          <w:tcPr>
            <w:tcW w:w="6333" w:type="dxa"/>
            <w:vAlign w:val="center"/>
          </w:tcPr>
          <w:p w14:paraId="6A4F39A7">
            <w:pPr>
              <w:spacing w:line="400" w:lineRule="exact"/>
              <w:ind w:firstLine="420" w:firstLineChars="200"/>
              <w:rPr>
                <w:rFonts w:ascii="宋体" w:hAnsi="宋体"/>
                <w:szCs w:val="21"/>
              </w:rPr>
            </w:pPr>
            <w:r>
              <w:rPr>
                <w:rFonts w:hint="eastAsia" w:ascii="宋体" w:hAnsi="宋体"/>
                <w:szCs w:val="21"/>
              </w:rPr>
              <w:t>A-2投标人的财务须满足投标人须知前附表第1.4.1项的要求，否则由评标委员会作否决投标处理（如有）。</w:t>
            </w:r>
          </w:p>
        </w:tc>
      </w:tr>
      <w:tr w14:paraId="41E119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62FCB69D">
            <w:pPr>
              <w:spacing w:line="400" w:lineRule="exact"/>
              <w:jc w:val="center"/>
              <w:rPr>
                <w:rFonts w:ascii="宋体" w:hAnsi="宋体"/>
                <w:szCs w:val="21"/>
              </w:rPr>
            </w:pPr>
          </w:p>
        </w:tc>
        <w:tc>
          <w:tcPr>
            <w:tcW w:w="1899" w:type="dxa"/>
            <w:vMerge w:val="continue"/>
            <w:vAlign w:val="center"/>
          </w:tcPr>
          <w:p w14:paraId="7038BC81">
            <w:pPr>
              <w:spacing w:line="400" w:lineRule="exact"/>
              <w:jc w:val="center"/>
              <w:rPr>
                <w:rFonts w:ascii="宋体" w:hAnsi="宋体"/>
                <w:szCs w:val="21"/>
              </w:rPr>
            </w:pPr>
          </w:p>
        </w:tc>
        <w:tc>
          <w:tcPr>
            <w:tcW w:w="6333" w:type="dxa"/>
            <w:vAlign w:val="center"/>
          </w:tcPr>
          <w:p w14:paraId="69329CEE">
            <w:pPr>
              <w:spacing w:line="400" w:lineRule="exact"/>
              <w:ind w:firstLine="420" w:firstLineChars="200"/>
              <w:rPr>
                <w:rFonts w:ascii="宋体" w:hAnsi="宋体"/>
                <w:szCs w:val="21"/>
              </w:rPr>
            </w:pPr>
            <w:r>
              <w:rPr>
                <w:rFonts w:hint="eastAsia" w:ascii="宋体" w:hAnsi="宋体"/>
                <w:szCs w:val="21"/>
              </w:rPr>
              <w:t>A-3投标人的业绩须满足投标人须知前附表第1.4.1项的要求，否则由评标委员会作否决投标处理（如有）。</w:t>
            </w:r>
          </w:p>
        </w:tc>
      </w:tr>
      <w:tr w14:paraId="5BAF7C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3411EC7B">
            <w:pPr>
              <w:spacing w:line="400" w:lineRule="exact"/>
              <w:jc w:val="center"/>
              <w:rPr>
                <w:rFonts w:ascii="宋体" w:hAnsi="宋体"/>
                <w:szCs w:val="21"/>
              </w:rPr>
            </w:pPr>
          </w:p>
        </w:tc>
        <w:tc>
          <w:tcPr>
            <w:tcW w:w="1899" w:type="dxa"/>
            <w:vMerge w:val="continue"/>
            <w:vAlign w:val="center"/>
          </w:tcPr>
          <w:p w14:paraId="5C607F4E">
            <w:pPr>
              <w:spacing w:line="400" w:lineRule="exact"/>
              <w:jc w:val="center"/>
              <w:rPr>
                <w:rFonts w:ascii="宋体" w:hAnsi="宋体"/>
                <w:szCs w:val="21"/>
              </w:rPr>
            </w:pPr>
          </w:p>
        </w:tc>
        <w:tc>
          <w:tcPr>
            <w:tcW w:w="6333" w:type="dxa"/>
            <w:vAlign w:val="center"/>
          </w:tcPr>
          <w:p w14:paraId="32E989FC">
            <w:pPr>
              <w:spacing w:line="400" w:lineRule="exact"/>
              <w:ind w:firstLine="420" w:firstLineChars="200"/>
              <w:rPr>
                <w:rFonts w:ascii="宋体" w:hAnsi="宋体"/>
                <w:szCs w:val="21"/>
              </w:rPr>
            </w:pPr>
            <w:r>
              <w:rPr>
                <w:rFonts w:hint="eastAsia" w:ascii="宋体" w:hAnsi="宋体"/>
                <w:szCs w:val="21"/>
              </w:rPr>
              <w:t>A-4投标人的投标截止日投标资格情况须满足投标人须知前附表第1.4.1项的要求，否则由评标委员会作否决投标处理。</w:t>
            </w:r>
          </w:p>
        </w:tc>
      </w:tr>
      <w:tr w14:paraId="6521C9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4D1958E1">
            <w:pPr>
              <w:spacing w:line="400" w:lineRule="exact"/>
              <w:jc w:val="center"/>
              <w:rPr>
                <w:rFonts w:ascii="宋体" w:hAnsi="宋体"/>
                <w:szCs w:val="21"/>
              </w:rPr>
            </w:pPr>
          </w:p>
        </w:tc>
        <w:tc>
          <w:tcPr>
            <w:tcW w:w="1899" w:type="dxa"/>
            <w:vMerge w:val="continue"/>
            <w:vAlign w:val="center"/>
          </w:tcPr>
          <w:p w14:paraId="4E151CA9">
            <w:pPr>
              <w:spacing w:line="400" w:lineRule="exact"/>
              <w:jc w:val="center"/>
              <w:rPr>
                <w:rFonts w:ascii="宋体" w:hAnsi="宋体"/>
                <w:szCs w:val="21"/>
              </w:rPr>
            </w:pPr>
          </w:p>
        </w:tc>
        <w:tc>
          <w:tcPr>
            <w:tcW w:w="6333" w:type="dxa"/>
            <w:vAlign w:val="center"/>
          </w:tcPr>
          <w:p w14:paraId="72E94425">
            <w:pPr>
              <w:spacing w:line="400" w:lineRule="exact"/>
              <w:ind w:firstLine="420" w:firstLineChars="200"/>
              <w:rPr>
                <w:rFonts w:ascii="宋体" w:hAnsi="宋体"/>
                <w:szCs w:val="21"/>
              </w:rPr>
            </w:pPr>
            <w:r>
              <w:rPr>
                <w:rFonts w:hint="eastAsia" w:ascii="宋体" w:hAnsi="宋体"/>
                <w:szCs w:val="21"/>
              </w:rPr>
              <w:t>A-5投标人的项目经理资格须满足投标人须知前附表第1.4.1项的要求，否则由评标委员会作否决投标处理（如有）。</w:t>
            </w:r>
          </w:p>
        </w:tc>
      </w:tr>
      <w:tr w14:paraId="50AF17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5F285659">
            <w:pPr>
              <w:spacing w:line="400" w:lineRule="exact"/>
              <w:jc w:val="center"/>
              <w:rPr>
                <w:rFonts w:ascii="宋体" w:hAnsi="宋体"/>
                <w:szCs w:val="21"/>
              </w:rPr>
            </w:pPr>
          </w:p>
        </w:tc>
        <w:tc>
          <w:tcPr>
            <w:tcW w:w="1899" w:type="dxa"/>
            <w:vMerge w:val="continue"/>
            <w:vAlign w:val="center"/>
          </w:tcPr>
          <w:p w14:paraId="474CD68D">
            <w:pPr>
              <w:spacing w:line="400" w:lineRule="exact"/>
              <w:jc w:val="center"/>
              <w:rPr>
                <w:rFonts w:ascii="宋体" w:hAnsi="宋体"/>
                <w:szCs w:val="21"/>
              </w:rPr>
            </w:pPr>
          </w:p>
        </w:tc>
        <w:tc>
          <w:tcPr>
            <w:tcW w:w="6333" w:type="dxa"/>
            <w:vAlign w:val="center"/>
          </w:tcPr>
          <w:p w14:paraId="27BF2225">
            <w:pPr>
              <w:spacing w:line="400" w:lineRule="exact"/>
              <w:ind w:firstLine="420" w:firstLineChars="200"/>
              <w:rPr>
                <w:rFonts w:ascii="宋体" w:hAnsi="宋体"/>
                <w:szCs w:val="21"/>
              </w:rPr>
            </w:pPr>
            <w:r>
              <w:rPr>
                <w:rFonts w:hint="eastAsia" w:ascii="宋体" w:hAnsi="宋体"/>
                <w:szCs w:val="21"/>
              </w:rPr>
              <w:t>A-6投标人的其他要求须满足投标人须知前附表第1.4.1项的要求，否则由评标委员会作否决投标处理。</w:t>
            </w:r>
          </w:p>
        </w:tc>
      </w:tr>
      <w:tr w14:paraId="1E3385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5E82A46D">
            <w:pPr>
              <w:spacing w:line="400" w:lineRule="exact"/>
              <w:jc w:val="center"/>
              <w:rPr>
                <w:rFonts w:ascii="宋体" w:hAnsi="宋体"/>
                <w:szCs w:val="21"/>
              </w:rPr>
            </w:pPr>
          </w:p>
        </w:tc>
        <w:tc>
          <w:tcPr>
            <w:tcW w:w="1899" w:type="dxa"/>
            <w:vMerge w:val="continue"/>
            <w:vAlign w:val="center"/>
          </w:tcPr>
          <w:p w14:paraId="76530D63">
            <w:pPr>
              <w:spacing w:line="400" w:lineRule="exact"/>
              <w:jc w:val="center"/>
              <w:rPr>
                <w:rFonts w:ascii="宋体" w:hAnsi="宋体"/>
                <w:szCs w:val="21"/>
              </w:rPr>
            </w:pPr>
          </w:p>
        </w:tc>
        <w:tc>
          <w:tcPr>
            <w:tcW w:w="6333" w:type="dxa"/>
            <w:vAlign w:val="center"/>
          </w:tcPr>
          <w:p w14:paraId="0F9E8A6D">
            <w:pPr>
              <w:spacing w:line="400" w:lineRule="exact"/>
              <w:ind w:firstLine="420" w:firstLineChars="200"/>
              <w:rPr>
                <w:rFonts w:ascii="宋体" w:hAnsi="宋体"/>
                <w:szCs w:val="21"/>
              </w:rPr>
            </w:pPr>
            <w:r>
              <w:rPr>
                <w:rFonts w:hint="eastAsia" w:ascii="宋体" w:hAnsi="宋体"/>
                <w:szCs w:val="21"/>
              </w:rPr>
              <w:t>A-7若有联合体投标人（如有），则：</w:t>
            </w:r>
          </w:p>
          <w:p w14:paraId="7DA2E798">
            <w:pPr>
              <w:spacing w:line="400" w:lineRule="exact"/>
              <w:ind w:firstLine="420" w:firstLineChars="200"/>
              <w:rPr>
                <w:rFonts w:ascii="宋体" w:hAnsi="宋体"/>
                <w:szCs w:val="21"/>
              </w:rPr>
            </w:pPr>
            <w:r>
              <w:rPr>
                <w:rFonts w:hint="eastAsia" w:ascii="宋体" w:hAnsi="宋体"/>
                <w:szCs w:val="21"/>
              </w:rPr>
              <w:t>（1）联合体各方应按照招标文件提供的格式签订联合体协议书，明确联合体牵头人和各方权利义务；</w:t>
            </w:r>
          </w:p>
          <w:p w14:paraId="4411A44E">
            <w:pPr>
              <w:spacing w:line="400" w:lineRule="exact"/>
              <w:ind w:firstLine="420" w:firstLineChars="200"/>
              <w:rPr>
                <w:rFonts w:ascii="宋体" w:hAnsi="宋体"/>
                <w:szCs w:val="21"/>
              </w:rPr>
            </w:pPr>
            <w:r>
              <w:rPr>
                <w:rFonts w:hint="eastAsia" w:ascii="宋体" w:hAnsi="宋体"/>
                <w:szCs w:val="21"/>
              </w:rPr>
              <w:t>（2）联合体各方均应当具备承担招标项目的相应能力，联合体协议约定同一专业分工由两个及以上单位共同承担的，按照资质等级较低的单位确定资质等级；</w:t>
            </w:r>
          </w:p>
          <w:p w14:paraId="6C45E3CE">
            <w:pPr>
              <w:spacing w:line="400" w:lineRule="exact"/>
              <w:ind w:firstLine="420" w:firstLineChars="200"/>
              <w:rPr>
                <w:rFonts w:ascii="宋体" w:hAnsi="宋体"/>
                <w:szCs w:val="21"/>
              </w:rPr>
            </w:pPr>
            <w:r>
              <w:rPr>
                <w:rFonts w:hint="eastAsia" w:ascii="宋体" w:hAnsi="宋体"/>
                <w:szCs w:val="21"/>
              </w:rPr>
              <w:t>（3）联合体各方不得再以自己名义单独或参加其他联合体在同一标段中投标。</w:t>
            </w:r>
          </w:p>
          <w:p w14:paraId="6C6A4E53">
            <w:pPr>
              <w:spacing w:line="400" w:lineRule="exact"/>
              <w:ind w:firstLine="420" w:firstLineChars="200"/>
              <w:rPr>
                <w:rFonts w:ascii="宋体" w:hAnsi="宋体"/>
                <w:szCs w:val="21"/>
              </w:rPr>
            </w:pPr>
            <w:r>
              <w:rPr>
                <w:rFonts w:hint="eastAsia" w:ascii="宋体" w:hAnsi="宋体"/>
                <w:szCs w:val="21"/>
              </w:rPr>
              <w:t>否则由评标委员会作否决投标处理。</w:t>
            </w:r>
          </w:p>
        </w:tc>
      </w:tr>
      <w:tr w14:paraId="06F323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94AC50E">
            <w:pPr>
              <w:spacing w:line="400" w:lineRule="exact"/>
              <w:jc w:val="center"/>
              <w:rPr>
                <w:rFonts w:ascii="宋体" w:hAnsi="宋体"/>
                <w:szCs w:val="21"/>
              </w:rPr>
            </w:pPr>
          </w:p>
        </w:tc>
        <w:tc>
          <w:tcPr>
            <w:tcW w:w="1899" w:type="dxa"/>
            <w:vMerge w:val="restart"/>
            <w:vAlign w:val="center"/>
          </w:tcPr>
          <w:p w14:paraId="3A9D3A2A">
            <w:pPr>
              <w:spacing w:line="400" w:lineRule="exact"/>
              <w:jc w:val="center"/>
              <w:rPr>
                <w:rFonts w:ascii="宋体" w:hAnsi="宋体"/>
                <w:szCs w:val="21"/>
              </w:rPr>
            </w:pPr>
            <w:r>
              <w:rPr>
                <w:rFonts w:hint="eastAsia" w:ascii="宋体" w:hAnsi="宋体"/>
                <w:szCs w:val="21"/>
              </w:rPr>
              <w:t>形式评审</w:t>
            </w:r>
          </w:p>
        </w:tc>
        <w:tc>
          <w:tcPr>
            <w:tcW w:w="6333" w:type="dxa"/>
          </w:tcPr>
          <w:p w14:paraId="4BAF84EF">
            <w:pPr>
              <w:spacing w:line="400" w:lineRule="exact"/>
              <w:ind w:firstLine="420" w:firstLineChars="200"/>
              <w:rPr>
                <w:rFonts w:ascii="宋体" w:hAnsi="宋体"/>
                <w:szCs w:val="21"/>
              </w:rPr>
            </w:pPr>
            <w:r>
              <w:rPr>
                <w:rFonts w:hint="eastAsia" w:ascii="宋体" w:hAnsi="宋体"/>
                <w:szCs w:val="21"/>
              </w:rPr>
              <w:t>A-8投标人名称必须与营业执照、资质证书、安全生产许可证一致，依法变更名称的应提交相应证明材料，</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14:paraId="7000C6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888CF15">
            <w:pPr>
              <w:spacing w:line="400" w:lineRule="exact"/>
              <w:jc w:val="center"/>
              <w:rPr>
                <w:rFonts w:ascii="宋体" w:hAnsi="宋体"/>
                <w:szCs w:val="21"/>
              </w:rPr>
            </w:pPr>
          </w:p>
        </w:tc>
        <w:tc>
          <w:tcPr>
            <w:tcW w:w="1899" w:type="dxa"/>
            <w:vMerge w:val="continue"/>
            <w:vAlign w:val="center"/>
          </w:tcPr>
          <w:p w14:paraId="71869C6A">
            <w:pPr>
              <w:spacing w:line="400" w:lineRule="exact"/>
              <w:jc w:val="center"/>
              <w:rPr>
                <w:rFonts w:ascii="宋体" w:hAnsi="宋体"/>
                <w:szCs w:val="21"/>
              </w:rPr>
            </w:pPr>
          </w:p>
        </w:tc>
        <w:tc>
          <w:tcPr>
            <w:tcW w:w="6333" w:type="dxa"/>
          </w:tcPr>
          <w:p w14:paraId="43D68C15">
            <w:pPr>
              <w:spacing w:line="400" w:lineRule="exact"/>
              <w:ind w:firstLine="420" w:firstLineChars="200"/>
              <w:rPr>
                <w:rFonts w:ascii="宋体" w:hAnsi="宋体"/>
                <w:szCs w:val="21"/>
              </w:rPr>
            </w:pPr>
            <w:r>
              <w:rPr>
                <w:rFonts w:hint="eastAsia" w:ascii="宋体" w:hAnsi="宋体"/>
                <w:szCs w:val="21"/>
              </w:rPr>
              <w:t>A-9投标函格式规定签名、盖章的位置有法定代表人或其委托代理人签名（或盖章）、加盖单位法人章，否则由评标委员会作否决投标处理。</w:t>
            </w:r>
          </w:p>
        </w:tc>
      </w:tr>
      <w:tr w14:paraId="598AD8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88A74B8">
            <w:pPr>
              <w:spacing w:line="400" w:lineRule="exact"/>
              <w:jc w:val="center"/>
              <w:rPr>
                <w:rFonts w:ascii="宋体" w:hAnsi="宋体"/>
                <w:szCs w:val="21"/>
              </w:rPr>
            </w:pPr>
          </w:p>
        </w:tc>
        <w:tc>
          <w:tcPr>
            <w:tcW w:w="1899" w:type="dxa"/>
            <w:vMerge w:val="continue"/>
            <w:vAlign w:val="center"/>
          </w:tcPr>
          <w:p w14:paraId="1B1A5508">
            <w:pPr>
              <w:spacing w:line="400" w:lineRule="exact"/>
              <w:jc w:val="center"/>
              <w:rPr>
                <w:rFonts w:ascii="宋体" w:hAnsi="宋体"/>
                <w:szCs w:val="21"/>
              </w:rPr>
            </w:pPr>
          </w:p>
        </w:tc>
        <w:tc>
          <w:tcPr>
            <w:tcW w:w="6333" w:type="dxa"/>
          </w:tcPr>
          <w:p w14:paraId="52C73DB0">
            <w:pPr>
              <w:spacing w:line="400" w:lineRule="exact"/>
              <w:ind w:firstLine="420" w:firstLineChars="200"/>
              <w:rPr>
                <w:rFonts w:ascii="宋体" w:hAnsi="宋体"/>
                <w:szCs w:val="21"/>
              </w:rPr>
            </w:pPr>
            <w:r>
              <w:rPr>
                <w:rFonts w:hint="eastAsia" w:ascii="宋体" w:hAnsi="宋体"/>
                <w:szCs w:val="21"/>
              </w:rPr>
              <w:t>A-10投标文件格式符合第二章“投标人须知”第3.7款的要求，否则由评标委员会作否决投标处理。</w:t>
            </w:r>
          </w:p>
          <w:p w14:paraId="12BB5781">
            <w:pPr>
              <w:spacing w:line="400" w:lineRule="exact"/>
              <w:ind w:firstLine="420" w:firstLineChars="200"/>
              <w:rPr>
                <w:rFonts w:ascii="宋体" w:hAnsi="宋体"/>
                <w:szCs w:val="21"/>
              </w:rPr>
            </w:pPr>
            <w:r>
              <w:rPr>
                <w:rFonts w:hint="eastAsia" w:ascii="宋体" w:hAnsi="宋体"/>
                <w:kern w:val="0"/>
                <w:szCs w:val="21"/>
              </w:rPr>
              <w:t>编制投标文件时不得对第八章“投标文件格式”的相应要素作实质性修改，否则由评标委员会作否决投标处理。</w:t>
            </w:r>
          </w:p>
        </w:tc>
      </w:tr>
      <w:tr w14:paraId="0EB596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6F2CA75">
            <w:pPr>
              <w:spacing w:line="400" w:lineRule="exact"/>
              <w:jc w:val="center"/>
              <w:rPr>
                <w:rFonts w:ascii="宋体" w:hAnsi="宋体"/>
                <w:szCs w:val="21"/>
              </w:rPr>
            </w:pPr>
          </w:p>
        </w:tc>
        <w:tc>
          <w:tcPr>
            <w:tcW w:w="1899" w:type="dxa"/>
            <w:vMerge w:val="continue"/>
            <w:vAlign w:val="center"/>
          </w:tcPr>
          <w:p w14:paraId="5B2EC1A1">
            <w:pPr>
              <w:spacing w:line="400" w:lineRule="exact"/>
              <w:jc w:val="center"/>
              <w:rPr>
                <w:rFonts w:ascii="宋体" w:hAnsi="宋体"/>
                <w:szCs w:val="21"/>
              </w:rPr>
            </w:pPr>
          </w:p>
        </w:tc>
        <w:tc>
          <w:tcPr>
            <w:tcW w:w="6333" w:type="dxa"/>
          </w:tcPr>
          <w:p w14:paraId="0CED0527">
            <w:pPr>
              <w:autoSpaceDE w:val="0"/>
              <w:autoSpaceDN w:val="0"/>
              <w:adjustRightInd w:val="0"/>
              <w:snapToGrid w:val="0"/>
              <w:spacing w:line="400" w:lineRule="exact"/>
              <w:ind w:firstLine="420" w:firstLineChars="200"/>
              <w:rPr>
                <w:rFonts w:ascii="宋体" w:hAnsi="宋体"/>
                <w:i/>
                <w:szCs w:val="21"/>
              </w:rPr>
            </w:pPr>
            <w:r>
              <w:rPr>
                <w:rFonts w:hint="eastAsia" w:ascii="宋体" w:hAnsi="宋体"/>
                <w:szCs w:val="21"/>
              </w:rPr>
              <w:t>A-11投标文件份数符合第二章“投标人须知”第3.7.4项的规定，</w:t>
            </w:r>
            <w:r>
              <w:rPr>
                <w:rFonts w:hint="eastAsia" w:ascii="宋体" w:hAnsi="宋体"/>
                <w:kern w:val="0"/>
                <w:szCs w:val="21"/>
              </w:rPr>
              <w:t>否则由评标委员会作否决投标处理。</w:t>
            </w:r>
          </w:p>
        </w:tc>
      </w:tr>
      <w:tr w14:paraId="75ECF9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2EF1BB0">
            <w:pPr>
              <w:spacing w:line="400" w:lineRule="exact"/>
              <w:jc w:val="center"/>
              <w:rPr>
                <w:rFonts w:ascii="宋体" w:hAnsi="宋体"/>
                <w:szCs w:val="21"/>
              </w:rPr>
            </w:pPr>
          </w:p>
        </w:tc>
        <w:tc>
          <w:tcPr>
            <w:tcW w:w="1899" w:type="dxa"/>
            <w:vMerge w:val="continue"/>
            <w:vAlign w:val="center"/>
          </w:tcPr>
          <w:p w14:paraId="24AD03F7">
            <w:pPr>
              <w:spacing w:line="400" w:lineRule="exact"/>
              <w:jc w:val="center"/>
              <w:rPr>
                <w:rFonts w:ascii="宋体" w:hAnsi="宋体"/>
                <w:szCs w:val="21"/>
              </w:rPr>
            </w:pPr>
          </w:p>
        </w:tc>
        <w:tc>
          <w:tcPr>
            <w:tcW w:w="6333" w:type="dxa"/>
          </w:tcPr>
          <w:p w14:paraId="0C89627B">
            <w:pPr>
              <w:spacing w:line="400" w:lineRule="exact"/>
              <w:ind w:firstLine="420" w:firstLineChars="200"/>
              <w:rPr>
                <w:rFonts w:ascii="宋体" w:hAnsi="宋体"/>
                <w:szCs w:val="21"/>
              </w:rPr>
            </w:pPr>
            <w:r>
              <w:rPr>
                <w:rFonts w:hint="eastAsia" w:ascii="宋体" w:hAnsi="宋体"/>
                <w:szCs w:val="21"/>
              </w:rPr>
              <w:t>A-12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评标委员会作否决投标处理（如有）。</w:t>
            </w:r>
          </w:p>
        </w:tc>
      </w:tr>
      <w:tr w14:paraId="377FE7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9458CA9">
            <w:pPr>
              <w:spacing w:line="400" w:lineRule="exact"/>
              <w:jc w:val="center"/>
              <w:rPr>
                <w:rFonts w:ascii="宋体" w:hAnsi="宋体"/>
                <w:szCs w:val="21"/>
              </w:rPr>
            </w:pPr>
          </w:p>
        </w:tc>
        <w:tc>
          <w:tcPr>
            <w:tcW w:w="1899" w:type="dxa"/>
            <w:vMerge w:val="continue"/>
            <w:vAlign w:val="center"/>
          </w:tcPr>
          <w:p w14:paraId="1FC087D6">
            <w:pPr>
              <w:spacing w:line="400" w:lineRule="exact"/>
              <w:jc w:val="center"/>
              <w:rPr>
                <w:rFonts w:ascii="宋体" w:hAnsi="宋体"/>
                <w:szCs w:val="21"/>
              </w:rPr>
            </w:pPr>
          </w:p>
        </w:tc>
        <w:tc>
          <w:tcPr>
            <w:tcW w:w="6333" w:type="dxa"/>
          </w:tcPr>
          <w:p w14:paraId="3CA7BB90">
            <w:pPr>
              <w:spacing w:line="400" w:lineRule="exact"/>
              <w:ind w:firstLine="420" w:firstLineChars="200"/>
              <w:rPr>
                <w:rFonts w:ascii="宋体" w:hAnsi="宋体"/>
                <w:szCs w:val="21"/>
              </w:rPr>
            </w:pPr>
            <w:r>
              <w:rPr>
                <w:rFonts w:hint="eastAsia" w:ascii="宋体" w:hAnsi="宋体"/>
                <w:szCs w:val="21"/>
              </w:rPr>
              <w:t>A-13只能有一个有效报价。在招标文件没有规定的情况下，不得提交选择性报价，否则由评标委员会作否决投标处理。</w:t>
            </w:r>
          </w:p>
        </w:tc>
      </w:tr>
      <w:tr w14:paraId="61FB2C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3D70CA8">
            <w:pPr>
              <w:spacing w:line="400" w:lineRule="exact"/>
              <w:jc w:val="center"/>
              <w:rPr>
                <w:rFonts w:ascii="宋体" w:hAnsi="宋体"/>
                <w:szCs w:val="21"/>
              </w:rPr>
            </w:pPr>
          </w:p>
        </w:tc>
        <w:tc>
          <w:tcPr>
            <w:tcW w:w="1899" w:type="dxa"/>
            <w:vMerge w:val="continue"/>
            <w:vAlign w:val="center"/>
          </w:tcPr>
          <w:p w14:paraId="56A3114C">
            <w:pPr>
              <w:spacing w:line="400" w:lineRule="exact"/>
              <w:jc w:val="center"/>
              <w:rPr>
                <w:rFonts w:ascii="宋体" w:hAnsi="宋体"/>
                <w:szCs w:val="21"/>
              </w:rPr>
            </w:pPr>
          </w:p>
        </w:tc>
        <w:tc>
          <w:tcPr>
            <w:tcW w:w="6333" w:type="dxa"/>
          </w:tcPr>
          <w:p w14:paraId="42680350">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A-14</w:t>
            </w:r>
            <w:r>
              <w:rPr>
                <w:rFonts w:hint="eastAsia" w:ascii="宋体" w:hAnsi="宋体" w:cs="宋体"/>
                <w:kern w:val="0"/>
              </w:rPr>
              <w:t>第八章 投标文件格式要求法定代表人或其委托代理人签名（或盖章）的须齐全。</w:t>
            </w:r>
            <w:r>
              <w:rPr>
                <w:rFonts w:hint="eastAsia" w:ascii="宋体" w:hAnsi="宋体" w:cs="宋体"/>
                <w:snapToGrid w:val="0"/>
                <w:kern w:val="0"/>
                <w:szCs w:val="21"/>
              </w:rPr>
              <w:t>若投标单位为联合体，则联合体协议书中各联合体各成员单位签名（或盖章）须齐全，联合体协议书以外的</w:t>
            </w:r>
            <w:r>
              <w:rPr>
                <w:rFonts w:hint="eastAsia" w:ascii="宋体" w:hAnsi="宋体" w:cs="宋体"/>
                <w:kern w:val="0"/>
              </w:rPr>
              <w:t>投标文件格式中，要求</w:t>
            </w:r>
            <w:r>
              <w:rPr>
                <w:rFonts w:hint="eastAsia" w:ascii="宋体" w:hAnsi="宋体" w:cs="宋体"/>
                <w:snapToGrid w:val="0"/>
                <w:kern w:val="0"/>
                <w:szCs w:val="21"/>
              </w:rPr>
              <w:t>联合体牵头人</w:t>
            </w:r>
            <w:r>
              <w:rPr>
                <w:rFonts w:hint="eastAsia" w:ascii="宋体" w:hAnsi="宋体" w:cs="宋体"/>
                <w:kern w:val="0"/>
              </w:rPr>
              <w:t>法定代表人或其委托代理人签名（或盖章）的须齐全</w:t>
            </w:r>
            <w:r>
              <w:rPr>
                <w:rFonts w:hint="eastAsia" w:ascii="宋体" w:hAnsi="宋体"/>
                <w:szCs w:val="21"/>
              </w:rPr>
              <w:t>，否则由评标委员会作否决投标处理。</w:t>
            </w:r>
          </w:p>
        </w:tc>
      </w:tr>
      <w:tr w14:paraId="1E4DCB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EBCFA0F">
            <w:pPr>
              <w:spacing w:line="400" w:lineRule="exact"/>
              <w:jc w:val="center"/>
              <w:rPr>
                <w:rFonts w:ascii="宋体" w:hAnsi="宋体"/>
                <w:szCs w:val="21"/>
              </w:rPr>
            </w:pPr>
          </w:p>
        </w:tc>
        <w:tc>
          <w:tcPr>
            <w:tcW w:w="1899" w:type="dxa"/>
            <w:vMerge w:val="continue"/>
            <w:vAlign w:val="center"/>
          </w:tcPr>
          <w:p w14:paraId="261DAC61">
            <w:pPr>
              <w:spacing w:line="400" w:lineRule="exact"/>
              <w:jc w:val="center"/>
              <w:rPr>
                <w:rFonts w:ascii="宋体" w:hAnsi="宋体"/>
                <w:szCs w:val="21"/>
              </w:rPr>
            </w:pPr>
          </w:p>
        </w:tc>
        <w:tc>
          <w:tcPr>
            <w:tcW w:w="6333" w:type="dxa"/>
          </w:tcPr>
          <w:p w14:paraId="620241A4">
            <w:pPr>
              <w:spacing w:line="400" w:lineRule="exact"/>
              <w:ind w:firstLine="420" w:firstLineChars="200"/>
              <w:rPr>
                <w:rFonts w:ascii="宋体" w:hAnsi="宋体"/>
                <w:szCs w:val="21"/>
              </w:rPr>
            </w:pPr>
            <w:r>
              <w:rPr>
                <w:rFonts w:hint="eastAsia" w:ascii="宋体" w:hAnsi="宋体"/>
                <w:szCs w:val="21"/>
              </w:rPr>
              <w:t>A-15投标人法定代表人的委托代理人有法定代表人签署的授权委托书和投标人为其缴纳的养老保险证明材料，否则由评标委员会作否决投标处理。</w:t>
            </w:r>
          </w:p>
        </w:tc>
      </w:tr>
      <w:tr w14:paraId="03C0D9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B234C82">
            <w:pPr>
              <w:spacing w:line="400" w:lineRule="exact"/>
              <w:jc w:val="center"/>
              <w:rPr>
                <w:rFonts w:ascii="宋体" w:hAnsi="宋体"/>
                <w:szCs w:val="21"/>
              </w:rPr>
            </w:pPr>
          </w:p>
        </w:tc>
        <w:tc>
          <w:tcPr>
            <w:tcW w:w="1899" w:type="dxa"/>
            <w:vMerge w:val="restart"/>
            <w:vAlign w:val="center"/>
          </w:tcPr>
          <w:p w14:paraId="528CCC8B">
            <w:pPr>
              <w:spacing w:line="400" w:lineRule="exact"/>
              <w:jc w:val="center"/>
              <w:rPr>
                <w:rFonts w:ascii="宋体" w:hAnsi="宋体"/>
                <w:szCs w:val="21"/>
              </w:rPr>
            </w:pPr>
            <w:r>
              <w:rPr>
                <w:rFonts w:hint="eastAsia" w:ascii="宋体" w:hAnsi="宋体"/>
                <w:szCs w:val="21"/>
              </w:rPr>
              <w:t>响应性评审</w:t>
            </w:r>
          </w:p>
        </w:tc>
        <w:tc>
          <w:tcPr>
            <w:tcW w:w="6333" w:type="dxa"/>
            <w:vAlign w:val="center"/>
          </w:tcPr>
          <w:p w14:paraId="6EF27C27">
            <w:pPr>
              <w:spacing w:line="400" w:lineRule="exact"/>
              <w:ind w:firstLine="420" w:firstLineChars="200"/>
              <w:rPr>
                <w:rFonts w:ascii="宋体" w:hAnsi="宋体"/>
                <w:szCs w:val="21"/>
              </w:rPr>
            </w:pPr>
            <w:r>
              <w:rPr>
                <w:rFonts w:hint="eastAsia" w:ascii="宋体" w:hAnsi="宋体"/>
                <w:szCs w:val="21"/>
              </w:rPr>
              <w:t>A-16</w:t>
            </w:r>
            <w:r>
              <w:rPr>
                <w:rFonts w:hint="eastAsia" w:ascii="宋体" w:hAnsi="宋体" w:cs="宋体"/>
                <w:szCs w:val="21"/>
              </w:rPr>
              <w:t>投标总报价必须与已标价工程量清单总报价一致</w:t>
            </w:r>
            <w:r>
              <w:rPr>
                <w:rFonts w:hint="eastAsia" w:ascii="宋体" w:hAnsi="宋体"/>
                <w:szCs w:val="21"/>
              </w:rPr>
              <w:t>，否则由评标委员会作否决投标处理。</w:t>
            </w:r>
          </w:p>
        </w:tc>
      </w:tr>
      <w:tr w14:paraId="6253D6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148627C">
            <w:pPr>
              <w:spacing w:line="400" w:lineRule="exact"/>
              <w:jc w:val="center"/>
              <w:rPr>
                <w:rFonts w:ascii="宋体" w:hAnsi="宋体"/>
                <w:szCs w:val="21"/>
              </w:rPr>
            </w:pPr>
          </w:p>
        </w:tc>
        <w:tc>
          <w:tcPr>
            <w:tcW w:w="1899" w:type="dxa"/>
            <w:vMerge w:val="continue"/>
            <w:vAlign w:val="center"/>
          </w:tcPr>
          <w:p w14:paraId="309A64CB">
            <w:pPr>
              <w:spacing w:line="400" w:lineRule="exact"/>
              <w:jc w:val="center"/>
              <w:rPr>
                <w:rFonts w:ascii="宋体" w:hAnsi="宋体"/>
                <w:szCs w:val="21"/>
              </w:rPr>
            </w:pPr>
          </w:p>
        </w:tc>
        <w:tc>
          <w:tcPr>
            <w:tcW w:w="6333" w:type="dxa"/>
            <w:vAlign w:val="center"/>
          </w:tcPr>
          <w:p w14:paraId="109E04A1">
            <w:pPr>
              <w:spacing w:line="400" w:lineRule="exact"/>
              <w:ind w:firstLine="420" w:firstLineChars="200"/>
              <w:rPr>
                <w:rFonts w:ascii="宋体" w:hAnsi="宋体"/>
                <w:szCs w:val="21"/>
              </w:rPr>
            </w:pPr>
            <w:r>
              <w:rPr>
                <w:rFonts w:hint="eastAsia" w:ascii="宋体" w:hAnsi="宋体"/>
                <w:szCs w:val="21"/>
              </w:rPr>
              <w:t>A-17投标总报价不得高于招标人公布的投标总报价最高限价，否则由评标委员会作否决投标处理。</w:t>
            </w:r>
          </w:p>
        </w:tc>
      </w:tr>
      <w:tr w14:paraId="3289A3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A1F084E">
            <w:pPr>
              <w:spacing w:line="400" w:lineRule="exact"/>
              <w:jc w:val="center"/>
              <w:rPr>
                <w:rFonts w:ascii="宋体" w:hAnsi="宋体"/>
                <w:szCs w:val="21"/>
              </w:rPr>
            </w:pPr>
          </w:p>
        </w:tc>
        <w:tc>
          <w:tcPr>
            <w:tcW w:w="1899" w:type="dxa"/>
            <w:vMerge w:val="continue"/>
            <w:vAlign w:val="center"/>
          </w:tcPr>
          <w:p w14:paraId="7129E9EA">
            <w:pPr>
              <w:spacing w:line="400" w:lineRule="exact"/>
              <w:jc w:val="center"/>
              <w:rPr>
                <w:rFonts w:ascii="宋体" w:hAnsi="宋体"/>
                <w:szCs w:val="21"/>
              </w:rPr>
            </w:pPr>
          </w:p>
        </w:tc>
        <w:tc>
          <w:tcPr>
            <w:tcW w:w="6333" w:type="dxa"/>
            <w:vAlign w:val="center"/>
          </w:tcPr>
          <w:p w14:paraId="2CC70E9B">
            <w:pPr>
              <w:spacing w:line="400" w:lineRule="exact"/>
              <w:ind w:firstLine="420" w:firstLineChars="200"/>
              <w:rPr>
                <w:rFonts w:ascii="宋体" w:hAnsi="宋体"/>
                <w:szCs w:val="21"/>
              </w:rPr>
            </w:pPr>
            <w:r>
              <w:rPr>
                <w:rFonts w:hint="eastAsia" w:ascii="宋体" w:hAnsi="宋体"/>
                <w:szCs w:val="21"/>
              </w:rPr>
              <w:t>A-18暂列金额、暂估价、安全文明施工费等暂定金额必须按照招标文件给定的金额填报，否则由评标委员会作否决投标处理。</w:t>
            </w:r>
          </w:p>
        </w:tc>
      </w:tr>
      <w:tr w14:paraId="498FA2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378A139">
            <w:pPr>
              <w:spacing w:line="400" w:lineRule="exact"/>
              <w:jc w:val="center"/>
              <w:rPr>
                <w:rFonts w:ascii="宋体" w:hAnsi="宋体"/>
                <w:szCs w:val="21"/>
              </w:rPr>
            </w:pPr>
          </w:p>
        </w:tc>
        <w:tc>
          <w:tcPr>
            <w:tcW w:w="1899" w:type="dxa"/>
            <w:vMerge w:val="continue"/>
            <w:vAlign w:val="center"/>
          </w:tcPr>
          <w:p w14:paraId="1DFF580A">
            <w:pPr>
              <w:spacing w:line="400" w:lineRule="exact"/>
              <w:jc w:val="center"/>
              <w:rPr>
                <w:rFonts w:ascii="宋体" w:hAnsi="宋体"/>
                <w:szCs w:val="21"/>
              </w:rPr>
            </w:pPr>
          </w:p>
        </w:tc>
        <w:tc>
          <w:tcPr>
            <w:tcW w:w="6333" w:type="dxa"/>
            <w:vAlign w:val="center"/>
          </w:tcPr>
          <w:p w14:paraId="67DF2873">
            <w:pPr>
              <w:spacing w:line="400" w:lineRule="exact"/>
              <w:ind w:firstLine="420" w:firstLineChars="200"/>
              <w:rPr>
                <w:rFonts w:ascii="宋体" w:hAnsi="宋体"/>
                <w:szCs w:val="21"/>
              </w:rPr>
            </w:pPr>
            <w:r>
              <w:rPr>
                <w:rFonts w:hint="eastAsia" w:ascii="宋体" w:hAnsi="宋体"/>
                <w:szCs w:val="21"/>
              </w:rPr>
              <w:t>A-19投标内容符合第二章“投标人须知”第1.3.1项规定，否则由评标委员会作否决投标处理。</w:t>
            </w:r>
          </w:p>
        </w:tc>
      </w:tr>
      <w:tr w14:paraId="6AB13C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0CAD8D0">
            <w:pPr>
              <w:spacing w:line="400" w:lineRule="exact"/>
              <w:jc w:val="center"/>
              <w:rPr>
                <w:rFonts w:ascii="宋体" w:hAnsi="宋体"/>
                <w:szCs w:val="21"/>
              </w:rPr>
            </w:pPr>
          </w:p>
        </w:tc>
        <w:tc>
          <w:tcPr>
            <w:tcW w:w="1899" w:type="dxa"/>
            <w:vMerge w:val="continue"/>
            <w:vAlign w:val="center"/>
          </w:tcPr>
          <w:p w14:paraId="7E7EB508">
            <w:pPr>
              <w:spacing w:line="400" w:lineRule="exact"/>
              <w:jc w:val="center"/>
              <w:rPr>
                <w:rFonts w:ascii="宋体" w:hAnsi="宋体"/>
                <w:szCs w:val="21"/>
              </w:rPr>
            </w:pPr>
          </w:p>
        </w:tc>
        <w:tc>
          <w:tcPr>
            <w:tcW w:w="6333" w:type="dxa"/>
            <w:vAlign w:val="center"/>
          </w:tcPr>
          <w:p w14:paraId="12E0929E">
            <w:pPr>
              <w:spacing w:line="400" w:lineRule="exact"/>
              <w:ind w:firstLine="420" w:firstLineChars="200"/>
              <w:rPr>
                <w:rFonts w:ascii="宋体" w:hAnsi="宋体"/>
                <w:szCs w:val="21"/>
              </w:rPr>
            </w:pPr>
            <w:r>
              <w:rPr>
                <w:rFonts w:hint="eastAsia" w:ascii="宋体" w:hAnsi="宋体"/>
                <w:szCs w:val="21"/>
              </w:rPr>
              <w:t>A-20工期符合第二章“投标人须知”第1.3.2项规定，否则由评标委员会作否决投标处理。</w:t>
            </w:r>
          </w:p>
        </w:tc>
      </w:tr>
      <w:tr w14:paraId="46FF9C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1828336">
            <w:pPr>
              <w:spacing w:line="400" w:lineRule="exact"/>
              <w:jc w:val="center"/>
              <w:rPr>
                <w:rFonts w:ascii="宋体" w:hAnsi="宋体"/>
                <w:szCs w:val="21"/>
              </w:rPr>
            </w:pPr>
          </w:p>
        </w:tc>
        <w:tc>
          <w:tcPr>
            <w:tcW w:w="1899" w:type="dxa"/>
            <w:vMerge w:val="continue"/>
            <w:vAlign w:val="center"/>
          </w:tcPr>
          <w:p w14:paraId="2CF15D10">
            <w:pPr>
              <w:spacing w:line="400" w:lineRule="exact"/>
              <w:jc w:val="center"/>
              <w:rPr>
                <w:rFonts w:ascii="宋体" w:hAnsi="宋体"/>
                <w:szCs w:val="21"/>
              </w:rPr>
            </w:pPr>
          </w:p>
        </w:tc>
        <w:tc>
          <w:tcPr>
            <w:tcW w:w="6333" w:type="dxa"/>
            <w:vAlign w:val="center"/>
          </w:tcPr>
          <w:p w14:paraId="5034C1FC">
            <w:pPr>
              <w:spacing w:line="400" w:lineRule="exact"/>
              <w:ind w:firstLine="420" w:firstLineChars="200"/>
              <w:rPr>
                <w:rFonts w:ascii="宋体" w:hAnsi="宋体"/>
                <w:szCs w:val="21"/>
              </w:rPr>
            </w:pPr>
            <w:r>
              <w:rPr>
                <w:rFonts w:hint="eastAsia" w:ascii="宋体" w:hAnsi="宋体"/>
                <w:szCs w:val="21"/>
              </w:rPr>
              <w:t>A-21工程质量符合第二章“投标人须知”第1.3.3项规定，否则由评标委员会作否决投标处理。</w:t>
            </w:r>
          </w:p>
        </w:tc>
      </w:tr>
      <w:tr w14:paraId="29233B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065DA70">
            <w:pPr>
              <w:spacing w:line="400" w:lineRule="exact"/>
              <w:jc w:val="center"/>
              <w:rPr>
                <w:rFonts w:ascii="宋体" w:hAnsi="宋体"/>
                <w:szCs w:val="21"/>
              </w:rPr>
            </w:pPr>
          </w:p>
        </w:tc>
        <w:tc>
          <w:tcPr>
            <w:tcW w:w="1899" w:type="dxa"/>
            <w:vMerge w:val="continue"/>
            <w:vAlign w:val="center"/>
          </w:tcPr>
          <w:p w14:paraId="0E9EC1AE">
            <w:pPr>
              <w:spacing w:line="400" w:lineRule="exact"/>
              <w:jc w:val="center"/>
              <w:rPr>
                <w:rFonts w:ascii="宋体" w:hAnsi="宋体"/>
                <w:szCs w:val="21"/>
              </w:rPr>
            </w:pPr>
          </w:p>
        </w:tc>
        <w:tc>
          <w:tcPr>
            <w:tcW w:w="6333" w:type="dxa"/>
            <w:vAlign w:val="center"/>
          </w:tcPr>
          <w:p w14:paraId="378721EA">
            <w:pPr>
              <w:spacing w:line="400" w:lineRule="exact"/>
              <w:ind w:firstLine="420" w:firstLineChars="200"/>
              <w:rPr>
                <w:rFonts w:ascii="宋体" w:hAnsi="宋体"/>
                <w:szCs w:val="21"/>
              </w:rPr>
            </w:pPr>
            <w:r>
              <w:rPr>
                <w:rFonts w:hint="eastAsia" w:ascii="宋体" w:hAnsi="宋体"/>
                <w:szCs w:val="21"/>
              </w:rPr>
              <w:t>A-22投标有效期符合第二章“投标人须知”第3.3.1项规定，否则由评标委员会作否决投标处理。</w:t>
            </w:r>
          </w:p>
        </w:tc>
      </w:tr>
      <w:tr w14:paraId="073645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FF7C3B0">
            <w:pPr>
              <w:spacing w:line="400" w:lineRule="exact"/>
              <w:jc w:val="center"/>
              <w:rPr>
                <w:rFonts w:ascii="宋体" w:hAnsi="宋体"/>
                <w:szCs w:val="21"/>
              </w:rPr>
            </w:pPr>
          </w:p>
        </w:tc>
        <w:tc>
          <w:tcPr>
            <w:tcW w:w="1899" w:type="dxa"/>
            <w:vMerge w:val="continue"/>
            <w:vAlign w:val="center"/>
          </w:tcPr>
          <w:p w14:paraId="182CBC69">
            <w:pPr>
              <w:spacing w:line="400" w:lineRule="exact"/>
              <w:jc w:val="center"/>
              <w:rPr>
                <w:rFonts w:ascii="宋体" w:hAnsi="宋体"/>
                <w:szCs w:val="21"/>
              </w:rPr>
            </w:pPr>
          </w:p>
        </w:tc>
        <w:tc>
          <w:tcPr>
            <w:tcW w:w="6333" w:type="dxa"/>
            <w:vAlign w:val="center"/>
          </w:tcPr>
          <w:p w14:paraId="4FB62B60">
            <w:pPr>
              <w:spacing w:line="400" w:lineRule="exact"/>
              <w:ind w:firstLine="420" w:firstLineChars="200"/>
              <w:rPr>
                <w:rFonts w:ascii="宋体" w:hAnsi="宋体"/>
                <w:szCs w:val="21"/>
              </w:rPr>
            </w:pPr>
            <w:r>
              <w:rPr>
                <w:rFonts w:hint="eastAsia" w:ascii="宋体" w:hAnsi="宋体"/>
                <w:szCs w:val="21"/>
              </w:rPr>
              <w:t>A-23</w:t>
            </w:r>
            <w:r>
              <w:rPr>
                <w:rFonts w:ascii="宋体" w:hAnsi="宋体"/>
                <w:szCs w:val="21"/>
              </w:rPr>
              <w:t>投标人应按投标人须知前附表</w:t>
            </w:r>
            <w:r>
              <w:rPr>
                <w:rFonts w:hint="eastAsia" w:ascii="宋体" w:hAnsi="宋体"/>
                <w:szCs w:val="21"/>
              </w:rPr>
              <w:t>第3.4款的</w:t>
            </w:r>
            <w:r>
              <w:rPr>
                <w:rFonts w:ascii="宋体" w:hAnsi="宋体"/>
                <w:szCs w:val="21"/>
              </w:rPr>
              <w:t>规定递交投标保证金，并作为其投标文件的组成部分</w:t>
            </w:r>
            <w:r>
              <w:rPr>
                <w:rFonts w:hint="eastAsia" w:ascii="宋体" w:hAnsi="宋体"/>
                <w:szCs w:val="21"/>
              </w:rPr>
              <w:t>，</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14:paraId="583FDF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1C4CCB4">
            <w:pPr>
              <w:spacing w:line="400" w:lineRule="exact"/>
              <w:jc w:val="center"/>
              <w:rPr>
                <w:rFonts w:ascii="宋体" w:hAnsi="宋体"/>
                <w:szCs w:val="21"/>
              </w:rPr>
            </w:pPr>
          </w:p>
        </w:tc>
        <w:tc>
          <w:tcPr>
            <w:tcW w:w="1899" w:type="dxa"/>
            <w:vMerge w:val="continue"/>
            <w:vAlign w:val="center"/>
          </w:tcPr>
          <w:p w14:paraId="38097656">
            <w:pPr>
              <w:spacing w:line="400" w:lineRule="exact"/>
              <w:jc w:val="center"/>
              <w:rPr>
                <w:rFonts w:ascii="宋体" w:hAnsi="宋体"/>
                <w:szCs w:val="21"/>
              </w:rPr>
            </w:pPr>
          </w:p>
        </w:tc>
        <w:tc>
          <w:tcPr>
            <w:tcW w:w="6333" w:type="dxa"/>
            <w:vAlign w:val="center"/>
          </w:tcPr>
          <w:p w14:paraId="39155948">
            <w:pPr>
              <w:spacing w:line="400" w:lineRule="exact"/>
              <w:ind w:firstLine="420" w:firstLineChars="200"/>
              <w:rPr>
                <w:rFonts w:ascii="宋体" w:hAnsi="宋体"/>
                <w:szCs w:val="21"/>
              </w:rPr>
            </w:pPr>
            <w:r>
              <w:rPr>
                <w:rFonts w:hint="eastAsia" w:ascii="宋体" w:hAnsi="宋体"/>
                <w:szCs w:val="21"/>
              </w:rPr>
              <w:t>A-24符合第四章“合同条款及格式”规定，投标文件不应附有招标人不能接受的条件，否则由评标委员会作否决投标处理。（由投标人承诺，承诺书格式详见第八章投标文件格式。）</w:t>
            </w:r>
          </w:p>
        </w:tc>
      </w:tr>
      <w:tr w14:paraId="65A8A9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A184FA6">
            <w:pPr>
              <w:spacing w:line="400" w:lineRule="exact"/>
              <w:jc w:val="center"/>
              <w:rPr>
                <w:rFonts w:ascii="宋体" w:hAnsi="宋体"/>
                <w:szCs w:val="21"/>
              </w:rPr>
            </w:pPr>
          </w:p>
        </w:tc>
        <w:tc>
          <w:tcPr>
            <w:tcW w:w="1899" w:type="dxa"/>
            <w:vMerge w:val="continue"/>
            <w:vAlign w:val="center"/>
          </w:tcPr>
          <w:p w14:paraId="156DB708">
            <w:pPr>
              <w:spacing w:line="400" w:lineRule="exact"/>
              <w:jc w:val="center"/>
              <w:rPr>
                <w:rFonts w:ascii="宋体" w:hAnsi="宋体"/>
                <w:szCs w:val="21"/>
              </w:rPr>
            </w:pPr>
          </w:p>
        </w:tc>
        <w:tc>
          <w:tcPr>
            <w:tcW w:w="6333" w:type="dxa"/>
            <w:vAlign w:val="center"/>
          </w:tcPr>
          <w:p w14:paraId="319706FE">
            <w:pPr>
              <w:spacing w:line="400" w:lineRule="exact"/>
              <w:ind w:firstLine="420" w:firstLineChars="200"/>
              <w:rPr>
                <w:rFonts w:ascii="宋体" w:hAnsi="宋体"/>
                <w:szCs w:val="21"/>
              </w:rPr>
            </w:pPr>
            <w:r>
              <w:rPr>
                <w:rFonts w:hint="eastAsia" w:ascii="宋体" w:hAnsi="宋体"/>
                <w:szCs w:val="21"/>
              </w:rPr>
              <w:t>A-25符合第七章“技术标准和要求”规定。否则由评标委员会作否决投标处理（如有）。（由投标人承诺，承诺书格式详见第八章投标文件格式。）</w:t>
            </w:r>
          </w:p>
        </w:tc>
      </w:tr>
      <w:tr w14:paraId="218D18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C39E567">
            <w:pPr>
              <w:spacing w:line="400" w:lineRule="exact"/>
              <w:jc w:val="center"/>
              <w:rPr>
                <w:rFonts w:ascii="宋体" w:hAnsi="宋体"/>
                <w:szCs w:val="21"/>
              </w:rPr>
            </w:pPr>
          </w:p>
        </w:tc>
        <w:tc>
          <w:tcPr>
            <w:tcW w:w="1899" w:type="dxa"/>
            <w:vMerge w:val="continue"/>
            <w:vAlign w:val="center"/>
          </w:tcPr>
          <w:p w14:paraId="79459C2C">
            <w:pPr>
              <w:spacing w:line="400" w:lineRule="exact"/>
              <w:jc w:val="center"/>
              <w:rPr>
                <w:rFonts w:ascii="宋体" w:hAnsi="宋体"/>
                <w:szCs w:val="21"/>
              </w:rPr>
            </w:pPr>
          </w:p>
        </w:tc>
        <w:tc>
          <w:tcPr>
            <w:tcW w:w="6333" w:type="dxa"/>
            <w:vAlign w:val="center"/>
          </w:tcPr>
          <w:p w14:paraId="35247633">
            <w:pPr>
              <w:spacing w:line="400" w:lineRule="exact"/>
              <w:ind w:firstLine="420" w:firstLineChars="200"/>
              <w:rPr>
                <w:rFonts w:ascii="宋体" w:hAnsi="宋体"/>
                <w:szCs w:val="21"/>
              </w:rPr>
            </w:pPr>
            <w:r>
              <w:rPr>
                <w:rFonts w:hint="eastAsia" w:ascii="宋体" w:hAnsi="宋体"/>
                <w:szCs w:val="21"/>
              </w:rPr>
              <w:t>A-26投标人提供的关于已标价工程量清单的承诺符合招标文件的要求，</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14:paraId="6CE1AA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0359E6C">
            <w:pPr>
              <w:spacing w:line="400" w:lineRule="exact"/>
              <w:jc w:val="center"/>
              <w:rPr>
                <w:rFonts w:ascii="宋体" w:hAnsi="宋体"/>
                <w:szCs w:val="21"/>
              </w:rPr>
            </w:pPr>
          </w:p>
        </w:tc>
        <w:tc>
          <w:tcPr>
            <w:tcW w:w="1899" w:type="dxa"/>
            <w:vMerge w:val="continue"/>
            <w:vAlign w:val="center"/>
          </w:tcPr>
          <w:p w14:paraId="2948E8D3">
            <w:pPr>
              <w:spacing w:line="400" w:lineRule="exact"/>
              <w:jc w:val="center"/>
              <w:rPr>
                <w:rFonts w:ascii="宋体" w:hAnsi="宋体"/>
                <w:szCs w:val="21"/>
              </w:rPr>
            </w:pPr>
          </w:p>
        </w:tc>
        <w:tc>
          <w:tcPr>
            <w:tcW w:w="6333" w:type="dxa"/>
            <w:vAlign w:val="center"/>
          </w:tcPr>
          <w:p w14:paraId="32120CB3">
            <w:pPr>
              <w:spacing w:line="400" w:lineRule="exact"/>
              <w:ind w:firstLine="420" w:firstLineChars="200"/>
              <w:rPr>
                <w:rFonts w:ascii="宋体" w:hAnsi="宋体"/>
                <w:szCs w:val="21"/>
              </w:rPr>
            </w:pPr>
            <w:r>
              <w:rPr>
                <w:rFonts w:hint="eastAsia" w:ascii="宋体" w:hAnsi="宋体"/>
                <w:szCs w:val="21"/>
              </w:rPr>
              <w:t>A-27投标报价有算术错误的，按照第三章“评标办法”第3.1.3项规定执行，否则由评标委员会作否决投标处理</w:t>
            </w:r>
            <w:r>
              <w:rPr>
                <w:rFonts w:ascii="宋体" w:hAnsi="宋体"/>
                <w:szCs w:val="21"/>
              </w:rPr>
              <w:t>。</w:t>
            </w:r>
          </w:p>
        </w:tc>
      </w:tr>
      <w:tr w14:paraId="2BF896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1803AB9">
            <w:pPr>
              <w:spacing w:line="400" w:lineRule="exact"/>
              <w:jc w:val="center"/>
              <w:rPr>
                <w:rFonts w:ascii="宋体" w:hAnsi="宋体"/>
                <w:szCs w:val="21"/>
              </w:rPr>
            </w:pPr>
          </w:p>
        </w:tc>
        <w:tc>
          <w:tcPr>
            <w:tcW w:w="1899" w:type="dxa"/>
            <w:vMerge w:val="continue"/>
            <w:vAlign w:val="center"/>
          </w:tcPr>
          <w:p w14:paraId="13D4E2D5">
            <w:pPr>
              <w:spacing w:line="400" w:lineRule="exact"/>
              <w:jc w:val="center"/>
              <w:rPr>
                <w:rFonts w:ascii="宋体" w:hAnsi="宋体"/>
                <w:szCs w:val="21"/>
              </w:rPr>
            </w:pPr>
          </w:p>
        </w:tc>
        <w:tc>
          <w:tcPr>
            <w:tcW w:w="6333" w:type="dxa"/>
            <w:vAlign w:val="center"/>
          </w:tcPr>
          <w:p w14:paraId="7F216D8C">
            <w:pPr>
              <w:spacing w:line="400" w:lineRule="exact"/>
              <w:ind w:firstLine="420" w:firstLineChars="200"/>
              <w:rPr>
                <w:rFonts w:ascii="宋体" w:hAnsi="宋体"/>
                <w:szCs w:val="21"/>
              </w:rPr>
            </w:pPr>
            <w:r>
              <w:rPr>
                <w:rFonts w:hint="eastAsia" w:ascii="宋体" w:hAnsi="宋体"/>
                <w:szCs w:val="21"/>
              </w:rPr>
              <w:t>A-28投标人有以下情形之一的，其投标文件由评标委员会</w:t>
            </w:r>
            <w:r>
              <w:rPr>
                <w:rFonts w:ascii="宋体" w:hAnsi="宋体"/>
                <w:szCs w:val="21"/>
              </w:rPr>
              <w:t>作否决投标处理</w:t>
            </w:r>
            <w:r>
              <w:rPr>
                <w:rFonts w:hint="eastAsia" w:ascii="宋体" w:hAnsi="宋体"/>
                <w:szCs w:val="21"/>
              </w:rPr>
              <w:t>：</w:t>
            </w:r>
          </w:p>
          <w:p w14:paraId="6C3E0148">
            <w:pPr>
              <w:spacing w:line="400" w:lineRule="exact"/>
              <w:ind w:firstLine="420" w:firstLineChars="200"/>
              <w:rPr>
                <w:rFonts w:ascii="宋体" w:hAnsi="宋体"/>
                <w:szCs w:val="21"/>
              </w:rPr>
            </w:pPr>
            <w:r>
              <w:rPr>
                <w:rFonts w:hint="eastAsia" w:ascii="宋体" w:hAnsi="宋体"/>
                <w:szCs w:val="21"/>
              </w:rPr>
              <w:t>1.第二章“投标人须知”第1.4.3项规定的任何一种情形的；</w:t>
            </w:r>
          </w:p>
          <w:p w14:paraId="67007B79">
            <w:pPr>
              <w:spacing w:line="400" w:lineRule="exact"/>
              <w:ind w:firstLine="420" w:firstLineChars="200"/>
              <w:rPr>
                <w:rFonts w:ascii="宋体" w:hAnsi="宋体"/>
                <w:szCs w:val="21"/>
              </w:rPr>
            </w:pPr>
            <w:r>
              <w:rPr>
                <w:rFonts w:hint="eastAsia" w:ascii="宋体" w:hAnsi="宋体"/>
                <w:szCs w:val="21"/>
              </w:rPr>
              <w:t>2.本次投标有串通投标、弄虚作假等违反招投标相关法律、法规的行为的；</w:t>
            </w:r>
          </w:p>
          <w:p w14:paraId="6D9B4084">
            <w:pPr>
              <w:spacing w:line="400" w:lineRule="exact"/>
              <w:ind w:firstLine="420" w:firstLineChars="200"/>
              <w:rPr>
                <w:rFonts w:ascii="宋体" w:hAnsi="宋体"/>
                <w:szCs w:val="21"/>
              </w:rPr>
            </w:pPr>
            <w:r>
              <w:rPr>
                <w:rFonts w:hint="eastAsia" w:ascii="宋体" w:hAnsi="宋体"/>
                <w:szCs w:val="21"/>
              </w:rPr>
              <w:t>3.拒绝按评标委员会要求澄清、说明或补正的。</w:t>
            </w:r>
          </w:p>
        </w:tc>
      </w:tr>
      <w:tr w14:paraId="164B37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1C3BC523">
            <w:pPr>
              <w:spacing w:line="400" w:lineRule="exact"/>
              <w:jc w:val="center"/>
              <w:rPr>
                <w:rFonts w:ascii="宋体" w:hAnsi="宋体"/>
                <w:szCs w:val="21"/>
              </w:rPr>
            </w:pPr>
            <w:r>
              <w:rPr>
                <w:rFonts w:ascii="宋体" w:hAnsi="宋体"/>
                <w:szCs w:val="21"/>
              </w:rPr>
              <w:t>其他</w:t>
            </w:r>
          </w:p>
        </w:tc>
        <w:tc>
          <w:tcPr>
            <w:tcW w:w="1899" w:type="dxa"/>
            <w:vAlign w:val="center"/>
          </w:tcPr>
          <w:p w14:paraId="461BB195">
            <w:pPr>
              <w:spacing w:line="400" w:lineRule="exact"/>
              <w:jc w:val="center"/>
              <w:rPr>
                <w:rFonts w:ascii="宋体" w:hAnsi="宋体"/>
                <w:szCs w:val="21"/>
              </w:rPr>
            </w:pPr>
          </w:p>
        </w:tc>
        <w:tc>
          <w:tcPr>
            <w:tcW w:w="6333" w:type="dxa"/>
          </w:tcPr>
          <w:p w14:paraId="1D40674E">
            <w:pPr>
              <w:spacing w:line="400" w:lineRule="exact"/>
              <w:ind w:firstLine="420" w:firstLineChars="200"/>
              <w:rPr>
                <w:rFonts w:hint="eastAsia" w:ascii="宋体" w:hAnsi="宋体" w:eastAsia="宋体"/>
                <w:i/>
                <w:szCs w:val="21"/>
                <w:lang w:eastAsia="zh-CN"/>
              </w:rPr>
            </w:pPr>
            <w:r>
              <w:rPr>
                <w:rFonts w:hint="eastAsia" w:ascii="宋体" w:hAnsi="宋体"/>
                <w:i w:val="0"/>
                <w:iCs/>
                <w:szCs w:val="21"/>
                <w:lang w:val="en-US" w:eastAsia="zh-CN"/>
              </w:rPr>
              <w:t>/</w:t>
            </w:r>
          </w:p>
        </w:tc>
      </w:tr>
    </w:tbl>
    <w:p w14:paraId="45FA1EAC">
      <w:pPr>
        <w:spacing w:line="480" w:lineRule="auto"/>
        <w:jc w:val="left"/>
        <w:rPr>
          <w:rFonts w:ascii="宋体" w:hAnsi="宋体"/>
          <w:color w:val="auto"/>
          <w:kern w:val="0"/>
          <w:sz w:val="24"/>
          <w:highlight w:val="none"/>
        </w:rPr>
      </w:pPr>
    </w:p>
    <w:p w14:paraId="07D29681">
      <w:pPr>
        <w:spacing w:line="200" w:lineRule="exact"/>
        <w:rPr>
          <w:rFonts w:ascii="宋体" w:hAnsi="宋体"/>
          <w:color w:val="auto"/>
          <w:kern w:val="0"/>
          <w:highlight w:val="none"/>
        </w:rPr>
      </w:pPr>
      <w:r>
        <w:rPr>
          <w:rFonts w:ascii="宋体" w:hAnsi="宋体"/>
          <w:snapToGrid w:val="0"/>
          <w:color w:val="auto"/>
          <w:kern w:val="0"/>
          <w:highlight w:val="none"/>
        </w:rPr>
        <w:br w:type="page"/>
      </w:r>
      <w:bookmarkStart w:id="655" w:name="招标文件03章02评标办法综合评估法"/>
      <w:bookmarkEnd w:id="655"/>
      <w:bookmarkStart w:id="656" w:name="招标文件03章02评标办法综合评估法00"/>
      <w:bookmarkEnd w:id="656"/>
      <w:bookmarkStart w:id="657" w:name="_Toc224103384"/>
      <w:bookmarkStart w:id="658" w:name="_Toc277082618"/>
      <w:bookmarkStart w:id="659" w:name="_Toc287607812"/>
      <w:bookmarkStart w:id="660" w:name="_Toc430530500"/>
      <w:bookmarkStart w:id="661" w:name="_Toc200513198"/>
      <w:bookmarkStart w:id="662" w:name="_Toc287620751"/>
    </w:p>
    <w:bookmarkEnd w:id="657"/>
    <w:bookmarkEnd w:id="658"/>
    <w:bookmarkEnd w:id="659"/>
    <w:bookmarkEnd w:id="660"/>
    <w:bookmarkEnd w:id="661"/>
    <w:bookmarkEnd w:id="662"/>
    <w:p w14:paraId="143CF256">
      <w:pPr>
        <w:pStyle w:val="2"/>
        <w:spacing w:line="360" w:lineRule="auto"/>
        <w:jc w:val="center"/>
        <w:rPr>
          <w:rFonts w:ascii="宋体" w:hAnsi="宋体"/>
          <w:color w:val="auto"/>
          <w:kern w:val="0"/>
          <w:highlight w:val="none"/>
        </w:rPr>
      </w:pPr>
      <w:bookmarkStart w:id="663" w:name="_Toc57905906"/>
      <w:bookmarkStart w:id="664" w:name="_Toc430530509"/>
      <w:bookmarkStart w:id="665" w:name="_Toc8427"/>
      <w:bookmarkStart w:id="666" w:name="_Toc509218785"/>
      <w:r>
        <w:rPr>
          <w:rFonts w:hint="eastAsia" w:ascii="宋体" w:hAnsi="宋体"/>
          <w:color w:val="auto"/>
          <w:kern w:val="0"/>
          <w:highlight w:val="none"/>
        </w:rPr>
        <w:t>第四章  合同条款及格式</w:t>
      </w:r>
      <w:bookmarkEnd w:id="663"/>
      <w:bookmarkEnd w:id="664"/>
      <w:bookmarkEnd w:id="665"/>
      <w:bookmarkEnd w:id="666"/>
    </w:p>
    <w:p w14:paraId="6558BAC9">
      <w:pPr>
        <w:rPr>
          <w:rFonts w:ascii="宋体" w:hAnsi="宋体"/>
          <w:color w:val="auto"/>
          <w:sz w:val="44"/>
          <w:szCs w:val="44"/>
          <w:highlight w:val="none"/>
        </w:rPr>
      </w:pPr>
      <w:r>
        <w:rPr>
          <w:rFonts w:ascii="宋体" w:hAnsi="宋体"/>
          <w:color w:val="auto"/>
          <w:highlight w:val="none"/>
        </w:rPr>
        <w:br w:type="page"/>
      </w:r>
      <w:bookmarkStart w:id="667" w:name="_Toc351203480"/>
      <w:bookmarkStart w:id="668" w:name="_Toc296890982"/>
      <w:bookmarkStart w:id="669" w:name="_Toc296503025"/>
    </w:p>
    <w:p w14:paraId="2019AFAF">
      <w:pPr>
        <w:spacing w:line="480" w:lineRule="auto"/>
        <w:jc w:val="center"/>
        <w:rPr>
          <w:rStyle w:val="313"/>
          <w:rFonts w:hint="eastAsia" w:ascii="宋体" w:hAnsi="宋体" w:eastAsia="宋体" w:cs="宋体"/>
          <w:b/>
          <w:color w:val="auto"/>
          <w:sz w:val="60"/>
          <w:szCs w:val="60"/>
          <w:highlight w:val="none"/>
          <w:lang w:eastAsia="zh-CN"/>
        </w:rPr>
      </w:pPr>
      <w:bookmarkStart w:id="670" w:name="_Toc16194"/>
      <w:bookmarkStart w:id="671" w:name="_Toc57905910"/>
      <w:bookmarkStart w:id="672" w:name="_Toc287620797"/>
      <w:bookmarkStart w:id="673" w:name="_Toc287607855"/>
      <w:bookmarkStart w:id="674" w:name="_Toc509218843"/>
      <w:bookmarkStart w:id="675" w:name="_Toc534185822"/>
      <w:bookmarkStart w:id="676" w:name="_Toc430530513"/>
      <w:r>
        <w:rPr>
          <w:rStyle w:val="313"/>
          <w:rFonts w:hint="eastAsia" w:ascii="宋体" w:hAnsi="宋体" w:cs="宋体"/>
          <w:b/>
          <w:color w:val="auto"/>
          <w:sz w:val="60"/>
          <w:szCs w:val="60"/>
          <w:highlight w:val="none"/>
          <w:lang w:eastAsia="zh-CN"/>
        </w:rPr>
        <w:t>长安锦绣城商业2栋、18栋（七十二行）屋面防水维修工程</w:t>
      </w:r>
    </w:p>
    <w:p w14:paraId="7B94270C">
      <w:pPr>
        <w:spacing w:line="480" w:lineRule="auto"/>
        <w:jc w:val="center"/>
        <w:rPr>
          <w:rStyle w:val="313"/>
          <w:rFonts w:hint="eastAsia" w:ascii="宋体" w:hAnsi="宋体" w:eastAsia="宋体" w:cs="宋体"/>
          <w:b/>
          <w:color w:val="auto"/>
          <w:sz w:val="96"/>
          <w:szCs w:val="96"/>
          <w:highlight w:val="none"/>
        </w:rPr>
      </w:pPr>
    </w:p>
    <w:p w14:paraId="3E0ACEE6">
      <w:pPr>
        <w:pStyle w:val="17"/>
        <w:rPr>
          <w:rStyle w:val="313"/>
          <w:rFonts w:hint="eastAsia" w:ascii="宋体" w:hAnsi="宋体" w:eastAsia="宋体" w:cs="宋体"/>
          <w:b/>
          <w:color w:val="auto"/>
          <w:sz w:val="96"/>
          <w:szCs w:val="96"/>
          <w:highlight w:val="none"/>
        </w:rPr>
      </w:pPr>
    </w:p>
    <w:p w14:paraId="72677157">
      <w:pPr>
        <w:pStyle w:val="17"/>
        <w:rPr>
          <w:rStyle w:val="313"/>
          <w:rFonts w:hint="eastAsia" w:ascii="宋体" w:hAnsi="宋体" w:eastAsia="宋体" w:cs="宋体"/>
          <w:b/>
          <w:color w:val="auto"/>
          <w:sz w:val="96"/>
          <w:szCs w:val="96"/>
          <w:highlight w:val="none"/>
        </w:rPr>
      </w:pPr>
    </w:p>
    <w:p w14:paraId="0147BC94">
      <w:pPr>
        <w:spacing w:line="480" w:lineRule="auto"/>
        <w:jc w:val="center"/>
        <w:rPr>
          <w:rStyle w:val="313"/>
          <w:rFonts w:hint="eastAsia" w:ascii="宋体" w:hAnsi="宋体" w:eastAsia="宋体" w:cs="宋体"/>
          <w:b/>
          <w:color w:val="auto"/>
          <w:sz w:val="56"/>
          <w:szCs w:val="56"/>
          <w:highlight w:val="none"/>
        </w:rPr>
      </w:pPr>
      <w:r>
        <w:rPr>
          <w:rStyle w:val="313"/>
          <w:rFonts w:hint="eastAsia" w:ascii="宋体" w:hAnsi="宋体" w:eastAsia="宋体" w:cs="宋体"/>
          <w:b/>
          <w:color w:val="auto"/>
          <w:sz w:val="96"/>
          <w:szCs w:val="96"/>
          <w:highlight w:val="none"/>
        </w:rPr>
        <w:t>施</w:t>
      </w:r>
      <w:r>
        <w:rPr>
          <w:rStyle w:val="313"/>
          <w:rFonts w:hint="eastAsia" w:ascii="宋体" w:hAnsi="宋体" w:eastAsia="宋体" w:cs="宋体"/>
          <w:b/>
          <w:color w:val="auto"/>
          <w:sz w:val="96"/>
          <w:szCs w:val="96"/>
          <w:highlight w:val="none"/>
          <w:lang w:val="en-US" w:eastAsia="zh-CN"/>
        </w:rPr>
        <w:t xml:space="preserve"> </w:t>
      </w:r>
      <w:r>
        <w:rPr>
          <w:rStyle w:val="313"/>
          <w:rFonts w:hint="eastAsia" w:ascii="宋体" w:hAnsi="宋体" w:eastAsia="宋体" w:cs="宋体"/>
          <w:b/>
          <w:color w:val="auto"/>
          <w:sz w:val="96"/>
          <w:szCs w:val="96"/>
          <w:highlight w:val="none"/>
        </w:rPr>
        <w:t>工</w:t>
      </w:r>
      <w:r>
        <w:rPr>
          <w:rStyle w:val="313"/>
          <w:rFonts w:hint="eastAsia" w:ascii="宋体" w:hAnsi="宋体" w:eastAsia="宋体" w:cs="宋体"/>
          <w:b/>
          <w:color w:val="auto"/>
          <w:sz w:val="96"/>
          <w:szCs w:val="96"/>
          <w:highlight w:val="none"/>
          <w:lang w:val="en-US" w:eastAsia="zh-CN"/>
        </w:rPr>
        <w:t xml:space="preserve"> </w:t>
      </w:r>
      <w:r>
        <w:rPr>
          <w:rStyle w:val="313"/>
          <w:rFonts w:hint="eastAsia" w:ascii="宋体" w:hAnsi="宋体" w:eastAsia="宋体" w:cs="宋体"/>
          <w:b/>
          <w:color w:val="auto"/>
          <w:sz w:val="96"/>
          <w:szCs w:val="96"/>
          <w:highlight w:val="none"/>
        </w:rPr>
        <w:t>合</w:t>
      </w:r>
      <w:r>
        <w:rPr>
          <w:rStyle w:val="313"/>
          <w:rFonts w:hint="eastAsia" w:ascii="宋体" w:hAnsi="宋体" w:eastAsia="宋体" w:cs="宋体"/>
          <w:b/>
          <w:color w:val="auto"/>
          <w:sz w:val="96"/>
          <w:szCs w:val="96"/>
          <w:highlight w:val="none"/>
          <w:lang w:val="en-US" w:eastAsia="zh-CN"/>
        </w:rPr>
        <w:t xml:space="preserve"> </w:t>
      </w:r>
      <w:r>
        <w:rPr>
          <w:rStyle w:val="313"/>
          <w:rFonts w:hint="eastAsia" w:ascii="宋体" w:hAnsi="宋体" w:eastAsia="宋体" w:cs="宋体"/>
          <w:b/>
          <w:color w:val="auto"/>
          <w:sz w:val="96"/>
          <w:szCs w:val="96"/>
          <w:highlight w:val="none"/>
        </w:rPr>
        <w:t>同</w:t>
      </w:r>
    </w:p>
    <w:p w14:paraId="776BC845">
      <w:pPr>
        <w:pStyle w:val="139"/>
        <w:rPr>
          <w:rStyle w:val="313"/>
          <w:rFonts w:hint="eastAsia" w:ascii="宋体" w:hAnsi="宋体" w:eastAsia="宋体" w:cs="宋体"/>
          <w:b/>
          <w:color w:val="auto"/>
          <w:sz w:val="48"/>
          <w:szCs w:val="48"/>
          <w:highlight w:val="none"/>
        </w:rPr>
      </w:pPr>
    </w:p>
    <w:p w14:paraId="1CF28D14">
      <w:pPr>
        <w:pStyle w:val="139"/>
        <w:rPr>
          <w:rStyle w:val="313"/>
          <w:rFonts w:hint="eastAsia" w:ascii="宋体" w:hAnsi="宋体" w:eastAsia="宋体" w:cs="宋体"/>
          <w:b/>
          <w:color w:val="auto"/>
          <w:sz w:val="48"/>
          <w:szCs w:val="48"/>
          <w:highlight w:val="none"/>
        </w:rPr>
      </w:pPr>
    </w:p>
    <w:p w14:paraId="7F475145">
      <w:pPr>
        <w:pStyle w:val="139"/>
        <w:rPr>
          <w:rStyle w:val="313"/>
          <w:rFonts w:hint="eastAsia" w:ascii="宋体" w:hAnsi="宋体" w:eastAsia="宋体" w:cs="宋体"/>
          <w:b/>
          <w:color w:val="auto"/>
          <w:sz w:val="48"/>
          <w:szCs w:val="48"/>
          <w:highlight w:val="none"/>
        </w:rPr>
      </w:pPr>
    </w:p>
    <w:p w14:paraId="435A6045">
      <w:pPr>
        <w:keepNext w:val="0"/>
        <w:keepLines w:val="0"/>
        <w:pageBreakBefore w:val="0"/>
        <w:widowControl w:val="0"/>
        <w:kinsoku/>
        <w:wordWrap/>
        <w:overflowPunct/>
        <w:topLinePunct w:val="0"/>
        <w:autoSpaceDE/>
        <w:autoSpaceDN/>
        <w:bidi w:val="0"/>
        <w:adjustRightInd/>
        <w:snapToGrid/>
        <w:spacing w:line="720" w:lineRule="auto"/>
        <w:ind w:left="0" w:firstLine="0" w:firstLineChars="0"/>
        <w:textAlignment w:val="auto"/>
        <w:rPr>
          <w:rFonts w:hint="eastAsia" w:ascii="宋体" w:hAnsi="宋体" w:eastAsia="宋体" w:cs="宋体"/>
          <w:bCs/>
          <w:color w:val="auto"/>
          <w:sz w:val="32"/>
          <w:szCs w:val="32"/>
          <w:highlight w:val="none"/>
          <w:u w:val="single"/>
          <w:lang w:val="en-US" w:eastAsia="zh-CN"/>
        </w:rPr>
      </w:pPr>
      <w:r>
        <w:rPr>
          <w:rStyle w:val="313"/>
          <w:rFonts w:hint="eastAsia" w:ascii="宋体" w:hAnsi="宋体" w:eastAsia="宋体" w:cs="宋体"/>
          <w:b/>
          <w:color w:val="auto"/>
          <w:spacing w:val="-10"/>
          <w:sz w:val="32"/>
          <w:szCs w:val="32"/>
          <w:highlight w:val="none"/>
        </w:rPr>
        <w:t>工程地点：</w:t>
      </w:r>
      <w:r>
        <w:rPr>
          <w:rFonts w:hint="eastAsia" w:ascii="宋体" w:hAnsi="宋体" w:cs="宋体"/>
          <w:bCs/>
          <w:color w:val="auto"/>
          <w:sz w:val="32"/>
          <w:szCs w:val="32"/>
          <w:highlight w:val="none"/>
          <w:u w:val="single"/>
          <w:lang w:val="en-US" w:eastAsia="zh-CN"/>
        </w:rPr>
        <w:t xml:space="preserve">                        </w:t>
      </w:r>
    </w:p>
    <w:p w14:paraId="00F6CC0D">
      <w:pPr>
        <w:pStyle w:val="139"/>
        <w:keepNext w:val="0"/>
        <w:keepLines w:val="0"/>
        <w:pageBreakBefore w:val="0"/>
        <w:widowControl w:val="0"/>
        <w:kinsoku/>
        <w:wordWrap/>
        <w:overflowPunct/>
        <w:topLinePunct w:val="0"/>
        <w:autoSpaceDE/>
        <w:autoSpaceDN/>
        <w:bidi w:val="0"/>
        <w:adjustRightInd/>
        <w:snapToGrid/>
        <w:spacing w:line="720" w:lineRule="auto"/>
        <w:ind w:left="0" w:firstLine="0" w:firstLineChars="0"/>
        <w:textAlignment w:val="auto"/>
        <w:rPr>
          <w:rFonts w:hint="default" w:ascii="宋体" w:hAnsi="宋体" w:eastAsia="宋体" w:cs="宋体"/>
          <w:bCs/>
          <w:color w:val="auto"/>
          <w:kern w:val="0"/>
          <w:sz w:val="32"/>
          <w:szCs w:val="32"/>
          <w:highlight w:val="none"/>
          <w:u w:val="single"/>
          <w:lang w:val="en-US" w:eastAsia="zh-CN"/>
        </w:rPr>
      </w:pPr>
      <w:r>
        <w:rPr>
          <w:rFonts w:hint="eastAsia" w:ascii="宋体" w:hAnsi="宋体" w:eastAsia="宋体" w:cs="宋体"/>
          <w:b/>
          <w:color w:val="auto"/>
          <w:sz w:val="32"/>
          <w:szCs w:val="32"/>
          <w:highlight w:val="none"/>
        </w:rPr>
        <w:t>发包人：</w:t>
      </w:r>
      <w:r>
        <w:rPr>
          <w:rFonts w:hint="eastAsia" w:ascii="宋体" w:hAnsi="宋体" w:cs="宋体"/>
          <w:bCs/>
          <w:color w:val="auto"/>
          <w:sz w:val="32"/>
          <w:szCs w:val="32"/>
          <w:highlight w:val="none"/>
          <w:u w:val="single"/>
          <w:lang w:val="en-US" w:eastAsia="zh-CN"/>
        </w:rPr>
        <w:t xml:space="preserve">                         </w:t>
      </w:r>
    </w:p>
    <w:p w14:paraId="3EDAB00B">
      <w:pPr>
        <w:pStyle w:val="139"/>
        <w:keepNext w:val="0"/>
        <w:keepLines w:val="0"/>
        <w:pageBreakBefore w:val="0"/>
        <w:widowControl w:val="0"/>
        <w:kinsoku/>
        <w:wordWrap/>
        <w:overflowPunct/>
        <w:topLinePunct w:val="0"/>
        <w:autoSpaceDE/>
        <w:autoSpaceDN/>
        <w:bidi w:val="0"/>
        <w:adjustRightInd/>
        <w:snapToGrid/>
        <w:spacing w:afterAutospacing="0" w:line="720" w:lineRule="auto"/>
        <w:ind w:left="0" w:firstLine="0" w:firstLineChars="0"/>
        <w:textAlignment w:val="auto"/>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承包人：</w:t>
      </w:r>
      <w:r>
        <w:rPr>
          <w:rFonts w:hint="eastAsia" w:ascii="宋体" w:hAnsi="宋体" w:cs="宋体"/>
          <w:bCs/>
          <w:color w:val="auto"/>
          <w:sz w:val="32"/>
          <w:szCs w:val="32"/>
          <w:highlight w:val="none"/>
          <w:u w:val="single"/>
          <w:lang w:val="en-US" w:eastAsia="zh-CN"/>
        </w:rPr>
        <w:t xml:space="preserve">                         </w:t>
      </w:r>
    </w:p>
    <w:p w14:paraId="4FC5C25C">
      <w:pPr>
        <w:jc w:val="center"/>
        <w:rPr>
          <w:rFonts w:hint="eastAsia" w:ascii="宋体" w:hAnsi="宋体"/>
          <w:b/>
          <w:bCs/>
          <w:color w:val="auto"/>
          <w:sz w:val="32"/>
          <w:szCs w:val="40"/>
          <w:highlight w:val="none"/>
          <w:lang w:val="en-US" w:eastAsia="zh-CN"/>
        </w:rPr>
      </w:pPr>
    </w:p>
    <w:p w14:paraId="31CB1960">
      <w:pPr>
        <w:jc w:val="center"/>
        <w:rPr>
          <w:rFonts w:hint="eastAsia" w:ascii="宋体" w:hAnsi="宋体"/>
          <w:b/>
          <w:bCs/>
          <w:color w:val="auto"/>
          <w:sz w:val="32"/>
          <w:szCs w:val="40"/>
          <w:highlight w:val="none"/>
          <w:lang w:val="en-US" w:eastAsia="zh-CN"/>
        </w:rPr>
      </w:pPr>
    </w:p>
    <w:p w14:paraId="23DA83F6">
      <w:pPr>
        <w:jc w:val="both"/>
        <w:rPr>
          <w:rFonts w:hint="eastAsia" w:ascii="宋体" w:hAnsi="宋体"/>
          <w:b/>
          <w:bCs/>
          <w:color w:val="auto"/>
          <w:sz w:val="36"/>
          <w:szCs w:val="44"/>
          <w:highlight w:val="none"/>
          <w:lang w:val="en-US" w:eastAsia="zh-CN"/>
        </w:rPr>
      </w:pPr>
    </w:p>
    <w:p w14:paraId="6E0EA5BD">
      <w:pPr>
        <w:jc w:val="center"/>
        <w:rPr>
          <w:rFonts w:ascii="宋体" w:hAnsi="宋体"/>
          <w:b/>
          <w:color w:val="auto"/>
          <w:highlight w:val="none"/>
        </w:rPr>
      </w:pPr>
      <w:r>
        <w:rPr>
          <w:rFonts w:hint="eastAsia" w:ascii="宋体" w:hAnsi="宋体"/>
          <w:b/>
          <w:bCs/>
          <w:color w:val="auto"/>
          <w:sz w:val="36"/>
          <w:szCs w:val="44"/>
          <w:highlight w:val="none"/>
          <w:lang w:val="en-US" w:eastAsia="zh-CN"/>
        </w:rPr>
        <w:t>2025年  月  日</w:t>
      </w:r>
      <w:r>
        <w:rPr>
          <w:rFonts w:ascii="宋体" w:hAnsi="宋体"/>
          <w:color w:val="auto"/>
          <w:highlight w:val="none"/>
        </w:rPr>
        <w:br w:type="page"/>
      </w:r>
    </w:p>
    <w:p w14:paraId="0F05DBCC">
      <w:pPr>
        <w:pStyle w:val="4"/>
        <w:jc w:val="center"/>
        <w:rPr>
          <w:rFonts w:ascii="宋体" w:hAnsi="宋体"/>
          <w:b/>
          <w:bCs w:val="0"/>
          <w:sz w:val="48"/>
          <w:szCs w:val="48"/>
        </w:rPr>
      </w:pPr>
      <w:bookmarkStart w:id="677" w:name="_Toc351203494"/>
      <w:bookmarkStart w:id="678" w:name="_Toc351203632"/>
      <w:r>
        <w:rPr>
          <w:rFonts w:hint="eastAsia" w:ascii="宋体" w:hAnsi="宋体"/>
          <w:b/>
          <w:bCs w:val="0"/>
          <w:sz w:val="48"/>
          <w:szCs w:val="48"/>
          <w:lang w:val="en-US" w:eastAsia="zh-CN"/>
        </w:rPr>
        <w:t>施工合同</w:t>
      </w:r>
    </w:p>
    <w:bookmarkEnd w:id="677"/>
    <w:p w14:paraId="017829F5">
      <w:pPr>
        <w:snapToGrid w:val="0"/>
        <w:spacing w:line="600" w:lineRule="exact"/>
        <w:ind w:firstLine="480" w:firstLineChars="200"/>
        <w:rPr>
          <w:rFonts w:ascii="宋体" w:hAnsi="宋体"/>
          <w:sz w:val="24"/>
        </w:rPr>
      </w:pPr>
    </w:p>
    <w:p w14:paraId="16E265F9">
      <w:pPr>
        <w:snapToGrid w:val="0"/>
        <w:spacing w:line="360" w:lineRule="auto"/>
        <w:ind w:firstLine="422" w:firstLineChars="200"/>
        <w:rPr>
          <w:rFonts w:hint="eastAsia" w:ascii="宋体" w:hAnsi="宋体" w:eastAsia="宋体" w:cs="宋体"/>
          <w:highlight w:val="none"/>
          <w:lang w:eastAsia="zh-CN"/>
        </w:rPr>
      </w:pPr>
      <w:r>
        <w:rPr>
          <w:rFonts w:hint="eastAsia" w:ascii="宋体" w:hAnsi="宋体"/>
          <w:b/>
          <w:szCs w:val="21"/>
        </w:rPr>
        <w:t>发包人（全称）：</w:t>
      </w:r>
      <w:bookmarkStart w:id="679" w:name="OLE_LINK3"/>
      <w:r>
        <w:rPr>
          <w:rFonts w:hint="eastAsia" w:ascii="宋体" w:hAnsi="宋体" w:eastAsia="宋体" w:cs="宋体"/>
          <w:highlight w:val="none"/>
          <w:u w:val="single"/>
          <w:lang w:eastAsia="zh-CN"/>
        </w:rPr>
        <w:t>重庆长安智慧城市运营管理有限公司</w:t>
      </w:r>
      <w:bookmarkEnd w:id="679"/>
      <w:bookmarkStart w:id="680" w:name="OLE_LINK4"/>
      <w:r>
        <w:rPr>
          <w:rFonts w:hint="eastAsia" w:ascii="宋体" w:hAnsi="宋体" w:eastAsia="宋体" w:cs="宋体"/>
          <w:highlight w:val="none"/>
          <w:lang w:eastAsia="zh-CN"/>
        </w:rPr>
        <w:t>（以下简称“甲方”</w:t>
      </w:r>
      <w:r>
        <w:rPr>
          <w:rFonts w:hint="eastAsia" w:ascii="宋体" w:hAnsi="宋体" w:cs="宋体"/>
          <w:highlight w:val="none"/>
          <w:lang w:eastAsia="zh-CN"/>
        </w:rPr>
        <w:t>）</w:t>
      </w:r>
      <w:bookmarkEnd w:id="680"/>
    </w:p>
    <w:p w14:paraId="31607B4F">
      <w:pPr>
        <w:snapToGrid w:val="0"/>
        <w:spacing w:line="360" w:lineRule="auto"/>
        <w:ind w:firstLine="422" w:firstLineChars="200"/>
        <w:rPr>
          <w:rFonts w:hint="eastAsia" w:ascii="宋体" w:hAnsi="宋体" w:cs="宋体"/>
          <w:b w:val="0"/>
          <w:szCs w:val="24"/>
          <w:highlight w:val="none"/>
          <w:u w:val="none"/>
        </w:rPr>
      </w:pPr>
      <w:r>
        <w:rPr>
          <w:rFonts w:hint="eastAsia" w:ascii="宋体" w:hAnsi="宋体"/>
          <w:b/>
          <w:szCs w:val="21"/>
        </w:rPr>
        <w:t>承包人（全称）：</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highlight w:val="none"/>
          <w:lang w:eastAsia="zh-CN"/>
        </w:rPr>
        <w:t>（以下简称“</w:t>
      </w:r>
      <w:r>
        <w:rPr>
          <w:rFonts w:hint="eastAsia" w:ascii="宋体" w:hAnsi="宋体" w:cs="宋体"/>
          <w:highlight w:val="none"/>
          <w:lang w:eastAsia="zh-CN"/>
        </w:rPr>
        <w:t>乙</w:t>
      </w:r>
      <w:r>
        <w:rPr>
          <w:rFonts w:hint="eastAsia" w:ascii="宋体" w:hAnsi="宋体" w:eastAsia="宋体" w:cs="宋体"/>
          <w:highlight w:val="none"/>
          <w:lang w:eastAsia="zh-CN"/>
        </w:rPr>
        <w:t>方”</w:t>
      </w:r>
      <w:r>
        <w:rPr>
          <w:rFonts w:hint="eastAsia" w:ascii="宋体" w:hAnsi="宋体" w:cs="宋体"/>
          <w:highlight w:val="none"/>
          <w:lang w:eastAsia="zh-CN"/>
        </w:rPr>
        <w:t>）</w:t>
      </w:r>
    </w:p>
    <w:p w14:paraId="48E8EFCD">
      <w:pPr>
        <w:spacing w:line="480" w:lineRule="auto"/>
        <w:jc w:val="center"/>
        <w:rPr>
          <w:rFonts w:hint="eastAsia" w:ascii="宋体" w:hAnsi="宋体" w:eastAsia="宋体"/>
          <w:szCs w:val="21"/>
          <w:u w:val="single"/>
          <w:lang w:eastAsia="zh-CN"/>
        </w:rPr>
      </w:pPr>
      <w:r>
        <w:rPr>
          <w:rFonts w:hint="eastAsia" w:ascii="宋体" w:hAnsi="宋体"/>
          <w:szCs w:val="21"/>
        </w:rPr>
        <w:t>根据《中华人民共和国民法典》、《中华人民共和国建筑法》及有关法律、法规规定，遵循平等、自愿、公平和诚实信用的原则，双方就</w:t>
      </w:r>
      <w:r>
        <w:rPr>
          <w:rFonts w:hint="eastAsia" w:ascii="宋体" w:hAnsi="宋体"/>
          <w:szCs w:val="21"/>
          <w:u w:val="single"/>
          <w:lang w:eastAsia="zh-CN"/>
        </w:rPr>
        <w:t>长安锦绣城21栋外墙排危工程</w:t>
      </w:r>
    </w:p>
    <w:p w14:paraId="7EBBD2B4">
      <w:pPr>
        <w:spacing w:line="360" w:lineRule="auto"/>
        <w:ind w:firstLine="420" w:firstLineChars="200"/>
        <w:rPr>
          <w:rFonts w:ascii="宋体" w:hAnsi="宋体"/>
          <w:b/>
          <w:szCs w:val="21"/>
          <w:u w:val="single"/>
        </w:rPr>
      </w:pPr>
      <w:r>
        <w:rPr>
          <w:rFonts w:hint="eastAsia" w:ascii="宋体" w:hAnsi="宋体"/>
          <w:szCs w:val="21"/>
        </w:rPr>
        <w:t>施工及有关事项协商一致，共同达成如下协议：</w:t>
      </w:r>
    </w:p>
    <w:p w14:paraId="0140F251">
      <w:pPr>
        <w:pStyle w:val="5"/>
        <w:keepNext/>
        <w:keepLines/>
        <w:spacing w:before="120" w:after="120" w:line="360" w:lineRule="auto"/>
        <w:ind w:firstLine="422" w:firstLineChars="200"/>
        <w:jc w:val="both"/>
        <w:rPr>
          <w:kern w:val="2"/>
          <w:sz w:val="21"/>
          <w:szCs w:val="21"/>
        </w:rPr>
      </w:pPr>
      <w:bookmarkStart w:id="681" w:name="_Toc532375573"/>
      <w:bookmarkStart w:id="682" w:name="_Toc351203481"/>
      <w:bookmarkStart w:id="683" w:name="_Toc532377166"/>
      <w:r>
        <w:rPr>
          <w:rFonts w:hint="eastAsia"/>
          <w:kern w:val="2"/>
          <w:sz w:val="21"/>
          <w:szCs w:val="21"/>
        </w:rPr>
        <w:t>一、工程概况</w:t>
      </w:r>
      <w:bookmarkEnd w:id="681"/>
      <w:bookmarkEnd w:id="682"/>
      <w:bookmarkEnd w:id="683"/>
    </w:p>
    <w:p w14:paraId="50AB3972">
      <w:pPr>
        <w:snapToGrid w:val="0"/>
        <w:spacing w:line="360" w:lineRule="auto"/>
        <w:ind w:firstLine="420" w:firstLineChars="200"/>
        <w:rPr>
          <w:rFonts w:ascii="宋体" w:hAnsi="宋体"/>
          <w:szCs w:val="21"/>
          <w:u w:val="single"/>
        </w:rPr>
      </w:pPr>
      <w:r>
        <w:rPr>
          <w:rFonts w:hint="eastAsia" w:ascii="宋体" w:hAnsi="宋体"/>
          <w:bCs/>
          <w:szCs w:val="21"/>
        </w:rPr>
        <w:t>1.工程名称</w:t>
      </w:r>
      <w:r>
        <w:rPr>
          <w:rFonts w:hint="eastAsia" w:ascii="宋体" w:hAnsi="宋体"/>
          <w:szCs w:val="21"/>
        </w:rPr>
        <w:t>：</w:t>
      </w:r>
      <w:r>
        <w:rPr>
          <w:rFonts w:hint="eastAsia" w:ascii="宋体" w:hAnsi="宋体"/>
          <w:szCs w:val="21"/>
          <w:u w:val="single"/>
          <w:lang w:eastAsia="zh-CN"/>
        </w:rPr>
        <w:t>长安锦绣城21栋外墙排危工程</w:t>
      </w:r>
      <w:r>
        <w:rPr>
          <w:rFonts w:hint="eastAsia" w:ascii="宋体" w:hAnsi="宋体" w:eastAsia="宋体" w:cs="宋体"/>
          <w:highlight w:val="none"/>
          <w:u w:val="single"/>
          <w:lang w:eastAsia="zh-CN"/>
        </w:rPr>
        <w:t>（以下简称“工程”）</w:t>
      </w:r>
      <w:r>
        <w:rPr>
          <w:rFonts w:hint="eastAsia" w:ascii="宋体" w:hAnsi="宋体"/>
          <w:szCs w:val="21"/>
          <w:u w:val="single"/>
        </w:rPr>
        <w:t xml:space="preserve"> </w:t>
      </w:r>
      <w:r>
        <w:rPr>
          <w:rFonts w:hint="eastAsia" w:ascii="宋体" w:hAnsi="宋体"/>
          <w:szCs w:val="21"/>
        </w:rPr>
        <w:t>。</w:t>
      </w:r>
    </w:p>
    <w:p w14:paraId="6AB38587">
      <w:pPr>
        <w:spacing w:line="360" w:lineRule="auto"/>
        <w:ind w:firstLine="420" w:firstLineChars="200"/>
        <w:rPr>
          <w:rFonts w:ascii="宋体" w:hAnsi="宋体"/>
          <w:bCs/>
          <w:szCs w:val="21"/>
        </w:rPr>
      </w:pPr>
      <w:r>
        <w:rPr>
          <w:rFonts w:hint="eastAsia" w:ascii="宋体" w:hAnsi="宋体"/>
          <w:bCs/>
          <w:szCs w:val="21"/>
        </w:rPr>
        <w:t>2.工程地点：</w:t>
      </w:r>
      <w:r>
        <w:rPr>
          <w:rFonts w:hint="eastAsia" w:ascii="宋体" w:hAnsi="宋体"/>
          <w:szCs w:val="21"/>
          <w:u w:val="single"/>
        </w:rPr>
        <w:t xml:space="preserve"> </w:t>
      </w:r>
      <w:bookmarkStart w:id="684" w:name="OLE_LINK5"/>
      <w:r>
        <w:rPr>
          <w:rFonts w:hint="eastAsia" w:ascii="宋体" w:hAnsi="宋体" w:eastAsia="宋体" w:cs="宋体"/>
          <w:color w:val="auto"/>
          <w:highlight w:val="none"/>
          <w:u w:val="single"/>
          <w:lang w:val="en-US" w:eastAsia="zh-CN"/>
        </w:rPr>
        <w:t>重庆市渝北区龙溪街道华龙大道99号</w:t>
      </w:r>
      <w:bookmarkEnd w:id="684"/>
      <w:r>
        <w:rPr>
          <w:rFonts w:hint="eastAsia" w:ascii="宋体" w:hAnsi="宋体"/>
          <w:szCs w:val="21"/>
          <w:u w:val="single"/>
        </w:rPr>
        <w:t xml:space="preserve"> </w:t>
      </w:r>
      <w:r>
        <w:rPr>
          <w:rFonts w:hint="eastAsia" w:ascii="宋体" w:hAnsi="宋体"/>
          <w:szCs w:val="21"/>
        </w:rPr>
        <w:t>。</w:t>
      </w:r>
    </w:p>
    <w:p w14:paraId="588DBDAE">
      <w:pPr>
        <w:snapToGrid w:val="0"/>
        <w:spacing w:line="360" w:lineRule="auto"/>
        <w:ind w:firstLine="420" w:firstLineChars="200"/>
        <w:jc w:val="left"/>
        <w:rPr>
          <w:rFonts w:ascii="宋体" w:hAnsi="宋体"/>
          <w:bCs/>
          <w:szCs w:val="21"/>
        </w:rPr>
      </w:pPr>
      <w:r>
        <w:rPr>
          <w:rFonts w:hint="eastAsia" w:ascii="宋体" w:hAnsi="宋体"/>
          <w:bCs/>
          <w:szCs w:val="21"/>
          <w:lang w:val="en-US" w:eastAsia="zh-CN"/>
        </w:rPr>
        <w:t>3</w:t>
      </w:r>
      <w:r>
        <w:rPr>
          <w:rFonts w:hint="eastAsia" w:ascii="宋体" w:hAnsi="宋体"/>
          <w:bCs/>
          <w:szCs w:val="21"/>
        </w:rPr>
        <w:t>.工程承包范围：</w:t>
      </w:r>
      <w:r>
        <w:rPr>
          <w:rFonts w:hint="eastAsia" w:ascii="宋体" w:hAnsi="宋体"/>
          <w:szCs w:val="21"/>
          <w:u w:val="single"/>
          <w:lang w:eastAsia="zh-CN"/>
        </w:rPr>
        <w:t>长安锦绣城21栋外墙排危工程</w:t>
      </w:r>
      <w:r>
        <w:rPr>
          <w:rFonts w:hint="eastAsia" w:ascii="宋体" w:hAnsi="宋体"/>
          <w:bCs/>
          <w:szCs w:val="21"/>
          <w:u w:val="single"/>
        </w:rPr>
        <w:t>（</w:t>
      </w:r>
      <w:r>
        <w:rPr>
          <w:rFonts w:hint="eastAsia" w:ascii="宋体" w:hAnsi="宋体"/>
          <w:bCs/>
          <w:szCs w:val="21"/>
          <w:u w:val="single"/>
          <w:lang w:eastAsia="zh-CN"/>
        </w:rPr>
        <w:t>，</w:t>
      </w:r>
      <w:r>
        <w:rPr>
          <w:rFonts w:hint="eastAsia" w:ascii="宋体" w:hAnsi="宋体" w:eastAsia="宋体" w:cs="宋体"/>
          <w:highlight w:val="none"/>
          <w:u w:val="single"/>
          <w:lang w:val="en-US" w:eastAsia="zh-CN"/>
        </w:rPr>
        <w:t>按照甲方所述的施工现场和结合甲方确认的施工方案，负责对项目进行维修整改作业</w:t>
      </w:r>
      <w:r>
        <w:rPr>
          <w:rFonts w:hint="eastAsia" w:ascii="宋体" w:hAnsi="宋体"/>
          <w:szCs w:val="21"/>
          <w:u w:val="single"/>
        </w:rPr>
        <w:t xml:space="preserve"> </w:t>
      </w:r>
      <w:r>
        <w:rPr>
          <w:rFonts w:hint="eastAsia" w:ascii="宋体" w:hAnsi="宋体"/>
          <w:szCs w:val="21"/>
        </w:rPr>
        <w:t>。</w:t>
      </w:r>
    </w:p>
    <w:p w14:paraId="674B7406">
      <w:pPr>
        <w:pStyle w:val="5"/>
        <w:keepNext/>
        <w:keepLines/>
        <w:spacing w:before="120" w:after="120" w:line="360" w:lineRule="auto"/>
        <w:ind w:firstLine="422" w:firstLineChars="200"/>
        <w:jc w:val="both"/>
        <w:rPr>
          <w:kern w:val="2"/>
          <w:sz w:val="21"/>
          <w:szCs w:val="21"/>
        </w:rPr>
      </w:pPr>
      <w:bookmarkStart w:id="685" w:name="_Toc532375574"/>
      <w:bookmarkStart w:id="686" w:name="_Toc351203482"/>
      <w:bookmarkStart w:id="687" w:name="_Toc532377167"/>
      <w:r>
        <w:rPr>
          <w:rFonts w:hint="eastAsia"/>
          <w:kern w:val="2"/>
          <w:sz w:val="21"/>
          <w:szCs w:val="21"/>
        </w:rPr>
        <w:t>二、合同工期</w:t>
      </w:r>
      <w:bookmarkEnd w:id="685"/>
      <w:bookmarkEnd w:id="686"/>
      <w:bookmarkEnd w:id="687"/>
    </w:p>
    <w:p w14:paraId="50B25F22">
      <w:pPr>
        <w:spacing w:line="360" w:lineRule="auto"/>
        <w:ind w:firstLine="420" w:firstLineChars="200"/>
        <w:rPr>
          <w:rFonts w:ascii="宋体" w:hAnsi="宋体"/>
          <w:bCs/>
          <w:szCs w:val="21"/>
        </w:rPr>
      </w:pPr>
      <w:r>
        <w:rPr>
          <w:rFonts w:hint="eastAsia" w:ascii="宋体" w:hAnsi="宋体"/>
          <w:bCs/>
          <w:szCs w:val="21"/>
        </w:rPr>
        <w:t>工期：</w:t>
      </w:r>
      <w:r>
        <w:rPr>
          <w:rFonts w:hint="eastAsia" w:ascii="宋体" w:hAnsi="宋体"/>
          <w:bCs/>
          <w:szCs w:val="21"/>
          <w:u w:val="single"/>
        </w:rPr>
        <w:t></w:t>
      </w:r>
      <w:r>
        <w:rPr>
          <w:rFonts w:hint="eastAsia" w:ascii="宋体" w:hAnsi="宋体"/>
          <w:bCs/>
          <w:szCs w:val="21"/>
          <w:u w:val="single"/>
          <w:lang w:val="en-US" w:eastAsia="zh-CN"/>
        </w:rPr>
        <w:t xml:space="preserve">  </w:t>
      </w:r>
      <w:r>
        <w:rPr>
          <w:rFonts w:hint="eastAsia" w:ascii="宋体" w:hAnsi="宋体"/>
          <w:bCs/>
          <w:szCs w:val="21"/>
          <w:u w:val="single"/>
        </w:rPr>
        <w:t>日历天</w:t>
      </w:r>
      <w:r>
        <w:rPr>
          <w:rFonts w:hint="eastAsia" w:ascii="宋体" w:hAnsi="宋体" w:eastAsia="宋体" w:cs="宋体"/>
          <w:highlight w:val="none"/>
          <w:lang w:eastAsia="zh-CN"/>
        </w:rPr>
        <w:t>（下雨或特殊情况顺延工期）</w:t>
      </w:r>
      <w:r>
        <w:rPr>
          <w:rFonts w:hint="eastAsia" w:ascii="宋体" w:hAnsi="宋体"/>
          <w:bCs/>
          <w:szCs w:val="21"/>
        </w:rPr>
        <w:t>。</w:t>
      </w:r>
    </w:p>
    <w:p w14:paraId="07C1ED13">
      <w:pPr>
        <w:spacing w:line="360" w:lineRule="auto"/>
        <w:ind w:firstLine="420" w:firstLineChars="200"/>
        <w:rPr>
          <w:rFonts w:ascii="宋体" w:hAnsi="宋体"/>
          <w:bCs/>
          <w:szCs w:val="21"/>
        </w:rPr>
      </w:pPr>
      <w:r>
        <w:rPr>
          <w:rFonts w:hint="eastAsia" w:ascii="宋体" w:hAnsi="宋体"/>
          <w:bCs/>
          <w:szCs w:val="21"/>
        </w:rPr>
        <w:t>计划开工日期：</w:t>
      </w:r>
      <w:r>
        <w:rPr>
          <w:rFonts w:hint="eastAsia" w:ascii="宋体" w:hAnsi="宋体"/>
          <w:bCs/>
          <w:szCs w:val="21"/>
          <w:u w:val="non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w:t>
      </w:r>
    </w:p>
    <w:p w14:paraId="34B4B130">
      <w:pPr>
        <w:spacing w:line="360" w:lineRule="auto"/>
        <w:ind w:firstLine="420" w:firstLineChars="200"/>
        <w:rPr>
          <w:rFonts w:ascii="宋体" w:hAnsi="宋体"/>
          <w:bCs/>
          <w:szCs w:val="21"/>
        </w:rPr>
      </w:pPr>
      <w:r>
        <w:rPr>
          <w:rFonts w:hint="eastAsia" w:ascii="宋体" w:hAnsi="宋体"/>
          <w:bCs/>
          <w:szCs w:val="21"/>
        </w:rPr>
        <w:t>计划竣工日期：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w:t>
      </w:r>
    </w:p>
    <w:p w14:paraId="2B289F7C">
      <w:pPr>
        <w:pStyle w:val="5"/>
        <w:keepNext/>
        <w:keepLines/>
        <w:spacing w:before="120" w:after="120" w:line="360" w:lineRule="auto"/>
        <w:ind w:firstLine="422" w:firstLineChars="200"/>
        <w:jc w:val="both"/>
        <w:rPr>
          <w:kern w:val="2"/>
          <w:sz w:val="21"/>
          <w:szCs w:val="21"/>
        </w:rPr>
      </w:pPr>
      <w:bookmarkStart w:id="688" w:name="_Toc532377168"/>
      <w:bookmarkStart w:id="689" w:name="_Toc351203483"/>
      <w:bookmarkStart w:id="690" w:name="_Toc532375575"/>
      <w:r>
        <w:rPr>
          <w:rFonts w:hint="eastAsia"/>
          <w:kern w:val="2"/>
          <w:sz w:val="21"/>
          <w:szCs w:val="21"/>
        </w:rPr>
        <w:t>三、质量标准</w:t>
      </w:r>
      <w:bookmarkEnd w:id="688"/>
      <w:bookmarkEnd w:id="689"/>
      <w:bookmarkEnd w:id="690"/>
    </w:p>
    <w:p w14:paraId="72D996EF">
      <w:pPr>
        <w:snapToGrid w:val="0"/>
        <w:spacing w:line="360" w:lineRule="auto"/>
        <w:ind w:firstLine="420" w:firstLineChars="200"/>
        <w:rPr>
          <w:rFonts w:ascii="宋体" w:hAnsi="宋体"/>
          <w:szCs w:val="21"/>
        </w:rPr>
      </w:pPr>
      <w:r>
        <w:rPr>
          <w:rFonts w:hint="eastAsia" w:ascii="宋体" w:hAnsi="宋体"/>
          <w:szCs w:val="21"/>
        </w:rPr>
        <w:t>工程质量符合强制性质量标准，</w:t>
      </w:r>
      <w:r>
        <w:rPr>
          <w:rFonts w:hint="eastAsia" w:ascii="宋体" w:hAnsi="宋体"/>
          <w:szCs w:val="21"/>
          <w:u w:val="single"/>
        </w:rPr>
        <w:t>符合国家和重庆市现行有关施工质量验收规范和标准要求，并达到合格</w:t>
      </w:r>
      <w:r>
        <w:rPr>
          <w:rFonts w:hint="eastAsia" w:ascii="宋体" w:hAnsi="宋体"/>
          <w:szCs w:val="21"/>
        </w:rPr>
        <w:t>标准。</w:t>
      </w:r>
    </w:p>
    <w:p w14:paraId="74305E43">
      <w:pPr>
        <w:pStyle w:val="5"/>
        <w:keepNext/>
        <w:keepLines/>
        <w:spacing w:before="120" w:after="120" w:line="360" w:lineRule="auto"/>
        <w:ind w:firstLine="422" w:firstLineChars="200"/>
        <w:jc w:val="both"/>
        <w:rPr>
          <w:kern w:val="2"/>
          <w:sz w:val="21"/>
          <w:szCs w:val="21"/>
        </w:rPr>
      </w:pPr>
      <w:bookmarkStart w:id="691" w:name="_Toc532375576"/>
      <w:bookmarkStart w:id="692" w:name="_Toc532377169"/>
      <w:bookmarkStart w:id="693" w:name="_Toc351203484"/>
      <w:r>
        <w:rPr>
          <w:rFonts w:hint="eastAsia"/>
          <w:kern w:val="2"/>
          <w:sz w:val="21"/>
          <w:szCs w:val="21"/>
        </w:rPr>
        <w:t>四、签约合同价与合同价格形式</w:t>
      </w:r>
      <w:bookmarkEnd w:id="691"/>
      <w:bookmarkEnd w:id="692"/>
      <w:bookmarkEnd w:id="693"/>
      <w:r>
        <w:rPr>
          <w:rFonts w:hint="eastAsia"/>
          <w:kern w:val="2"/>
          <w:sz w:val="21"/>
          <w:szCs w:val="21"/>
        </w:rPr>
        <w:tab/>
      </w:r>
    </w:p>
    <w:p w14:paraId="7666EABE">
      <w:pPr>
        <w:spacing w:line="360" w:lineRule="auto"/>
        <w:ind w:firstLine="420" w:firstLineChars="200"/>
        <w:rPr>
          <w:rFonts w:ascii="宋体" w:hAnsi="宋体"/>
          <w:szCs w:val="21"/>
        </w:rPr>
      </w:pPr>
      <w:r>
        <w:rPr>
          <w:rFonts w:hint="eastAsia" w:ascii="宋体" w:hAnsi="宋体"/>
          <w:szCs w:val="21"/>
        </w:rPr>
        <w:t>1.承包人投标函中承诺的中标价为：</w:t>
      </w:r>
    </w:p>
    <w:p w14:paraId="329DF651">
      <w:pPr>
        <w:spacing w:line="360" w:lineRule="auto"/>
        <w:ind w:firstLine="420" w:firstLineChars="200"/>
        <w:rPr>
          <w:rFonts w:ascii="宋体" w:hAnsi="宋体"/>
          <w:szCs w:val="21"/>
        </w:rPr>
      </w:pPr>
      <w:r>
        <w:rPr>
          <w:rFonts w:hint="eastAsia" w:ascii="宋体" w:hAnsi="宋体"/>
          <w:szCs w:val="21"/>
        </w:rPr>
        <w:t>人民币（大写）</w:t>
      </w:r>
      <w:r>
        <w:rPr>
          <w:rFonts w:hint="eastAsia" w:ascii="宋体" w:hAnsi="宋体"/>
          <w:color w:val="auto"/>
          <w:szCs w:val="21"/>
          <w:u w:val="single"/>
          <w:lang w:eastAsia="zh-CN"/>
        </w:rPr>
        <w:t>：</w:t>
      </w:r>
      <w:r>
        <w:rPr>
          <w:rFonts w:hint="eastAsia" w:ascii="宋体" w:hAnsi="宋体"/>
          <w:color w:val="auto"/>
          <w:szCs w:val="21"/>
          <w:u w:val="single"/>
          <w:lang w:val="en-US" w:eastAsia="zh-CN"/>
        </w:rPr>
        <w:t xml:space="preserve">           （小写）：        </w:t>
      </w:r>
      <w:r>
        <w:rPr>
          <w:rFonts w:hint="eastAsia" w:ascii="宋体" w:hAnsi="宋体"/>
          <w:szCs w:val="21"/>
          <w:lang w:eastAsia="zh-CN"/>
        </w:rPr>
        <w:t>（</w:t>
      </w:r>
      <w:r>
        <w:rPr>
          <w:rFonts w:hint="eastAsia" w:ascii="宋体" w:hAnsi="宋体"/>
          <w:szCs w:val="21"/>
          <w:lang w:val="en-US" w:eastAsia="zh-CN"/>
        </w:rPr>
        <w:t>增值税专用发票税率：9%</w:t>
      </w:r>
      <w:r>
        <w:rPr>
          <w:rFonts w:hint="eastAsia" w:ascii="宋体" w:hAnsi="宋体"/>
          <w:szCs w:val="21"/>
          <w:lang w:eastAsia="zh-CN"/>
        </w:rPr>
        <w:t>）</w:t>
      </w:r>
      <w:r>
        <w:rPr>
          <w:rFonts w:hint="eastAsia" w:ascii="宋体" w:hAnsi="宋体"/>
          <w:szCs w:val="21"/>
        </w:rPr>
        <w:t>；</w:t>
      </w:r>
    </w:p>
    <w:p w14:paraId="1A0CD32B">
      <w:pPr>
        <w:spacing w:line="360" w:lineRule="auto"/>
        <w:ind w:firstLine="420" w:firstLineChars="200"/>
        <w:rPr>
          <w:rFonts w:ascii="宋体" w:hAnsi="宋体"/>
          <w:color w:val="auto"/>
          <w:szCs w:val="21"/>
        </w:rPr>
      </w:pPr>
      <w:r>
        <w:rPr>
          <w:rFonts w:hint="eastAsia" w:ascii="宋体" w:hAnsi="宋体"/>
          <w:szCs w:val="21"/>
        </w:rPr>
        <w:t>2.签约合同价为：</w:t>
      </w:r>
    </w:p>
    <w:p w14:paraId="2B5D5D21">
      <w:pPr>
        <w:snapToGrid w:val="0"/>
        <w:spacing w:line="360" w:lineRule="auto"/>
        <w:ind w:firstLine="420" w:firstLineChars="200"/>
        <w:rPr>
          <w:rFonts w:hint="eastAsia" w:ascii="宋体" w:hAnsi="宋体"/>
          <w:szCs w:val="21"/>
        </w:rPr>
      </w:pPr>
      <w:r>
        <w:rPr>
          <w:rFonts w:hint="eastAsia" w:ascii="宋体" w:hAnsi="宋体"/>
          <w:color w:val="auto"/>
          <w:szCs w:val="21"/>
        </w:rPr>
        <w:t>人民币（大写）</w:t>
      </w:r>
      <w:bookmarkStart w:id="694" w:name="OLE_LINK2"/>
      <w:r>
        <w:rPr>
          <w:rFonts w:hint="eastAsia" w:ascii="宋体" w:hAnsi="宋体"/>
          <w:color w:val="auto"/>
          <w:szCs w:val="21"/>
          <w:u w:val="single"/>
          <w:lang w:eastAsia="zh-CN"/>
        </w:rPr>
        <w:t>：</w:t>
      </w:r>
      <w:bookmarkEnd w:id="694"/>
      <w:r>
        <w:rPr>
          <w:rFonts w:hint="eastAsia" w:ascii="宋体" w:hAnsi="宋体"/>
          <w:color w:val="auto"/>
          <w:szCs w:val="21"/>
          <w:u w:val="single"/>
          <w:lang w:val="en-US" w:eastAsia="zh-CN"/>
        </w:rPr>
        <w:t xml:space="preserve">           （小写）：         </w:t>
      </w:r>
      <w:r>
        <w:rPr>
          <w:rFonts w:hint="eastAsia" w:ascii="宋体" w:hAnsi="宋体"/>
          <w:szCs w:val="21"/>
          <w:lang w:eastAsia="zh-CN"/>
        </w:rPr>
        <w:t>（</w:t>
      </w:r>
      <w:r>
        <w:rPr>
          <w:rFonts w:hint="eastAsia" w:ascii="宋体" w:hAnsi="宋体"/>
          <w:szCs w:val="21"/>
          <w:lang w:val="en-US" w:eastAsia="zh-CN"/>
        </w:rPr>
        <w:t>增值税专用发票税率：9%</w:t>
      </w:r>
      <w:r>
        <w:rPr>
          <w:rFonts w:hint="eastAsia" w:ascii="宋体" w:hAnsi="宋体"/>
          <w:szCs w:val="21"/>
          <w:lang w:eastAsia="zh-CN"/>
        </w:rPr>
        <w:t>）</w:t>
      </w:r>
      <w:r>
        <w:rPr>
          <w:rFonts w:hint="eastAsia" w:ascii="宋体" w:hAnsi="宋体"/>
          <w:szCs w:val="21"/>
        </w:rPr>
        <w:t>；</w:t>
      </w:r>
    </w:p>
    <w:p w14:paraId="76BE7667">
      <w:pPr>
        <w:pStyle w:val="5"/>
        <w:keepNext/>
        <w:keepLines/>
        <w:spacing w:before="120" w:after="120" w:line="360" w:lineRule="auto"/>
        <w:ind w:firstLine="422" w:firstLineChars="200"/>
        <w:jc w:val="both"/>
        <w:rPr>
          <w:kern w:val="2"/>
          <w:sz w:val="21"/>
          <w:szCs w:val="21"/>
        </w:rPr>
      </w:pPr>
      <w:bookmarkStart w:id="695" w:name="_Toc351203485"/>
      <w:bookmarkStart w:id="696" w:name="_Toc532375577"/>
      <w:bookmarkStart w:id="697" w:name="_Toc532377170"/>
      <w:r>
        <w:rPr>
          <w:rFonts w:hint="eastAsia"/>
          <w:kern w:val="2"/>
          <w:sz w:val="21"/>
          <w:szCs w:val="21"/>
        </w:rPr>
        <w:t>五、</w:t>
      </w:r>
      <w:bookmarkEnd w:id="695"/>
      <w:r>
        <w:rPr>
          <w:rFonts w:hint="eastAsia"/>
          <w:kern w:val="2"/>
          <w:sz w:val="21"/>
          <w:szCs w:val="21"/>
        </w:rPr>
        <w:t>项目经理</w:t>
      </w:r>
      <w:bookmarkEnd w:id="696"/>
      <w:bookmarkEnd w:id="697"/>
    </w:p>
    <w:p w14:paraId="71A16898">
      <w:pPr>
        <w:spacing w:line="360" w:lineRule="auto"/>
        <w:ind w:firstLine="420" w:firstLineChars="200"/>
        <w:rPr>
          <w:rFonts w:ascii="宋体" w:hAnsi="宋体"/>
          <w:szCs w:val="21"/>
        </w:rPr>
      </w:pPr>
      <w:r>
        <w:rPr>
          <w:rFonts w:hint="eastAsia" w:ascii="宋体" w:hAnsi="宋体"/>
          <w:szCs w:val="21"/>
        </w:rPr>
        <w:t>姓</w:t>
      </w:r>
      <w:r>
        <w:rPr>
          <w:rFonts w:hint="eastAsia" w:ascii="宋体" w:hAnsi="宋体"/>
          <w:szCs w:val="21"/>
          <w:lang w:val="en-US" w:eastAsia="zh-CN"/>
        </w:rPr>
        <w:t xml:space="preserve">    </w:t>
      </w:r>
      <w:r>
        <w:rPr>
          <w:rFonts w:hint="eastAsia" w:ascii="宋体" w:hAnsi="宋体"/>
          <w:szCs w:val="21"/>
        </w:rPr>
        <w:t>名：</w:t>
      </w:r>
      <w:r>
        <w:rPr>
          <w:rFonts w:ascii="宋体" w:hAnsi="宋体"/>
          <w:szCs w:val="21"/>
          <w:u w:val="single"/>
        </w:rPr>
        <w:t xml:space="preserve">       </w:t>
      </w:r>
      <w:r>
        <w:rPr>
          <w:rFonts w:hint="eastAsia" w:ascii="宋体" w:hAnsi="宋体"/>
          <w:szCs w:val="21"/>
          <w:u w:val="single"/>
        </w:rPr>
        <w:t xml:space="preserve">      </w:t>
      </w:r>
    </w:p>
    <w:p w14:paraId="73A50A0D">
      <w:pPr>
        <w:spacing w:line="360" w:lineRule="auto"/>
        <w:ind w:firstLine="420" w:firstLineChars="200"/>
        <w:rPr>
          <w:rFonts w:hint="eastAsia" w:ascii="宋体" w:hAnsi="宋体"/>
          <w:szCs w:val="21"/>
        </w:rPr>
      </w:pPr>
      <w:r>
        <w:rPr>
          <w:rFonts w:hint="eastAsia" w:ascii="宋体" w:hAnsi="宋体"/>
          <w:szCs w:val="21"/>
          <w:lang w:eastAsia="zh-CN"/>
        </w:rPr>
        <w:t>联系方式</w:t>
      </w:r>
      <w:r>
        <w:rPr>
          <w:rFonts w:hint="eastAsia" w:ascii="宋体" w:hAnsi="宋体"/>
          <w:szCs w:val="21"/>
        </w:rPr>
        <w:t>：</w:t>
      </w:r>
      <w:r>
        <w:rPr>
          <w:rFonts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ascii="宋体" w:hAnsi="宋体"/>
          <w:szCs w:val="21"/>
          <w:u w:val="single"/>
        </w:rPr>
        <w:t xml:space="preserve">  </w:t>
      </w:r>
    </w:p>
    <w:p w14:paraId="478B1223">
      <w:pPr>
        <w:pStyle w:val="5"/>
        <w:keepNext/>
        <w:keepLines/>
        <w:spacing w:before="120" w:after="120" w:line="360" w:lineRule="auto"/>
        <w:ind w:firstLine="422" w:firstLineChars="200"/>
        <w:jc w:val="both"/>
        <w:rPr>
          <w:rFonts w:hint="eastAsia" w:eastAsia="宋体"/>
          <w:kern w:val="2"/>
          <w:sz w:val="21"/>
          <w:szCs w:val="21"/>
          <w:lang w:val="en-US" w:eastAsia="zh-CN"/>
        </w:rPr>
      </w:pPr>
      <w:bookmarkStart w:id="698" w:name="_Toc532375580"/>
      <w:bookmarkStart w:id="699" w:name="_Toc532377173"/>
      <w:bookmarkStart w:id="700" w:name="_Toc351203488"/>
      <w:r>
        <w:rPr>
          <w:rFonts w:hint="eastAsia"/>
          <w:kern w:val="2"/>
          <w:sz w:val="21"/>
          <w:szCs w:val="21"/>
          <w:lang w:val="en-US" w:eastAsia="zh-CN"/>
        </w:rPr>
        <w:t>六</w:t>
      </w:r>
      <w:r>
        <w:rPr>
          <w:rFonts w:hint="eastAsia"/>
          <w:kern w:val="2"/>
          <w:sz w:val="21"/>
          <w:szCs w:val="21"/>
        </w:rPr>
        <w:t>、</w:t>
      </w:r>
      <w:bookmarkEnd w:id="698"/>
      <w:bookmarkEnd w:id="699"/>
      <w:bookmarkEnd w:id="700"/>
      <w:r>
        <w:rPr>
          <w:rFonts w:hint="eastAsia"/>
          <w:kern w:val="2"/>
          <w:sz w:val="21"/>
          <w:szCs w:val="21"/>
        </w:rPr>
        <w:t>发包人</w:t>
      </w:r>
      <w:r>
        <w:rPr>
          <w:rFonts w:hint="eastAsia"/>
          <w:kern w:val="2"/>
          <w:sz w:val="21"/>
          <w:szCs w:val="21"/>
          <w:lang w:val="en-US" w:eastAsia="zh-CN"/>
        </w:rPr>
        <w:t>代表</w:t>
      </w:r>
    </w:p>
    <w:p w14:paraId="6723E52F">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Times New Roman"/>
          <w:color w:val="auto"/>
          <w:spacing w:val="0"/>
          <w:szCs w:val="21"/>
          <w:u w:val="single"/>
        </w:rPr>
      </w:pPr>
      <w:r>
        <w:rPr>
          <w:rFonts w:hint="eastAsia" w:ascii="宋体" w:hAnsi="宋体" w:eastAsia="宋体" w:cs="宋体"/>
          <w:color w:val="auto"/>
          <w:spacing w:val="-4"/>
          <w:u w:val="none"/>
        </w:rPr>
        <w:t xml:space="preserve">姓   </w:t>
      </w:r>
      <w:r>
        <w:rPr>
          <w:rFonts w:hint="eastAsia" w:ascii="宋体" w:hAnsi="宋体" w:cs="宋体"/>
          <w:color w:val="auto"/>
          <w:spacing w:val="-4"/>
          <w:u w:val="none"/>
          <w:lang w:val="en-US" w:eastAsia="zh-CN"/>
        </w:rPr>
        <w:t xml:space="preserve"> </w:t>
      </w:r>
      <w:r>
        <w:rPr>
          <w:rFonts w:hint="eastAsia" w:ascii="宋体" w:hAnsi="宋体" w:eastAsia="宋体" w:cs="宋体"/>
          <w:color w:val="auto"/>
          <w:spacing w:val="-4"/>
          <w:u w:val="none"/>
        </w:rPr>
        <w:t>名：</w:t>
      </w:r>
      <w:r>
        <w:rPr>
          <w:rFonts w:hint="eastAsia" w:ascii="宋体" w:hAnsi="宋体" w:eastAsia="宋体" w:cs="宋体"/>
          <w:color w:val="auto"/>
          <w:spacing w:val="-4"/>
          <w:u w:val="single"/>
        </w:rPr>
        <w:t xml:space="preserve">       </w:t>
      </w:r>
      <w:r>
        <w:rPr>
          <w:rFonts w:hint="eastAsia" w:ascii="宋体" w:hAnsi="宋体" w:cs="宋体"/>
          <w:color w:val="auto"/>
          <w:spacing w:val="-4"/>
          <w:u w:val="single"/>
          <w:lang w:val="en-US" w:eastAsia="zh-CN"/>
        </w:rPr>
        <w:t xml:space="preserve">   </w:t>
      </w:r>
      <w:r>
        <w:rPr>
          <w:rFonts w:hint="eastAsia" w:ascii="宋体" w:hAnsi="宋体" w:eastAsia="宋体" w:cs="Times New Roman"/>
          <w:color w:val="auto"/>
          <w:spacing w:val="0"/>
          <w:szCs w:val="21"/>
          <w:u w:val="single"/>
        </w:rPr>
        <w:t xml:space="preserve">     </w:t>
      </w:r>
    </w:p>
    <w:p w14:paraId="0DCE759D">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联系方式：</w:t>
      </w:r>
      <w:r>
        <w:rPr>
          <w:rFonts w:hint="eastAsia" w:ascii="宋体" w:hAnsi="宋体" w:eastAsia="宋体" w:cs="宋体"/>
          <w:color w:val="auto"/>
          <w:spacing w:val="-4"/>
          <w:u w:val="single"/>
        </w:rPr>
        <w:t xml:space="preserve">    </w:t>
      </w:r>
      <w:r>
        <w:rPr>
          <w:rFonts w:hint="eastAsia" w:ascii="宋体" w:hAnsi="宋体" w:cs="宋体"/>
          <w:u w:val="single"/>
          <w:lang w:val="en-US" w:eastAsia="zh-CN"/>
        </w:rPr>
        <w:t xml:space="preserve">      </w:t>
      </w:r>
      <w:r>
        <w:rPr>
          <w:rFonts w:hint="eastAsia" w:ascii="宋体" w:hAnsi="宋体" w:eastAsia="宋体" w:cs="宋体"/>
          <w:color w:val="auto"/>
          <w:spacing w:val="-4"/>
          <w:u w:val="single"/>
        </w:rPr>
        <w:t xml:space="preserve"> </w:t>
      </w:r>
      <w:r>
        <w:rPr>
          <w:rFonts w:hint="eastAsia" w:ascii="宋体" w:hAnsi="宋体" w:eastAsia="宋体" w:cs="宋体"/>
          <w:color w:val="auto"/>
          <w:spacing w:val="-4"/>
          <w:u w:val="none"/>
        </w:rPr>
        <w:t xml:space="preserve"> </w:t>
      </w:r>
    </w:p>
    <w:p w14:paraId="21F0FAFE">
      <w:pPr>
        <w:pStyle w:val="5"/>
        <w:bidi w:val="0"/>
        <w:ind w:firstLine="442" w:firstLineChars="200"/>
        <w:rPr>
          <w:rFonts w:hint="eastAsia"/>
          <w:sz w:val="22"/>
          <w:szCs w:val="22"/>
        </w:rPr>
      </w:pPr>
      <w:bookmarkStart w:id="701" w:name="_Toc351203491"/>
      <w:bookmarkStart w:id="702" w:name="_Toc532377176"/>
      <w:bookmarkStart w:id="703" w:name="_Toc532375583"/>
      <w:r>
        <w:rPr>
          <w:rFonts w:hint="eastAsia"/>
          <w:sz w:val="22"/>
          <w:szCs w:val="22"/>
          <w:lang w:val="en-US" w:eastAsia="zh-CN"/>
        </w:rPr>
        <w:t>七、</w:t>
      </w:r>
      <w:r>
        <w:rPr>
          <w:rFonts w:hint="eastAsia"/>
          <w:sz w:val="22"/>
          <w:szCs w:val="22"/>
        </w:rPr>
        <w:t>严禁贿赂</w:t>
      </w:r>
    </w:p>
    <w:p w14:paraId="22600D7C">
      <w:pPr>
        <w:spacing w:line="360"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本款补充以下内容：</w:t>
      </w:r>
    </w:p>
    <w:p w14:paraId="73510B74">
      <w:pPr>
        <w:spacing w:line="360"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在合同执行过程中，合同当事人应严格履</w:t>
      </w:r>
      <w:r>
        <w:rPr>
          <w:rFonts w:hint="eastAsia" w:ascii="宋体" w:hAnsi="宋体" w:eastAsia="宋体" w:cs="Times New Roman"/>
          <w:bCs/>
          <w:szCs w:val="21"/>
          <w:highlight w:val="none"/>
        </w:rPr>
        <w:t>行《廉洁从业协议》。</w:t>
      </w:r>
    </w:p>
    <w:p w14:paraId="349EFB65">
      <w:pPr>
        <w:pStyle w:val="5"/>
        <w:bidi w:val="0"/>
        <w:ind w:firstLine="442"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八、交通运输</w:t>
      </w:r>
    </w:p>
    <w:p w14:paraId="2FFA1165">
      <w:pPr>
        <w:spacing w:line="360" w:lineRule="auto"/>
        <w:ind w:firstLine="420" w:firstLineChars="200"/>
        <w:rPr>
          <w:rFonts w:hint="eastAsia" w:ascii="宋体" w:hAnsi="宋体" w:eastAsia="宋体" w:cs="Times New Roman"/>
          <w:bCs/>
          <w:szCs w:val="21"/>
        </w:rPr>
      </w:pPr>
      <w:r>
        <w:rPr>
          <w:rFonts w:hint="eastAsia" w:ascii="宋体" w:hAnsi="宋体" w:eastAsia="宋体" w:cs="Times New Roman"/>
          <w:bCs/>
          <w:szCs w:val="21"/>
          <w:lang w:val="en-US" w:eastAsia="zh-CN"/>
        </w:rPr>
        <w:t>1.</w:t>
      </w:r>
      <w:r>
        <w:rPr>
          <w:rFonts w:hint="eastAsia" w:ascii="宋体" w:hAnsi="宋体" w:eastAsia="宋体" w:cs="Times New Roman"/>
          <w:bCs/>
          <w:szCs w:val="21"/>
        </w:rPr>
        <w:t>场外交通</w:t>
      </w:r>
    </w:p>
    <w:p w14:paraId="587A297B">
      <w:pPr>
        <w:spacing w:line="360"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承包人应遵守有关交通法规，执行有关道路限速、限行、禁止超载的规定，并配合交通管理部门的监督和检查。场外交通以施工场地移交时的现状为准。</w:t>
      </w:r>
    </w:p>
    <w:p w14:paraId="730299DE">
      <w:pPr>
        <w:spacing w:line="360" w:lineRule="auto"/>
        <w:ind w:firstLine="420" w:firstLineChars="200"/>
        <w:rPr>
          <w:rFonts w:hint="eastAsia" w:ascii="宋体" w:hAnsi="宋体" w:eastAsia="宋体" w:cs="Times New Roman"/>
          <w:bCs/>
          <w:szCs w:val="21"/>
        </w:rPr>
      </w:pPr>
      <w:r>
        <w:rPr>
          <w:rFonts w:hint="eastAsia" w:ascii="宋体" w:hAnsi="宋体" w:cs="Times New Roman"/>
          <w:bCs/>
          <w:szCs w:val="21"/>
          <w:lang w:val="en-US" w:eastAsia="zh-CN"/>
        </w:rPr>
        <w:t>2</w:t>
      </w:r>
      <w:r>
        <w:rPr>
          <w:rFonts w:hint="eastAsia" w:ascii="宋体" w:hAnsi="宋体" w:eastAsia="宋体" w:cs="Times New Roman"/>
          <w:bCs/>
          <w:szCs w:val="21"/>
          <w:lang w:val="en-US" w:eastAsia="zh-CN"/>
        </w:rPr>
        <w:t>.</w:t>
      </w:r>
      <w:r>
        <w:rPr>
          <w:rFonts w:hint="eastAsia" w:ascii="宋体" w:hAnsi="宋体" w:eastAsia="宋体" w:cs="Times New Roman"/>
          <w:bCs/>
          <w:szCs w:val="21"/>
        </w:rPr>
        <w:t>关于发包人向承包人免费提供满足工程施工需要的场内道路和交通设施的约定：</w:t>
      </w:r>
      <w:r>
        <w:rPr>
          <w:rFonts w:hint="eastAsia" w:ascii="宋体" w:hAnsi="宋体" w:eastAsia="宋体" w:cs="Times New Roman"/>
          <w:bCs/>
          <w:szCs w:val="21"/>
          <w:u w:val="single"/>
        </w:rPr>
        <w:t>以施工场地移交时的现状为准</w:t>
      </w:r>
      <w:r>
        <w:rPr>
          <w:rFonts w:hint="eastAsia" w:ascii="宋体" w:hAnsi="宋体" w:eastAsia="宋体" w:cs="Times New Roman"/>
          <w:bCs/>
          <w:szCs w:val="21"/>
        </w:rPr>
        <w:t>。</w:t>
      </w:r>
    </w:p>
    <w:p w14:paraId="67C993E7">
      <w:pPr>
        <w:spacing w:line="360" w:lineRule="auto"/>
        <w:ind w:firstLine="420" w:firstLineChars="200"/>
        <w:rPr>
          <w:rFonts w:hint="eastAsia" w:ascii="宋体" w:hAnsi="宋体" w:eastAsia="宋体" w:cs="Times New Roman"/>
          <w:bCs/>
          <w:szCs w:val="21"/>
        </w:rPr>
      </w:pPr>
      <w:r>
        <w:rPr>
          <w:rFonts w:hint="eastAsia" w:ascii="宋体" w:hAnsi="宋体" w:cs="Times New Roman"/>
          <w:bCs/>
          <w:szCs w:val="21"/>
          <w:lang w:val="en-US" w:eastAsia="zh-CN"/>
        </w:rPr>
        <w:t>3</w:t>
      </w:r>
      <w:r>
        <w:rPr>
          <w:rFonts w:hint="eastAsia" w:ascii="宋体" w:hAnsi="宋体" w:eastAsia="宋体" w:cs="Times New Roman"/>
          <w:bCs/>
          <w:szCs w:val="21"/>
          <w:lang w:val="en-US" w:eastAsia="zh-CN"/>
        </w:rPr>
        <w:t>.</w:t>
      </w:r>
      <w:r>
        <w:rPr>
          <w:rFonts w:hint="eastAsia" w:ascii="宋体" w:hAnsi="宋体" w:eastAsia="宋体" w:cs="Times New Roman"/>
          <w:bCs/>
          <w:szCs w:val="21"/>
        </w:rPr>
        <w:t>超大件和超重件的运输</w:t>
      </w:r>
      <w:r>
        <w:rPr>
          <w:rFonts w:hint="eastAsia" w:ascii="宋体" w:hAnsi="宋体" w:eastAsia="宋体" w:cs="Times New Roman"/>
          <w:bCs/>
          <w:szCs w:val="21"/>
          <w:lang w:eastAsia="zh-CN"/>
        </w:rPr>
        <w:t>：</w:t>
      </w:r>
      <w:r>
        <w:rPr>
          <w:rFonts w:hint="eastAsia" w:ascii="宋体" w:hAnsi="宋体" w:eastAsia="宋体" w:cs="Times New Roman"/>
          <w:bCs/>
          <w:szCs w:val="21"/>
          <w:u w:val="single"/>
        </w:rPr>
        <w:t>运输超大件或超重件所需的道路和桥梁临时加固改造费用和其他有关费用由发包人承担。</w:t>
      </w:r>
    </w:p>
    <w:p w14:paraId="1DAD792A">
      <w:pPr>
        <w:pStyle w:val="5"/>
        <w:keepNext/>
        <w:keepLines/>
        <w:spacing w:before="120" w:after="120" w:line="360" w:lineRule="auto"/>
        <w:ind w:firstLine="422"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九、</w:t>
      </w:r>
      <w:r>
        <w:rPr>
          <w:rFonts w:hint="eastAsia" w:ascii="宋体" w:hAnsi="宋体" w:eastAsia="宋体" w:cs="宋体"/>
          <w:kern w:val="2"/>
          <w:sz w:val="21"/>
          <w:szCs w:val="21"/>
        </w:rPr>
        <w:t>知识产权</w:t>
      </w:r>
    </w:p>
    <w:p w14:paraId="25ADA3D4">
      <w:pPr>
        <w:spacing w:line="360" w:lineRule="auto"/>
        <w:ind w:firstLine="420" w:firstLineChars="200"/>
        <w:rPr>
          <w:rFonts w:hint="eastAsia" w:ascii="宋体" w:hAnsi="宋体" w:eastAsia="宋体" w:cs="Times New Roman"/>
          <w:bCs/>
          <w:szCs w:val="21"/>
          <w:lang w:eastAsia="zh-CN"/>
        </w:rPr>
      </w:pPr>
      <w:r>
        <w:rPr>
          <w:rFonts w:hint="eastAsia" w:ascii="宋体" w:hAnsi="宋体" w:eastAsia="宋体" w:cs="Times New Roman"/>
          <w:bCs/>
          <w:szCs w:val="21"/>
        </w:rPr>
        <w:t>关于发包人为实施工程自行编制或委托编制的技术规范以及反映发包人关于合同要求或其他类似性质的文件的著作权的归属：</w:t>
      </w:r>
      <w:r>
        <w:rPr>
          <w:rFonts w:hint="eastAsia" w:ascii="宋体" w:hAnsi="宋体" w:eastAsia="宋体" w:cs="Times New Roman"/>
          <w:bCs/>
          <w:szCs w:val="21"/>
          <w:u w:val="single"/>
        </w:rPr>
        <w:t>属于发包人</w:t>
      </w:r>
      <w:r>
        <w:rPr>
          <w:rFonts w:hint="eastAsia" w:ascii="宋体" w:hAnsi="宋体" w:eastAsia="宋体" w:cs="Times New Roman"/>
          <w:bCs/>
          <w:szCs w:val="21"/>
          <w:u w:val="single"/>
          <w:lang w:eastAsia="zh-CN"/>
        </w:rPr>
        <w:t>。</w:t>
      </w:r>
    </w:p>
    <w:p w14:paraId="3C4927F1">
      <w:pPr>
        <w:pStyle w:val="5"/>
        <w:keepNext/>
        <w:keepLines/>
        <w:spacing w:before="120" w:after="120" w:line="360" w:lineRule="auto"/>
        <w:ind w:firstLine="422" w:firstLineChars="200"/>
        <w:jc w:val="both"/>
        <w:rPr>
          <w:rFonts w:hint="eastAsia"/>
          <w:kern w:val="2"/>
          <w:sz w:val="21"/>
          <w:szCs w:val="21"/>
        </w:rPr>
      </w:pPr>
      <w:r>
        <w:rPr>
          <w:rFonts w:hint="eastAsia"/>
          <w:kern w:val="2"/>
          <w:sz w:val="21"/>
          <w:szCs w:val="21"/>
          <w:lang w:val="en-US" w:eastAsia="zh-CN"/>
        </w:rPr>
        <w:t>十、</w:t>
      </w:r>
      <w:r>
        <w:rPr>
          <w:rFonts w:hint="eastAsia"/>
          <w:kern w:val="2"/>
          <w:sz w:val="21"/>
          <w:szCs w:val="21"/>
        </w:rPr>
        <w:t>分包</w:t>
      </w:r>
    </w:p>
    <w:p w14:paraId="041BE8D8">
      <w:pPr>
        <w:pStyle w:val="5"/>
        <w:keepNext/>
        <w:keepLines/>
        <w:spacing w:before="120" w:after="120" w:line="360" w:lineRule="auto"/>
        <w:ind w:firstLine="420" w:firstLineChars="200"/>
        <w:jc w:val="both"/>
        <w:rPr>
          <w:rFonts w:hint="eastAsia" w:eastAsia="宋体"/>
          <w:b w:val="0"/>
          <w:bCs w:val="0"/>
          <w:kern w:val="2"/>
          <w:sz w:val="21"/>
          <w:szCs w:val="21"/>
          <w:lang w:val="en-US" w:eastAsia="zh-CN"/>
        </w:rPr>
      </w:pPr>
      <w:r>
        <w:rPr>
          <w:rFonts w:hint="eastAsia"/>
          <w:b w:val="0"/>
          <w:bCs w:val="0"/>
          <w:kern w:val="2"/>
          <w:sz w:val="21"/>
          <w:szCs w:val="21"/>
          <w:lang w:val="en-US" w:eastAsia="zh-CN"/>
        </w:rPr>
        <w:t>不允许分包。</w:t>
      </w:r>
    </w:p>
    <w:p w14:paraId="50C7FFC0">
      <w:pPr>
        <w:pStyle w:val="5"/>
        <w:bidi w:val="0"/>
        <w:ind w:firstLine="442" w:firstLineChars="200"/>
        <w:rPr>
          <w:rFonts w:hint="eastAsia"/>
          <w:sz w:val="22"/>
          <w:szCs w:val="22"/>
          <w:lang w:val="en-US" w:eastAsia="zh-CN"/>
        </w:rPr>
      </w:pPr>
      <w:r>
        <w:rPr>
          <w:rFonts w:hint="eastAsia"/>
          <w:sz w:val="22"/>
          <w:szCs w:val="22"/>
          <w:lang w:val="en-US" w:eastAsia="zh-CN"/>
        </w:rPr>
        <w:t>十一、工程质量</w:t>
      </w:r>
    </w:p>
    <w:p w14:paraId="67222104">
      <w:pPr>
        <w:pStyle w:val="17"/>
        <w:spacing w:before="69" w:line="360" w:lineRule="auto"/>
        <w:ind w:left="3" w:firstLine="436" w:firstLineChars="200"/>
        <w:outlineLvl w:val="0"/>
        <w:rPr>
          <w:rFonts w:hint="eastAsia" w:ascii="宋体" w:hAnsi="宋体" w:eastAsia="宋体" w:cs="宋体"/>
          <w:b w:val="0"/>
          <w:bCs w:val="0"/>
          <w:color w:val="auto"/>
          <w:spacing w:val="4"/>
          <w:u w:val="single"/>
        </w:rPr>
      </w:pPr>
      <w:r>
        <w:rPr>
          <w:rFonts w:hint="eastAsia" w:ascii="宋体" w:hAnsi="宋体" w:eastAsia="宋体" w:cs="宋体"/>
          <w:b w:val="0"/>
          <w:bCs w:val="0"/>
          <w:color w:val="auto"/>
          <w:spacing w:val="4"/>
          <w:lang w:val="en-US" w:eastAsia="zh-CN"/>
        </w:rPr>
        <w:t>1.</w:t>
      </w:r>
      <w:r>
        <w:rPr>
          <w:rFonts w:hint="eastAsia" w:ascii="宋体" w:hAnsi="宋体" w:eastAsia="宋体" w:cs="宋体"/>
          <w:b w:val="0"/>
          <w:bCs w:val="0"/>
          <w:color w:val="auto"/>
          <w:spacing w:val="4"/>
        </w:rPr>
        <w:t>工程质量符合强制性质量标准</w:t>
      </w:r>
      <w:r>
        <w:rPr>
          <w:rFonts w:hint="eastAsia" w:ascii="宋体" w:hAnsi="宋体" w:eastAsia="宋体" w:cs="宋体"/>
          <w:b w:val="0"/>
          <w:bCs w:val="0"/>
          <w:color w:val="auto"/>
          <w:spacing w:val="4"/>
          <w:lang w:eastAsia="zh-CN"/>
        </w:rPr>
        <w:t>：</w:t>
      </w:r>
      <w:r>
        <w:rPr>
          <w:rFonts w:hint="eastAsia" w:ascii="宋体" w:hAnsi="宋体" w:eastAsia="宋体" w:cs="宋体"/>
          <w:b w:val="0"/>
          <w:bCs w:val="0"/>
          <w:color w:val="auto"/>
          <w:spacing w:val="4"/>
          <w:u w:val="single"/>
        </w:rPr>
        <w:t>符合国家和重庆市现行有关施工质量验收规范要求，并达到合格标准。</w:t>
      </w:r>
    </w:p>
    <w:p w14:paraId="71ADB812">
      <w:pPr>
        <w:pStyle w:val="17"/>
        <w:spacing w:before="69" w:line="360" w:lineRule="auto"/>
        <w:ind w:left="3" w:firstLine="436" w:firstLineChars="200"/>
        <w:outlineLvl w:val="0"/>
        <w:rPr>
          <w:rFonts w:hint="eastAsia" w:ascii="宋体" w:hAnsi="宋体" w:eastAsia="宋体" w:cs="宋体"/>
          <w:b w:val="0"/>
          <w:bCs w:val="0"/>
          <w:color w:val="auto"/>
          <w:spacing w:val="4"/>
        </w:rPr>
      </w:pPr>
      <w:r>
        <w:rPr>
          <w:rFonts w:hint="eastAsia" w:ascii="宋体" w:hAnsi="宋体" w:eastAsia="宋体" w:cs="宋体"/>
          <w:b w:val="0"/>
          <w:bCs w:val="0"/>
          <w:color w:val="auto"/>
          <w:spacing w:val="4"/>
          <w:lang w:val="en-US" w:eastAsia="zh-CN"/>
        </w:rPr>
        <w:t>2.</w:t>
      </w:r>
      <w:r>
        <w:rPr>
          <w:rFonts w:hint="eastAsia" w:ascii="宋体" w:hAnsi="宋体" w:eastAsia="宋体" w:cs="宋体"/>
          <w:b w:val="0"/>
          <w:bCs w:val="0"/>
          <w:color w:val="auto"/>
          <w:spacing w:val="4"/>
        </w:rPr>
        <w:t xml:space="preserve"> 质量保证措施</w:t>
      </w:r>
    </w:p>
    <w:p w14:paraId="62661F3A">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在工程建设中，参建各方应严格执行以下规定（包括但不限于）：</w:t>
      </w:r>
    </w:p>
    <w:p w14:paraId="37E8F7E0">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（1）</w:t>
      </w:r>
      <w:r>
        <w:rPr>
          <w:rFonts w:hint="eastAsia" w:ascii="宋体" w:hAnsi="宋体" w:eastAsia="宋体" w:cs="宋体"/>
          <w:color w:val="auto"/>
          <w:spacing w:val="-4"/>
          <w:u w:val="single"/>
        </w:rPr>
        <w:t>《建筑工程施工质量验收统一标准》（GB50300-2013）；</w:t>
      </w:r>
    </w:p>
    <w:p w14:paraId="445A0308">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（2）</w:t>
      </w:r>
      <w:r>
        <w:rPr>
          <w:rFonts w:hint="eastAsia" w:ascii="宋体" w:hAnsi="宋体" w:eastAsia="宋体" w:cs="宋体"/>
          <w:color w:val="auto"/>
          <w:spacing w:val="-4"/>
          <w:u w:val="single"/>
        </w:rPr>
        <w:t>《住房城乡建设部关于印发工程质量安全提升行动方案的通知》（建质〔2017〕57号）；</w:t>
      </w:r>
    </w:p>
    <w:p w14:paraId="1F740044">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（3）</w:t>
      </w:r>
      <w:r>
        <w:rPr>
          <w:rFonts w:hint="eastAsia" w:ascii="宋体" w:hAnsi="宋体" w:eastAsia="宋体" w:cs="宋体"/>
          <w:color w:val="auto"/>
          <w:spacing w:val="-4"/>
          <w:u w:val="single"/>
        </w:rPr>
        <w:t>《房屋建筑和市政基础设施工程竣工验收规定》（建质〔2013〕171 号）；</w:t>
      </w:r>
    </w:p>
    <w:p w14:paraId="619AEE04">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（4）</w:t>
      </w:r>
      <w:r>
        <w:rPr>
          <w:rFonts w:hint="eastAsia" w:ascii="宋体" w:hAnsi="宋体" w:eastAsia="宋体" w:cs="宋体"/>
          <w:color w:val="auto"/>
          <w:spacing w:val="-4"/>
          <w:u w:val="single"/>
        </w:rPr>
        <w:t>《建设部关于贯彻执行建筑工程勘察设计及施工质量验收规范若干问题的通知》（建标〔2002〕212 号）；</w:t>
      </w:r>
    </w:p>
    <w:p w14:paraId="73A33A13">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single"/>
        </w:rPr>
      </w:pPr>
      <w:r>
        <w:rPr>
          <w:rFonts w:hint="eastAsia" w:ascii="宋体" w:hAnsi="宋体" w:eastAsia="宋体" w:cs="宋体"/>
          <w:color w:val="auto"/>
          <w:spacing w:val="-4"/>
          <w:u w:val="none"/>
        </w:rPr>
        <w:t>（5）</w:t>
      </w:r>
      <w:r>
        <w:rPr>
          <w:rFonts w:hint="eastAsia" w:ascii="宋体" w:hAnsi="宋体" w:eastAsia="宋体" w:cs="宋体"/>
          <w:color w:val="auto"/>
          <w:spacing w:val="-4"/>
          <w:u w:val="single"/>
        </w:rPr>
        <w:t>《重庆市住房和城乡建设委员会关于印发&lt;重庆市房屋建筑和市政基础设施工程质量常见问题防治要点（2019 年版）&gt;的通知》（渝建〔2019〕198 号）；</w:t>
      </w:r>
    </w:p>
    <w:p w14:paraId="42E6B425">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single"/>
        </w:rPr>
      </w:pPr>
      <w:r>
        <w:rPr>
          <w:rFonts w:hint="eastAsia" w:ascii="宋体" w:hAnsi="宋体" w:eastAsia="宋体" w:cs="宋体"/>
          <w:color w:val="auto"/>
          <w:spacing w:val="-4"/>
          <w:u w:val="none"/>
        </w:rPr>
        <w:t>（6）</w:t>
      </w:r>
      <w:r>
        <w:rPr>
          <w:rFonts w:hint="eastAsia" w:ascii="宋体" w:hAnsi="宋体" w:eastAsia="宋体" w:cs="宋体"/>
          <w:color w:val="auto"/>
          <w:spacing w:val="-4"/>
          <w:u w:val="single"/>
        </w:rPr>
        <w:t>《关于印发&lt;重庆市房屋建筑和市政基础设施工程预拌商品砂浆应用推进工作方案&gt;的通知》（渝建〔2018〕375 号）；</w:t>
      </w:r>
    </w:p>
    <w:p w14:paraId="5D13EB0D">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single"/>
        </w:rPr>
      </w:pPr>
      <w:r>
        <w:rPr>
          <w:rFonts w:hint="eastAsia" w:ascii="宋体" w:hAnsi="宋体" w:eastAsia="宋体" w:cs="宋体"/>
          <w:color w:val="auto"/>
          <w:spacing w:val="-4"/>
          <w:u w:val="none"/>
        </w:rPr>
        <w:t>（7）</w:t>
      </w:r>
      <w:r>
        <w:rPr>
          <w:rFonts w:hint="eastAsia" w:ascii="宋体" w:hAnsi="宋体" w:eastAsia="宋体" w:cs="宋体"/>
          <w:color w:val="auto"/>
          <w:spacing w:val="-4"/>
          <w:u w:val="single"/>
        </w:rPr>
        <w:t>《重庆市城乡建设委员会关于印发 2018 年房屋建筑和市政基础设施工程质量要点的通知》（渝建〔2018〕94 号）；</w:t>
      </w:r>
    </w:p>
    <w:p w14:paraId="3D9093A8">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single"/>
        </w:rPr>
      </w:pPr>
      <w:r>
        <w:rPr>
          <w:rFonts w:hint="eastAsia" w:ascii="宋体" w:hAnsi="宋体" w:eastAsia="宋体" w:cs="宋体"/>
          <w:color w:val="auto"/>
          <w:spacing w:val="-4"/>
          <w:u w:val="none"/>
        </w:rPr>
        <w:t>（8）</w:t>
      </w:r>
      <w:r>
        <w:rPr>
          <w:rFonts w:hint="eastAsia" w:ascii="宋体" w:hAnsi="宋体" w:eastAsia="宋体" w:cs="宋体"/>
          <w:color w:val="auto"/>
          <w:spacing w:val="-4"/>
          <w:u w:val="single"/>
        </w:rPr>
        <w:t>《重庆市城乡建设委员会关于进一步推广应用预拌商品砂浆的通知》（渝建〔2016〕318号）；</w:t>
      </w:r>
    </w:p>
    <w:p w14:paraId="5113B59B">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single"/>
        </w:rPr>
      </w:pPr>
      <w:r>
        <w:rPr>
          <w:rFonts w:hint="eastAsia" w:ascii="宋体" w:hAnsi="宋体" w:eastAsia="宋体" w:cs="宋体"/>
          <w:color w:val="auto"/>
          <w:spacing w:val="-4"/>
          <w:u w:val="none"/>
        </w:rPr>
        <w:t>（9）</w:t>
      </w:r>
      <w:r>
        <w:rPr>
          <w:rFonts w:hint="eastAsia" w:ascii="宋体" w:hAnsi="宋体" w:eastAsia="宋体" w:cs="宋体"/>
          <w:color w:val="auto"/>
          <w:spacing w:val="-4"/>
          <w:u w:val="single"/>
        </w:rPr>
        <w:t>《重庆市建设委员会关于发布&lt;建筑工程施工质量验收规范用表（建筑节能分部工程） &gt;和&lt;建设工程技术用表（建筑节能工程）&gt;的通知》（渝建发〔2008〕76 号）；</w:t>
      </w:r>
    </w:p>
    <w:p w14:paraId="1AD5F3F2">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single"/>
          <w:lang w:eastAsia="zh-CN"/>
        </w:rPr>
      </w:pPr>
      <w:r>
        <w:rPr>
          <w:rFonts w:hint="eastAsia" w:ascii="宋体" w:hAnsi="宋体" w:eastAsia="宋体" w:cs="宋体"/>
          <w:color w:val="auto"/>
          <w:spacing w:val="-4"/>
          <w:u w:val="none"/>
        </w:rPr>
        <w:t>（10</w:t>
      </w:r>
      <w:r>
        <w:rPr>
          <w:rFonts w:hint="eastAsia" w:ascii="宋体" w:hAnsi="宋体" w:cs="宋体"/>
          <w:color w:val="auto"/>
          <w:spacing w:val="-4"/>
          <w:u w:val="none"/>
          <w:lang w:eastAsia="zh-CN"/>
        </w:rPr>
        <w:t>）</w:t>
      </w:r>
      <w:r>
        <w:rPr>
          <w:rFonts w:hint="eastAsia" w:ascii="宋体" w:hAnsi="宋体" w:eastAsia="宋体" w:cs="宋体"/>
          <w:color w:val="auto"/>
          <w:spacing w:val="-4"/>
          <w:u w:val="single"/>
        </w:rPr>
        <w:t>国家和本市现行有关建设工程质量验收标准、规范和要求</w:t>
      </w:r>
      <w:r>
        <w:rPr>
          <w:rFonts w:hint="eastAsia" w:ascii="宋体" w:hAnsi="宋体" w:eastAsia="宋体" w:cs="宋体"/>
          <w:color w:val="auto"/>
          <w:spacing w:val="-4"/>
          <w:u w:val="single"/>
          <w:lang w:eastAsia="zh-CN"/>
        </w:rPr>
        <w:t>。</w:t>
      </w:r>
    </w:p>
    <w:p w14:paraId="74B4B183">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在工程建设中，应严格执行国家及重庆市现行标准，如上述标准及规范要求有出入则以较严格者为准。</w:t>
      </w:r>
    </w:p>
    <w:p w14:paraId="2BA30B4D">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36" w:firstLineChars="200"/>
        <w:textAlignment w:val="baseline"/>
        <w:rPr>
          <w:rFonts w:hint="eastAsia" w:ascii="宋体" w:hAnsi="宋体" w:eastAsia="宋体" w:cs="宋体"/>
          <w:b w:val="0"/>
          <w:bCs w:val="0"/>
          <w:color w:val="auto"/>
          <w:spacing w:val="4"/>
        </w:rPr>
      </w:pPr>
      <w:r>
        <w:rPr>
          <w:rFonts w:hint="eastAsia" w:ascii="宋体" w:hAnsi="宋体" w:eastAsia="宋体" w:cs="宋体"/>
          <w:b w:val="0"/>
          <w:bCs w:val="0"/>
          <w:color w:val="auto"/>
          <w:spacing w:val="4"/>
          <w:lang w:val="en-US" w:eastAsia="zh-CN"/>
        </w:rPr>
        <w:t>3.</w:t>
      </w:r>
      <w:r>
        <w:rPr>
          <w:rFonts w:hint="eastAsia" w:ascii="宋体" w:hAnsi="宋体" w:eastAsia="宋体" w:cs="宋体"/>
          <w:b w:val="0"/>
          <w:bCs w:val="0"/>
          <w:color w:val="auto"/>
          <w:spacing w:val="4"/>
        </w:rPr>
        <w:t>隐蔽工程检查</w:t>
      </w:r>
    </w:p>
    <w:p w14:paraId="2A2F6A9A">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b w:val="0"/>
          <w:bCs w:val="0"/>
          <w:color w:val="auto"/>
          <w:spacing w:val="-4"/>
          <w:u w:val="none"/>
        </w:rPr>
      </w:pPr>
      <w:r>
        <w:rPr>
          <w:rFonts w:hint="eastAsia" w:ascii="宋体" w:hAnsi="宋体" w:cs="宋体"/>
          <w:color w:val="auto"/>
          <w:spacing w:val="-4"/>
          <w:u w:val="none"/>
          <w:lang w:val="en-US" w:eastAsia="zh-CN"/>
        </w:rPr>
        <w:t>（</w:t>
      </w:r>
      <w:r>
        <w:rPr>
          <w:rFonts w:hint="eastAsia" w:ascii="宋体" w:hAnsi="宋体" w:eastAsia="宋体" w:cs="宋体"/>
          <w:color w:val="auto"/>
          <w:spacing w:val="-4"/>
          <w:u w:val="none"/>
          <w:lang w:val="en-US" w:eastAsia="zh-CN"/>
        </w:rPr>
        <w:t>1</w:t>
      </w:r>
      <w:r>
        <w:rPr>
          <w:rFonts w:hint="eastAsia" w:ascii="宋体" w:hAnsi="宋体" w:cs="宋体"/>
          <w:color w:val="auto"/>
          <w:spacing w:val="-4"/>
          <w:u w:val="none"/>
          <w:lang w:val="en-US" w:eastAsia="zh-CN"/>
        </w:rPr>
        <w:t>）</w:t>
      </w:r>
      <w:r>
        <w:rPr>
          <w:rFonts w:hint="eastAsia" w:ascii="宋体" w:hAnsi="宋体" w:eastAsia="宋体" w:cs="宋体"/>
          <w:color w:val="auto"/>
          <w:spacing w:val="-4"/>
          <w:u w:val="none"/>
          <w:lang w:val="en-US" w:eastAsia="zh-CN"/>
        </w:rPr>
        <w:t xml:space="preserve"> </w:t>
      </w:r>
      <w:r>
        <w:rPr>
          <w:rFonts w:hint="eastAsia" w:ascii="宋体" w:hAnsi="宋体" w:eastAsia="宋体" w:cs="宋体"/>
          <w:color w:val="auto"/>
          <w:spacing w:val="-4"/>
          <w:u w:val="none"/>
        </w:rPr>
        <w:t>检查程序</w:t>
      </w:r>
      <w:r>
        <w:rPr>
          <w:rFonts w:hint="eastAsia" w:ascii="宋体" w:hAnsi="宋体" w:eastAsia="宋体" w:cs="宋体"/>
          <w:color w:val="auto"/>
          <w:spacing w:val="-4"/>
          <w:u w:val="none"/>
          <w:lang w:eastAsia="zh-CN"/>
        </w:rPr>
        <w:t>：</w:t>
      </w:r>
      <w:r>
        <w:rPr>
          <w:rFonts w:hint="eastAsia" w:ascii="宋体" w:hAnsi="宋体" w:eastAsia="宋体" w:cs="宋体"/>
          <w:color w:val="auto"/>
          <w:spacing w:val="-4"/>
          <w:u w:val="single"/>
        </w:rPr>
        <w:t>工程隐蔽部位经承包人自检确认具备覆盖条件的，承包人应在共同检查前</w:t>
      </w:r>
      <w:r>
        <w:rPr>
          <w:rFonts w:hint="eastAsia" w:ascii="宋体" w:hAnsi="宋体" w:cs="宋体"/>
          <w:color w:val="auto"/>
          <w:spacing w:val="-4"/>
          <w:u w:val="single"/>
          <w:lang w:val="en-US" w:eastAsia="zh-CN"/>
        </w:rPr>
        <w:t>48</w:t>
      </w:r>
      <w:r>
        <w:rPr>
          <w:rFonts w:hint="eastAsia" w:ascii="宋体" w:hAnsi="宋体" w:eastAsia="宋体" w:cs="宋体"/>
          <w:color w:val="auto"/>
          <w:spacing w:val="-4"/>
          <w:u w:val="single"/>
        </w:rPr>
        <w:t>小时书面通知</w:t>
      </w:r>
      <w:r>
        <w:rPr>
          <w:rFonts w:hint="eastAsia" w:ascii="宋体" w:hAnsi="宋体" w:cs="宋体"/>
          <w:color w:val="auto"/>
          <w:spacing w:val="-4"/>
          <w:u w:val="single"/>
          <w:lang w:val="en-US" w:eastAsia="zh-CN"/>
        </w:rPr>
        <w:t>发包</w:t>
      </w:r>
      <w:r>
        <w:rPr>
          <w:rFonts w:hint="eastAsia" w:ascii="宋体" w:hAnsi="宋体" w:eastAsia="宋体" w:cs="宋体"/>
          <w:color w:val="auto"/>
          <w:spacing w:val="-4"/>
          <w:u w:val="single"/>
        </w:rPr>
        <w:t>人检查，通知中应载明隐蔽检查的内容、时间和地点，并应附有自检记录和</w:t>
      </w:r>
      <w:r>
        <w:rPr>
          <w:rFonts w:hint="eastAsia" w:ascii="宋体" w:hAnsi="宋体" w:eastAsia="宋体" w:cs="宋体"/>
          <w:b w:val="0"/>
          <w:bCs w:val="0"/>
          <w:color w:val="auto"/>
          <w:spacing w:val="-4"/>
          <w:u w:val="single"/>
        </w:rPr>
        <w:t>必要的检查资料。</w:t>
      </w:r>
    </w:p>
    <w:p w14:paraId="1E30B1AC">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b w:val="0"/>
          <w:bCs w:val="0"/>
          <w:color w:val="auto"/>
          <w:spacing w:val="-4"/>
          <w:u w:val="none"/>
        </w:rPr>
      </w:pPr>
      <w:r>
        <w:rPr>
          <w:rFonts w:hint="eastAsia" w:ascii="宋体" w:hAnsi="宋体" w:eastAsia="宋体" w:cs="宋体"/>
          <w:b w:val="0"/>
          <w:bCs w:val="0"/>
          <w:color w:val="auto"/>
          <w:spacing w:val="-4"/>
          <w:u w:val="none"/>
          <w:lang w:val="en-US" w:eastAsia="zh-CN"/>
        </w:rPr>
        <w:t>4.</w:t>
      </w:r>
      <w:r>
        <w:rPr>
          <w:rFonts w:hint="eastAsia" w:ascii="宋体" w:hAnsi="宋体" w:eastAsia="宋体" w:cs="宋体"/>
          <w:b w:val="0"/>
          <w:bCs w:val="0"/>
          <w:color w:val="auto"/>
          <w:spacing w:val="-4"/>
          <w:u w:val="none"/>
        </w:rPr>
        <w:t>不合格工程的处理</w:t>
      </w:r>
    </w:p>
    <w:p w14:paraId="6AC14342">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cs="宋体"/>
          <w:color w:val="auto"/>
          <w:spacing w:val="-4"/>
          <w:u w:val="none"/>
          <w:lang w:val="en-US" w:eastAsia="zh-CN"/>
        </w:rPr>
        <w:t>（1）</w:t>
      </w:r>
      <w:r>
        <w:rPr>
          <w:rFonts w:hint="eastAsia" w:ascii="宋体" w:hAnsi="宋体" w:eastAsia="宋体" w:cs="宋体"/>
          <w:color w:val="auto"/>
          <w:spacing w:val="-4"/>
          <w:u w:val="none"/>
        </w:rPr>
        <w:t xml:space="preserve"> 承包人在收到发出的《不合格分项报告》或通知单后，必须在规定时间内按要求完成整改，未能在限定时间内完成整改的，须承担相应违约责任。</w:t>
      </w:r>
    </w:p>
    <w:p w14:paraId="1F72A008">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cs="宋体"/>
          <w:color w:val="auto"/>
          <w:spacing w:val="-4"/>
          <w:u w:val="none"/>
          <w:lang w:val="en-US" w:eastAsia="zh-CN"/>
        </w:rPr>
        <w:t xml:space="preserve">（2） </w:t>
      </w:r>
      <w:r>
        <w:rPr>
          <w:rFonts w:hint="eastAsia" w:ascii="宋体" w:hAnsi="宋体" w:eastAsia="宋体" w:cs="宋体"/>
          <w:color w:val="auto"/>
          <w:spacing w:val="-4"/>
          <w:u w:val="none"/>
        </w:rPr>
        <w:t>质量事故的处理</w:t>
      </w:r>
      <w:r>
        <w:rPr>
          <w:rFonts w:hint="eastAsia" w:ascii="宋体" w:hAnsi="宋体" w:eastAsia="宋体" w:cs="宋体"/>
          <w:color w:val="auto"/>
          <w:spacing w:val="-4"/>
          <w:u w:val="none"/>
          <w:lang w:eastAsia="zh-CN"/>
        </w:rPr>
        <w:t>：</w:t>
      </w:r>
      <w:r>
        <w:rPr>
          <w:rFonts w:hint="eastAsia" w:ascii="宋体" w:hAnsi="宋体" w:eastAsia="宋体" w:cs="宋体"/>
          <w:color w:val="auto"/>
          <w:spacing w:val="-4"/>
          <w:u w:val="single"/>
        </w:rPr>
        <w:t>合同履行过程中，发生工程质量事故的调查处理按照国家及重庆市现行规定处理。</w:t>
      </w:r>
    </w:p>
    <w:p w14:paraId="6D8DB4CD">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cs="宋体"/>
          <w:color w:val="auto"/>
          <w:spacing w:val="-4"/>
          <w:u w:val="none"/>
          <w:lang w:val="en-US" w:eastAsia="zh-CN"/>
        </w:rPr>
        <w:t>（3）</w:t>
      </w:r>
      <w:r>
        <w:rPr>
          <w:rFonts w:hint="eastAsia" w:ascii="宋体" w:hAnsi="宋体" w:eastAsia="宋体" w:cs="宋体"/>
          <w:color w:val="auto"/>
          <w:spacing w:val="-4"/>
          <w:u w:val="none"/>
        </w:rPr>
        <w:t>发包人在对工程质量、安全和环境保护、水土保持等建设全过程管理中发现有技术、质量和其他问题的，可责令承包人返工或整改；对存在的隐患，有权责令承包人予以解决，承包人按照合同中其他条款约定承担违约责任。</w:t>
      </w:r>
    </w:p>
    <w:p w14:paraId="1006D0D8">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b w:val="0"/>
          <w:bCs w:val="0"/>
          <w:color w:val="auto"/>
          <w:spacing w:val="-4"/>
          <w:u w:val="none"/>
          <w:lang w:val="en-US" w:eastAsia="zh-CN"/>
        </w:rPr>
      </w:pPr>
      <w:r>
        <w:rPr>
          <w:rFonts w:hint="eastAsia" w:ascii="宋体" w:hAnsi="宋体" w:eastAsia="宋体" w:cs="宋体"/>
          <w:b w:val="0"/>
          <w:bCs w:val="0"/>
          <w:color w:val="auto"/>
          <w:spacing w:val="-4"/>
          <w:u w:val="none"/>
          <w:lang w:val="en-US" w:eastAsia="zh-CN"/>
        </w:rPr>
        <w:t>5.异常恶劣的气候条件</w:t>
      </w:r>
    </w:p>
    <w:p w14:paraId="0E0D89C9">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lang w:val="en-US" w:eastAsia="zh-CN"/>
        </w:rPr>
      </w:pPr>
      <w:r>
        <w:rPr>
          <w:rFonts w:hint="eastAsia" w:ascii="宋体" w:hAnsi="宋体" w:eastAsia="宋体" w:cs="宋体"/>
          <w:color w:val="auto"/>
          <w:spacing w:val="-4"/>
          <w:u w:val="none"/>
          <w:lang w:val="en-US" w:eastAsia="zh-CN"/>
        </w:rPr>
        <w:t>发包人和承包人同意以下情形视为异常恶劣的气候条件：</w:t>
      </w:r>
      <w:r>
        <w:rPr>
          <w:rFonts w:hint="eastAsia" w:ascii="宋体" w:hAnsi="宋体" w:eastAsia="宋体" w:cs="宋体"/>
          <w:color w:val="auto"/>
          <w:spacing w:val="-4"/>
          <w:u w:val="single"/>
          <w:lang w:val="en-US" w:eastAsia="zh-CN"/>
        </w:rPr>
        <w:t>不可抗力行为（含异常气候是指项目所在地50年以上一遇的罕见气候现象）</w:t>
      </w:r>
      <w:r>
        <w:rPr>
          <w:rFonts w:hint="eastAsia" w:ascii="宋体" w:hAnsi="宋体" w:eastAsia="宋体" w:cs="宋体"/>
          <w:color w:val="auto"/>
          <w:spacing w:val="-4"/>
          <w:u w:val="none"/>
          <w:lang w:val="en-US" w:eastAsia="zh-CN"/>
        </w:rPr>
        <w:t>。</w:t>
      </w:r>
    </w:p>
    <w:p w14:paraId="5C8F03FB">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default" w:ascii="宋体" w:hAnsi="宋体" w:eastAsia="宋体" w:cs="宋体"/>
          <w:color w:val="auto"/>
          <w:spacing w:val="-4"/>
          <w:u w:val="none"/>
          <w:lang w:val="en-US" w:eastAsia="zh-CN"/>
        </w:rPr>
      </w:pPr>
      <w:r>
        <w:rPr>
          <w:rFonts w:hint="eastAsia" w:ascii="宋体" w:hAnsi="宋体" w:eastAsia="宋体" w:cs="宋体"/>
          <w:color w:val="auto"/>
          <w:spacing w:val="-4"/>
          <w:u w:val="none"/>
          <w:lang w:val="en-US" w:eastAsia="zh-CN"/>
        </w:rPr>
        <w:t>6.提前竣工的奖励：</w:t>
      </w:r>
      <w:r>
        <w:rPr>
          <w:rFonts w:hint="eastAsia" w:ascii="宋体" w:hAnsi="宋体" w:eastAsia="宋体" w:cs="宋体"/>
          <w:color w:val="auto"/>
          <w:spacing w:val="-4"/>
          <w:u w:val="single"/>
          <w:lang w:val="en-US" w:eastAsia="zh-CN"/>
        </w:rPr>
        <w:t>无奖励。</w:t>
      </w:r>
    </w:p>
    <w:p w14:paraId="5D5CE525">
      <w:pPr>
        <w:pStyle w:val="5"/>
        <w:bidi w:val="0"/>
        <w:ind w:firstLine="442" w:firstLineChars="200"/>
        <w:rPr>
          <w:rFonts w:hint="eastAsia" w:ascii="宋体" w:hAnsi="宋体" w:eastAsia="宋体" w:cs="宋体"/>
          <w:color w:val="auto"/>
          <w:spacing w:val="-4"/>
          <w:u w:val="none"/>
        </w:rPr>
      </w:pPr>
      <w:r>
        <w:rPr>
          <w:rFonts w:hint="eastAsia"/>
          <w:sz w:val="22"/>
          <w:szCs w:val="22"/>
          <w:lang w:val="en-US" w:eastAsia="zh-CN"/>
        </w:rPr>
        <w:t>十二、</w:t>
      </w:r>
      <w:r>
        <w:rPr>
          <w:rFonts w:hint="eastAsia"/>
          <w:sz w:val="22"/>
          <w:szCs w:val="22"/>
        </w:rPr>
        <w:t>安全文明施工与环境保护</w:t>
      </w:r>
    </w:p>
    <w:p w14:paraId="040E9C63">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single"/>
        </w:rPr>
      </w:pPr>
      <w:r>
        <w:rPr>
          <w:rFonts w:hint="eastAsia" w:ascii="宋体" w:hAnsi="宋体" w:eastAsia="宋体" w:cs="宋体"/>
          <w:color w:val="auto"/>
          <w:spacing w:val="-4"/>
          <w:u w:val="none"/>
          <w:lang w:val="en-US" w:eastAsia="zh-CN"/>
        </w:rPr>
        <w:t xml:space="preserve">1. </w:t>
      </w:r>
      <w:r>
        <w:rPr>
          <w:rFonts w:hint="eastAsia" w:ascii="宋体" w:hAnsi="宋体" w:eastAsia="宋体" w:cs="宋体"/>
          <w:color w:val="auto"/>
          <w:spacing w:val="-4"/>
          <w:u w:val="none"/>
        </w:rPr>
        <w:t>安全文明施工</w:t>
      </w:r>
      <w:r>
        <w:rPr>
          <w:rFonts w:hint="eastAsia" w:ascii="宋体" w:hAnsi="宋体" w:eastAsia="宋体" w:cs="宋体"/>
          <w:color w:val="auto"/>
          <w:spacing w:val="-4"/>
          <w:u w:val="none"/>
          <w:lang w:eastAsia="zh-CN"/>
        </w:rPr>
        <w:t>：</w:t>
      </w:r>
      <w:r>
        <w:rPr>
          <w:rFonts w:hint="eastAsia" w:ascii="宋体" w:hAnsi="宋体" w:eastAsia="宋体" w:cs="宋体"/>
          <w:color w:val="auto"/>
          <w:spacing w:val="-4"/>
          <w:u w:val="single"/>
        </w:rPr>
        <w:t>承包人必须认真贯彻执行国家安全生产法律、法规、规章和强制性安全标准，按照重庆市现行的质量、安全文明施工有关规定和发包人安全管理的有关规定</w:t>
      </w:r>
      <w:r>
        <w:rPr>
          <w:rFonts w:hint="eastAsia" w:ascii="宋体" w:hAnsi="宋体" w:eastAsia="宋体" w:cs="宋体"/>
          <w:color w:val="auto"/>
          <w:spacing w:val="-4"/>
          <w:u w:val="single"/>
          <w:lang w:eastAsia="zh-CN"/>
        </w:rPr>
        <w:t>，</w:t>
      </w:r>
      <w:r>
        <w:rPr>
          <w:rFonts w:hint="eastAsia" w:ascii="宋体" w:hAnsi="宋体" w:eastAsia="宋体" w:cs="宋体"/>
          <w:color w:val="auto"/>
          <w:spacing w:val="-4"/>
          <w:u w:val="single"/>
        </w:rPr>
        <w:t>建立完善的质量、安全、文明施工管理制度。</w:t>
      </w:r>
    </w:p>
    <w:p w14:paraId="357A60F7">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lang w:val="en-US" w:eastAsia="zh-CN"/>
        </w:rPr>
        <w:t xml:space="preserve">2. </w:t>
      </w:r>
      <w:r>
        <w:rPr>
          <w:rFonts w:hint="eastAsia" w:ascii="宋体" w:hAnsi="宋体" w:eastAsia="宋体" w:cs="宋体"/>
          <w:color w:val="auto"/>
          <w:spacing w:val="-4"/>
          <w:u w:val="none"/>
        </w:rPr>
        <w:t>承包人的施工要做到节能、环保，如果通过采用新材料、新设备、新工艺、新技术的手段来提高工程质量或节省工期</w:t>
      </w:r>
      <w:r>
        <w:rPr>
          <w:rFonts w:hint="eastAsia" w:ascii="宋体" w:hAnsi="宋体" w:eastAsia="宋体" w:cs="宋体"/>
          <w:color w:val="auto"/>
          <w:spacing w:val="-4"/>
          <w:u w:val="none"/>
          <w:lang w:eastAsia="zh-CN"/>
        </w:rPr>
        <w:t>，</w:t>
      </w:r>
      <w:r>
        <w:rPr>
          <w:rFonts w:hint="eastAsia" w:ascii="宋体" w:hAnsi="宋体" w:eastAsia="宋体" w:cs="宋体"/>
          <w:color w:val="auto"/>
          <w:spacing w:val="-4"/>
          <w:u w:val="none"/>
        </w:rPr>
        <w:t>则必须保证新材料、新设备、新工艺、新技术是成熟的并获得相关部门正式批准的，同时使用前承包人必须组织专家论证，并得到发包人的批准。</w:t>
      </w:r>
    </w:p>
    <w:p w14:paraId="24FB4B8A">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lang w:val="en-US" w:eastAsia="zh-CN"/>
        </w:rPr>
        <w:t xml:space="preserve">3. </w:t>
      </w:r>
      <w:r>
        <w:rPr>
          <w:rFonts w:hint="eastAsia" w:ascii="宋体" w:hAnsi="宋体" w:eastAsia="宋体" w:cs="宋体"/>
          <w:color w:val="auto"/>
          <w:spacing w:val="-4"/>
          <w:u w:val="none"/>
        </w:rPr>
        <w:t>项目安全生产的达标目标及相应事项的约定：</w:t>
      </w:r>
      <w:r>
        <w:rPr>
          <w:rFonts w:hint="eastAsia" w:ascii="宋体" w:hAnsi="宋体" w:eastAsia="宋体" w:cs="宋体"/>
          <w:color w:val="auto"/>
          <w:spacing w:val="-4"/>
          <w:u w:val="single"/>
        </w:rPr>
        <w:t>达到《建筑施工安全检查标准》（JGJ59-2011）的要求</w:t>
      </w:r>
      <w:r>
        <w:rPr>
          <w:rFonts w:hint="eastAsia" w:ascii="宋体" w:hAnsi="宋体" w:eastAsia="宋体" w:cs="宋体"/>
          <w:color w:val="auto"/>
          <w:spacing w:val="-4"/>
          <w:u w:val="none"/>
        </w:rPr>
        <w:t>。</w:t>
      </w:r>
    </w:p>
    <w:p w14:paraId="12CBACB6">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（1）按现行安全文明施工费计取及使用管理的政策文件规定及发包人制订的安全管理制度执行。</w:t>
      </w:r>
    </w:p>
    <w:p w14:paraId="40D0CB78">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ab/>
      </w:r>
      <w:r>
        <w:rPr>
          <w:rFonts w:hint="eastAsia" w:ascii="宋体" w:hAnsi="宋体" w:eastAsia="宋体" w:cs="宋体"/>
          <w:color w:val="auto"/>
          <w:spacing w:val="-4"/>
          <w:u w:val="none"/>
        </w:rPr>
        <w:t>（2）承包人的原因造成事故，由此产生的法律责任和事故责任及费用由承包人全部承担。</w:t>
      </w:r>
    </w:p>
    <w:p w14:paraId="28165CDE">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ab/>
      </w:r>
      <w:r>
        <w:rPr>
          <w:rFonts w:hint="eastAsia" w:ascii="宋体" w:hAnsi="宋体" w:eastAsia="宋体" w:cs="宋体"/>
          <w:color w:val="auto"/>
          <w:spacing w:val="-4"/>
          <w:u w:val="none"/>
        </w:rPr>
        <w:t>（3）承包人向发包人做出安全承诺，并签订《安全生产目标责任书》和《安全承诺书》。</w:t>
      </w:r>
    </w:p>
    <w:p w14:paraId="0CD6FA7C">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ab/>
      </w:r>
      <w:r>
        <w:rPr>
          <w:rFonts w:hint="eastAsia" w:ascii="宋体" w:hAnsi="宋体" w:eastAsia="宋体" w:cs="宋体"/>
          <w:color w:val="auto"/>
          <w:spacing w:val="-4"/>
          <w:u w:val="none"/>
        </w:rPr>
        <w:t>（4）承包人在施工过程中，必须严格执行安全生产法的相关规定，制定切实可靠的安全技术措施。</w:t>
      </w:r>
    </w:p>
    <w:p w14:paraId="79F81022">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ab/>
      </w:r>
      <w:r>
        <w:rPr>
          <w:rFonts w:hint="eastAsia" w:ascii="宋体" w:hAnsi="宋体" w:eastAsia="宋体" w:cs="宋体"/>
          <w:color w:val="auto"/>
          <w:spacing w:val="-4"/>
          <w:u w:val="none"/>
        </w:rPr>
        <w:t>（5）接受发包人安全监督和管理，在施工中违反安全管理规定和操作规程、违章作业的，承担违约责任。</w:t>
      </w:r>
    </w:p>
    <w:p w14:paraId="3509E267">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lang w:val="en-US" w:eastAsia="zh-CN"/>
        </w:rPr>
        <w:t xml:space="preserve">4. </w:t>
      </w:r>
      <w:r>
        <w:rPr>
          <w:rFonts w:hint="eastAsia" w:ascii="宋体" w:hAnsi="宋体" w:eastAsia="宋体" w:cs="宋体"/>
          <w:color w:val="auto"/>
          <w:spacing w:val="-4"/>
          <w:u w:val="none"/>
        </w:rPr>
        <w:t>关于治安保卫的特别约定：</w:t>
      </w:r>
      <w:r>
        <w:rPr>
          <w:rFonts w:hint="eastAsia" w:ascii="宋体" w:hAnsi="宋体" w:eastAsia="宋体" w:cs="宋体"/>
          <w:color w:val="auto"/>
          <w:spacing w:val="-4"/>
          <w:u w:val="single"/>
        </w:rPr>
        <w:t>承包人负责组建施工现场治安管理机构或联防组织；承包人负责编制施工场地治安管理计划和突发治安事件紧急预案。</w:t>
      </w:r>
    </w:p>
    <w:p w14:paraId="403D13C8">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lang w:val="en-US" w:eastAsia="zh-CN"/>
        </w:rPr>
        <w:t xml:space="preserve">5. </w:t>
      </w:r>
      <w:r>
        <w:rPr>
          <w:rFonts w:hint="eastAsia" w:ascii="宋体" w:hAnsi="宋体" w:eastAsia="宋体" w:cs="宋体"/>
          <w:color w:val="auto"/>
          <w:spacing w:val="-4"/>
          <w:u w:val="none"/>
        </w:rPr>
        <w:t>关于编制施工场地治安管理计划的约定：</w:t>
      </w:r>
      <w:r>
        <w:rPr>
          <w:rFonts w:hint="eastAsia" w:ascii="宋体" w:hAnsi="宋体" w:eastAsia="宋体" w:cs="宋体"/>
          <w:color w:val="auto"/>
          <w:spacing w:val="-4"/>
          <w:u w:val="single"/>
        </w:rPr>
        <w:t>由承包人负责。</w:t>
      </w:r>
    </w:p>
    <w:p w14:paraId="787F5128">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lang w:val="en-US" w:eastAsia="zh-CN"/>
        </w:rPr>
        <w:t xml:space="preserve">6. </w:t>
      </w:r>
      <w:r>
        <w:rPr>
          <w:rFonts w:hint="eastAsia" w:ascii="宋体" w:hAnsi="宋体" w:eastAsia="宋体" w:cs="宋体"/>
          <w:color w:val="auto"/>
          <w:spacing w:val="-4"/>
          <w:u w:val="none"/>
        </w:rPr>
        <w:t>文明施工</w:t>
      </w:r>
    </w:p>
    <w:p w14:paraId="520C075B">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合同当事人对文明施工的要求：承包人应按照《房屋建筑和市政基础设施工程施工扬尘控制工作方案》（渝建发〔2009〕13 号）、《重庆市建设委员会关于印发&lt;重庆市房屋建筑和市政基础设施工程现场文明施工标准&gt;的通知》（渝建发〔2008〕169 号）等相关规定履行好施工扬尘控制、文明施工等责任。</w:t>
      </w:r>
    </w:p>
    <w:p w14:paraId="0352105C">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承包人应按规定设置施工现场围挡，承包人采用的围挡主体形式应从重庆市城乡建委发布的标准图 集（DJBT-062、DJBT-063）中选用，做好施工围挡，围挡应整齐美观，承包人按相关要求做好日常维护和保洁，围挡高度满足规范要求，相关费用已包含在签约合同价中。</w:t>
      </w:r>
    </w:p>
    <w:p w14:paraId="7D366A00">
      <w:pPr>
        <w:pStyle w:val="17"/>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环境保护</w:t>
      </w:r>
    </w:p>
    <w:p w14:paraId="3DAF4148">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cs="宋体"/>
          <w:color w:val="auto"/>
          <w:spacing w:val="-4"/>
          <w:u w:val="none"/>
          <w:lang w:val="en-US" w:eastAsia="zh-CN"/>
        </w:rPr>
        <w:t>（1）</w:t>
      </w:r>
      <w:r>
        <w:rPr>
          <w:rFonts w:hint="eastAsia" w:ascii="宋体" w:hAnsi="宋体" w:eastAsia="宋体" w:cs="宋体"/>
          <w:color w:val="auto"/>
          <w:spacing w:val="-4"/>
          <w:u w:val="none"/>
          <w:lang w:val="en-US" w:eastAsia="zh-CN"/>
        </w:rPr>
        <w:t xml:space="preserve"> </w:t>
      </w:r>
      <w:r>
        <w:rPr>
          <w:rFonts w:hint="eastAsia" w:ascii="宋体" w:hAnsi="宋体" w:eastAsia="宋体" w:cs="宋体"/>
          <w:color w:val="auto"/>
          <w:spacing w:val="-4"/>
          <w:u w:val="none"/>
        </w:rPr>
        <w:t>承包人应做好对周边环境的调查工作</w:t>
      </w:r>
      <w:r>
        <w:rPr>
          <w:rFonts w:hint="eastAsia" w:ascii="宋体" w:hAnsi="宋体" w:eastAsia="宋体" w:cs="宋体"/>
          <w:color w:val="auto"/>
          <w:spacing w:val="-4"/>
          <w:u w:val="none"/>
          <w:lang w:eastAsia="zh-CN"/>
        </w:rPr>
        <w:t>，</w:t>
      </w:r>
      <w:r>
        <w:rPr>
          <w:rFonts w:hint="eastAsia" w:ascii="宋体" w:hAnsi="宋体" w:eastAsia="宋体" w:cs="宋体"/>
          <w:color w:val="auto"/>
          <w:spacing w:val="-4"/>
          <w:u w:val="none"/>
        </w:rPr>
        <w:t>认真编制施工组织设计</w:t>
      </w:r>
      <w:r>
        <w:rPr>
          <w:rFonts w:hint="eastAsia" w:ascii="宋体" w:hAnsi="宋体" w:eastAsia="宋体" w:cs="宋体"/>
          <w:color w:val="auto"/>
          <w:spacing w:val="-4"/>
          <w:u w:val="none"/>
          <w:lang w:eastAsia="zh-CN"/>
        </w:rPr>
        <w:t>，</w:t>
      </w:r>
      <w:r>
        <w:rPr>
          <w:rFonts w:hint="eastAsia" w:ascii="宋体" w:hAnsi="宋体" w:eastAsia="宋体" w:cs="宋体"/>
          <w:color w:val="auto"/>
          <w:spacing w:val="-4"/>
          <w:u w:val="none"/>
        </w:rPr>
        <w:t>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14:paraId="52577106">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cs="宋体"/>
          <w:color w:val="auto"/>
          <w:spacing w:val="-4"/>
          <w:u w:val="none"/>
          <w:lang w:val="en-US" w:eastAsia="zh-CN"/>
        </w:rPr>
        <w:t>（2）</w:t>
      </w:r>
      <w:r>
        <w:rPr>
          <w:rFonts w:hint="eastAsia" w:ascii="宋体" w:hAnsi="宋体" w:eastAsia="宋体" w:cs="宋体"/>
          <w:color w:val="auto"/>
          <w:spacing w:val="-4"/>
          <w:u w:val="none"/>
        </w:rPr>
        <w:t>承包人应加强生态环境保护工作。施工期间，采取边坡防护，挡渣坝、排水沟、沉淀池、表土剥离和绿化恢复等水土保持措施减少水土流失量，绿化恢复宜采用适于当地生长的植物。</w:t>
      </w:r>
    </w:p>
    <w:p w14:paraId="2B5BB933">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cs="宋体"/>
          <w:color w:val="auto"/>
          <w:spacing w:val="-4"/>
          <w:u w:val="none"/>
          <w:lang w:val="en-US" w:eastAsia="zh-CN"/>
        </w:rPr>
        <w:t>（3）</w:t>
      </w:r>
      <w:r>
        <w:rPr>
          <w:rFonts w:hint="eastAsia" w:ascii="宋体" w:hAnsi="宋体" w:eastAsia="宋体" w:cs="宋体"/>
          <w:color w:val="auto"/>
          <w:spacing w:val="-4"/>
          <w:u w:val="none"/>
        </w:rPr>
        <w:t>承包人应认真落实水污染防治措施。施工期间，加强机械设备维护，减少跑冒滴漏等现象；做好含油废水处理措施； 施工场地生活污水经生化处理后达到《污水综合排放标准》（GB8978-1996）一级标准后排放。</w:t>
      </w:r>
    </w:p>
    <w:p w14:paraId="294084DC">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cs="宋体"/>
          <w:color w:val="auto"/>
          <w:spacing w:val="-4"/>
          <w:u w:val="none"/>
          <w:lang w:val="en-US" w:eastAsia="zh-CN"/>
        </w:rPr>
        <w:t>（4）</w:t>
      </w:r>
      <w:r>
        <w:rPr>
          <w:rFonts w:hint="eastAsia" w:ascii="宋体" w:hAnsi="宋体" w:eastAsia="宋体" w:cs="宋体"/>
          <w:color w:val="auto"/>
          <w:spacing w:val="-4"/>
          <w:u w:val="none"/>
        </w:rPr>
        <w:t>承包人应重视大气污染物污染防治措施。施工期间，严格执行市政府“蓝天行动”方案等有关规定，通过洒水防尘，严格控制施工场地扬尘和运输扬尘污染。</w:t>
      </w:r>
    </w:p>
    <w:p w14:paraId="7797D190">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cs="宋体"/>
          <w:color w:val="auto"/>
          <w:spacing w:val="-4"/>
          <w:u w:val="none"/>
          <w:lang w:val="en-US" w:eastAsia="zh-CN"/>
        </w:rPr>
        <w:t>（5）</w:t>
      </w:r>
      <w:r>
        <w:rPr>
          <w:rFonts w:hint="eastAsia" w:ascii="宋体" w:hAnsi="宋体" w:eastAsia="宋体" w:cs="宋体"/>
          <w:color w:val="auto"/>
          <w:spacing w:val="-4"/>
          <w:u w:val="none"/>
        </w:rPr>
        <w:t xml:space="preserve"> 承包人应落实固体废物污染防治措施。施工期间，项目产生的弃方不可合理利用的，应运往指定的弃渣场内堆存；建筑垃圾运至指定的建筑垃圾消纳场处置；生活垃圾由当地环卫部门统一处置。</w:t>
      </w:r>
    </w:p>
    <w:p w14:paraId="45AE1706">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lang w:val="en-US" w:eastAsia="zh-CN"/>
        </w:rPr>
      </w:pPr>
      <w:r>
        <w:rPr>
          <w:rFonts w:hint="eastAsia" w:ascii="宋体" w:hAnsi="宋体" w:cs="宋体"/>
          <w:color w:val="auto"/>
          <w:spacing w:val="-4"/>
          <w:u w:val="none"/>
          <w:lang w:val="en-US" w:eastAsia="zh-CN"/>
        </w:rPr>
        <w:t>（6）</w:t>
      </w:r>
      <w:r>
        <w:rPr>
          <w:rFonts w:hint="eastAsia" w:ascii="宋体" w:hAnsi="宋体" w:eastAsia="宋体" w:cs="宋体"/>
          <w:color w:val="auto"/>
          <w:spacing w:val="-4"/>
          <w:u w:val="none"/>
        </w:rPr>
        <w:t>承包人应认真落实噪声污染防治措施。施工期间，优选低噪声设备，合理安排施工时间，严格控制夜间施工，昼、夜施工场界需满足《建筑施工场界环境噪声排放标准》（GB12523-2011）</w:t>
      </w:r>
    </w:p>
    <w:p w14:paraId="03290255">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cs="宋体"/>
          <w:color w:val="auto"/>
          <w:spacing w:val="-4"/>
          <w:u w:val="none"/>
          <w:lang w:val="en-US" w:eastAsia="zh-CN"/>
        </w:rPr>
        <w:t>（7）</w:t>
      </w:r>
      <w:r>
        <w:rPr>
          <w:rFonts w:hint="eastAsia" w:ascii="宋体" w:hAnsi="宋体" w:eastAsia="宋体" w:cs="宋体"/>
          <w:color w:val="auto"/>
          <w:spacing w:val="-4"/>
          <w:u w:val="none"/>
        </w:rPr>
        <w:t>承包人自行负责办理有关施工场地交通、环卫和施工噪音管理等手续，并应按要求结合自身实际和重庆市相关规定，考虑不低于以上标准的此类工作。</w:t>
      </w:r>
    </w:p>
    <w:p w14:paraId="43FE1DA6">
      <w:pPr>
        <w:pStyle w:val="5"/>
        <w:bidi w:val="0"/>
        <w:ind w:firstLine="442" w:firstLineChars="200"/>
        <w:rPr>
          <w:rFonts w:hint="eastAsia"/>
          <w:sz w:val="22"/>
          <w:szCs w:val="22"/>
        </w:rPr>
      </w:pPr>
      <w:r>
        <w:rPr>
          <w:rFonts w:hint="eastAsia"/>
          <w:sz w:val="22"/>
          <w:szCs w:val="22"/>
          <w:lang w:val="en-US" w:eastAsia="zh-CN"/>
        </w:rPr>
        <w:t>十三、</w:t>
      </w:r>
      <w:r>
        <w:rPr>
          <w:rFonts w:hint="eastAsia"/>
          <w:sz w:val="22"/>
          <w:szCs w:val="22"/>
        </w:rPr>
        <w:t>价格调整</w:t>
      </w:r>
    </w:p>
    <w:p w14:paraId="7564A587">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single"/>
          <w:lang w:eastAsia="zh-CN"/>
        </w:rPr>
      </w:pPr>
      <w:r>
        <w:rPr>
          <w:rFonts w:hint="eastAsia" w:ascii="宋体" w:hAnsi="宋体" w:eastAsia="宋体" w:cs="宋体"/>
          <w:color w:val="auto"/>
          <w:spacing w:val="-4"/>
          <w:u w:val="none"/>
        </w:rPr>
        <w:t>市场价格波动是否调整合同价格的约定：</w:t>
      </w:r>
      <w:r>
        <w:rPr>
          <w:rFonts w:hint="eastAsia" w:ascii="宋体" w:hAnsi="宋体" w:eastAsia="宋体" w:cs="宋体"/>
          <w:color w:val="auto"/>
          <w:spacing w:val="-4"/>
          <w:u w:val="single"/>
          <w:lang w:val="en-US" w:eastAsia="zh-CN"/>
        </w:rPr>
        <w:t>不调整</w:t>
      </w:r>
      <w:r>
        <w:rPr>
          <w:rFonts w:hint="eastAsia" w:ascii="宋体" w:hAnsi="宋体" w:eastAsia="宋体" w:cs="宋体"/>
          <w:color w:val="auto"/>
          <w:spacing w:val="-4"/>
          <w:u w:val="single"/>
          <w:lang w:eastAsia="zh-CN"/>
        </w:rPr>
        <w:t>。</w:t>
      </w:r>
    </w:p>
    <w:p w14:paraId="2C400020">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single"/>
          <w:lang w:eastAsia="zh-CN"/>
        </w:rPr>
      </w:pPr>
      <w:r>
        <w:rPr>
          <w:rFonts w:hint="eastAsia" w:ascii="宋体" w:hAnsi="宋体" w:eastAsia="宋体" w:cs="宋体"/>
          <w:color w:val="auto"/>
          <w:spacing w:val="-4"/>
          <w:u w:val="none"/>
        </w:rPr>
        <w:t>本项目主要材料及设备价格风险内容、范围及调整方法为：</w:t>
      </w:r>
      <w:r>
        <w:rPr>
          <w:rFonts w:hint="eastAsia" w:ascii="宋体" w:hAnsi="宋体" w:eastAsia="宋体" w:cs="宋体"/>
          <w:color w:val="auto"/>
          <w:spacing w:val="-4"/>
          <w:u w:val="single"/>
          <w:lang w:val="en-US" w:eastAsia="zh-CN"/>
        </w:rPr>
        <w:t>不</w:t>
      </w:r>
      <w:r>
        <w:rPr>
          <w:rFonts w:hint="eastAsia" w:ascii="宋体" w:hAnsi="宋体" w:eastAsia="宋体" w:cs="宋体"/>
          <w:color w:val="auto"/>
          <w:spacing w:val="-4"/>
          <w:u w:val="single"/>
        </w:rPr>
        <w:t>调整</w:t>
      </w:r>
      <w:r>
        <w:rPr>
          <w:rFonts w:hint="eastAsia" w:ascii="宋体" w:hAnsi="宋体" w:eastAsia="宋体" w:cs="宋体"/>
          <w:color w:val="auto"/>
          <w:spacing w:val="-4"/>
          <w:u w:val="single"/>
          <w:lang w:eastAsia="zh-CN"/>
        </w:rPr>
        <w:t>。</w:t>
      </w:r>
    </w:p>
    <w:p w14:paraId="3F800A0E">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kern w:val="2"/>
          <w:sz w:val="21"/>
          <w:szCs w:val="21"/>
        </w:rPr>
      </w:pPr>
      <w:r>
        <w:rPr>
          <w:rFonts w:hint="eastAsia" w:ascii="宋体" w:hAnsi="宋体" w:eastAsia="宋体" w:cs="宋体"/>
          <w:color w:val="auto"/>
          <w:spacing w:val="-4"/>
          <w:u w:val="none"/>
          <w:lang w:eastAsia="zh-CN"/>
        </w:rPr>
        <w:t>风险费用的计算方法：</w:t>
      </w:r>
      <w:r>
        <w:rPr>
          <w:rFonts w:hint="eastAsia" w:ascii="宋体" w:hAnsi="宋体" w:eastAsia="宋体" w:cs="宋体"/>
          <w:color w:val="auto"/>
          <w:spacing w:val="-4"/>
          <w:u w:val="single"/>
          <w:lang w:eastAsia="zh-CN"/>
        </w:rPr>
        <w:t>由承包人自行考虑并计入签约合同价格中，包干使用。</w:t>
      </w:r>
    </w:p>
    <w:p w14:paraId="29C34004">
      <w:pPr>
        <w:pStyle w:val="5"/>
        <w:bidi w:val="0"/>
        <w:ind w:firstLine="442" w:firstLineChars="200"/>
        <w:rPr>
          <w:rFonts w:hint="eastAsia"/>
          <w:sz w:val="22"/>
          <w:szCs w:val="22"/>
          <w:highlight w:val="none"/>
        </w:rPr>
      </w:pPr>
      <w:r>
        <w:rPr>
          <w:rFonts w:hint="eastAsia"/>
          <w:sz w:val="22"/>
          <w:szCs w:val="22"/>
          <w:highlight w:val="none"/>
          <w:lang w:val="en-US" w:eastAsia="zh-CN"/>
        </w:rPr>
        <w:t>十四、</w:t>
      </w:r>
      <w:r>
        <w:rPr>
          <w:rFonts w:hint="eastAsia"/>
          <w:sz w:val="22"/>
          <w:szCs w:val="22"/>
          <w:highlight w:val="none"/>
        </w:rPr>
        <w:t xml:space="preserve">工程款支付 </w:t>
      </w:r>
    </w:p>
    <w:p w14:paraId="6BC3A804">
      <w:pPr>
        <w:numPr>
          <w:ilvl w:val="0"/>
          <w:numId w:val="0"/>
        </w:numPr>
        <w:spacing w:after="120" w:line="360" w:lineRule="auto"/>
        <w:ind w:firstLine="404" w:firstLineChars="200"/>
        <w:rPr>
          <w:rFonts w:hint="default" w:cs="宋体"/>
          <w:b w:val="0"/>
          <w:bCs w:val="0"/>
          <w:color w:val="auto"/>
          <w:spacing w:val="-4"/>
          <w:kern w:val="2"/>
          <w:sz w:val="21"/>
          <w:szCs w:val="24"/>
          <w:highlight w:val="cyan"/>
          <w:u w:val="none"/>
          <w:lang w:val="en-US" w:eastAsia="zh-CN" w:bidi="ar-SA"/>
        </w:rPr>
      </w:pPr>
      <w:r>
        <w:rPr>
          <w:rFonts w:hint="eastAsia" w:ascii="宋体" w:hAnsi="宋体" w:eastAsia="宋体" w:cs="宋体"/>
          <w:spacing w:val="-4"/>
          <w:szCs w:val="24"/>
        </w:rPr>
        <w:t>本项目施工完成，</w:t>
      </w:r>
      <w:r>
        <w:rPr>
          <w:rFonts w:hint="eastAsia" w:ascii="宋体" w:hAnsi="宋体" w:eastAsia="宋体" w:cs="宋体"/>
          <w:color w:val="auto"/>
          <w:highlight w:val="none"/>
          <w:lang w:eastAsia="zh-CN"/>
        </w:rPr>
        <w:t>经甲、乙双方和相关单位竣工验收合格后，</w:t>
      </w:r>
      <w:r>
        <w:rPr>
          <w:rFonts w:hint="eastAsia" w:ascii="宋体" w:hAnsi="宋体" w:eastAsia="宋体" w:cs="宋体"/>
          <w:color w:val="auto"/>
          <w:highlight w:val="none"/>
          <w:lang w:val="en-US" w:eastAsia="zh-CN"/>
        </w:rPr>
        <w:t>甲</w:t>
      </w:r>
      <w:r>
        <w:rPr>
          <w:rFonts w:hint="eastAsia" w:ascii="宋体" w:hAnsi="宋体" w:eastAsia="宋体" w:cs="宋体"/>
          <w:color w:val="auto"/>
          <w:highlight w:val="none"/>
          <w:lang w:eastAsia="zh-CN"/>
        </w:rPr>
        <w:t>方报送结算资料，经</w:t>
      </w:r>
      <w:r>
        <w:rPr>
          <w:rFonts w:hint="eastAsia" w:ascii="宋体" w:hAnsi="宋体" w:eastAsia="宋体" w:cs="宋体"/>
          <w:color w:val="auto"/>
          <w:highlight w:val="none"/>
          <w:lang w:val="en-US" w:eastAsia="zh-CN"/>
        </w:rPr>
        <w:t>重庆市</w:t>
      </w:r>
      <w:r>
        <w:rPr>
          <w:rFonts w:hint="eastAsia" w:ascii="宋体" w:hAnsi="宋体" w:eastAsia="宋体" w:cs="宋体"/>
          <w:color w:val="auto"/>
          <w:highlight w:val="none"/>
          <w:lang w:eastAsia="zh-CN"/>
        </w:rPr>
        <w:t>渝北区物业专项维修资金管理中心聘请的第三方审价机构出具结算审核报告。</w:t>
      </w:r>
      <w:r>
        <w:rPr>
          <w:rFonts w:hint="eastAsia" w:ascii="宋体" w:hAnsi="宋体" w:eastAsia="宋体" w:cs="宋体"/>
          <w:color w:val="auto"/>
          <w:highlight w:val="none"/>
          <w:lang w:val="en-US" w:eastAsia="zh-CN"/>
        </w:rPr>
        <w:t>乙方承诺按照规定以申请物业专项维修资金的方式结算工程款。工程款乙方开增值税专用发票（税率：</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）金额以结算审核报告金额为准，发票开具购买方信息：重庆市渝北区物业专项维修资金管理中心。</w:t>
      </w:r>
      <w:r>
        <w:rPr>
          <w:rFonts w:hint="eastAsia" w:ascii="宋体" w:hAnsi="宋体" w:eastAsia="宋体" w:cs="宋体"/>
          <w:color w:val="auto"/>
          <w:highlight w:val="none"/>
          <w:lang w:eastAsia="zh-CN"/>
        </w:rPr>
        <w:t>在物业专项维修资金审批过程中的延误支付，不视为付款违约行为，</w:t>
      </w:r>
      <w:r>
        <w:rPr>
          <w:rFonts w:hint="eastAsia" w:ascii="宋体" w:hAnsi="宋体" w:eastAsia="宋体" w:cs="宋体"/>
          <w:color w:val="auto"/>
          <w:highlight w:val="none"/>
          <w:lang w:val="en-US" w:eastAsia="zh-CN"/>
        </w:rPr>
        <w:t>将</w:t>
      </w:r>
      <w:r>
        <w:rPr>
          <w:rFonts w:hint="eastAsia" w:ascii="宋体" w:hAnsi="宋体" w:eastAsia="宋体" w:cs="宋体"/>
          <w:color w:val="auto"/>
          <w:highlight w:val="none"/>
          <w:lang w:eastAsia="zh-CN"/>
        </w:rPr>
        <w:t>总工程款的</w:t>
      </w:r>
      <w:r>
        <w:rPr>
          <w:rFonts w:hint="eastAsia" w:ascii="宋体" w:hAnsi="宋体" w:cs="宋体"/>
          <w:color w:val="auto"/>
          <w:highlight w:val="none"/>
          <w:u w:val="single"/>
          <w:lang w:val="en-US" w:eastAsia="zh-CN"/>
        </w:rPr>
        <w:t>3</w:t>
      </w:r>
      <w:r>
        <w:rPr>
          <w:rFonts w:hint="eastAsia" w:ascii="宋体" w:hAnsi="宋体" w:eastAsia="宋体" w:cs="宋体"/>
          <w:color w:val="auto"/>
          <w:highlight w:val="none"/>
          <w:lang w:eastAsia="zh-CN"/>
        </w:rPr>
        <w:t>%作为质保金</w:t>
      </w:r>
      <w:r>
        <w:rPr>
          <w:rFonts w:hint="eastAsia" w:ascii="宋体" w:hAnsi="宋体" w:eastAsia="宋体" w:cs="宋体"/>
          <w:color w:val="auto"/>
          <w:highlight w:val="none"/>
          <w:lang w:val="en-US" w:eastAsia="zh-CN"/>
        </w:rPr>
        <w:t>留</w:t>
      </w:r>
      <w:r>
        <w:rPr>
          <w:rFonts w:hint="eastAsia" w:ascii="宋体" w:hAnsi="宋体" w:eastAsia="宋体" w:cs="宋体"/>
          <w:color w:val="auto"/>
          <w:highlight w:val="none"/>
          <w:lang w:eastAsia="zh-CN"/>
        </w:rPr>
        <w:t>至</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lang w:eastAsia="zh-CN"/>
        </w:rPr>
        <w:t>，质保期</w:t>
      </w:r>
      <w:r>
        <w:rPr>
          <w:rFonts w:hint="eastAsia" w:ascii="宋体" w:hAnsi="宋体" w:cs="宋体"/>
          <w:color w:val="auto"/>
          <w:highlight w:val="none"/>
          <w:u w:val="single"/>
          <w:lang w:val="en-US" w:eastAsia="zh-CN"/>
        </w:rPr>
        <w:t>5</w:t>
      </w:r>
      <w:r>
        <w:rPr>
          <w:rFonts w:hint="eastAsia" w:ascii="宋体" w:hAnsi="宋体" w:eastAsia="宋体" w:cs="宋体"/>
          <w:color w:val="auto"/>
          <w:highlight w:val="none"/>
          <w:lang w:eastAsia="zh-CN"/>
        </w:rPr>
        <w:t>年届满后且工程无任何质量问题余额无息</w:t>
      </w:r>
      <w:r>
        <w:rPr>
          <w:rFonts w:hint="eastAsia" w:ascii="宋体" w:hAnsi="宋体" w:eastAsia="宋体" w:cs="宋体"/>
          <w:color w:val="auto"/>
          <w:highlight w:val="none"/>
          <w:lang w:val="en-US" w:eastAsia="zh-CN"/>
        </w:rPr>
        <w:t>返还，</w:t>
      </w:r>
      <w:r>
        <w:rPr>
          <w:rFonts w:hint="eastAsia" w:ascii="宋体" w:hAnsi="宋体" w:eastAsia="宋体" w:cs="宋体"/>
          <w:color w:val="auto"/>
          <w:highlight w:val="none"/>
          <w:lang w:eastAsia="zh-CN"/>
        </w:rPr>
        <w:t>质保期从该工程竣工验收合格之日起算</w:t>
      </w:r>
      <w:r>
        <w:rPr>
          <w:rFonts w:hint="eastAsia" w:ascii="宋体" w:hAnsi="宋体" w:cs="宋体"/>
          <w:color w:val="auto"/>
          <w:spacing w:val="-4"/>
          <w:sz w:val="21"/>
          <w:szCs w:val="24"/>
          <w:highlight w:val="none"/>
          <w:u w:val="none"/>
          <w:lang w:val="en-US" w:eastAsia="zh-CN"/>
        </w:rPr>
        <w:t>。</w:t>
      </w:r>
    </w:p>
    <w:p w14:paraId="6B490CC3">
      <w:pPr>
        <w:spacing w:after="120" w:line="360" w:lineRule="auto"/>
        <w:ind w:firstLine="420" w:firstLineChars="200"/>
        <w:rPr>
          <w:rFonts w:hint="eastAsia" w:ascii="宋体" w:hAnsi="宋体" w:eastAsia="宋体" w:cs="宋体"/>
          <w:lang w:eastAsia="zh-CN"/>
        </w:rPr>
      </w:pPr>
      <w:bookmarkStart w:id="704" w:name="OLE_LINK14"/>
      <w:r>
        <w:rPr>
          <w:rFonts w:hint="eastAsia" w:ascii="宋体" w:hAnsi="宋体" w:eastAsia="宋体" w:cs="宋体"/>
          <w:lang w:eastAsia="zh-CN"/>
        </w:rPr>
        <w:t>乙方收款账户信息为：</w:t>
      </w:r>
    </w:p>
    <w:p w14:paraId="6108B747">
      <w:pPr>
        <w:spacing w:line="360" w:lineRule="auto"/>
        <w:ind w:firstLine="420" w:firstLineChars="200"/>
        <w:rPr>
          <w:rFonts w:hint="default" w:ascii="宋体" w:hAnsi="宋体" w:eastAsia="宋体" w:cs="宋体"/>
          <w:highlight w:val="none"/>
          <w:u w:val="single"/>
          <w:lang w:val="en-US" w:eastAsia="zh-CN"/>
        </w:rPr>
      </w:pPr>
      <w:r>
        <w:rPr>
          <w:rFonts w:hint="eastAsia" w:ascii="宋体" w:hAnsi="宋体" w:eastAsia="宋体" w:cs="宋体"/>
          <w:lang w:eastAsia="zh-CN"/>
        </w:rPr>
        <w:t>开户名称：</w:t>
      </w:r>
      <w:r>
        <w:rPr>
          <w:rFonts w:hint="eastAsia" w:ascii="宋体" w:hAnsi="宋体" w:eastAsia="宋体" w:cs="宋体"/>
          <w:highlight w:val="none"/>
          <w:u w:val="single"/>
          <w:lang w:val="en-US" w:eastAsia="zh-CN"/>
        </w:rPr>
        <w:t xml:space="preserve"> </w:t>
      </w:r>
      <w:r>
        <w:rPr>
          <w:rFonts w:hint="eastAsia" w:ascii="宋体" w:hAnsi="宋体" w:cs="宋体"/>
          <w:highlight w:val="none"/>
          <w:u w:val="single"/>
          <w:lang w:val="en-US" w:eastAsia="zh-CN"/>
        </w:rPr>
        <w:t xml:space="preserve">                                  </w:t>
      </w:r>
    </w:p>
    <w:p w14:paraId="7E5812DA">
      <w:pPr>
        <w:spacing w:line="360" w:lineRule="auto"/>
        <w:ind w:firstLine="420" w:firstLineChars="200"/>
        <w:rPr>
          <w:rFonts w:hint="default" w:ascii="宋体" w:hAnsi="宋体" w:eastAsia="宋体" w:cs="宋体"/>
          <w:highlight w:val="none"/>
          <w:lang w:val="en-US" w:eastAsia="zh-CN"/>
        </w:rPr>
      </w:pPr>
      <w:r>
        <w:rPr>
          <w:rFonts w:hint="eastAsia" w:ascii="宋体" w:hAnsi="宋体" w:eastAsia="宋体" w:cs="宋体"/>
          <w:highlight w:val="none"/>
          <w:lang w:eastAsia="zh-CN"/>
        </w:rPr>
        <w:t>开户银行：</w:t>
      </w:r>
      <w:r>
        <w:rPr>
          <w:rFonts w:hint="eastAsia" w:ascii="宋体" w:hAnsi="宋体" w:eastAsia="宋体" w:cs="宋体"/>
          <w:highlight w:val="none"/>
          <w:u w:val="single"/>
          <w:lang w:val="en-US" w:eastAsia="zh-CN"/>
        </w:rPr>
        <w:t xml:space="preserve"> </w:t>
      </w:r>
      <w:r>
        <w:rPr>
          <w:rFonts w:hint="eastAsia" w:ascii="宋体" w:hAnsi="宋体" w:cs="宋体"/>
          <w:highlight w:val="none"/>
          <w:u w:val="single"/>
          <w:lang w:val="en-US" w:eastAsia="zh-CN"/>
        </w:rPr>
        <w:t xml:space="preserve">                                  </w:t>
      </w:r>
    </w:p>
    <w:p w14:paraId="2A552C0C">
      <w:pPr>
        <w:ind w:firstLine="420" w:firstLineChars="200"/>
        <w:rPr>
          <w:rFonts w:hint="eastAsia" w:ascii="宋体" w:hAnsi="宋体" w:eastAsia="宋体" w:cs="宋体"/>
          <w:highlight w:val="none"/>
          <w:u w:val="single"/>
          <w:lang w:val="en-US" w:eastAsia="zh-CN"/>
        </w:rPr>
      </w:pPr>
      <w:r>
        <w:rPr>
          <w:rFonts w:hint="eastAsia" w:ascii="宋体" w:hAnsi="宋体" w:eastAsia="宋体" w:cs="宋体"/>
          <w:highlight w:val="none"/>
          <w:lang w:eastAsia="zh-CN"/>
        </w:rPr>
        <w:t>账 号：</w:t>
      </w:r>
      <w:r>
        <w:rPr>
          <w:rFonts w:hint="eastAsia" w:ascii="宋体" w:hAnsi="宋体" w:eastAsia="宋体" w:cs="宋体"/>
          <w:highlight w:val="none"/>
          <w:u w:val="single"/>
          <w:lang w:val="en-US" w:eastAsia="zh-CN"/>
        </w:rPr>
        <w:t xml:space="preserve"> </w:t>
      </w:r>
      <w:r>
        <w:rPr>
          <w:rFonts w:hint="eastAsia" w:ascii="宋体" w:hAnsi="宋体" w:cs="宋体"/>
          <w:highlight w:val="none"/>
          <w:u w:val="single"/>
          <w:lang w:val="en-US" w:eastAsia="zh-CN"/>
        </w:rPr>
        <w:t xml:space="preserve">                                   </w:t>
      </w:r>
      <w:r>
        <w:rPr>
          <w:rFonts w:hint="eastAsia" w:ascii="宋体" w:hAnsi="宋体" w:eastAsia="宋体" w:cs="宋体"/>
          <w:highlight w:val="none"/>
          <w:u w:val="single"/>
          <w:lang w:val="en-US" w:eastAsia="zh-CN"/>
        </w:rPr>
        <w:t xml:space="preserve">  </w:t>
      </w:r>
      <w:bookmarkEnd w:id="704"/>
    </w:p>
    <w:p w14:paraId="6BA487D8">
      <w:pPr>
        <w:ind w:firstLine="420" w:firstLineChars="200"/>
        <w:rPr>
          <w:rFonts w:hint="default" w:ascii="宋体" w:hAnsi="宋体" w:eastAsia="宋体" w:cs="宋体"/>
          <w:highlight w:val="none"/>
          <w:u w:val="single"/>
          <w:lang w:val="en-US" w:eastAsia="zh-CN"/>
        </w:rPr>
      </w:pPr>
    </w:p>
    <w:p w14:paraId="3151A487">
      <w:pPr>
        <w:pStyle w:val="17"/>
        <w:spacing w:line="360" w:lineRule="auto"/>
        <w:ind w:left="3" w:firstLine="398" w:firstLineChars="200"/>
        <w:rPr>
          <w:rFonts w:hint="eastAsia" w:ascii="宋体" w:hAnsi="宋体" w:eastAsia="宋体" w:cs="宋体"/>
          <w:b/>
          <w:bCs/>
          <w:color w:val="auto"/>
          <w:spacing w:val="-6"/>
        </w:rPr>
      </w:pPr>
      <w:r>
        <w:rPr>
          <w:rFonts w:hint="eastAsia" w:ascii="宋体" w:hAnsi="宋体" w:cs="宋体"/>
          <w:b/>
          <w:bCs/>
          <w:color w:val="auto"/>
          <w:spacing w:val="-6"/>
          <w:lang w:val="en-US" w:eastAsia="zh-CN"/>
        </w:rPr>
        <w:t>十五、</w:t>
      </w:r>
      <w:r>
        <w:rPr>
          <w:rFonts w:hint="eastAsia" w:ascii="宋体" w:hAnsi="宋体" w:eastAsia="宋体" w:cs="宋体"/>
          <w:b/>
          <w:bCs/>
          <w:color w:val="auto"/>
          <w:spacing w:val="-6"/>
        </w:rPr>
        <w:t>承包人违约</w:t>
      </w:r>
    </w:p>
    <w:p w14:paraId="5DFF3A03">
      <w:pPr>
        <w:pStyle w:val="17"/>
        <w:spacing w:line="360" w:lineRule="auto"/>
        <w:ind w:left="3" w:firstLine="396" w:firstLineChars="200"/>
        <w:rPr>
          <w:rFonts w:hint="eastAsia" w:ascii="宋体" w:hAnsi="宋体" w:eastAsia="宋体" w:cs="宋体"/>
          <w:color w:val="auto"/>
          <w:spacing w:val="-6"/>
        </w:rPr>
      </w:pPr>
      <w:r>
        <w:rPr>
          <w:rFonts w:hint="eastAsia" w:ascii="宋体" w:hAnsi="宋体" w:cs="宋体"/>
          <w:color w:val="auto"/>
          <w:spacing w:val="-6"/>
          <w:lang w:val="en-US" w:eastAsia="zh-CN"/>
        </w:rPr>
        <w:t>1.</w:t>
      </w:r>
      <w:r>
        <w:rPr>
          <w:rFonts w:hint="eastAsia" w:ascii="宋体" w:hAnsi="宋体" w:eastAsia="宋体" w:cs="宋体"/>
          <w:color w:val="auto"/>
          <w:spacing w:val="-6"/>
        </w:rPr>
        <w:t>承包人违约的情形：</w:t>
      </w:r>
    </w:p>
    <w:p w14:paraId="65F8D78C">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1</w:t>
      </w:r>
      <w:r>
        <w:rPr>
          <w:rFonts w:hint="eastAsia" w:ascii="宋体" w:hAnsi="宋体" w:eastAsia="宋体" w:cs="宋体"/>
          <w:color w:val="auto"/>
          <w:spacing w:val="-6"/>
        </w:rPr>
        <w:t>）承包人未能按期开工的；</w:t>
      </w:r>
    </w:p>
    <w:p w14:paraId="624634BE">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2</w:t>
      </w:r>
      <w:r>
        <w:rPr>
          <w:rFonts w:hint="eastAsia" w:ascii="宋体" w:hAnsi="宋体" w:eastAsia="宋体" w:cs="宋体"/>
          <w:color w:val="auto"/>
          <w:spacing w:val="-6"/>
        </w:rPr>
        <w:t>）承包人未按投标文件的要求及时配备称职的主要管理人员</w:t>
      </w:r>
      <w:r>
        <w:rPr>
          <w:rFonts w:hint="eastAsia" w:ascii="宋体" w:hAnsi="宋体" w:eastAsia="宋体" w:cs="宋体"/>
          <w:color w:val="auto"/>
          <w:spacing w:val="-6"/>
          <w:lang w:eastAsia="zh-CN"/>
        </w:rPr>
        <w:t>，</w:t>
      </w:r>
      <w:r>
        <w:rPr>
          <w:rFonts w:hint="eastAsia" w:ascii="宋体" w:hAnsi="宋体" w:eastAsia="宋体" w:cs="宋体"/>
          <w:color w:val="auto"/>
          <w:spacing w:val="-6"/>
        </w:rPr>
        <w:t>或承包人未按经审定的施工组织设计配备或更换关键施工设备的；</w:t>
      </w:r>
    </w:p>
    <w:p w14:paraId="148ED487">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3</w:t>
      </w:r>
      <w:r>
        <w:rPr>
          <w:rFonts w:hint="eastAsia" w:ascii="宋体" w:hAnsi="宋体" w:eastAsia="宋体" w:cs="宋体"/>
          <w:color w:val="auto"/>
          <w:spacing w:val="-6"/>
        </w:rPr>
        <w:t>）承包人有安全问题或有违反安全管理规章制度情况的；</w:t>
      </w:r>
    </w:p>
    <w:p w14:paraId="5AACD55B">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4</w:t>
      </w:r>
      <w:r>
        <w:rPr>
          <w:rFonts w:hint="eastAsia" w:ascii="宋体" w:hAnsi="宋体" w:eastAsia="宋体" w:cs="宋体"/>
          <w:color w:val="auto"/>
          <w:spacing w:val="-6"/>
        </w:rPr>
        <w:t>）承包人在</w:t>
      </w:r>
      <w:r>
        <w:rPr>
          <w:rFonts w:hint="eastAsia" w:ascii="宋体" w:hAnsi="宋体" w:eastAsia="宋体" w:cs="宋体"/>
          <w:color w:val="auto"/>
          <w:spacing w:val="-6"/>
          <w:lang w:val="en-US" w:eastAsia="zh-CN"/>
        </w:rPr>
        <w:t>质保</w:t>
      </w:r>
      <w:r>
        <w:rPr>
          <w:rFonts w:hint="eastAsia" w:ascii="宋体" w:hAnsi="宋体" w:eastAsia="宋体" w:cs="宋体"/>
          <w:color w:val="auto"/>
          <w:spacing w:val="-6"/>
        </w:rPr>
        <w:t>期内，未能在合理期限对工程缺陷进行修复，或拒绝按发包人要求进行修复的；</w:t>
      </w:r>
    </w:p>
    <w:p w14:paraId="719E4EEE">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5</w:t>
      </w:r>
      <w:r>
        <w:rPr>
          <w:rFonts w:hint="eastAsia" w:ascii="宋体" w:hAnsi="宋体" w:eastAsia="宋体" w:cs="宋体"/>
          <w:color w:val="auto"/>
          <w:spacing w:val="-6"/>
        </w:rPr>
        <w:t>）承包人拖欠其工人或所雇人员工资或报酬，导致其工人或所雇人员向有关部门投诉、控告、检举或以聚集等方式讨要工资或报酬的；</w:t>
      </w:r>
    </w:p>
    <w:p w14:paraId="0AD66A6A">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6</w:t>
      </w:r>
      <w:r>
        <w:rPr>
          <w:rFonts w:hint="eastAsia" w:ascii="宋体" w:hAnsi="宋体" w:eastAsia="宋体" w:cs="宋体"/>
          <w:color w:val="auto"/>
          <w:spacing w:val="-6"/>
        </w:rPr>
        <w:t>）承包人不配合发包人及发包人委托的工程造价咨询服务单位结算审核或承包人其他原因导致未按期完成工程竣工结算的；</w:t>
      </w:r>
    </w:p>
    <w:p w14:paraId="185A67C9">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7</w:t>
      </w:r>
      <w:r>
        <w:rPr>
          <w:rFonts w:hint="eastAsia" w:ascii="宋体" w:hAnsi="宋体" w:eastAsia="宋体" w:cs="宋体"/>
          <w:color w:val="auto"/>
          <w:spacing w:val="-6"/>
        </w:rPr>
        <w:t>）承包人违反合同约定进行转包或违法分包的；</w:t>
      </w:r>
    </w:p>
    <w:p w14:paraId="09B092B2">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8</w:t>
      </w:r>
      <w:r>
        <w:rPr>
          <w:rFonts w:hint="eastAsia" w:ascii="宋体" w:hAnsi="宋体" w:eastAsia="宋体" w:cs="宋体"/>
          <w:color w:val="auto"/>
          <w:spacing w:val="-6"/>
        </w:rPr>
        <w:t>）承包人未按合同约定移交全部或部分工作的；</w:t>
      </w:r>
    </w:p>
    <w:p w14:paraId="3C85A7E0">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9</w:t>
      </w:r>
      <w:r>
        <w:rPr>
          <w:rFonts w:hint="eastAsia" w:ascii="宋体" w:hAnsi="宋体" w:eastAsia="宋体" w:cs="宋体"/>
          <w:color w:val="auto"/>
          <w:spacing w:val="-6"/>
        </w:rPr>
        <w:t>）承包人未按合同约定购买保险的；</w:t>
      </w:r>
    </w:p>
    <w:p w14:paraId="39CFF7BF">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（1</w:t>
      </w:r>
      <w:r>
        <w:rPr>
          <w:rFonts w:hint="eastAsia" w:ascii="宋体" w:hAnsi="宋体" w:eastAsia="宋体" w:cs="宋体"/>
          <w:color w:val="auto"/>
          <w:spacing w:val="-6"/>
          <w:lang w:val="en-US" w:eastAsia="zh-CN"/>
        </w:rPr>
        <w:t>0</w:t>
      </w:r>
      <w:r>
        <w:rPr>
          <w:rFonts w:hint="eastAsia" w:ascii="宋体" w:hAnsi="宋体" w:eastAsia="宋体" w:cs="宋体"/>
          <w:color w:val="auto"/>
          <w:spacing w:val="-6"/>
        </w:rPr>
        <w:t>）项目经理若有以下情形，属于承包人违约：</w:t>
      </w:r>
    </w:p>
    <w:p w14:paraId="743F0F45">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1）项目经理不按承诺到岗的；</w:t>
      </w:r>
    </w:p>
    <w:p w14:paraId="040B7170">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lang w:val="en-US" w:eastAsia="zh-CN"/>
        </w:rPr>
        <w:t>2</w:t>
      </w:r>
      <w:r>
        <w:rPr>
          <w:rFonts w:hint="eastAsia" w:ascii="宋体" w:hAnsi="宋体" w:eastAsia="宋体" w:cs="宋体"/>
          <w:color w:val="auto"/>
          <w:spacing w:val="-6"/>
        </w:rPr>
        <w:t>）承包人未提交项目经理劳动合同和社会保险证明的；</w:t>
      </w:r>
    </w:p>
    <w:p w14:paraId="31C48DC9">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lang w:val="en-US" w:eastAsia="zh-CN"/>
        </w:rPr>
        <w:t>3</w:t>
      </w:r>
      <w:r>
        <w:rPr>
          <w:rFonts w:hint="eastAsia" w:ascii="宋体" w:hAnsi="宋体" w:eastAsia="宋体" w:cs="宋体"/>
          <w:color w:val="auto"/>
          <w:spacing w:val="-6"/>
        </w:rPr>
        <w:t>）未经批准，擅自离开施工现场（超过约定时间）的；</w:t>
      </w:r>
    </w:p>
    <w:p w14:paraId="48A5400D">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lang w:val="en-US" w:eastAsia="zh-CN"/>
        </w:rPr>
        <w:t>4</w:t>
      </w:r>
      <w:r>
        <w:rPr>
          <w:rFonts w:hint="eastAsia" w:ascii="宋体" w:hAnsi="宋体" w:eastAsia="宋体" w:cs="宋体"/>
          <w:color w:val="auto"/>
          <w:spacing w:val="-6"/>
        </w:rPr>
        <w:t>）未经批准，擅自变更项目经理的；</w:t>
      </w:r>
    </w:p>
    <w:p w14:paraId="1F59DC68">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lang w:val="en-US" w:eastAsia="zh-CN"/>
        </w:rPr>
        <w:t>5</w:t>
      </w:r>
      <w:r>
        <w:rPr>
          <w:rFonts w:hint="eastAsia" w:ascii="宋体" w:hAnsi="宋体" w:eastAsia="宋体" w:cs="宋体"/>
          <w:color w:val="auto"/>
          <w:spacing w:val="-6"/>
        </w:rPr>
        <w:t>）按照渝建发〔2015〕35 号文的要求，施工期间，项目经理因在一个记分周期内累计记分达到 12</w:t>
      </w:r>
      <w:r>
        <w:rPr>
          <w:rFonts w:hint="eastAsia" w:ascii="宋体" w:hAnsi="宋体" w:eastAsia="宋体" w:cs="宋体"/>
          <w:color w:val="auto"/>
          <w:spacing w:val="-6"/>
          <w:lang w:val="en-US" w:eastAsia="zh-CN"/>
        </w:rPr>
        <w:t xml:space="preserve"> </w:t>
      </w:r>
      <w:r>
        <w:rPr>
          <w:rFonts w:hint="eastAsia" w:ascii="宋体" w:hAnsi="宋体" w:eastAsia="宋体" w:cs="宋体"/>
          <w:color w:val="auto"/>
          <w:spacing w:val="-6"/>
        </w:rPr>
        <w:t>分，被建设行政主管部门依法责令停止执业的；</w:t>
      </w:r>
    </w:p>
    <w:p w14:paraId="3CEA4A3E">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lang w:val="en-US" w:eastAsia="zh-CN"/>
        </w:rPr>
        <w:t>6</w:t>
      </w:r>
      <w:r>
        <w:rPr>
          <w:rFonts w:hint="eastAsia" w:ascii="宋体" w:hAnsi="宋体" w:eastAsia="宋体" w:cs="宋体"/>
          <w:color w:val="auto"/>
          <w:spacing w:val="-6"/>
        </w:rPr>
        <w:t>）发包人有正当理由认为项目经理不称职/不履职，且承包人在约定时间内不予更换的；</w:t>
      </w:r>
    </w:p>
    <w:p w14:paraId="4381A2C0">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lang w:val="en-US" w:eastAsia="zh-CN"/>
        </w:rPr>
        <w:t>7</w:t>
      </w:r>
      <w:r>
        <w:rPr>
          <w:rFonts w:hint="eastAsia" w:ascii="宋体" w:hAnsi="宋体" w:eastAsia="宋体" w:cs="宋体"/>
          <w:color w:val="auto"/>
          <w:spacing w:val="-6"/>
        </w:rPr>
        <w:t>）其他双方约定的情形：</w:t>
      </w:r>
      <w:r>
        <w:rPr>
          <w:rFonts w:hint="eastAsia" w:ascii="宋体" w:hAnsi="宋体" w:eastAsia="宋体" w:cs="宋体"/>
          <w:color w:val="auto"/>
          <w:spacing w:val="-6"/>
          <w:u w:val="single"/>
          <w:lang w:val="en-US" w:eastAsia="zh-CN"/>
        </w:rPr>
        <w:t xml:space="preserve">    </w:t>
      </w:r>
      <w:r>
        <w:rPr>
          <w:rFonts w:hint="eastAsia" w:ascii="宋体" w:hAnsi="宋体" w:cs="宋体"/>
          <w:color w:val="auto"/>
          <w:spacing w:val="-6"/>
          <w:u w:val="single"/>
          <w:lang w:val="en-US" w:eastAsia="zh-CN"/>
        </w:rPr>
        <w:t xml:space="preserve"> </w:t>
      </w:r>
      <w:r>
        <w:rPr>
          <w:rFonts w:hint="eastAsia" w:ascii="宋体" w:hAnsi="宋体" w:eastAsia="宋体" w:cs="宋体"/>
          <w:color w:val="auto"/>
          <w:spacing w:val="-6"/>
        </w:rPr>
        <w:t>。</w:t>
      </w:r>
    </w:p>
    <w:p w14:paraId="038EA483">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（1</w:t>
      </w:r>
      <w:r>
        <w:rPr>
          <w:rFonts w:hint="eastAsia" w:ascii="宋体" w:hAnsi="宋体" w:eastAsia="宋体" w:cs="宋体"/>
          <w:color w:val="auto"/>
          <w:spacing w:val="-6"/>
          <w:lang w:val="en-US" w:eastAsia="zh-CN"/>
        </w:rPr>
        <w:t>1</w:t>
      </w:r>
      <w:r>
        <w:rPr>
          <w:rFonts w:hint="eastAsia" w:ascii="宋体" w:hAnsi="宋体" w:eastAsia="宋体" w:cs="宋体"/>
          <w:color w:val="auto"/>
          <w:spacing w:val="-6"/>
        </w:rPr>
        <w:t>）技术负责人若有以下情形，属于承包人违约：</w:t>
      </w:r>
    </w:p>
    <w:p w14:paraId="7A9D82B4">
      <w:pPr>
        <w:pStyle w:val="17"/>
        <w:spacing w:line="360" w:lineRule="auto"/>
        <w:ind w:left="3" w:firstLine="396" w:firstLineChars="200"/>
        <w:rPr>
          <w:rFonts w:hint="eastAsia" w:ascii="宋体" w:hAnsi="宋体" w:eastAsia="宋体" w:cs="宋体"/>
          <w:color w:val="auto"/>
          <w:spacing w:val="-6"/>
        </w:rPr>
      </w:pPr>
      <w:r>
        <w:rPr>
          <w:rFonts w:hint="eastAsia" w:ascii="宋体" w:hAnsi="宋体" w:cs="宋体"/>
          <w:color w:val="auto"/>
          <w:spacing w:val="-6"/>
          <w:lang w:val="en-US" w:eastAsia="zh-CN"/>
        </w:rPr>
        <w:t>1</w:t>
      </w:r>
      <w:r>
        <w:rPr>
          <w:rFonts w:hint="eastAsia" w:ascii="宋体" w:hAnsi="宋体" w:eastAsia="宋体" w:cs="宋体"/>
          <w:color w:val="auto"/>
          <w:spacing w:val="-6"/>
        </w:rPr>
        <w:t>）承包人未提交技术负责人劳动合同和社会保险证明的；</w:t>
      </w:r>
    </w:p>
    <w:p w14:paraId="6CBC97EB">
      <w:pPr>
        <w:pStyle w:val="17"/>
        <w:spacing w:line="360" w:lineRule="auto"/>
        <w:ind w:left="3" w:firstLine="396" w:firstLineChars="200"/>
        <w:rPr>
          <w:rFonts w:hint="eastAsia" w:ascii="宋体" w:hAnsi="宋体" w:eastAsia="宋体" w:cs="宋体"/>
          <w:color w:val="auto"/>
          <w:spacing w:val="-6"/>
        </w:rPr>
      </w:pPr>
      <w:r>
        <w:rPr>
          <w:rFonts w:hint="eastAsia" w:ascii="宋体" w:hAnsi="宋体" w:cs="宋体"/>
          <w:color w:val="auto"/>
          <w:spacing w:val="-6"/>
          <w:lang w:val="en-US" w:eastAsia="zh-CN"/>
        </w:rPr>
        <w:t>2</w:t>
      </w:r>
      <w:r>
        <w:rPr>
          <w:rFonts w:hint="eastAsia" w:ascii="宋体" w:hAnsi="宋体" w:eastAsia="宋体" w:cs="宋体"/>
          <w:color w:val="auto"/>
          <w:spacing w:val="-6"/>
        </w:rPr>
        <w:t>）未经批准，擅自离开施工现场（超过约定时间）的；</w:t>
      </w:r>
    </w:p>
    <w:p w14:paraId="1AD0F779">
      <w:pPr>
        <w:pStyle w:val="17"/>
        <w:spacing w:line="360" w:lineRule="auto"/>
        <w:ind w:left="3" w:firstLine="396" w:firstLineChars="200"/>
        <w:rPr>
          <w:rFonts w:hint="eastAsia" w:ascii="宋体" w:hAnsi="宋体" w:eastAsia="宋体" w:cs="宋体"/>
          <w:color w:val="auto"/>
          <w:spacing w:val="-6"/>
        </w:rPr>
      </w:pPr>
      <w:r>
        <w:rPr>
          <w:rFonts w:hint="eastAsia" w:ascii="宋体" w:hAnsi="宋体" w:cs="宋体"/>
          <w:color w:val="auto"/>
          <w:spacing w:val="-6"/>
          <w:lang w:val="en-US" w:eastAsia="zh-CN"/>
        </w:rPr>
        <w:t>3</w:t>
      </w:r>
      <w:r>
        <w:rPr>
          <w:rFonts w:hint="eastAsia" w:ascii="宋体" w:hAnsi="宋体" w:eastAsia="宋体" w:cs="宋体"/>
          <w:color w:val="auto"/>
          <w:spacing w:val="-6"/>
        </w:rPr>
        <w:t>）未经批准，擅自变更技术负责人的；</w:t>
      </w:r>
    </w:p>
    <w:p w14:paraId="496AC7B0">
      <w:pPr>
        <w:pStyle w:val="17"/>
        <w:spacing w:line="360" w:lineRule="auto"/>
        <w:ind w:left="3" w:firstLine="396" w:firstLineChars="200"/>
        <w:rPr>
          <w:rFonts w:hint="eastAsia" w:ascii="宋体" w:hAnsi="宋体" w:eastAsia="宋体" w:cs="宋体"/>
          <w:color w:val="auto"/>
          <w:spacing w:val="-6"/>
        </w:rPr>
      </w:pPr>
      <w:r>
        <w:rPr>
          <w:rFonts w:hint="eastAsia" w:ascii="宋体" w:hAnsi="宋体" w:cs="宋体"/>
          <w:color w:val="auto"/>
          <w:spacing w:val="-6"/>
          <w:lang w:val="en-US" w:eastAsia="zh-CN"/>
        </w:rPr>
        <w:t>4</w:t>
      </w:r>
      <w:r>
        <w:rPr>
          <w:rFonts w:hint="eastAsia" w:ascii="宋体" w:hAnsi="宋体" w:eastAsia="宋体" w:cs="宋体"/>
          <w:color w:val="auto"/>
          <w:spacing w:val="-6"/>
        </w:rPr>
        <w:t>）发包人有正当理由认为技术负责人不称职/不履职，且承包人在约定时间内不予更换的；</w:t>
      </w:r>
    </w:p>
    <w:p w14:paraId="2DBE49F1">
      <w:pPr>
        <w:pStyle w:val="17"/>
        <w:spacing w:line="360" w:lineRule="auto"/>
        <w:ind w:left="3" w:firstLine="396" w:firstLineChars="200"/>
        <w:rPr>
          <w:rFonts w:hint="eastAsia" w:ascii="宋体" w:hAnsi="宋体" w:eastAsia="宋体" w:cs="宋体"/>
          <w:color w:val="auto"/>
          <w:spacing w:val="-6"/>
        </w:rPr>
      </w:pPr>
      <w:r>
        <w:rPr>
          <w:rFonts w:hint="eastAsia" w:ascii="宋体" w:hAnsi="宋体" w:cs="宋体"/>
          <w:color w:val="auto"/>
          <w:spacing w:val="-6"/>
          <w:lang w:val="en-US" w:eastAsia="zh-CN"/>
        </w:rPr>
        <w:t>5</w:t>
      </w:r>
      <w:r>
        <w:rPr>
          <w:rFonts w:hint="eastAsia" w:ascii="宋体" w:hAnsi="宋体" w:eastAsia="宋体" w:cs="宋体"/>
          <w:color w:val="auto"/>
          <w:spacing w:val="-6"/>
        </w:rPr>
        <w:t>）其他双方约定的情形：</w:t>
      </w:r>
      <w:r>
        <w:rPr>
          <w:rFonts w:hint="eastAsia" w:ascii="宋体" w:hAnsi="宋体" w:cs="宋体"/>
          <w:color w:val="auto"/>
          <w:spacing w:val="-6"/>
          <w:u w:val="single"/>
          <w:lang w:val="en-US" w:eastAsia="zh-CN"/>
        </w:rPr>
        <w:t xml:space="preserve">     </w:t>
      </w:r>
      <w:r>
        <w:rPr>
          <w:rFonts w:hint="eastAsia" w:ascii="宋体" w:hAnsi="宋体" w:eastAsia="宋体" w:cs="宋体"/>
          <w:color w:val="auto"/>
          <w:spacing w:val="-6"/>
        </w:rPr>
        <w:t>。</w:t>
      </w:r>
    </w:p>
    <w:p w14:paraId="4C8F6FD7">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（1</w:t>
      </w:r>
      <w:r>
        <w:rPr>
          <w:rFonts w:hint="eastAsia" w:ascii="宋体" w:hAnsi="宋体" w:eastAsia="宋体" w:cs="宋体"/>
          <w:color w:val="auto"/>
          <w:spacing w:val="-6"/>
          <w:lang w:val="en-US" w:eastAsia="zh-CN"/>
        </w:rPr>
        <w:t>2</w:t>
      </w:r>
      <w:r>
        <w:rPr>
          <w:rFonts w:hint="eastAsia" w:ascii="宋体" w:hAnsi="宋体" w:eastAsia="宋体" w:cs="宋体"/>
          <w:color w:val="auto"/>
          <w:spacing w:val="-6"/>
        </w:rPr>
        <w:t>）主要施工管理人员若有以下情形，属于承包人违约：</w:t>
      </w:r>
    </w:p>
    <w:p w14:paraId="231E3716">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1）承包人未提交主要管理人员劳动合同和社会保险证明的；</w:t>
      </w:r>
    </w:p>
    <w:p w14:paraId="0BE404A6">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2）未经批准，擅自离开施工现场（超过约定时间）的；</w:t>
      </w:r>
    </w:p>
    <w:p w14:paraId="0C29A9CF">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3）未经批准，擅自变更主要施工管理人员的；</w:t>
      </w:r>
    </w:p>
    <w:p w14:paraId="291DDC48">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4）发包人有正当理由认为主要施工管理人员不称职/不履职，且承包人在约定时间内不予更换的；</w:t>
      </w:r>
    </w:p>
    <w:p w14:paraId="7A84C8F4">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5）其他双方约定的情形：</w:t>
      </w:r>
      <w:r>
        <w:rPr>
          <w:rFonts w:hint="eastAsia" w:ascii="宋体" w:hAnsi="宋体" w:eastAsia="宋体" w:cs="宋体"/>
          <w:color w:val="auto"/>
          <w:spacing w:val="-6"/>
          <w:u w:val="single"/>
          <w:lang w:val="en-US" w:eastAsia="zh-CN"/>
        </w:rPr>
        <w:t xml:space="preserve"> </w:t>
      </w:r>
      <w:r>
        <w:rPr>
          <w:rFonts w:hint="eastAsia" w:ascii="宋体" w:hAnsi="宋体" w:cs="宋体"/>
          <w:color w:val="auto"/>
          <w:spacing w:val="-6"/>
          <w:u w:val="single"/>
          <w:lang w:val="en-US" w:eastAsia="zh-CN"/>
        </w:rPr>
        <w:t>/</w:t>
      </w:r>
      <w:r>
        <w:rPr>
          <w:rFonts w:hint="eastAsia" w:ascii="宋体" w:hAnsi="宋体" w:eastAsia="宋体" w:cs="宋体"/>
          <w:color w:val="auto"/>
          <w:spacing w:val="-6"/>
          <w:u w:val="single"/>
          <w:lang w:val="en-US" w:eastAsia="zh-CN"/>
        </w:rPr>
        <w:t xml:space="preserve">  </w:t>
      </w:r>
      <w:r>
        <w:rPr>
          <w:rFonts w:hint="eastAsia" w:ascii="宋体" w:hAnsi="宋体" w:eastAsia="宋体" w:cs="宋体"/>
          <w:color w:val="auto"/>
          <w:spacing w:val="-6"/>
        </w:rPr>
        <w:t>。</w:t>
      </w:r>
    </w:p>
    <w:p w14:paraId="2A255FDB">
      <w:pPr>
        <w:pStyle w:val="17"/>
        <w:spacing w:line="360" w:lineRule="auto"/>
        <w:ind w:left="3" w:firstLine="396" w:firstLineChars="200"/>
        <w:rPr>
          <w:rFonts w:hint="eastAsia" w:ascii="宋体" w:hAnsi="宋体" w:eastAsia="宋体" w:cs="宋体"/>
          <w:color w:val="auto"/>
          <w:spacing w:val="-6"/>
        </w:rPr>
      </w:pPr>
      <w:r>
        <w:rPr>
          <w:rFonts w:hint="eastAsia" w:ascii="宋体" w:hAnsi="宋体" w:cs="宋体"/>
          <w:color w:val="auto"/>
          <w:spacing w:val="-6"/>
          <w:lang w:val="en-US" w:eastAsia="zh-CN"/>
        </w:rPr>
        <w:t>2.</w:t>
      </w:r>
      <w:r>
        <w:rPr>
          <w:rFonts w:hint="eastAsia" w:ascii="宋体" w:hAnsi="宋体" w:eastAsia="宋体" w:cs="宋体"/>
          <w:color w:val="auto"/>
          <w:spacing w:val="-6"/>
        </w:rPr>
        <w:t xml:space="preserve"> 承包人违约的责任</w:t>
      </w:r>
    </w:p>
    <w:p w14:paraId="06D80F2B">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承包人违约责任的承担方式和计算方法：</w:t>
      </w:r>
    </w:p>
    <w:p w14:paraId="1132D6E5">
      <w:pPr>
        <w:pStyle w:val="17"/>
        <w:numPr>
          <w:ilvl w:val="0"/>
          <w:numId w:val="0"/>
        </w:numPr>
        <w:spacing w:line="360" w:lineRule="auto"/>
        <w:ind w:firstLine="396" w:firstLineChars="200"/>
        <w:rPr>
          <w:rFonts w:hint="eastAsia" w:ascii="宋体" w:hAnsi="宋体" w:eastAsia="宋体" w:cs="宋体"/>
          <w:color w:val="auto"/>
          <w:spacing w:val="-6"/>
          <w:lang w:val="en-US" w:eastAsia="zh-CN"/>
        </w:rPr>
      </w:pPr>
      <w:r>
        <w:rPr>
          <w:rFonts w:hint="eastAsia" w:ascii="宋体" w:hAnsi="宋体" w:eastAsia="宋体" w:cs="宋体"/>
          <w:color w:val="auto"/>
          <w:spacing w:val="-6"/>
          <w:lang w:eastAsia="zh-CN"/>
        </w:rPr>
        <w:t>（</w:t>
      </w:r>
      <w:r>
        <w:rPr>
          <w:rFonts w:hint="eastAsia" w:ascii="宋体" w:hAnsi="宋体" w:eastAsia="宋体" w:cs="宋体"/>
          <w:color w:val="auto"/>
          <w:spacing w:val="-6"/>
          <w:lang w:val="en-US" w:eastAsia="zh-CN"/>
        </w:rPr>
        <w:t>1</w:t>
      </w:r>
      <w:r>
        <w:rPr>
          <w:rFonts w:hint="eastAsia" w:ascii="宋体" w:hAnsi="宋体" w:eastAsia="宋体" w:cs="宋体"/>
          <w:color w:val="auto"/>
          <w:spacing w:val="-6"/>
          <w:lang w:eastAsia="zh-CN"/>
        </w:rPr>
        <w:t>）</w:t>
      </w:r>
      <w:r>
        <w:rPr>
          <w:rFonts w:hint="eastAsia" w:ascii="宋体" w:hAnsi="宋体" w:eastAsia="宋体" w:cs="宋体"/>
          <w:color w:val="auto"/>
          <w:spacing w:val="-6"/>
        </w:rPr>
        <w:t>承包人违反合同约定进行转包或违法分包的违约责任： 按照违反合同约定进行转包和（或）违法分包相应转包和（或）分包合同的合同金额的</w:t>
      </w:r>
      <w:r>
        <w:rPr>
          <w:rFonts w:hint="eastAsia" w:ascii="宋体" w:hAnsi="宋体" w:eastAsia="宋体" w:cs="宋体"/>
          <w:color w:val="auto"/>
          <w:spacing w:val="-6"/>
          <w:u w:val="single"/>
        </w:rPr>
        <w:t xml:space="preserve"> 10%</w:t>
      </w:r>
      <w:r>
        <w:rPr>
          <w:rFonts w:hint="eastAsia" w:ascii="宋体" w:hAnsi="宋体" w:eastAsia="宋体" w:cs="宋体"/>
          <w:color w:val="auto"/>
          <w:spacing w:val="-6"/>
          <w:u w:val="single"/>
          <w:lang w:val="en-US" w:eastAsia="zh-CN"/>
        </w:rPr>
        <w:t xml:space="preserve"> </w:t>
      </w:r>
      <w:r>
        <w:rPr>
          <w:rFonts w:hint="eastAsia" w:ascii="宋体" w:hAnsi="宋体" w:eastAsia="宋体" w:cs="宋体"/>
          <w:color w:val="auto"/>
          <w:spacing w:val="-6"/>
        </w:rPr>
        <w:t>支付违约金，违法转/分包商应在 7 天内撤离出场。</w:t>
      </w:r>
      <w:r>
        <w:rPr>
          <w:rFonts w:hint="eastAsia" w:ascii="宋体" w:hAnsi="宋体" w:eastAsia="宋体" w:cs="宋体"/>
          <w:color w:val="auto"/>
          <w:spacing w:val="-6"/>
          <w:lang w:val="en-US" w:eastAsia="zh-CN"/>
        </w:rPr>
        <w:t xml:space="preserve">   </w:t>
      </w:r>
    </w:p>
    <w:p w14:paraId="3573FE7D">
      <w:pPr>
        <w:pStyle w:val="17"/>
        <w:numPr>
          <w:ilvl w:val="0"/>
          <w:numId w:val="0"/>
        </w:numPr>
        <w:spacing w:line="360" w:lineRule="auto"/>
        <w:ind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2</w:t>
      </w:r>
      <w:r>
        <w:rPr>
          <w:rFonts w:hint="eastAsia" w:ascii="宋体" w:hAnsi="宋体" w:eastAsia="宋体" w:cs="宋体"/>
          <w:color w:val="auto"/>
          <w:spacing w:val="-6"/>
        </w:rPr>
        <w:t>）承包人违反合同约定采购和使用不合格的材料和工程设备的违约责任：按照违反合同约定采购和使用不合格的材料和（或）工程设备相应合同金额的</w:t>
      </w:r>
      <w:r>
        <w:rPr>
          <w:rFonts w:hint="eastAsia" w:ascii="宋体" w:hAnsi="宋体" w:eastAsia="宋体" w:cs="宋体"/>
          <w:color w:val="auto"/>
          <w:spacing w:val="-6"/>
          <w:u w:val="single"/>
        </w:rPr>
        <w:t xml:space="preserve"> 10%</w:t>
      </w:r>
      <w:r>
        <w:rPr>
          <w:rFonts w:hint="eastAsia" w:ascii="宋体" w:hAnsi="宋体" w:eastAsia="宋体" w:cs="宋体"/>
          <w:color w:val="auto"/>
          <w:spacing w:val="-6"/>
          <w:u w:val="single"/>
          <w:lang w:val="en-US" w:eastAsia="zh-CN"/>
        </w:rPr>
        <w:t xml:space="preserve"> </w:t>
      </w:r>
      <w:r>
        <w:rPr>
          <w:rFonts w:hint="eastAsia" w:ascii="宋体" w:hAnsi="宋体" w:eastAsia="宋体" w:cs="宋体"/>
          <w:color w:val="auto"/>
          <w:spacing w:val="-6"/>
        </w:rPr>
        <w:t>支付违约金。</w:t>
      </w:r>
    </w:p>
    <w:p w14:paraId="44514C3A">
      <w:pPr>
        <w:pStyle w:val="17"/>
        <w:spacing w:line="360" w:lineRule="auto"/>
        <w:ind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3</w:t>
      </w:r>
      <w:r>
        <w:rPr>
          <w:rFonts w:hint="eastAsia" w:ascii="宋体" w:hAnsi="宋体" w:eastAsia="宋体" w:cs="宋体"/>
          <w:color w:val="auto"/>
          <w:spacing w:val="-6"/>
        </w:rPr>
        <w:t>）因承包人原因导致工程质量不符合规定或合同要求的违约责任：承包人退还已支付工程质量不符合合同要求工程的工程款，并按照工程质量不符合合同要求工程相应合同金额的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eastAsia="宋体" w:cs="宋体"/>
          <w:color w:val="auto"/>
          <w:spacing w:val="-6"/>
          <w:u w:val="single"/>
        </w:rPr>
        <w:t xml:space="preserve"> 10%</w:t>
      </w:r>
      <w:r>
        <w:rPr>
          <w:rFonts w:hint="eastAsia" w:ascii="宋体" w:hAnsi="宋体" w:eastAsia="宋体" w:cs="宋体"/>
          <w:color w:val="auto"/>
          <w:spacing w:val="-6"/>
          <w:u w:val="single"/>
          <w:lang w:val="en-US" w:eastAsia="zh-CN"/>
        </w:rPr>
        <w:t xml:space="preserve"> </w:t>
      </w:r>
      <w:r>
        <w:rPr>
          <w:rFonts w:hint="eastAsia" w:ascii="宋体" w:hAnsi="宋体" w:eastAsia="宋体" w:cs="宋体"/>
          <w:color w:val="auto"/>
          <w:spacing w:val="-6"/>
        </w:rPr>
        <w:t>支付违约金。</w:t>
      </w:r>
    </w:p>
    <w:p w14:paraId="64D8A241">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4</w:t>
      </w:r>
      <w:r>
        <w:rPr>
          <w:rFonts w:hint="eastAsia" w:ascii="宋体" w:hAnsi="宋体" w:eastAsia="宋体" w:cs="宋体"/>
          <w:color w:val="auto"/>
          <w:spacing w:val="-6"/>
        </w:rPr>
        <w:t>）承包人违反材料与设备的约定</w:t>
      </w:r>
      <w:r>
        <w:rPr>
          <w:rFonts w:hint="eastAsia" w:ascii="宋体" w:hAnsi="宋体" w:eastAsia="宋体" w:cs="宋体"/>
          <w:color w:val="auto"/>
          <w:spacing w:val="-6"/>
          <w:lang w:eastAsia="zh-CN"/>
        </w:rPr>
        <w:t>，</w:t>
      </w:r>
      <w:r>
        <w:rPr>
          <w:rFonts w:hint="eastAsia" w:ascii="宋体" w:hAnsi="宋体" w:eastAsia="宋体" w:cs="宋体"/>
          <w:color w:val="auto"/>
          <w:spacing w:val="-6"/>
        </w:rPr>
        <w:t>未经批准，擅自将已按照合同约定进入施工现场的材料或设备撤离施工现场的违约责任：按照承包人擅自撤离施工现场材料和（或）设备相应合同金额的</w:t>
      </w:r>
      <w:r>
        <w:rPr>
          <w:rFonts w:hint="eastAsia" w:ascii="宋体" w:hAnsi="宋体" w:eastAsia="宋体" w:cs="宋体"/>
          <w:color w:val="auto"/>
          <w:spacing w:val="-6"/>
          <w:u w:val="single"/>
        </w:rPr>
        <w:t xml:space="preserve"> </w:t>
      </w:r>
      <w:r>
        <w:rPr>
          <w:rFonts w:hint="eastAsia" w:ascii="宋体" w:hAnsi="宋体" w:eastAsia="宋体" w:cs="宋体"/>
          <w:color w:val="auto"/>
          <w:spacing w:val="-6"/>
          <w:u w:val="single"/>
          <w:lang w:val="en-US" w:eastAsia="zh-CN"/>
        </w:rPr>
        <w:t>5</w:t>
      </w:r>
      <w:r>
        <w:rPr>
          <w:rFonts w:hint="eastAsia" w:ascii="宋体" w:hAnsi="宋体" w:eastAsia="宋体" w:cs="宋体"/>
          <w:color w:val="auto"/>
          <w:spacing w:val="-6"/>
          <w:u w:val="single"/>
        </w:rPr>
        <w:t>%</w:t>
      </w:r>
      <w:r>
        <w:rPr>
          <w:rFonts w:hint="eastAsia" w:ascii="宋体" w:hAnsi="宋体" w:eastAsia="宋体" w:cs="宋体"/>
          <w:color w:val="auto"/>
          <w:spacing w:val="-6"/>
          <w:u w:val="single"/>
          <w:lang w:val="en-US" w:eastAsia="zh-CN"/>
        </w:rPr>
        <w:t xml:space="preserve"> </w:t>
      </w:r>
      <w:r>
        <w:rPr>
          <w:rFonts w:hint="eastAsia" w:ascii="宋体" w:hAnsi="宋体" w:eastAsia="宋体" w:cs="宋体"/>
          <w:color w:val="auto"/>
          <w:spacing w:val="-6"/>
        </w:rPr>
        <w:t>支付违约金。</w:t>
      </w:r>
    </w:p>
    <w:p w14:paraId="2FE76A4F">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5</w:t>
      </w:r>
      <w:r>
        <w:rPr>
          <w:rFonts w:hint="eastAsia" w:ascii="宋体" w:hAnsi="宋体" w:eastAsia="宋体" w:cs="宋体"/>
          <w:color w:val="auto"/>
          <w:spacing w:val="-6"/>
        </w:rPr>
        <w:t>）因承包人原因造成工期延误的违约承担方式和计算方法：由承包人承担由此增加的费用</w:t>
      </w:r>
      <w:r>
        <w:rPr>
          <w:rFonts w:hint="eastAsia" w:ascii="宋体" w:hAnsi="宋体" w:eastAsia="宋体" w:cs="宋体"/>
          <w:color w:val="auto"/>
          <w:spacing w:val="-6"/>
          <w:lang w:eastAsia="zh-CN"/>
        </w:rPr>
        <w:t>，</w:t>
      </w:r>
      <w:r>
        <w:rPr>
          <w:rFonts w:hint="eastAsia" w:ascii="宋体" w:hAnsi="宋体" w:eastAsia="宋体" w:cs="宋体"/>
          <w:color w:val="auto"/>
          <w:spacing w:val="-6"/>
        </w:rPr>
        <w:t>由此导致工期延误的</w:t>
      </w:r>
      <w:r>
        <w:rPr>
          <w:rFonts w:hint="eastAsia" w:ascii="宋体" w:hAnsi="宋体" w:eastAsia="宋体" w:cs="宋体"/>
          <w:color w:val="auto"/>
          <w:spacing w:val="-6"/>
          <w:lang w:eastAsia="zh-CN"/>
        </w:rPr>
        <w:t>，</w:t>
      </w:r>
      <w:r>
        <w:rPr>
          <w:rFonts w:hint="eastAsia" w:ascii="宋体" w:hAnsi="宋体" w:eastAsia="宋体" w:cs="宋体"/>
          <w:color w:val="auto"/>
          <w:spacing w:val="-6"/>
        </w:rPr>
        <w:t>工期不予顺延； 逾期竣工违约金的计算方法： 每延误1天，承包人按</w:t>
      </w:r>
      <w:r>
        <w:rPr>
          <w:rFonts w:hint="eastAsia" w:ascii="宋体" w:hAnsi="宋体" w:eastAsia="宋体" w:cs="宋体"/>
          <w:color w:val="auto"/>
          <w:spacing w:val="-6"/>
          <w:u w:val="single"/>
          <w:lang w:val="en-US" w:eastAsia="zh-CN"/>
        </w:rPr>
        <w:t>5000.00</w:t>
      </w:r>
      <w:r>
        <w:rPr>
          <w:rFonts w:hint="eastAsia" w:ascii="宋体" w:hAnsi="宋体" w:eastAsia="宋体" w:cs="宋体"/>
          <w:color w:val="auto"/>
          <w:spacing w:val="-6"/>
        </w:rPr>
        <w:t>元/天计算逾期竣工违约金，累计违约金上限：</w:t>
      </w:r>
      <w:r>
        <w:rPr>
          <w:rFonts w:hint="eastAsia" w:ascii="宋体" w:hAnsi="宋体" w:eastAsia="宋体" w:cs="宋体"/>
          <w:color w:val="auto"/>
          <w:spacing w:val="-6"/>
          <w:u w:val="single"/>
        </w:rPr>
        <w:t>不超过签约合同价的3%</w:t>
      </w:r>
      <w:r>
        <w:rPr>
          <w:rFonts w:hint="eastAsia" w:ascii="宋体" w:hAnsi="宋体" w:eastAsia="宋体" w:cs="宋体"/>
          <w:color w:val="auto"/>
          <w:spacing w:val="-6"/>
        </w:rPr>
        <w:t>；承包人支付逾期竣工违约金后，不免除承包人继续完成工程及修补缺陷的义务。</w:t>
      </w:r>
    </w:p>
    <w:p w14:paraId="03E10DB7">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6</w:t>
      </w:r>
      <w:r>
        <w:rPr>
          <w:rFonts w:hint="eastAsia" w:ascii="宋体" w:hAnsi="宋体" w:eastAsia="宋体" w:cs="宋体"/>
          <w:color w:val="auto"/>
          <w:spacing w:val="-6"/>
        </w:rPr>
        <w:t>）承包人在</w:t>
      </w:r>
      <w:r>
        <w:rPr>
          <w:rFonts w:hint="eastAsia" w:ascii="宋体" w:hAnsi="宋体" w:eastAsia="宋体" w:cs="宋体"/>
          <w:color w:val="auto"/>
          <w:spacing w:val="-6"/>
          <w:lang w:val="en-US" w:eastAsia="zh-CN"/>
        </w:rPr>
        <w:t>质保</w:t>
      </w:r>
      <w:r>
        <w:rPr>
          <w:rFonts w:hint="eastAsia" w:ascii="宋体" w:hAnsi="宋体" w:eastAsia="宋体" w:cs="宋体"/>
          <w:color w:val="auto"/>
          <w:spacing w:val="-6"/>
        </w:rPr>
        <w:t>期内，未能在合理期限对工程缺陷进行修复，或拒绝按发包人要求进行修复的违约责任：按照发包人修复缺陷费用的</w:t>
      </w:r>
      <w:r>
        <w:rPr>
          <w:rFonts w:hint="eastAsia" w:ascii="宋体" w:hAnsi="宋体" w:eastAsia="宋体" w:cs="宋体"/>
          <w:color w:val="auto"/>
          <w:spacing w:val="-6"/>
          <w:u w:val="single"/>
        </w:rPr>
        <w:t xml:space="preserve"> </w:t>
      </w:r>
      <w:r>
        <w:rPr>
          <w:rFonts w:hint="eastAsia" w:ascii="宋体" w:hAnsi="宋体" w:cs="宋体"/>
          <w:color w:val="auto"/>
          <w:spacing w:val="-6"/>
          <w:u w:val="single"/>
          <w:lang w:val="en-US" w:eastAsia="zh-CN"/>
        </w:rPr>
        <w:t>3</w:t>
      </w:r>
      <w:r>
        <w:rPr>
          <w:rFonts w:hint="eastAsia" w:ascii="宋体" w:hAnsi="宋体" w:eastAsia="宋体" w:cs="宋体"/>
          <w:color w:val="auto"/>
          <w:spacing w:val="-6"/>
          <w:u w:val="single"/>
        </w:rPr>
        <w:t>%</w:t>
      </w:r>
      <w:r>
        <w:rPr>
          <w:rFonts w:hint="eastAsia" w:ascii="宋体" w:hAnsi="宋体" w:eastAsia="宋体" w:cs="宋体"/>
          <w:color w:val="auto"/>
          <w:spacing w:val="-6"/>
          <w:u w:val="single"/>
          <w:lang w:val="en-US" w:eastAsia="zh-CN"/>
        </w:rPr>
        <w:t xml:space="preserve"> </w:t>
      </w:r>
      <w:r>
        <w:rPr>
          <w:rFonts w:hint="eastAsia" w:ascii="宋体" w:hAnsi="宋体" w:eastAsia="宋体" w:cs="宋体"/>
          <w:color w:val="auto"/>
          <w:spacing w:val="-6"/>
        </w:rPr>
        <w:t>支付违约金。</w:t>
      </w:r>
    </w:p>
    <w:p w14:paraId="67B82334">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7</w:t>
      </w:r>
      <w:r>
        <w:rPr>
          <w:rFonts w:hint="eastAsia" w:ascii="宋体" w:hAnsi="宋体" w:eastAsia="宋体" w:cs="宋体"/>
          <w:color w:val="auto"/>
          <w:spacing w:val="-6"/>
        </w:rPr>
        <w:t>）承包人明确表示或者以其行为表明不履行合同主要义务的违约责任： 按签约合同价的</w:t>
      </w:r>
      <w:r>
        <w:rPr>
          <w:rFonts w:hint="eastAsia" w:ascii="宋体" w:hAnsi="宋体" w:eastAsia="宋体" w:cs="宋体"/>
          <w:color w:val="auto"/>
          <w:spacing w:val="-6"/>
          <w:u w:val="single"/>
        </w:rPr>
        <w:t xml:space="preserve"> 10%</w:t>
      </w:r>
      <w:r>
        <w:rPr>
          <w:rFonts w:hint="eastAsia" w:ascii="宋体" w:hAnsi="宋体" w:eastAsia="宋体" w:cs="宋体"/>
          <w:color w:val="auto"/>
          <w:spacing w:val="-6"/>
          <w:u w:val="single"/>
          <w:lang w:val="en-US" w:eastAsia="zh-CN"/>
        </w:rPr>
        <w:t xml:space="preserve"> </w:t>
      </w:r>
      <w:r>
        <w:rPr>
          <w:rFonts w:hint="eastAsia" w:ascii="宋体" w:hAnsi="宋体" w:eastAsia="宋体" w:cs="宋体"/>
          <w:color w:val="auto"/>
          <w:spacing w:val="-6"/>
        </w:rPr>
        <w:t>支付违约金。</w:t>
      </w:r>
    </w:p>
    <w:p w14:paraId="58D60DC3">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8</w:t>
      </w:r>
      <w:r>
        <w:rPr>
          <w:rFonts w:hint="eastAsia" w:ascii="宋体" w:hAnsi="宋体" w:eastAsia="宋体" w:cs="宋体"/>
          <w:color w:val="auto"/>
          <w:spacing w:val="-6"/>
        </w:rPr>
        <w:t>）承包人未能按照合同约定履行其他义务的违约责任：按</w:t>
      </w:r>
      <w:r>
        <w:rPr>
          <w:rFonts w:hint="eastAsia" w:ascii="宋体" w:hAnsi="宋体" w:eastAsia="宋体" w:cs="宋体"/>
          <w:color w:val="auto"/>
          <w:spacing w:val="-6"/>
          <w:u w:val="single"/>
        </w:rPr>
        <w:t xml:space="preserve"> 5000 </w:t>
      </w:r>
      <w:r>
        <w:rPr>
          <w:rFonts w:hint="eastAsia" w:ascii="宋体" w:hAnsi="宋体" w:eastAsia="宋体" w:cs="宋体"/>
          <w:color w:val="auto"/>
          <w:spacing w:val="-6"/>
        </w:rPr>
        <w:t>元/次支付违约金。</w:t>
      </w:r>
    </w:p>
    <w:p w14:paraId="70D5377A">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9</w:t>
      </w:r>
      <w:r>
        <w:rPr>
          <w:rFonts w:hint="eastAsia" w:ascii="宋体" w:hAnsi="宋体" w:eastAsia="宋体" w:cs="宋体"/>
          <w:color w:val="auto"/>
          <w:spacing w:val="-6"/>
        </w:rPr>
        <w:t>）承包人未能按期开工的违约责任：按合同价</w:t>
      </w:r>
      <w:r>
        <w:rPr>
          <w:rFonts w:hint="eastAsia" w:ascii="宋体" w:hAnsi="宋体" w:eastAsia="宋体" w:cs="宋体"/>
          <w:color w:val="auto"/>
          <w:spacing w:val="-6"/>
          <w:u w:val="single"/>
        </w:rPr>
        <w:t xml:space="preserve"> 0.2‰</w:t>
      </w:r>
      <w:r>
        <w:rPr>
          <w:rFonts w:hint="eastAsia" w:ascii="宋体" w:hAnsi="宋体" w:eastAsia="宋体" w:cs="宋体"/>
          <w:color w:val="auto"/>
          <w:spacing w:val="-6"/>
        </w:rPr>
        <w:t>/天支付违约金</w:t>
      </w:r>
      <w:r>
        <w:rPr>
          <w:rFonts w:hint="eastAsia" w:ascii="宋体" w:hAnsi="宋体" w:eastAsia="宋体" w:cs="宋体"/>
          <w:color w:val="auto"/>
          <w:spacing w:val="-6"/>
          <w:lang w:eastAsia="zh-CN"/>
        </w:rPr>
        <w:t>，</w:t>
      </w:r>
      <w:r>
        <w:rPr>
          <w:rFonts w:hint="eastAsia" w:ascii="宋体" w:hAnsi="宋体" w:eastAsia="宋体" w:cs="宋体"/>
          <w:color w:val="auto"/>
          <w:spacing w:val="-6"/>
        </w:rPr>
        <w:t>本项违约金累计限额为签约合同价的</w:t>
      </w:r>
      <w:r>
        <w:rPr>
          <w:rFonts w:hint="eastAsia" w:ascii="宋体" w:hAnsi="宋体" w:eastAsia="宋体" w:cs="宋体"/>
          <w:color w:val="auto"/>
          <w:spacing w:val="-6"/>
          <w:u w:val="single"/>
        </w:rPr>
        <w:t xml:space="preserve"> 1 </w:t>
      </w:r>
      <w:r>
        <w:rPr>
          <w:rFonts w:hint="eastAsia" w:ascii="宋体" w:hAnsi="宋体" w:eastAsia="宋体" w:cs="宋体"/>
          <w:color w:val="auto"/>
          <w:spacing w:val="-6"/>
        </w:rPr>
        <w:t>%。</w:t>
      </w:r>
    </w:p>
    <w:p w14:paraId="7E8BD8F5">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（1</w:t>
      </w:r>
      <w:r>
        <w:rPr>
          <w:rFonts w:hint="eastAsia" w:ascii="宋体" w:hAnsi="宋体" w:eastAsia="宋体" w:cs="宋体"/>
          <w:color w:val="auto"/>
          <w:spacing w:val="-6"/>
          <w:lang w:val="en-US" w:eastAsia="zh-CN"/>
        </w:rPr>
        <w:t>0</w:t>
      </w:r>
      <w:r>
        <w:rPr>
          <w:rFonts w:hint="eastAsia" w:ascii="宋体" w:hAnsi="宋体" w:eastAsia="宋体" w:cs="宋体"/>
          <w:color w:val="auto"/>
          <w:spacing w:val="-6"/>
        </w:rPr>
        <w:t>）承包人未按经审定的施工组织设计配备或更换关键施工设备的违约责任： 按</w:t>
      </w:r>
      <w:r>
        <w:rPr>
          <w:rFonts w:hint="eastAsia" w:ascii="宋体" w:hAnsi="宋体" w:eastAsia="宋体" w:cs="宋体"/>
          <w:color w:val="auto"/>
          <w:spacing w:val="-6"/>
          <w:u w:val="single"/>
        </w:rPr>
        <w:t>5000</w:t>
      </w:r>
      <w:r>
        <w:rPr>
          <w:rFonts w:hint="eastAsia" w:ascii="宋体" w:hAnsi="宋体" w:eastAsia="宋体" w:cs="宋体"/>
          <w:color w:val="auto"/>
          <w:spacing w:val="-6"/>
        </w:rPr>
        <w:t>元/台·次支付违约金。</w:t>
      </w:r>
    </w:p>
    <w:p w14:paraId="53CCFEE6">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（1</w:t>
      </w:r>
      <w:r>
        <w:rPr>
          <w:rFonts w:hint="eastAsia" w:ascii="宋体" w:hAnsi="宋体" w:eastAsia="宋体" w:cs="宋体"/>
          <w:color w:val="auto"/>
          <w:spacing w:val="-6"/>
          <w:lang w:val="en-US" w:eastAsia="zh-CN"/>
        </w:rPr>
        <w:t>1</w:t>
      </w:r>
      <w:r>
        <w:rPr>
          <w:rFonts w:hint="eastAsia" w:ascii="宋体" w:hAnsi="宋体" w:eastAsia="宋体" w:cs="宋体"/>
          <w:color w:val="auto"/>
          <w:spacing w:val="-6"/>
        </w:rPr>
        <w:t>）承包人有安全问题或有违反安全管理规章制度情况的违约责任：根据具体情节，按签约合同价的</w:t>
      </w:r>
      <w:r>
        <w:rPr>
          <w:rFonts w:hint="eastAsia" w:ascii="宋体" w:hAnsi="宋体" w:eastAsia="宋体" w:cs="宋体"/>
          <w:color w:val="auto"/>
          <w:spacing w:val="-6"/>
          <w:u w:val="single"/>
        </w:rPr>
        <w:t xml:space="preserve"> 4‰</w:t>
      </w:r>
      <w:r>
        <w:rPr>
          <w:rFonts w:hint="eastAsia" w:ascii="宋体" w:hAnsi="宋体" w:eastAsia="宋体" w:cs="宋体"/>
          <w:color w:val="auto"/>
          <w:spacing w:val="-6"/>
          <w:u w:val="none"/>
        </w:rPr>
        <w:t>/</w:t>
      </w:r>
      <w:r>
        <w:rPr>
          <w:rFonts w:hint="eastAsia" w:ascii="宋体" w:hAnsi="宋体" w:eastAsia="宋体" w:cs="宋体"/>
          <w:color w:val="auto"/>
          <w:spacing w:val="-6"/>
        </w:rPr>
        <w:t>次支付违约金（累计不超过签约合同价的1%）。</w:t>
      </w:r>
    </w:p>
    <w:p w14:paraId="6ED85C03">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（1</w:t>
      </w:r>
      <w:r>
        <w:rPr>
          <w:rFonts w:hint="eastAsia" w:ascii="宋体" w:hAnsi="宋体" w:eastAsia="宋体" w:cs="宋体"/>
          <w:color w:val="auto"/>
          <w:spacing w:val="-6"/>
          <w:lang w:val="en-US" w:eastAsia="zh-CN"/>
        </w:rPr>
        <w:t>2</w:t>
      </w:r>
      <w:r>
        <w:rPr>
          <w:rFonts w:hint="eastAsia" w:ascii="宋体" w:hAnsi="宋体" w:eastAsia="宋体" w:cs="宋体"/>
          <w:color w:val="auto"/>
          <w:spacing w:val="-6"/>
        </w:rPr>
        <w:t>）承包人拖欠其工人或所雇人员工资或报酬，导致其工人或所雇人员向有关部门投诉、控告、检举或以聚集等方式讨要工资或报酬的违约责任：根据具体情节</w:t>
      </w:r>
      <w:r>
        <w:rPr>
          <w:rFonts w:hint="eastAsia" w:ascii="宋体" w:hAnsi="宋体" w:eastAsia="宋体" w:cs="宋体"/>
          <w:color w:val="auto"/>
          <w:spacing w:val="-6"/>
          <w:lang w:eastAsia="zh-CN"/>
        </w:rPr>
        <w:t>，</w:t>
      </w:r>
      <w:r>
        <w:rPr>
          <w:rFonts w:hint="eastAsia" w:ascii="宋体" w:hAnsi="宋体" w:eastAsia="宋体" w:cs="宋体"/>
          <w:color w:val="auto"/>
          <w:spacing w:val="-6"/>
        </w:rPr>
        <w:t xml:space="preserve">按违约金额 </w:t>
      </w:r>
      <w:r>
        <w:rPr>
          <w:rFonts w:hint="eastAsia" w:ascii="宋体" w:hAnsi="宋体" w:eastAsia="宋体" w:cs="宋体"/>
          <w:color w:val="auto"/>
          <w:spacing w:val="-6"/>
          <w:u w:val="single"/>
          <w:lang w:val="en-US" w:eastAsia="zh-CN"/>
        </w:rPr>
        <w:t>5000.00</w:t>
      </w:r>
      <w:r>
        <w:rPr>
          <w:rFonts w:hint="eastAsia" w:ascii="宋体" w:hAnsi="宋体" w:eastAsia="宋体" w:cs="宋体"/>
          <w:color w:val="auto"/>
          <w:spacing w:val="-6"/>
        </w:rPr>
        <w:t>元/次支付违约金</w:t>
      </w:r>
      <w:r>
        <w:rPr>
          <w:rFonts w:hint="eastAsia" w:ascii="宋体" w:hAnsi="宋体" w:eastAsia="宋体" w:cs="宋体"/>
          <w:color w:val="auto"/>
          <w:spacing w:val="-6"/>
          <w:lang w:eastAsia="zh-CN"/>
        </w:rPr>
        <w:t>（</w:t>
      </w:r>
      <w:r>
        <w:rPr>
          <w:rFonts w:hint="eastAsia" w:ascii="宋体" w:hAnsi="宋体" w:eastAsia="宋体" w:cs="宋体"/>
          <w:color w:val="auto"/>
          <w:spacing w:val="-6"/>
          <w:lang w:val="en-US" w:eastAsia="zh-CN"/>
        </w:rPr>
        <w:t>发包人未按时支付工程进度款除外</w:t>
      </w:r>
      <w:r>
        <w:rPr>
          <w:rFonts w:hint="eastAsia" w:ascii="宋体" w:hAnsi="宋体" w:eastAsia="宋体" w:cs="宋体"/>
          <w:color w:val="auto"/>
          <w:spacing w:val="-6"/>
          <w:lang w:eastAsia="zh-CN"/>
        </w:rPr>
        <w:t>）</w:t>
      </w:r>
      <w:r>
        <w:rPr>
          <w:rFonts w:hint="eastAsia" w:ascii="宋体" w:hAnsi="宋体" w:eastAsia="宋体" w:cs="宋体"/>
          <w:color w:val="auto"/>
          <w:spacing w:val="-6"/>
        </w:rPr>
        <w:t>。</w:t>
      </w:r>
    </w:p>
    <w:p w14:paraId="63F2A07C">
      <w:pPr>
        <w:pStyle w:val="17"/>
        <w:spacing w:before="172" w:line="405" w:lineRule="exact"/>
        <w:ind w:left="427"/>
        <w:rPr>
          <w:rFonts w:hint="eastAsia" w:ascii="宋体" w:hAnsi="宋体" w:eastAsia="宋体" w:cs="宋体"/>
          <w:color w:val="auto"/>
        </w:rPr>
      </w:pPr>
      <w:r>
        <w:rPr>
          <w:rFonts w:hint="eastAsia" w:ascii="宋体" w:hAnsi="宋体" w:eastAsia="宋体" w:cs="宋体"/>
          <w:color w:val="auto"/>
          <w:spacing w:val="-1"/>
          <w:position w:val="14"/>
        </w:rPr>
        <w:t>（14）承包人不配合发包人及发包人委托的工程造价咨询服务单位结算审核的违约责任：</w:t>
      </w:r>
    </w:p>
    <w:p w14:paraId="2898F0F0">
      <w:pPr>
        <w:pStyle w:val="17"/>
        <w:spacing w:before="1" w:line="219" w:lineRule="auto"/>
        <w:rPr>
          <w:rFonts w:hint="eastAsia" w:ascii="宋体" w:hAnsi="宋体" w:eastAsia="宋体" w:cs="宋体"/>
          <w:color w:val="auto"/>
        </w:rPr>
      </w:pPr>
      <w:r>
        <w:rPr>
          <w:rFonts w:hint="eastAsia" w:ascii="宋体" w:hAnsi="宋体" w:eastAsia="宋体" w:cs="宋体"/>
          <w:color w:val="auto"/>
          <w:spacing w:val="-3"/>
        </w:rPr>
        <w:t>根据具体情节，按</w:t>
      </w:r>
      <w:r>
        <w:rPr>
          <w:rFonts w:hint="eastAsia" w:ascii="宋体" w:hAnsi="宋体" w:eastAsia="宋体" w:cs="宋体"/>
          <w:color w:val="auto"/>
          <w:spacing w:val="-15"/>
        </w:rPr>
        <w:t xml:space="preserve"> </w:t>
      </w:r>
      <w:r>
        <w:rPr>
          <w:rFonts w:hint="eastAsia" w:cs="宋体"/>
          <w:color w:val="auto"/>
          <w:spacing w:val="-3"/>
          <w:u w:val="single" w:color="auto"/>
          <w:lang w:val="en-US" w:eastAsia="zh-CN"/>
        </w:rPr>
        <w:t>5000.00</w:t>
      </w:r>
      <w:r>
        <w:rPr>
          <w:rFonts w:hint="eastAsia" w:ascii="宋体" w:hAnsi="宋体" w:eastAsia="宋体" w:cs="宋体"/>
          <w:color w:val="auto"/>
          <w:spacing w:val="-3"/>
          <w:u w:val="single" w:color="auto"/>
        </w:rPr>
        <w:t>元/次</w:t>
      </w:r>
      <w:r>
        <w:rPr>
          <w:rFonts w:hint="eastAsia" w:ascii="宋体" w:hAnsi="宋体" w:eastAsia="宋体" w:cs="宋体"/>
          <w:color w:val="auto"/>
          <w:spacing w:val="-3"/>
        </w:rPr>
        <w:t>支付违约金。</w:t>
      </w:r>
    </w:p>
    <w:p w14:paraId="1E222F0A">
      <w:pPr>
        <w:pStyle w:val="17"/>
        <w:spacing w:before="172" w:line="405" w:lineRule="exact"/>
        <w:ind w:firstLine="420" w:firstLineChars="200"/>
        <w:rPr>
          <w:rFonts w:hint="eastAsia" w:ascii="宋体" w:hAnsi="宋体" w:eastAsia="宋体" w:cs="宋体"/>
          <w:color w:val="auto"/>
          <w:spacing w:val="-1"/>
          <w:position w:val="14"/>
        </w:rPr>
      </w:pPr>
      <w:r>
        <w:rPr>
          <w:rFonts w:hint="eastAsia" w:ascii="宋体" w:hAnsi="宋体" w:eastAsia="宋体" w:cs="宋体"/>
          <w:color w:val="auto"/>
          <w:position w:val="14"/>
        </w:rPr>
        <w:t>（15）承</w:t>
      </w:r>
      <w:r>
        <w:rPr>
          <w:rFonts w:hint="eastAsia" w:ascii="宋体" w:hAnsi="宋体" w:eastAsia="宋体" w:cs="宋体"/>
          <w:color w:val="auto"/>
          <w:spacing w:val="-1"/>
          <w:position w:val="14"/>
        </w:rPr>
        <w:t>包人未按合同约定移交全部和部分工程的违约责任：由承包人承担工程照管、成品保护、保管等与工程有关的各种费用，并按结算金额或违约部分结算金额的</w:t>
      </w:r>
      <w:r>
        <w:rPr>
          <w:rFonts w:hint="eastAsia" w:ascii="宋体" w:hAnsi="宋体" w:eastAsia="宋体" w:cs="宋体"/>
          <w:color w:val="auto"/>
          <w:spacing w:val="-1"/>
          <w:position w:val="14"/>
          <w:u w:val="single"/>
        </w:rPr>
        <w:t>1‰</w:t>
      </w:r>
      <w:r>
        <w:rPr>
          <w:rFonts w:hint="eastAsia" w:ascii="宋体" w:hAnsi="宋体" w:eastAsia="宋体" w:cs="宋体"/>
          <w:color w:val="auto"/>
          <w:spacing w:val="-1"/>
          <w:position w:val="14"/>
        </w:rPr>
        <w:t>支付违约金。</w:t>
      </w:r>
    </w:p>
    <w:p w14:paraId="23B12531">
      <w:pPr>
        <w:pStyle w:val="17"/>
        <w:spacing w:before="172" w:line="405" w:lineRule="exact"/>
        <w:ind w:firstLine="416" w:firstLineChars="200"/>
        <w:rPr>
          <w:rFonts w:hint="eastAsia" w:ascii="宋体" w:hAnsi="宋体" w:eastAsia="宋体" w:cs="宋体"/>
          <w:color w:val="auto"/>
          <w:spacing w:val="-1"/>
          <w:position w:val="14"/>
        </w:rPr>
      </w:pPr>
      <w:r>
        <w:rPr>
          <w:rFonts w:hint="eastAsia" w:ascii="宋体" w:hAnsi="宋体" w:eastAsia="宋体" w:cs="宋体"/>
          <w:color w:val="auto"/>
          <w:spacing w:val="-1"/>
          <w:position w:val="14"/>
        </w:rPr>
        <w:t>（16）承包人未按合同约定购买保险的违约责任：每延迟 1 天</w:t>
      </w:r>
      <w:r>
        <w:rPr>
          <w:rFonts w:hint="eastAsia" w:ascii="宋体" w:hAnsi="宋体" w:eastAsia="宋体" w:cs="宋体"/>
          <w:color w:val="auto"/>
          <w:spacing w:val="-1"/>
          <w:position w:val="14"/>
          <w:lang w:eastAsia="zh-CN"/>
        </w:rPr>
        <w:t>，</w:t>
      </w:r>
      <w:r>
        <w:rPr>
          <w:rFonts w:hint="eastAsia" w:ascii="宋体" w:hAnsi="宋体" w:eastAsia="宋体" w:cs="宋体"/>
          <w:color w:val="auto"/>
          <w:spacing w:val="-1"/>
          <w:position w:val="14"/>
        </w:rPr>
        <w:t>按</w:t>
      </w:r>
      <w:r>
        <w:rPr>
          <w:rFonts w:hint="eastAsia" w:ascii="宋体" w:hAnsi="宋体" w:eastAsia="宋体" w:cs="宋体"/>
          <w:color w:val="auto"/>
          <w:spacing w:val="-1"/>
          <w:position w:val="14"/>
          <w:u w:val="single"/>
        </w:rPr>
        <w:t xml:space="preserve"> 500</w:t>
      </w:r>
      <w:r>
        <w:rPr>
          <w:rFonts w:hint="eastAsia" w:ascii="宋体" w:hAnsi="宋体" w:eastAsia="宋体" w:cs="宋体"/>
          <w:color w:val="auto"/>
          <w:spacing w:val="-1"/>
          <w:position w:val="14"/>
        </w:rPr>
        <w:t>元/天支付违约金。</w:t>
      </w:r>
    </w:p>
    <w:p w14:paraId="282CD536">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（17）项目经理违约承担方式和计算方法：每发现一次，根据具体情节，按</w:t>
      </w:r>
      <w:r>
        <w:rPr>
          <w:rFonts w:hint="eastAsia" w:ascii="宋体" w:hAnsi="宋体" w:cs="Microsoft Sans Serif"/>
          <w:kern w:val="0"/>
          <w:szCs w:val="21"/>
          <w:u w:val="single"/>
        </w:rPr>
        <w:t>1000元/天·次</w:t>
      </w:r>
      <w:r>
        <w:rPr>
          <w:rFonts w:hint="eastAsia" w:ascii="宋体" w:hAnsi="宋体" w:cs="Microsoft Sans Serif"/>
          <w:kern w:val="0"/>
          <w:szCs w:val="21"/>
        </w:rPr>
        <w:t>计算违约金；项目经理不按承诺到岗的，按履约保证金的</w:t>
      </w:r>
      <w:r>
        <w:rPr>
          <w:rFonts w:hint="eastAsia" w:ascii="宋体" w:hAnsi="宋体" w:cs="Microsoft Sans Serif"/>
          <w:kern w:val="0"/>
          <w:szCs w:val="21"/>
          <w:u w:val="single"/>
        </w:rPr>
        <w:t>50%</w:t>
      </w:r>
      <w:r>
        <w:rPr>
          <w:rFonts w:hint="eastAsia" w:ascii="宋体" w:hAnsi="宋体" w:cs="Microsoft Sans Serif"/>
          <w:kern w:val="0"/>
          <w:szCs w:val="21"/>
        </w:rPr>
        <w:t>支付违约金，并解除合同；擅自更换项目经理的，按签约合同价的</w:t>
      </w:r>
      <w:r>
        <w:rPr>
          <w:rFonts w:hint="eastAsia" w:ascii="宋体" w:hAnsi="宋体" w:cs="Microsoft Sans Serif"/>
          <w:kern w:val="0"/>
          <w:szCs w:val="21"/>
          <w:u w:val="single"/>
        </w:rPr>
        <w:t>0.5%/人·次</w:t>
      </w:r>
      <w:r>
        <w:rPr>
          <w:rFonts w:hint="eastAsia" w:ascii="宋体" w:hAnsi="宋体" w:cs="Microsoft Sans Serif"/>
          <w:kern w:val="0"/>
          <w:szCs w:val="21"/>
        </w:rPr>
        <w:t>支付违约金；项目经理被责令停止执业的，按签约合同价的</w:t>
      </w:r>
      <w:r>
        <w:rPr>
          <w:rFonts w:hint="eastAsia" w:ascii="宋体" w:hAnsi="宋体" w:cs="Microsoft Sans Serif"/>
          <w:kern w:val="0"/>
          <w:szCs w:val="21"/>
          <w:u w:val="single"/>
        </w:rPr>
        <w:t>0.5%/人·次</w:t>
      </w:r>
      <w:r>
        <w:rPr>
          <w:rFonts w:hint="eastAsia" w:ascii="宋体" w:hAnsi="宋体" w:cs="Microsoft Sans Serif"/>
          <w:kern w:val="0"/>
          <w:szCs w:val="21"/>
        </w:rPr>
        <w:t>支付违约金；项目经理被责令停止执业的，按签约合同价的</w:t>
      </w:r>
      <w:r>
        <w:rPr>
          <w:rFonts w:hint="eastAsia" w:ascii="宋体" w:hAnsi="宋体" w:cs="Microsoft Sans Serif"/>
          <w:kern w:val="0"/>
          <w:szCs w:val="21"/>
          <w:u w:val="single"/>
        </w:rPr>
        <w:t>0.5%/人•次</w:t>
      </w:r>
      <w:r>
        <w:rPr>
          <w:rFonts w:hint="eastAsia" w:ascii="宋体" w:hAnsi="宋体" w:cs="Microsoft Sans Serif"/>
          <w:kern w:val="0"/>
          <w:szCs w:val="21"/>
        </w:rPr>
        <w:t>支付违约金。</w:t>
      </w:r>
    </w:p>
    <w:p w14:paraId="170C521E">
      <w:pPr>
        <w:snapToGrid w:val="0"/>
        <w:spacing w:line="360" w:lineRule="auto"/>
        <w:ind w:firstLine="420" w:firstLineChars="200"/>
        <w:jc w:val="left"/>
        <w:rPr>
          <w:rFonts w:hint="eastAsia" w:ascii="宋体" w:hAnsi="宋体" w:eastAsia="宋体" w:cs="Microsoft Sans Serif"/>
          <w:kern w:val="0"/>
          <w:szCs w:val="21"/>
        </w:rPr>
      </w:pPr>
      <w:r>
        <w:rPr>
          <w:rFonts w:hint="eastAsia" w:ascii="宋体" w:hAnsi="宋体" w:cs="Microsoft Sans Serif"/>
          <w:kern w:val="0"/>
          <w:szCs w:val="21"/>
          <w:lang w:eastAsia="zh-CN"/>
        </w:rPr>
        <w:t>（</w:t>
      </w:r>
      <w:r>
        <w:rPr>
          <w:rFonts w:hint="eastAsia" w:ascii="宋体" w:hAnsi="宋体" w:cs="Microsoft Sans Serif"/>
          <w:kern w:val="0"/>
          <w:szCs w:val="21"/>
          <w:lang w:val="en-US" w:eastAsia="zh-CN"/>
        </w:rPr>
        <w:t>18</w:t>
      </w:r>
      <w:r>
        <w:rPr>
          <w:rFonts w:hint="eastAsia" w:ascii="宋体" w:hAnsi="宋体" w:cs="Microsoft Sans Serif"/>
          <w:kern w:val="0"/>
          <w:szCs w:val="21"/>
          <w:lang w:eastAsia="zh-CN"/>
        </w:rPr>
        <w:t>）</w:t>
      </w:r>
      <w:r>
        <w:rPr>
          <w:rFonts w:hint="eastAsia" w:ascii="宋体" w:hAnsi="宋体" w:cs="Microsoft Sans Serif"/>
          <w:kern w:val="0"/>
          <w:szCs w:val="21"/>
        </w:rPr>
        <w:t>主要技术负责人违约承担方式和计算方法：每发现一次，根据具体情节，按</w:t>
      </w:r>
      <w:r>
        <w:rPr>
          <w:rFonts w:hint="eastAsia" w:ascii="宋体" w:hAnsi="宋体" w:cs="Microsoft Sans Serif"/>
          <w:kern w:val="0"/>
          <w:szCs w:val="21"/>
          <w:u w:val="single"/>
        </w:rPr>
        <w:t>1000元/天·次</w:t>
      </w:r>
      <w:r>
        <w:rPr>
          <w:rFonts w:hint="eastAsia" w:ascii="宋体" w:hAnsi="宋体" w:cs="Microsoft Sans Serif"/>
          <w:kern w:val="0"/>
          <w:szCs w:val="21"/>
        </w:rPr>
        <w:t>计算违约金；擅自更换主要技术负责人的，按签约合同价的</w:t>
      </w:r>
      <w:r>
        <w:rPr>
          <w:rFonts w:hint="eastAsia" w:ascii="宋体" w:hAnsi="宋体" w:cs="Microsoft Sans Serif"/>
          <w:kern w:val="0"/>
          <w:szCs w:val="21"/>
          <w:u w:val="single"/>
        </w:rPr>
        <w:t>0.5/人·次</w:t>
      </w:r>
      <w:r>
        <w:rPr>
          <w:rFonts w:hint="eastAsia" w:ascii="宋体" w:hAnsi="宋体" w:cs="Microsoft Sans Serif"/>
          <w:kern w:val="0"/>
          <w:szCs w:val="21"/>
        </w:rPr>
        <w:t>支付违约金。</w:t>
      </w:r>
    </w:p>
    <w:p w14:paraId="0B49131C">
      <w:pPr>
        <w:snapToGrid w:val="0"/>
        <w:spacing w:line="360" w:lineRule="auto"/>
        <w:ind w:firstLine="420" w:firstLineChars="200"/>
        <w:jc w:val="left"/>
        <w:rPr>
          <w:rFonts w:hint="eastAsia" w:ascii="宋体" w:hAnsi="宋体" w:eastAsia="宋体" w:cs="Microsoft Sans Serif"/>
          <w:kern w:val="0"/>
          <w:szCs w:val="21"/>
        </w:rPr>
      </w:pPr>
      <w:r>
        <w:rPr>
          <w:rFonts w:hint="eastAsia" w:ascii="宋体" w:hAnsi="宋体" w:eastAsia="宋体" w:cs="Microsoft Sans Serif"/>
          <w:kern w:val="0"/>
          <w:szCs w:val="21"/>
          <w:lang w:eastAsia="zh-CN"/>
        </w:rPr>
        <w:t>（</w:t>
      </w:r>
      <w:r>
        <w:rPr>
          <w:rFonts w:hint="eastAsia" w:ascii="宋体" w:hAnsi="宋体" w:eastAsia="宋体" w:cs="Microsoft Sans Serif"/>
          <w:kern w:val="0"/>
          <w:szCs w:val="21"/>
          <w:lang w:val="en-US" w:eastAsia="zh-CN"/>
        </w:rPr>
        <w:t>19</w:t>
      </w:r>
      <w:r>
        <w:rPr>
          <w:rFonts w:hint="eastAsia" w:ascii="宋体" w:hAnsi="宋体" w:eastAsia="宋体" w:cs="Microsoft Sans Serif"/>
          <w:kern w:val="0"/>
          <w:szCs w:val="21"/>
          <w:lang w:eastAsia="zh-CN"/>
        </w:rPr>
        <w:t>）</w:t>
      </w:r>
      <w:r>
        <w:rPr>
          <w:rFonts w:hint="eastAsia" w:ascii="宋体" w:hAnsi="宋体" w:eastAsia="宋体" w:cs="Microsoft Sans Serif"/>
          <w:kern w:val="0"/>
          <w:szCs w:val="21"/>
        </w:rPr>
        <w:t>主要施工管理人员违约承担方式和计算方法：每发现一次，根据具体情节，按</w:t>
      </w:r>
      <w:r>
        <w:rPr>
          <w:rFonts w:hint="eastAsia" w:ascii="宋体" w:hAnsi="宋体" w:eastAsia="宋体" w:cs="Microsoft Sans Serif"/>
          <w:kern w:val="0"/>
          <w:szCs w:val="21"/>
          <w:u w:val="single"/>
        </w:rPr>
        <w:t>500</w:t>
      </w:r>
      <w:r>
        <w:rPr>
          <w:rFonts w:hint="eastAsia" w:ascii="宋体" w:hAnsi="宋体" w:eastAsia="宋体" w:cs="Microsoft Sans Serif"/>
          <w:kern w:val="0"/>
          <w:szCs w:val="21"/>
        </w:rPr>
        <w:t>元/天·次计算违约金。</w:t>
      </w:r>
    </w:p>
    <w:p w14:paraId="09A7BEA3">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因承包人违约解除合同</w:t>
      </w:r>
    </w:p>
    <w:p w14:paraId="178CA318">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因承包人违约并致使合同目的不能实现的，发包人有权解除合同：</w:t>
      </w:r>
    </w:p>
    <w:p w14:paraId="3C745E24">
      <w:pPr>
        <w:pStyle w:val="65"/>
        <w:spacing w:line="360" w:lineRule="auto"/>
        <w:jc w:val="left"/>
        <w:rPr>
          <w:rFonts w:ascii="宋体" w:hAnsi="宋体" w:cs="Microsoft Sans Serif"/>
          <w:kern w:val="0"/>
          <w:sz w:val="21"/>
          <w:szCs w:val="21"/>
        </w:rPr>
      </w:pPr>
      <w:r>
        <w:rPr>
          <w:rFonts w:hint="eastAsia" w:ascii="宋体" w:hAnsi="宋体" w:cs="Microsoft Sans Serif"/>
          <w:kern w:val="0"/>
          <w:sz w:val="21"/>
          <w:szCs w:val="21"/>
        </w:rPr>
        <w:t>（</w:t>
      </w:r>
      <w:r>
        <w:rPr>
          <w:rFonts w:hint="eastAsia" w:ascii="宋体" w:hAnsi="宋体" w:cs="Microsoft Sans Serif"/>
          <w:kern w:val="0"/>
          <w:sz w:val="21"/>
          <w:szCs w:val="21"/>
          <w:lang w:val="en-US" w:eastAsia="zh-CN"/>
        </w:rPr>
        <w:t>1</w:t>
      </w:r>
      <w:r>
        <w:rPr>
          <w:rFonts w:hint="eastAsia" w:ascii="宋体" w:hAnsi="宋体" w:cs="Microsoft Sans Serif"/>
          <w:kern w:val="0"/>
          <w:sz w:val="21"/>
          <w:szCs w:val="21"/>
        </w:rPr>
        <w:t>）未按合同约定购买保险且经催告后超过</w:t>
      </w:r>
      <w:r>
        <w:rPr>
          <w:rFonts w:hint="eastAsia" w:ascii="宋体" w:hAnsi="宋体" w:cs="Microsoft Sans Serif"/>
          <w:kern w:val="0"/>
          <w:sz w:val="21"/>
          <w:szCs w:val="21"/>
          <w:lang w:val="en-US" w:eastAsia="zh-CN"/>
        </w:rPr>
        <w:t>7</w:t>
      </w:r>
      <w:r>
        <w:rPr>
          <w:rFonts w:hint="eastAsia" w:ascii="宋体" w:hAnsi="宋体" w:cs="Microsoft Sans Serif"/>
          <w:kern w:val="0"/>
          <w:sz w:val="21"/>
          <w:szCs w:val="21"/>
        </w:rPr>
        <w:t>天的；</w:t>
      </w:r>
    </w:p>
    <w:p w14:paraId="69B8438F">
      <w:pPr>
        <w:pStyle w:val="65"/>
        <w:spacing w:line="360" w:lineRule="auto"/>
        <w:jc w:val="left"/>
        <w:rPr>
          <w:rFonts w:ascii="宋体" w:hAnsi="宋体" w:cs="Microsoft Sans Serif"/>
          <w:kern w:val="0"/>
          <w:sz w:val="21"/>
          <w:szCs w:val="21"/>
        </w:rPr>
      </w:pPr>
      <w:r>
        <w:rPr>
          <w:rFonts w:hint="eastAsia" w:ascii="宋体" w:hAnsi="宋体" w:cs="Microsoft Sans Serif"/>
          <w:kern w:val="0"/>
          <w:sz w:val="21"/>
          <w:szCs w:val="21"/>
        </w:rPr>
        <w:t>（</w:t>
      </w:r>
      <w:r>
        <w:rPr>
          <w:rFonts w:hint="eastAsia" w:ascii="宋体" w:hAnsi="宋体" w:cs="Microsoft Sans Serif"/>
          <w:kern w:val="0"/>
          <w:sz w:val="21"/>
          <w:szCs w:val="21"/>
          <w:lang w:val="en-US" w:eastAsia="zh-CN"/>
        </w:rPr>
        <w:t>2</w:t>
      </w:r>
      <w:r>
        <w:rPr>
          <w:rFonts w:hint="eastAsia" w:ascii="宋体" w:hAnsi="宋体" w:cs="Microsoft Sans Serif"/>
          <w:kern w:val="0"/>
          <w:sz w:val="21"/>
          <w:szCs w:val="21"/>
        </w:rPr>
        <w:t>）因承包人原因导致开工时间累计延误超过</w:t>
      </w:r>
      <w:r>
        <w:rPr>
          <w:rFonts w:hint="eastAsia" w:ascii="宋体" w:hAnsi="宋体" w:cs="Microsoft Sans Serif"/>
          <w:kern w:val="0"/>
          <w:sz w:val="21"/>
          <w:szCs w:val="21"/>
          <w:lang w:val="en-US" w:eastAsia="zh-CN"/>
        </w:rPr>
        <w:t>7</w:t>
      </w:r>
      <w:r>
        <w:rPr>
          <w:rFonts w:hint="eastAsia" w:ascii="宋体" w:hAnsi="宋体" w:cs="Microsoft Sans Serif"/>
          <w:kern w:val="0"/>
          <w:sz w:val="21"/>
          <w:szCs w:val="21"/>
        </w:rPr>
        <w:t>天的；</w:t>
      </w:r>
    </w:p>
    <w:p w14:paraId="18512E65">
      <w:pPr>
        <w:pStyle w:val="65"/>
        <w:spacing w:line="360" w:lineRule="auto"/>
        <w:jc w:val="left"/>
        <w:rPr>
          <w:rFonts w:ascii="宋体" w:hAnsi="宋体" w:cs="Microsoft Sans Serif"/>
          <w:kern w:val="0"/>
          <w:sz w:val="21"/>
          <w:szCs w:val="21"/>
        </w:rPr>
      </w:pPr>
      <w:r>
        <w:rPr>
          <w:rFonts w:hint="eastAsia" w:ascii="宋体" w:hAnsi="宋体" w:cs="Microsoft Sans Serif"/>
          <w:kern w:val="0"/>
          <w:sz w:val="21"/>
          <w:szCs w:val="21"/>
        </w:rPr>
        <w:t>（</w:t>
      </w:r>
      <w:r>
        <w:rPr>
          <w:rFonts w:hint="eastAsia" w:ascii="宋体" w:hAnsi="宋体" w:cs="Microsoft Sans Serif"/>
          <w:kern w:val="0"/>
          <w:sz w:val="21"/>
          <w:szCs w:val="21"/>
          <w:lang w:val="en-US" w:eastAsia="zh-CN"/>
        </w:rPr>
        <w:t>3</w:t>
      </w:r>
      <w:r>
        <w:rPr>
          <w:rFonts w:hint="eastAsia" w:ascii="宋体" w:hAnsi="宋体" w:cs="Microsoft Sans Serif"/>
          <w:kern w:val="0"/>
          <w:sz w:val="21"/>
          <w:szCs w:val="21"/>
        </w:rPr>
        <w:t>）因承包人原因导致工期延误超过</w:t>
      </w:r>
      <w:r>
        <w:rPr>
          <w:rFonts w:hint="eastAsia" w:ascii="宋体" w:hAnsi="宋体" w:cs="Microsoft Sans Serif"/>
          <w:kern w:val="0"/>
          <w:sz w:val="21"/>
          <w:szCs w:val="21"/>
          <w:lang w:val="en-US" w:eastAsia="zh-CN"/>
        </w:rPr>
        <w:t>7</w:t>
      </w:r>
      <w:r>
        <w:rPr>
          <w:rFonts w:hint="eastAsia" w:ascii="宋体" w:hAnsi="宋体" w:cs="Microsoft Sans Serif"/>
          <w:kern w:val="0"/>
          <w:sz w:val="21"/>
          <w:szCs w:val="21"/>
        </w:rPr>
        <w:t>天的；</w:t>
      </w:r>
    </w:p>
    <w:p w14:paraId="15F3A3EB">
      <w:pPr>
        <w:pStyle w:val="65"/>
        <w:spacing w:line="360" w:lineRule="auto"/>
        <w:jc w:val="left"/>
        <w:rPr>
          <w:rFonts w:ascii="宋体" w:hAnsi="宋体" w:cs="Microsoft Sans Serif"/>
          <w:kern w:val="0"/>
          <w:sz w:val="21"/>
          <w:szCs w:val="21"/>
        </w:rPr>
      </w:pPr>
      <w:r>
        <w:rPr>
          <w:rFonts w:hint="eastAsia" w:ascii="宋体" w:hAnsi="宋体" w:cs="Microsoft Sans Serif"/>
          <w:kern w:val="0"/>
          <w:sz w:val="21"/>
          <w:szCs w:val="21"/>
        </w:rPr>
        <w:t>（</w:t>
      </w:r>
      <w:r>
        <w:rPr>
          <w:rFonts w:hint="eastAsia" w:ascii="宋体" w:hAnsi="宋体" w:cs="Microsoft Sans Serif"/>
          <w:kern w:val="0"/>
          <w:sz w:val="21"/>
          <w:szCs w:val="21"/>
          <w:lang w:val="en-US" w:eastAsia="zh-CN"/>
        </w:rPr>
        <w:t>4</w:t>
      </w:r>
      <w:r>
        <w:rPr>
          <w:rFonts w:hint="eastAsia" w:ascii="宋体" w:hAnsi="宋体" w:cs="Microsoft Sans Serif"/>
          <w:kern w:val="0"/>
          <w:sz w:val="21"/>
          <w:szCs w:val="21"/>
        </w:rPr>
        <w:t>）</w:t>
      </w:r>
      <w:r>
        <w:rPr>
          <w:rFonts w:hint="eastAsia" w:ascii="宋体" w:hAnsi="宋体" w:cs="Microsoft Sans Serif"/>
          <w:kern w:val="0"/>
          <w:sz w:val="21"/>
          <w:szCs w:val="21"/>
          <w:lang w:val="en-US" w:eastAsia="zh-CN"/>
        </w:rPr>
        <w:t>发包</w:t>
      </w:r>
      <w:r>
        <w:rPr>
          <w:rFonts w:hint="eastAsia" w:ascii="宋体" w:hAnsi="宋体" w:cs="Microsoft Sans Serif"/>
          <w:kern w:val="0"/>
          <w:sz w:val="21"/>
          <w:szCs w:val="21"/>
        </w:rPr>
        <w:t>人发出整改通知后，承包人在</w:t>
      </w:r>
      <w:r>
        <w:rPr>
          <w:rFonts w:hint="eastAsia" w:ascii="宋体" w:hAnsi="宋体" w:cs="Microsoft Sans Serif"/>
          <w:kern w:val="0"/>
          <w:sz w:val="21"/>
          <w:szCs w:val="21"/>
          <w:lang w:val="en-US" w:eastAsia="zh-CN"/>
        </w:rPr>
        <w:t>发包</w:t>
      </w:r>
      <w:r>
        <w:rPr>
          <w:rFonts w:hint="eastAsia" w:ascii="宋体" w:hAnsi="宋体" w:cs="Microsoft Sans Serif"/>
          <w:kern w:val="0"/>
          <w:sz w:val="21"/>
          <w:szCs w:val="21"/>
        </w:rPr>
        <w:t>人限定的期限内仍不纠正违约行为的；</w:t>
      </w:r>
    </w:p>
    <w:p w14:paraId="18F2CFFE">
      <w:pPr>
        <w:pStyle w:val="65"/>
        <w:spacing w:line="360" w:lineRule="auto"/>
        <w:jc w:val="left"/>
        <w:rPr>
          <w:rFonts w:ascii="宋体" w:hAnsi="宋体" w:cs="Microsoft Sans Serif"/>
          <w:kern w:val="0"/>
          <w:sz w:val="21"/>
          <w:szCs w:val="21"/>
        </w:rPr>
      </w:pPr>
      <w:r>
        <w:rPr>
          <w:rFonts w:hint="eastAsia" w:ascii="宋体" w:hAnsi="宋体" w:cs="Microsoft Sans Serif"/>
          <w:kern w:val="0"/>
          <w:sz w:val="21"/>
          <w:szCs w:val="21"/>
        </w:rPr>
        <w:t>（</w:t>
      </w:r>
      <w:r>
        <w:rPr>
          <w:rFonts w:hint="eastAsia" w:ascii="宋体" w:hAnsi="宋体" w:cs="Microsoft Sans Serif"/>
          <w:kern w:val="0"/>
          <w:sz w:val="21"/>
          <w:szCs w:val="21"/>
          <w:lang w:val="en-US" w:eastAsia="zh-CN"/>
        </w:rPr>
        <w:t>5</w:t>
      </w:r>
      <w:r>
        <w:rPr>
          <w:rFonts w:hint="eastAsia" w:ascii="宋体" w:hAnsi="宋体" w:cs="Microsoft Sans Serif"/>
          <w:kern w:val="0"/>
          <w:sz w:val="21"/>
          <w:szCs w:val="21"/>
        </w:rPr>
        <w:t>）承包人进入清算或者严重资不抵债且无法履行合同的；</w:t>
      </w:r>
    </w:p>
    <w:p w14:paraId="2ECB07B4">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w:t>
      </w:r>
      <w:r>
        <w:rPr>
          <w:rFonts w:hint="eastAsia" w:ascii="宋体" w:hAnsi="宋体" w:cs="Microsoft Sans Serif"/>
          <w:kern w:val="0"/>
          <w:szCs w:val="21"/>
          <w:lang w:val="en-US" w:eastAsia="zh-CN"/>
        </w:rPr>
        <w:t>6</w:t>
      </w:r>
      <w:r>
        <w:rPr>
          <w:rFonts w:hint="eastAsia" w:ascii="宋体" w:hAnsi="宋体" w:cs="Microsoft Sans Serif"/>
          <w:kern w:val="0"/>
          <w:szCs w:val="21"/>
        </w:rPr>
        <w:t>）违反适用法律而被相关政府部门依法吊销营业执照、责令停业、清算或宣布破产、责令关闭的；</w:t>
      </w:r>
    </w:p>
    <w:p w14:paraId="28772125">
      <w:pPr>
        <w:pStyle w:val="65"/>
        <w:spacing w:line="360" w:lineRule="auto"/>
        <w:jc w:val="left"/>
        <w:rPr>
          <w:rFonts w:ascii="宋体" w:hAnsi="宋体" w:cs="Microsoft Sans Serif"/>
          <w:kern w:val="0"/>
          <w:sz w:val="21"/>
          <w:szCs w:val="21"/>
        </w:rPr>
      </w:pPr>
      <w:r>
        <w:rPr>
          <w:rFonts w:hint="eastAsia" w:ascii="宋体" w:hAnsi="宋体" w:cs="Microsoft Sans Serif"/>
          <w:kern w:val="0"/>
          <w:sz w:val="21"/>
          <w:szCs w:val="21"/>
        </w:rPr>
        <w:t>（</w:t>
      </w:r>
      <w:r>
        <w:rPr>
          <w:rFonts w:hint="eastAsia" w:ascii="宋体" w:hAnsi="宋体" w:cs="Microsoft Sans Serif"/>
          <w:kern w:val="0"/>
          <w:sz w:val="21"/>
          <w:szCs w:val="21"/>
          <w:lang w:val="en-US" w:eastAsia="zh-CN"/>
        </w:rPr>
        <w:t>7</w:t>
      </w:r>
      <w:r>
        <w:rPr>
          <w:rFonts w:hint="eastAsia" w:ascii="宋体" w:hAnsi="宋体" w:cs="Microsoft Sans Serif"/>
          <w:kern w:val="0"/>
          <w:sz w:val="21"/>
          <w:szCs w:val="21"/>
        </w:rPr>
        <w:t>）</w:t>
      </w:r>
      <w:r>
        <w:rPr>
          <w:rFonts w:hint="eastAsia" w:ascii="宋体" w:hAnsi="宋体" w:cs="Microsoft Sans Serif"/>
          <w:kern w:val="0"/>
          <w:sz w:val="21"/>
          <w:szCs w:val="21"/>
          <w:u w:val="single"/>
        </w:rPr>
        <w:t>合同约定的发包人有权解除合同的其他情形</w:t>
      </w:r>
      <w:r>
        <w:rPr>
          <w:rFonts w:hint="eastAsia" w:ascii="宋体" w:hAnsi="宋体" w:cs="Microsoft Sans Serif"/>
          <w:kern w:val="0"/>
          <w:sz w:val="21"/>
          <w:szCs w:val="21"/>
        </w:rPr>
        <w:t>。</w:t>
      </w:r>
    </w:p>
    <w:p w14:paraId="0B7B4ABE">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lang w:val="en-US" w:eastAsia="zh-CN"/>
        </w:rPr>
        <w:t xml:space="preserve">3. </w:t>
      </w:r>
      <w:r>
        <w:rPr>
          <w:rFonts w:hint="eastAsia" w:ascii="宋体" w:hAnsi="宋体" w:cs="Microsoft Sans Serif"/>
          <w:kern w:val="0"/>
          <w:szCs w:val="21"/>
        </w:rPr>
        <w:t>因承包人违约解除合同后的处理</w:t>
      </w:r>
    </w:p>
    <w:p w14:paraId="515EF8F3">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因承包人违约导致合同解除的，合同当事人应在合同解除后56天内完成估价、付款和清算，并按以下约定执行：</w:t>
      </w:r>
    </w:p>
    <w:p w14:paraId="1CC2152E">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（1）合同解除后，确定承包人实际完成工作对应的合同价款，以及承包人已提供的材料、工程设备、施工设备和临时工程等的价值；</w:t>
      </w:r>
    </w:p>
    <w:p w14:paraId="4338B039">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（2）合同解除后，承包人应支付违约金；</w:t>
      </w:r>
    </w:p>
    <w:p w14:paraId="78B05E8A">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（3）合同解除后，赔偿因解除合同给发包人造成的损失；</w:t>
      </w:r>
    </w:p>
    <w:p w14:paraId="48C18E8B">
      <w:pPr>
        <w:spacing w:line="360" w:lineRule="auto"/>
        <w:ind w:firstLine="420" w:firstLineChars="200"/>
        <w:jc w:val="left"/>
        <w:rPr>
          <w:rFonts w:hint="eastAsia" w:ascii="宋体" w:hAnsi="宋体" w:cs="Microsoft Sans Serif"/>
          <w:kern w:val="0"/>
          <w:szCs w:val="21"/>
          <w:lang w:val="en-US" w:eastAsia="zh-CN"/>
        </w:rPr>
      </w:pPr>
      <w:r>
        <w:rPr>
          <w:rFonts w:hint="eastAsia" w:ascii="宋体" w:hAnsi="宋体" w:cs="Microsoft Sans Serif"/>
          <w:kern w:val="0"/>
          <w:szCs w:val="21"/>
        </w:rPr>
        <w:t>（4）合同解除后，承包人应按照发包人要求完成现场的清理和撤离。</w:t>
      </w:r>
      <w:r>
        <w:rPr>
          <w:rFonts w:hint="eastAsia" w:ascii="宋体" w:hAnsi="宋体" w:cs="Microsoft Sans Serif"/>
          <w:kern w:val="0"/>
          <w:szCs w:val="21"/>
          <w:lang w:val="en-US" w:eastAsia="zh-CN"/>
        </w:rPr>
        <w:t xml:space="preserve"> </w:t>
      </w:r>
    </w:p>
    <w:p w14:paraId="415F70F5">
      <w:pPr>
        <w:spacing w:line="360" w:lineRule="auto"/>
        <w:ind w:firstLine="420" w:firstLineChars="200"/>
        <w:rPr>
          <w:rFonts w:hint="eastAsia"/>
          <w:sz w:val="22"/>
          <w:szCs w:val="22"/>
          <w:lang w:val="en-US" w:eastAsia="zh-CN"/>
        </w:rPr>
      </w:pPr>
      <w:r>
        <w:rPr>
          <w:rFonts w:hint="eastAsia" w:ascii="宋体" w:hAnsi="宋体" w:eastAsia="宋体" w:cs="Microsoft Sans Serif"/>
          <w:b w:val="0"/>
          <w:bCs w:val="0"/>
          <w:kern w:val="0"/>
          <w:sz w:val="21"/>
          <w:szCs w:val="21"/>
          <w:lang w:val="en-US" w:eastAsia="zh-CN" w:bidi="ar-SA"/>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p w14:paraId="7CEBBB5C">
      <w:pPr>
        <w:pStyle w:val="5"/>
        <w:bidi w:val="0"/>
        <w:ind w:firstLine="442" w:firstLineChars="200"/>
        <w:rPr>
          <w:rFonts w:hint="eastAsia"/>
          <w:sz w:val="22"/>
          <w:szCs w:val="22"/>
        </w:rPr>
      </w:pPr>
      <w:r>
        <w:rPr>
          <w:rFonts w:hint="eastAsia"/>
          <w:sz w:val="22"/>
          <w:szCs w:val="22"/>
          <w:lang w:val="en-US" w:eastAsia="zh-CN"/>
        </w:rPr>
        <w:t>十六、</w:t>
      </w:r>
      <w:r>
        <w:rPr>
          <w:rFonts w:hint="eastAsia"/>
          <w:sz w:val="22"/>
          <w:szCs w:val="22"/>
        </w:rPr>
        <w:t>不可抗力</w:t>
      </w:r>
    </w:p>
    <w:p w14:paraId="4843D290">
      <w:pPr>
        <w:pStyle w:val="17"/>
        <w:spacing w:before="69" w:line="360" w:lineRule="auto"/>
        <w:ind w:left="436"/>
        <w:outlineLvl w:val="0"/>
        <w:rPr>
          <w:rFonts w:hint="eastAsia" w:ascii="宋体" w:hAnsi="宋体" w:eastAsia="宋体" w:cs="宋体"/>
          <w:color w:val="auto"/>
        </w:rPr>
      </w:pPr>
      <w:r>
        <w:rPr>
          <w:rFonts w:hint="eastAsia" w:ascii="宋体" w:hAnsi="宋体" w:cs="宋体"/>
          <w:b/>
          <w:bCs/>
          <w:color w:val="auto"/>
          <w:spacing w:val="2"/>
          <w:lang w:val="en-US" w:eastAsia="zh-CN"/>
        </w:rPr>
        <w:t xml:space="preserve">1. </w:t>
      </w:r>
      <w:r>
        <w:rPr>
          <w:rFonts w:hint="eastAsia" w:ascii="宋体" w:hAnsi="宋体" w:eastAsia="宋体" w:cs="宋体"/>
          <w:b/>
          <w:bCs/>
          <w:color w:val="auto"/>
          <w:spacing w:val="2"/>
        </w:rPr>
        <w:t>不可抗力的确认</w:t>
      </w:r>
    </w:p>
    <w:p w14:paraId="523DF21F">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（1）洪水、火山爆发、山崩、山体滑坡、泥石流、龙卷风、隧道内不可预测的突发性地质灾害等自然灾害；</w:t>
      </w:r>
    </w:p>
    <w:p w14:paraId="63FECEE0">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（2）骚乱、戒严、封锁、禁运、恐怖行为、等社会行为，但承包人或其分包人派遣与雇佣的人员由于合同工程施工原因引起的除外；</w:t>
      </w:r>
    </w:p>
    <w:p w14:paraId="11379C26">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（3）不能合理预见的重大交通阻滞、停运、交通事故，非双方责任引起的火灾、爆炸、船舶撞击等情形；</w:t>
      </w:r>
    </w:p>
    <w:p w14:paraId="01BB19B9">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（4）化学或放射性污染或核辐射；</w:t>
      </w:r>
    </w:p>
    <w:p w14:paraId="66AEAB0E">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（5）环保治理等政府行为导致项目停工的。</w:t>
      </w:r>
    </w:p>
    <w:p w14:paraId="46A9F030">
      <w:pPr>
        <w:pStyle w:val="17"/>
        <w:spacing w:line="360" w:lineRule="auto"/>
        <w:ind w:left="3" w:firstLine="398" w:firstLineChars="200"/>
        <w:rPr>
          <w:rFonts w:hint="eastAsia" w:ascii="宋体" w:hAnsi="宋体" w:eastAsia="宋体" w:cs="宋体"/>
          <w:b/>
          <w:bCs/>
          <w:color w:val="auto"/>
          <w:spacing w:val="-6"/>
        </w:rPr>
      </w:pPr>
      <w:r>
        <w:rPr>
          <w:rFonts w:hint="eastAsia" w:ascii="宋体" w:hAnsi="宋体" w:cs="宋体"/>
          <w:b/>
          <w:bCs/>
          <w:color w:val="auto"/>
          <w:spacing w:val="-6"/>
          <w:lang w:val="en-US" w:eastAsia="zh-CN"/>
        </w:rPr>
        <w:t xml:space="preserve">2. </w:t>
      </w:r>
      <w:r>
        <w:rPr>
          <w:rFonts w:hint="eastAsia" w:ascii="宋体" w:hAnsi="宋体" w:eastAsia="宋体" w:cs="宋体"/>
          <w:b/>
          <w:bCs/>
          <w:color w:val="auto"/>
          <w:spacing w:val="-6"/>
        </w:rPr>
        <w:t>不可抗力后果的承担</w:t>
      </w:r>
    </w:p>
    <w:p w14:paraId="62187AFC">
      <w:pPr>
        <w:pStyle w:val="17"/>
        <w:spacing w:line="360" w:lineRule="auto"/>
        <w:ind w:left="3" w:firstLine="396" w:firstLineChars="200"/>
        <w:rPr>
          <w:rFonts w:hint="eastAsia" w:ascii="宋体" w:hAnsi="宋体" w:eastAsia="宋体" w:cs="宋体"/>
          <w:color w:val="auto"/>
          <w:spacing w:val="-6"/>
        </w:rPr>
      </w:pPr>
      <w:r>
        <w:rPr>
          <w:rFonts w:hint="eastAsia" w:ascii="宋体" w:hAnsi="宋体" w:cs="宋体"/>
          <w:color w:val="auto"/>
          <w:spacing w:val="-6"/>
          <w:lang w:val="en-US" w:eastAsia="zh-CN"/>
        </w:rPr>
        <w:t>2.1</w:t>
      </w:r>
      <w:r>
        <w:rPr>
          <w:rFonts w:hint="eastAsia" w:ascii="宋体" w:hAnsi="宋体" w:eastAsia="宋体" w:cs="宋体"/>
          <w:color w:val="auto"/>
          <w:spacing w:val="-6"/>
        </w:rPr>
        <w:t>不可抗力引起的后果及造成的损失由合同当事人按照法律规定及合同约定各自承担。不可抗力发生前已完成的工程应当按照合同约定进行计量支付。</w:t>
      </w:r>
    </w:p>
    <w:p w14:paraId="4B00F692">
      <w:pPr>
        <w:pStyle w:val="17"/>
        <w:spacing w:line="360" w:lineRule="auto"/>
        <w:ind w:left="3" w:firstLine="396" w:firstLineChars="200"/>
        <w:rPr>
          <w:rFonts w:hint="eastAsia" w:ascii="宋体" w:hAnsi="宋体" w:eastAsia="宋体" w:cs="宋体"/>
          <w:color w:val="auto"/>
          <w:spacing w:val="-6"/>
        </w:rPr>
      </w:pPr>
      <w:r>
        <w:rPr>
          <w:rFonts w:hint="eastAsia" w:ascii="宋体" w:hAnsi="宋体" w:cs="宋体"/>
          <w:color w:val="auto"/>
          <w:spacing w:val="-6"/>
          <w:lang w:val="en-US" w:eastAsia="zh-CN"/>
        </w:rPr>
        <w:t>2.2</w:t>
      </w:r>
      <w:r>
        <w:rPr>
          <w:rFonts w:hint="eastAsia" w:ascii="宋体" w:hAnsi="宋体" w:eastAsia="宋体" w:cs="宋体"/>
          <w:color w:val="auto"/>
          <w:spacing w:val="-6"/>
        </w:rPr>
        <w:t>不可抗力导致的人员伤亡、财产损失、费用增加和（或）工期延误等后果，由合同当事人按以下原则承担：</w:t>
      </w:r>
    </w:p>
    <w:p w14:paraId="3993E0AC">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（1）永久工程、已运至施工现场的施工材料和工程设备的损坏，以及因工程损坏造成的第三方人员伤亡和财产损失由发包人承担；</w:t>
      </w:r>
    </w:p>
    <w:p w14:paraId="4DFB0259">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（2）承包人施工设备的损坏由承包人承担；</w:t>
      </w:r>
    </w:p>
    <w:p w14:paraId="0F2490CC">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（3）发包人和承包人承担各自人员伤亡和财产的损失；</w:t>
      </w:r>
    </w:p>
    <w:p w14:paraId="39887EC4">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（4）因不可抗力影响承包人履行合同约定的义务</w:t>
      </w:r>
      <w:r>
        <w:rPr>
          <w:rFonts w:hint="eastAsia" w:ascii="宋体" w:hAnsi="宋体" w:eastAsia="宋体" w:cs="宋体"/>
          <w:color w:val="auto"/>
          <w:spacing w:val="-6"/>
          <w:lang w:eastAsia="zh-CN"/>
        </w:rPr>
        <w:t>，</w:t>
      </w:r>
      <w:r>
        <w:rPr>
          <w:rFonts w:hint="eastAsia" w:ascii="宋体" w:hAnsi="宋体" w:eastAsia="宋体" w:cs="宋体"/>
          <w:color w:val="auto"/>
          <w:spacing w:val="-6"/>
        </w:rPr>
        <w:t>已经引起或将引起工期延误的，应当顺延工期，由此导致承包人停工的费用损失由发包人和承包人合理共担；</w:t>
      </w:r>
    </w:p>
    <w:p w14:paraId="316BC57A">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（5）因不可抗力引起或将引起工期延误，发包人要求赶工的，由此增加的赶工费用由发包人承担；</w:t>
      </w:r>
    </w:p>
    <w:p w14:paraId="6428367B">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（6）承包人在停工期间按照发包人要求照管、清理和修复工程的费用由发包人承担；</w:t>
      </w:r>
    </w:p>
    <w:p w14:paraId="00709A69">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（7）不可抗力事件发生后，合同当事人均应采取措施尽量避免和减少损失的扩大，任何一方当事人没有采取有效措施导致损失扩大的，应对扩大的损失承担责任。</w:t>
      </w:r>
    </w:p>
    <w:p w14:paraId="1F02A16E">
      <w:pPr>
        <w:pStyle w:val="17"/>
        <w:spacing w:line="360" w:lineRule="auto"/>
        <w:ind w:left="3" w:firstLine="398" w:firstLineChars="200"/>
        <w:rPr>
          <w:rFonts w:hint="eastAsia" w:ascii="宋体" w:hAnsi="宋体" w:eastAsia="宋体" w:cs="宋体"/>
          <w:b/>
          <w:bCs/>
          <w:color w:val="auto"/>
          <w:spacing w:val="-6"/>
          <w:highlight w:val="none"/>
          <w:lang w:val="en-US" w:eastAsia="zh-CN"/>
        </w:rPr>
      </w:pPr>
      <w:bookmarkStart w:id="705" w:name="_Toc532377174"/>
      <w:bookmarkStart w:id="706" w:name="_Toc532375581"/>
      <w:r>
        <w:rPr>
          <w:rFonts w:hint="eastAsia" w:ascii="宋体" w:hAnsi="宋体" w:eastAsia="宋体" w:cs="宋体"/>
          <w:b/>
          <w:bCs/>
          <w:color w:val="auto"/>
          <w:spacing w:val="-6"/>
          <w:kern w:val="2"/>
          <w:sz w:val="21"/>
          <w:szCs w:val="24"/>
          <w:highlight w:val="none"/>
          <w:lang w:val="en-US" w:eastAsia="zh-CN" w:bidi="ar-SA"/>
        </w:rPr>
        <w:t>十</w:t>
      </w:r>
      <w:r>
        <w:rPr>
          <w:rFonts w:hint="eastAsia" w:ascii="宋体" w:hAnsi="宋体" w:eastAsia="宋体" w:cs="宋体"/>
          <w:b/>
          <w:bCs/>
          <w:color w:val="auto"/>
          <w:spacing w:val="-6"/>
          <w:highlight w:val="none"/>
          <w:lang w:val="en-US" w:eastAsia="zh-CN"/>
        </w:rPr>
        <w:t>七、低价风险担保</w:t>
      </w:r>
    </w:p>
    <w:p w14:paraId="5D46C6B2">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1、低价风险担保：中标价低于最高限价的85%时提供，如不按时足额提供，视为中标人放弃中标，招标人有权不退还其投标保证金，并报招标投标监督部门，纳入重点关注名单。</w:t>
      </w:r>
    </w:p>
    <w:p w14:paraId="09666C6E">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2、中标人提供低价风险担保的形式、金额及期限：</w:t>
      </w:r>
    </w:p>
    <w:p w14:paraId="222C8B47">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（1）低价风险担保的形式：现金或银行保函或现金+银行保函的组合；采用银行保函形式的，保函必须为不可撤销、不可转让且见索即付的独立保函。</w:t>
      </w:r>
    </w:p>
    <w:p w14:paraId="1A77DDEC">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（2）低价风险担保的金额：（最高限价×85%-中标价）×□1□2☑3，且最高不超过最高限价的85%。</w:t>
      </w:r>
    </w:p>
    <w:p w14:paraId="48995DB5">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（3）低价风险担保的提交时间：合同签订前。</w:t>
      </w:r>
    </w:p>
    <w:p w14:paraId="73AE2D05">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（4）中标人因自身原因未按中标通知书规定的时限与招标人签订合同的，招标人有权扣除其低价风险担保并取消中标资格。</w:t>
      </w:r>
    </w:p>
    <w:p w14:paraId="3CC3A788">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（5）低价风险担保的期限：自低价风险担保生效之日起至竣工验收合格之日止。</w:t>
      </w:r>
    </w:p>
    <w:p w14:paraId="715EA142">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3、低价风险担保的退还时间：采用现金担保的，工程竣工验收合格后</w:t>
      </w:r>
      <w:r>
        <w:rPr>
          <w:rFonts w:hint="eastAsia" w:ascii="宋体" w:hAnsi="宋体" w:cs="宋体"/>
          <w:color w:val="auto"/>
          <w:spacing w:val="-6"/>
          <w:highlight w:val="none"/>
          <w:lang w:val="en-US" w:eastAsia="zh-CN"/>
        </w:rPr>
        <w:t>7</w:t>
      </w:r>
      <w:r>
        <w:rPr>
          <w:rFonts w:hint="eastAsia" w:ascii="宋体" w:hAnsi="宋体" w:eastAsia="宋体" w:cs="宋体"/>
          <w:color w:val="auto"/>
          <w:spacing w:val="-6"/>
          <w:highlight w:val="none"/>
          <w:lang w:val="en-US" w:eastAsia="zh-CN"/>
        </w:rPr>
        <w:t>天内退还，合同履行期间允许承包人用符合要求的银行保函进行置换；采用银行保函的，工程竣工验收合格后</w:t>
      </w:r>
      <w:r>
        <w:rPr>
          <w:rFonts w:hint="eastAsia" w:ascii="宋体" w:hAnsi="宋体" w:cs="宋体"/>
          <w:color w:val="auto"/>
          <w:spacing w:val="-6"/>
          <w:highlight w:val="none"/>
          <w:lang w:val="en-US" w:eastAsia="zh-CN"/>
        </w:rPr>
        <w:t>7</w:t>
      </w:r>
      <w:r>
        <w:rPr>
          <w:rFonts w:hint="eastAsia" w:ascii="宋体" w:hAnsi="宋体" w:eastAsia="宋体" w:cs="宋体"/>
          <w:color w:val="auto"/>
          <w:spacing w:val="-6"/>
          <w:highlight w:val="none"/>
          <w:lang w:val="en-US" w:eastAsia="zh-CN"/>
        </w:rPr>
        <w:t>天内退还。</w:t>
      </w:r>
    </w:p>
    <w:p w14:paraId="0A2E393E">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4、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5D1FB6E3">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备注：当中标人或拟中标人未按时提交低价风险担保，且属于可以延长低价风险担保提交期限的特殊情形时，经招标人同意，可适当延长低价风险担保的提交期限。</w:t>
      </w:r>
    </w:p>
    <w:p w14:paraId="0A1F9F68">
      <w:pPr>
        <w:pStyle w:val="17"/>
        <w:spacing w:line="360" w:lineRule="auto"/>
        <w:ind w:left="3" w:firstLine="398" w:firstLineChars="200"/>
        <w:rPr>
          <w:rFonts w:hint="default" w:ascii="宋体" w:hAnsi="宋体" w:eastAsia="宋体" w:cs="宋体"/>
          <w:b/>
          <w:bCs/>
          <w:color w:val="auto"/>
          <w:spacing w:val="-6"/>
          <w:highlight w:val="none"/>
          <w:lang w:val="en-US" w:eastAsia="zh-CN"/>
        </w:rPr>
      </w:pPr>
      <w:r>
        <w:rPr>
          <w:rFonts w:hint="eastAsia" w:ascii="宋体" w:hAnsi="宋体" w:eastAsia="宋体" w:cs="宋体"/>
          <w:b/>
          <w:bCs/>
          <w:color w:val="auto"/>
          <w:spacing w:val="-6"/>
          <w:highlight w:val="none"/>
          <w:lang w:val="en-US" w:eastAsia="zh-CN"/>
        </w:rPr>
        <w:t>十八、履约担保</w:t>
      </w:r>
    </w:p>
    <w:p w14:paraId="04FF1DF9">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1、中标人是否提供履约担保：提供。</w:t>
      </w:r>
    </w:p>
    <w:p w14:paraId="4B43C656">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2、中标人提供履约担保的形式、金额及期限：</w:t>
      </w:r>
    </w:p>
    <w:p w14:paraId="76C7F989">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（1）履约担保的形式：现金或履约保函或现金+履约保函的组合，履约保函包括银行保函、保证保险和担保保函。</w:t>
      </w:r>
    </w:p>
    <w:p w14:paraId="5073238A">
      <w:pPr>
        <w:pStyle w:val="17"/>
        <w:spacing w:line="360" w:lineRule="auto"/>
        <w:ind w:left="3" w:firstLine="396" w:firstLineChars="200"/>
        <w:rPr>
          <w:rFonts w:hint="default"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招标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14:paraId="58CECC89">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（3）履约担保的金额：中标合同金额的10%。</w:t>
      </w:r>
    </w:p>
    <w:p w14:paraId="567D96CC">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（4）履约担保的提交时间：合同签订前。</w:t>
      </w:r>
    </w:p>
    <w:p w14:paraId="0B59F375">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（5）履约担保的期限：自承包人法定代表人（或其委托代理人）签名并加盖单位公章之日起至发包人签发工程竣工报告之日止。</w:t>
      </w:r>
    </w:p>
    <w:p w14:paraId="4C238CCF">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（6）履约担保的退还时间：采用现金担保的，工程竣工验收合格后</w:t>
      </w:r>
      <w:r>
        <w:rPr>
          <w:rFonts w:hint="eastAsia" w:ascii="宋体" w:hAnsi="宋体" w:cs="宋体"/>
          <w:color w:val="auto"/>
          <w:spacing w:val="-6"/>
          <w:highlight w:val="none"/>
          <w:lang w:val="en-US" w:eastAsia="zh-CN"/>
        </w:rPr>
        <w:t>7天</w:t>
      </w:r>
      <w:r>
        <w:rPr>
          <w:rFonts w:hint="eastAsia" w:ascii="宋体" w:hAnsi="宋体" w:eastAsia="宋体" w:cs="宋体"/>
          <w:color w:val="auto"/>
          <w:spacing w:val="-6"/>
          <w:highlight w:val="none"/>
          <w:lang w:val="en-US" w:eastAsia="zh-CN"/>
        </w:rPr>
        <w:t>内退还；采用履约保函的，工程竣工验收合格后一个月内退还。</w:t>
      </w:r>
    </w:p>
    <w:p w14:paraId="7EBC113D">
      <w:pPr>
        <w:pStyle w:val="5"/>
        <w:keepNext/>
        <w:keepLines/>
        <w:spacing w:before="120" w:after="120" w:line="360" w:lineRule="auto"/>
        <w:ind w:firstLine="422" w:firstLineChars="200"/>
        <w:jc w:val="both"/>
        <w:rPr>
          <w:kern w:val="2"/>
          <w:sz w:val="21"/>
          <w:szCs w:val="21"/>
        </w:rPr>
      </w:pPr>
      <w:r>
        <w:rPr>
          <w:rFonts w:hint="eastAsia"/>
          <w:kern w:val="2"/>
          <w:sz w:val="21"/>
          <w:szCs w:val="21"/>
          <w:lang w:val="en-US" w:eastAsia="zh-CN"/>
        </w:rPr>
        <w:t>十九</w:t>
      </w:r>
      <w:r>
        <w:rPr>
          <w:rFonts w:hint="eastAsia"/>
          <w:kern w:val="2"/>
          <w:sz w:val="21"/>
          <w:szCs w:val="21"/>
        </w:rPr>
        <w:t>、签订时间</w:t>
      </w:r>
      <w:bookmarkEnd w:id="705"/>
      <w:bookmarkEnd w:id="706"/>
    </w:p>
    <w:p w14:paraId="3553AB6F">
      <w:pPr>
        <w:spacing w:line="360" w:lineRule="auto"/>
        <w:ind w:firstLine="420" w:firstLineChars="200"/>
        <w:rPr>
          <w:rFonts w:hint="eastAsia" w:ascii="宋体" w:hAnsi="宋体" w:eastAsia="宋体"/>
          <w:szCs w:val="21"/>
          <w:lang w:eastAsia="zh-CN"/>
        </w:rPr>
      </w:pPr>
      <w:r>
        <w:rPr>
          <w:rFonts w:hint="eastAsia" w:ascii="宋体" w:hAnsi="宋体"/>
          <w:bCs/>
          <w:szCs w:val="21"/>
        </w:rPr>
        <w:t>合同于</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日签订</w:t>
      </w:r>
      <w:r>
        <w:rPr>
          <w:rFonts w:hint="eastAsia" w:ascii="宋体" w:hAnsi="宋体"/>
          <w:bCs/>
          <w:szCs w:val="21"/>
          <w:lang w:eastAsia="zh-CN"/>
        </w:rPr>
        <w:t>。</w:t>
      </w:r>
    </w:p>
    <w:p w14:paraId="5C647E43">
      <w:pPr>
        <w:pStyle w:val="5"/>
        <w:keepNext/>
        <w:keepLines/>
        <w:spacing w:before="120" w:after="120" w:line="360" w:lineRule="auto"/>
        <w:ind w:firstLine="422" w:firstLineChars="200"/>
        <w:jc w:val="both"/>
        <w:rPr>
          <w:kern w:val="2"/>
          <w:sz w:val="21"/>
          <w:szCs w:val="21"/>
        </w:rPr>
      </w:pPr>
      <w:bookmarkStart w:id="707" w:name="_Toc351203489"/>
      <w:bookmarkStart w:id="708" w:name="_Toc532375582"/>
      <w:bookmarkStart w:id="709" w:name="_Toc532377175"/>
      <w:r>
        <w:rPr>
          <w:rFonts w:hint="eastAsia"/>
          <w:kern w:val="2"/>
          <w:sz w:val="21"/>
          <w:szCs w:val="21"/>
          <w:lang w:val="en-US" w:eastAsia="zh-CN"/>
        </w:rPr>
        <w:t>二十</w:t>
      </w:r>
      <w:r>
        <w:rPr>
          <w:rFonts w:hint="eastAsia"/>
          <w:kern w:val="2"/>
          <w:sz w:val="21"/>
          <w:szCs w:val="21"/>
        </w:rPr>
        <w:t>、</w:t>
      </w:r>
      <w:bookmarkEnd w:id="707"/>
      <w:bookmarkStart w:id="710" w:name="_Toc351203490"/>
      <w:r>
        <w:rPr>
          <w:rFonts w:hint="eastAsia"/>
          <w:kern w:val="2"/>
          <w:sz w:val="21"/>
          <w:szCs w:val="21"/>
        </w:rPr>
        <w:t>签订地点</w:t>
      </w:r>
      <w:bookmarkEnd w:id="708"/>
      <w:bookmarkEnd w:id="709"/>
      <w:bookmarkEnd w:id="710"/>
    </w:p>
    <w:p w14:paraId="66ADFDA1">
      <w:pPr>
        <w:spacing w:line="360"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合同在</w:t>
      </w:r>
      <w:r>
        <w:rPr>
          <w:rFonts w:hint="eastAsia" w:ascii="宋体" w:hAnsi="宋体" w:eastAsia="宋体" w:cs="Times New Roman"/>
          <w:bCs/>
          <w:szCs w:val="21"/>
          <w:u w:val="single"/>
        </w:rPr>
        <w:t xml:space="preserve">        </w:t>
      </w:r>
      <w:r>
        <w:rPr>
          <w:rFonts w:hint="eastAsia" w:ascii="宋体" w:hAnsi="宋体" w:cs="Times New Roman"/>
          <w:bCs/>
          <w:szCs w:val="21"/>
          <w:u w:val="single"/>
          <w:lang w:val="en-US" w:eastAsia="zh-CN"/>
        </w:rPr>
        <w:t xml:space="preserve">                 </w:t>
      </w:r>
      <w:r>
        <w:rPr>
          <w:rFonts w:hint="eastAsia" w:ascii="宋体" w:hAnsi="宋体" w:eastAsia="宋体" w:cs="Times New Roman"/>
          <w:bCs/>
          <w:szCs w:val="21"/>
        </w:rPr>
        <w:t>签订。</w:t>
      </w:r>
    </w:p>
    <w:p w14:paraId="13EF3B6E">
      <w:pPr>
        <w:pStyle w:val="5"/>
        <w:keepNext/>
        <w:keepLines/>
        <w:spacing w:before="120" w:after="120" w:line="360" w:lineRule="auto"/>
        <w:ind w:firstLine="422" w:firstLineChars="200"/>
        <w:jc w:val="both"/>
        <w:rPr>
          <w:kern w:val="2"/>
          <w:sz w:val="21"/>
          <w:szCs w:val="21"/>
        </w:rPr>
      </w:pPr>
      <w:r>
        <w:rPr>
          <w:rFonts w:hint="eastAsia"/>
          <w:kern w:val="2"/>
          <w:sz w:val="21"/>
          <w:szCs w:val="21"/>
          <w:lang w:val="en-US" w:eastAsia="zh-CN"/>
        </w:rPr>
        <w:t>二十一</w:t>
      </w:r>
      <w:r>
        <w:rPr>
          <w:rFonts w:hint="eastAsia"/>
          <w:kern w:val="2"/>
          <w:sz w:val="21"/>
          <w:szCs w:val="21"/>
        </w:rPr>
        <w:t>、补充协议</w:t>
      </w:r>
      <w:bookmarkEnd w:id="701"/>
      <w:bookmarkEnd w:id="702"/>
      <w:bookmarkEnd w:id="703"/>
    </w:p>
    <w:p w14:paraId="28C50A07">
      <w:pPr>
        <w:spacing w:line="360" w:lineRule="auto"/>
        <w:ind w:firstLine="420" w:firstLineChars="200"/>
        <w:rPr>
          <w:rFonts w:ascii="宋体" w:hAnsi="宋体"/>
          <w:b/>
          <w:bCs/>
          <w:szCs w:val="21"/>
        </w:rPr>
      </w:pPr>
      <w:r>
        <w:rPr>
          <w:rFonts w:hint="eastAsia" w:ascii="宋体" w:hAnsi="宋体"/>
          <w:bCs/>
          <w:szCs w:val="21"/>
        </w:rPr>
        <w:t>合同未尽事宜，合同当事人另行签订补充协议，补充协议是合同的组成部分。</w:t>
      </w:r>
    </w:p>
    <w:p w14:paraId="560614DD">
      <w:pPr>
        <w:pStyle w:val="5"/>
        <w:keepNext/>
        <w:keepLines/>
        <w:spacing w:before="120" w:after="120" w:line="360" w:lineRule="auto"/>
        <w:ind w:firstLine="422" w:firstLineChars="200"/>
        <w:jc w:val="both"/>
        <w:rPr>
          <w:kern w:val="2"/>
          <w:sz w:val="21"/>
          <w:szCs w:val="21"/>
        </w:rPr>
      </w:pPr>
      <w:bookmarkStart w:id="711" w:name="_Toc351203492"/>
      <w:bookmarkStart w:id="712" w:name="_Toc532375584"/>
      <w:bookmarkStart w:id="713" w:name="_Toc532377177"/>
      <w:r>
        <w:rPr>
          <w:rFonts w:hint="eastAsia"/>
          <w:kern w:val="2"/>
          <w:sz w:val="21"/>
          <w:szCs w:val="21"/>
          <w:lang w:val="en-US" w:eastAsia="zh-CN"/>
        </w:rPr>
        <w:t>二十二</w:t>
      </w:r>
      <w:r>
        <w:rPr>
          <w:rFonts w:hint="eastAsia"/>
          <w:kern w:val="2"/>
          <w:sz w:val="21"/>
          <w:szCs w:val="21"/>
        </w:rPr>
        <w:t>、合同生效</w:t>
      </w:r>
      <w:bookmarkEnd w:id="711"/>
      <w:bookmarkEnd w:id="712"/>
      <w:bookmarkEnd w:id="713"/>
    </w:p>
    <w:p w14:paraId="5E07F3BC">
      <w:pPr>
        <w:spacing w:line="360" w:lineRule="auto"/>
        <w:ind w:firstLine="420" w:firstLineChars="200"/>
        <w:rPr>
          <w:rFonts w:ascii="宋体" w:hAnsi="宋体"/>
          <w:bCs/>
          <w:szCs w:val="21"/>
        </w:rPr>
      </w:pPr>
      <w:r>
        <w:rPr>
          <w:rFonts w:hint="eastAsia" w:ascii="宋体" w:hAnsi="宋体"/>
          <w:bCs/>
          <w:szCs w:val="21"/>
        </w:rPr>
        <w:t>合同在以下条件全部满足之后生效：</w:t>
      </w:r>
    </w:p>
    <w:p w14:paraId="1AFF1830">
      <w:pPr>
        <w:spacing w:line="360" w:lineRule="auto"/>
        <w:ind w:firstLine="420" w:firstLineChars="200"/>
        <w:rPr>
          <w:rFonts w:ascii="宋体" w:hAnsi="宋体"/>
          <w:szCs w:val="21"/>
        </w:rPr>
      </w:pPr>
      <w:r>
        <w:rPr>
          <w:rFonts w:hint="eastAsia" w:ascii="宋体" w:hAnsi="宋体"/>
          <w:bCs/>
          <w:szCs w:val="21"/>
        </w:rPr>
        <w:t>合同</w:t>
      </w:r>
      <w:r>
        <w:rPr>
          <w:rFonts w:hint="eastAsia" w:ascii="宋体" w:hAnsi="宋体"/>
          <w:szCs w:val="21"/>
        </w:rPr>
        <w:t>经双方法定代表人或其委托代理人签名并加盖</w:t>
      </w:r>
      <w:r>
        <w:rPr>
          <w:rFonts w:hint="eastAsia" w:ascii="宋体" w:hAnsi="宋体"/>
          <w:szCs w:val="21"/>
          <w:lang w:val="en-US" w:eastAsia="zh-CN"/>
        </w:rPr>
        <w:t>单位</w:t>
      </w:r>
      <w:r>
        <w:rPr>
          <w:rFonts w:hint="eastAsia" w:ascii="宋体" w:hAnsi="宋体"/>
          <w:snapToGrid w:val="0"/>
          <w:kern w:val="0"/>
          <w:szCs w:val="21"/>
        </w:rPr>
        <w:t>公章或合同专用章</w:t>
      </w:r>
      <w:r>
        <w:rPr>
          <w:rFonts w:hint="eastAsia" w:ascii="宋体" w:hAnsi="宋体"/>
          <w:szCs w:val="21"/>
        </w:rPr>
        <w:t>；</w:t>
      </w:r>
    </w:p>
    <w:p w14:paraId="794B1520">
      <w:pPr>
        <w:pStyle w:val="5"/>
        <w:keepNext/>
        <w:keepLines/>
        <w:spacing w:before="120" w:after="120" w:line="360" w:lineRule="auto"/>
        <w:ind w:firstLine="422" w:firstLineChars="200"/>
        <w:jc w:val="both"/>
        <w:rPr>
          <w:kern w:val="2"/>
          <w:sz w:val="21"/>
          <w:szCs w:val="21"/>
        </w:rPr>
      </w:pPr>
      <w:bookmarkStart w:id="714" w:name="_Toc532377178"/>
      <w:bookmarkStart w:id="715" w:name="_Toc532375585"/>
      <w:bookmarkStart w:id="716" w:name="_Toc351203493"/>
      <w:r>
        <w:rPr>
          <w:rFonts w:hint="eastAsia"/>
          <w:kern w:val="2"/>
          <w:sz w:val="21"/>
          <w:szCs w:val="21"/>
          <w:lang w:val="en-US" w:eastAsia="zh-CN"/>
        </w:rPr>
        <w:t>二十三</w:t>
      </w:r>
      <w:r>
        <w:rPr>
          <w:rFonts w:hint="eastAsia"/>
          <w:kern w:val="2"/>
          <w:sz w:val="21"/>
          <w:szCs w:val="21"/>
        </w:rPr>
        <w:t>、合同份数</w:t>
      </w:r>
      <w:bookmarkEnd w:id="714"/>
      <w:bookmarkEnd w:id="715"/>
      <w:bookmarkEnd w:id="716"/>
    </w:p>
    <w:p w14:paraId="7EA7744C">
      <w:pPr>
        <w:spacing w:line="360" w:lineRule="auto"/>
        <w:ind w:firstLine="420" w:firstLineChars="200"/>
        <w:rPr>
          <w:rFonts w:hint="eastAsia" w:ascii="宋体" w:hAnsi="宋体"/>
          <w:bCs/>
          <w:szCs w:val="21"/>
        </w:rPr>
      </w:pPr>
      <w:r>
        <w:rPr>
          <w:rFonts w:hint="eastAsia" w:ascii="宋体" w:hAnsi="宋体" w:cs="Microsoft Sans Serif"/>
          <w:bCs/>
          <w:szCs w:val="21"/>
        </w:rPr>
        <w:t>本合同一式伍份，甲方执肆份，乙方执壹份，具同等法律效力</w:t>
      </w:r>
      <w:r>
        <w:rPr>
          <w:rFonts w:hint="eastAsia" w:ascii="宋体" w:hAnsi="宋体"/>
          <w:bCs/>
          <w:szCs w:val="21"/>
        </w:rPr>
        <w:t>。</w:t>
      </w:r>
    </w:p>
    <w:p w14:paraId="1F0C6C37">
      <w:pPr>
        <w:spacing w:line="360" w:lineRule="auto"/>
        <w:ind w:firstLine="420" w:firstLineChars="200"/>
        <w:rPr>
          <w:rFonts w:hint="eastAsia" w:ascii="宋体" w:hAnsi="宋体"/>
          <w:bCs/>
          <w:szCs w:val="21"/>
        </w:rPr>
      </w:pPr>
      <w:r>
        <w:rPr>
          <w:rFonts w:hint="eastAsia" w:ascii="宋体" w:hAnsi="宋体"/>
          <w:bCs/>
          <w:szCs w:val="21"/>
        </w:rPr>
        <w:t>（以下为签名盖章页）。</w:t>
      </w:r>
    </w:p>
    <w:p w14:paraId="3C7BE50C">
      <w:pPr>
        <w:adjustRightInd/>
        <w:spacing w:line="240" w:lineRule="auto"/>
        <w:ind w:firstLine="0" w:firstLineChars="0"/>
        <w:rPr>
          <w:rFonts w:ascii="宋体" w:hAnsi="宋体"/>
          <w:snapToGrid w:val="0"/>
          <w:kern w:val="0"/>
          <w:szCs w:val="21"/>
        </w:rPr>
      </w:pPr>
      <w:bookmarkStart w:id="717" w:name="_Toc467689623"/>
    </w:p>
    <w:p w14:paraId="3E2C997C">
      <w:pPr>
        <w:adjustRightInd w:val="0"/>
        <w:spacing w:line="360" w:lineRule="auto"/>
        <w:ind w:firstLine="420" w:firstLineChars="200"/>
        <w:rPr>
          <w:rFonts w:ascii="宋体" w:hAnsi="宋体"/>
          <w:snapToGrid w:val="0"/>
          <w:kern w:val="0"/>
          <w:szCs w:val="21"/>
        </w:rPr>
      </w:pPr>
      <w:r>
        <w:rPr>
          <w:rFonts w:ascii="宋体" w:hAnsi="宋体"/>
          <w:snapToGrid w:val="0"/>
          <w:kern w:val="0"/>
          <w:szCs w:val="21"/>
        </w:rPr>
        <w:t>发包人：</w:t>
      </w:r>
      <w:r>
        <w:rPr>
          <w:rFonts w:ascii="宋体" w:hAnsi="宋体"/>
          <w:snapToGrid w:val="0"/>
          <w:kern w:val="0"/>
          <w:szCs w:val="21"/>
          <w:u w:val="single"/>
        </w:rPr>
        <w:t xml:space="preserve">   </w:t>
      </w:r>
      <w:r>
        <w:rPr>
          <w:rFonts w:hint="eastAsia" w:ascii="宋体" w:hAnsi="宋体"/>
          <w:snapToGrid w:val="0"/>
          <w:kern w:val="0"/>
          <w:szCs w:val="21"/>
          <w:u w:val="single"/>
        </w:rPr>
        <w:t xml:space="preserve">重庆长安智慧城市运营管理有限公司   </w:t>
      </w:r>
      <w:r>
        <w:rPr>
          <w:rFonts w:hint="eastAsia" w:ascii="宋体" w:hAnsi="宋体"/>
          <w:snapToGrid w:val="0"/>
          <w:kern w:val="0"/>
          <w:szCs w:val="21"/>
          <w:u w:val="single"/>
          <w:lang w:val="en-US" w:eastAsia="zh-CN"/>
        </w:rPr>
        <w:t xml:space="preserve">  </w:t>
      </w:r>
      <w:r>
        <w:rPr>
          <w:rFonts w:ascii="宋体" w:hAnsi="宋体"/>
          <w:snapToGrid w:val="0"/>
          <w:kern w:val="0"/>
          <w:szCs w:val="21"/>
        </w:rPr>
        <w:t>（</w:t>
      </w:r>
      <w:r>
        <w:rPr>
          <w:rFonts w:hint="eastAsia" w:ascii="宋体" w:hAnsi="宋体"/>
          <w:snapToGrid w:val="0"/>
          <w:kern w:val="0"/>
          <w:szCs w:val="21"/>
          <w:lang w:val="en-US" w:eastAsia="zh-CN"/>
        </w:rPr>
        <w:t>盖单位</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14:paraId="42FC93BB">
      <w:pPr>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p>
    <w:p w14:paraId="052955BF">
      <w:pPr>
        <w:spacing w:line="360" w:lineRule="auto"/>
        <w:ind w:firstLine="420" w:firstLineChars="200"/>
        <w:rPr>
          <w:rFonts w:ascii="宋体" w:hAnsi="宋体"/>
          <w:snapToGrid w:val="0"/>
          <w:kern w:val="0"/>
          <w:szCs w:val="21"/>
        </w:rPr>
      </w:pPr>
      <w:r>
        <w:rPr>
          <w:rFonts w:hint="eastAsia" w:ascii="宋体" w:hAnsi="宋体"/>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91500105202810810G</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p>
    <w:p w14:paraId="59C2A314">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地    址：</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重庆市江北区建新东路51号附10号</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p>
    <w:p w14:paraId="72B03A25">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023-67591771</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p>
    <w:p w14:paraId="35987121">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开户银行：</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中国建设银行重庆江北鲤鱼池支行</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p>
    <w:p w14:paraId="64214476">
      <w:pPr>
        <w:spacing w:line="360" w:lineRule="auto"/>
        <w:ind w:firstLine="420" w:firstLineChars="200"/>
        <w:rPr>
          <w:rFonts w:ascii="宋体" w:hAnsi="宋体"/>
          <w:szCs w:val="21"/>
        </w:rPr>
      </w:pPr>
      <w:r>
        <w:rPr>
          <w:rFonts w:hint="eastAsia" w:ascii="宋体" w:hAnsi="宋体"/>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50001063800050201994</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p>
    <w:p w14:paraId="76BB8B83">
      <w:pPr>
        <w:spacing w:line="360" w:lineRule="auto"/>
        <w:rPr>
          <w:rFonts w:ascii="宋体" w:hAnsi="宋体"/>
          <w:snapToGrid w:val="0"/>
          <w:kern w:val="0"/>
          <w:szCs w:val="21"/>
        </w:rPr>
      </w:pPr>
    </w:p>
    <w:p w14:paraId="37B73381">
      <w:pPr>
        <w:spacing w:line="360" w:lineRule="auto"/>
        <w:ind w:firstLine="420" w:firstLineChars="200"/>
        <w:rPr>
          <w:rFonts w:ascii="宋体" w:hAnsi="宋体"/>
          <w:szCs w:val="21"/>
        </w:rPr>
      </w:pPr>
      <w:r>
        <w:rPr>
          <w:rFonts w:ascii="宋体" w:hAnsi="宋体"/>
          <w:snapToGrid w:val="0"/>
          <w:kern w:val="0"/>
          <w:szCs w:val="21"/>
        </w:rPr>
        <w:t>承包人：</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r>
        <w:rPr>
          <w:rFonts w:ascii="宋体" w:hAnsi="宋体"/>
          <w:snapToGrid w:val="0"/>
          <w:kern w:val="0"/>
          <w:szCs w:val="21"/>
        </w:rPr>
        <w:t>（</w:t>
      </w:r>
      <w:r>
        <w:rPr>
          <w:rFonts w:hint="eastAsia" w:ascii="宋体" w:hAnsi="宋体"/>
          <w:snapToGrid w:val="0"/>
          <w:kern w:val="0"/>
          <w:szCs w:val="21"/>
          <w:lang w:val="en-US" w:eastAsia="zh-CN"/>
        </w:rPr>
        <w:t>盖单位</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14:paraId="0EF11FD9">
      <w:pPr>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hint="eastAsia" w:ascii="宋体" w:hAnsi="宋体"/>
          <w:snapToGrid w:val="0"/>
          <w:w w:val="200"/>
          <w:kern w:val="0"/>
          <w:szCs w:val="21"/>
          <w:u w:val="single"/>
          <w:lang w:val="en-US" w:eastAsia="zh-CN"/>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p>
    <w:p w14:paraId="5A2908FA">
      <w:pPr>
        <w:spacing w:line="360" w:lineRule="auto"/>
        <w:ind w:firstLine="420" w:firstLineChars="200"/>
        <w:rPr>
          <w:rFonts w:hint="default" w:ascii="宋体" w:hAnsi="宋体" w:eastAsia="宋体"/>
          <w:snapToGrid w:val="0"/>
          <w:kern w:val="0"/>
          <w:szCs w:val="21"/>
          <w:lang w:val="en-US" w:eastAsia="zh-CN"/>
        </w:rPr>
      </w:pPr>
      <w:r>
        <w:rPr>
          <w:rFonts w:hint="eastAsia" w:ascii="宋体" w:hAnsi="宋体"/>
          <w:snapToGrid w:val="0"/>
          <w:kern w:val="0"/>
          <w:szCs w:val="21"/>
        </w:rPr>
        <w:t>统一社会信用代码：</w:t>
      </w:r>
      <w:r>
        <w:rPr>
          <w:rFonts w:ascii="宋体" w:hAnsi="宋体"/>
          <w:snapToGrid w:val="0"/>
          <w:w w:val="200"/>
          <w:kern w:val="0"/>
          <w:szCs w:val="21"/>
          <w:u w:val="single"/>
        </w:rPr>
        <w:t xml:space="preserve"> </w:t>
      </w:r>
      <w:r>
        <w:rPr>
          <w:rFonts w:hint="eastAsia" w:ascii="宋体" w:hAnsi="宋体"/>
          <w:snapToGrid w:val="0"/>
          <w:w w:val="200"/>
          <w:kern w:val="0"/>
          <w:szCs w:val="21"/>
          <w:u w:val="single"/>
          <w:lang w:val="en-US" w:eastAsia="zh-CN"/>
        </w:rPr>
        <w:t xml:space="preserve">           </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p>
    <w:p w14:paraId="11939071">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地    址：</w:t>
      </w:r>
      <w:r>
        <w:rPr>
          <w:rFonts w:ascii="宋体" w:hAnsi="宋体"/>
          <w:snapToGrid w:val="0"/>
          <w:w w:val="200"/>
          <w:kern w:val="0"/>
          <w:szCs w:val="21"/>
          <w:u w:val="single"/>
        </w:rPr>
        <w:t xml:space="preserve"> </w:t>
      </w:r>
      <w:r>
        <w:rPr>
          <w:rFonts w:hint="eastAsia" w:ascii="宋体" w:hAnsi="宋体"/>
          <w:snapToGrid w:val="0"/>
          <w:kern w:val="0"/>
          <w:szCs w:val="21"/>
          <w:u w:val="single"/>
          <w:lang w:val="en-US" w:eastAsia="zh-CN"/>
        </w:rPr>
        <w:t xml:space="preserve">                                         </w:t>
      </w:r>
    </w:p>
    <w:p w14:paraId="3976B4C5">
      <w:pPr>
        <w:spacing w:line="360" w:lineRule="auto"/>
        <w:ind w:firstLine="420" w:firstLineChars="200"/>
        <w:rPr>
          <w:rFonts w:hint="default" w:ascii="宋体" w:hAnsi="宋体" w:eastAsia="宋体"/>
          <w:snapToGrid w:val="0"/>
          <w:kern w:val="0"/>
          <w:szCs w:val="21"/>
          <w:u w:val="single"/>
          <w:lang w:val="en-US" w:eastAsia="zh-CN"/>
        </w:rPr>
      </w:pPr>
      <w:r>
        <w:rPr>
          <w:rFonts w:hint="eastAsia" w:ascii="宋体" w:hAnsi="宋体"/>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p>
    <w:p w14:paraId="4AA54277">
      <w:pPr>
        <w:spacing w:line="360" w:lineRule="auto"/>
        <w:ind w:firstLine="420" w:firstLineChars="200"/>
        <w:rPr>
          <w:rFonts w:hint="default" w:ascii="宋体" w:hAnsi="宋体" w:eastAsia="宋体"/>
          <w:snapToGrid w:val="0"/>
          <w:kern w:val="0"/>
          <w:szCs w:val="21"/>
          <w:u w:val="single"/>
          <w:lang w:val="en-US" w:eastAsia="zh-CN"/>
        </w:rPr>
      </w:pPr>
      <w:r>
        <w:rPr>
          <w:rFonts w:hint="eastAsia" w:ascii="宋体" w:hAnsi="宋体"/>
          <w:snapToGrid w:val="0"/>
          <w:kern w:val="0"/>
          <w:szCs w:val="21"/>
        </w:rPr>
        <w:t>开户银行：</w:t>
      </w:r>
      <w:r>
        <w:rPr>
          <w:rFonts w:hint="eastAsia" w:ascii="宋体" w:hAnsi="宋体"/>
          <w:snapToGrid w:val="0"/>
          <w:w w:val="100"/>
          <w:kern w:val="0"/>
          <w:szCs w:val="21"/>
          <w:u w:val="single"/>
          <w:lang w:val="en-US" w:eastAsia="zh-CN"/>
        </w:rPr>
        <w:t xml:space="preserve">                                           </w:t>
      </w:r>
    </w:p>
    <w:p w14:paraId="42FD1473">
      <w:pPr>
        <w:spacing w:line="360" w:lineRule="auto"/>
        <w:ind w:firstLine="420" w:firstLineChars="200"/>
        <w:rPr>
          <w:rFonts w:hint="default" w:ascii="宋体" w:hAnsi="宋体" w:eastAsia="宋体"/>
          <w:snapToGrid w:val="0"/>
          <w:kern w:val="0"/>
          <w:szCs w:val="21"/>
          <w:u w:val="single"/>
          <w:lang w:val="en-US" w:eastAsia="zh-CN"/>
        </w:rPr>
      </w:pPr>
      <w:r>
        <w:rPr>
          <w:rFonts w:hint="eastAsia" w:ascii="宋体" w:hAnsi="宋体"/>
          <w:snapToGrid w:val="0"/>
          <w:kern w:val="0"/>
          <w:szCs w:val="21"/>
        </w:rPr>
        <w:t>账    号：</w:t>
      </w:r>
      <w:r>
        <w:rPr>
          <w:rFonts w:ascii="宋体" w:hAnsi="宋体"/>
          <w:snapToGrid w:val="0"/>
          <w:w w:val="200"/>
          <w:kern w:val="0"/>
          <w:szCs w:val="21"/>
          <w:u w:val="single"/>
        </w:rPr>
        <w:t xml:space="preserve"> </w:t>
      </w:r>
      <w:r>
        <w:rPr>
          <w:rFonts w:hint="eastAsia" w:ascii="宋体" w:hAnsi="宋体"/>
          <w:snapToGrid w:val="0"/>
          <w:w w:val="200"/>
          <w:kern w:val="0"/>
          <w:szCs w:val="21"/>
          <w:u w:val="single"/>
          <w:lang w:val="en-US" w:eastAsia="zh-CN"/>
        </w:rPr>
        <w:t xml:space="preserve">              </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p>
    <w:p w14:paraId="69265154">
      <w:pPr>
        <w:pStyle w:val="17"/>
        <w:spacing w:line="360" w:lineRule="auto"/>
        <w:rPr>
          <w:rFonts w:ascii="宋体" w:hAnsi="宋体"/>
          <w:szCs w:val="21"/>
        </w:rPr>
      </w:pPr>
    </w:p>
    <w:bookmarkEnd w:id="717"/>
    <w:p w14:paraId="5C2FAED4">
      <w:pPr>
        <w:snapToGrid w:val="0"/>
        <w:spacing w:before="260" w:after="260"/>
        <w:outlineLvl w:val="2"/>
        <w:rPr>
          <w:b/>
          <w:bCs/>
          <w:kern w:val="2"/>
          <w:sz w:val="21"/>
          <w:szCs w:val="21"/>
        </w:rPr>
      </w:pPr>
      <w:bookmarkStart w:id="718" w:name="baidusnap3"/>
      <w:bookmarkEnd w:id="718"/>
      <w:bookmarkStart w:id="719" w:name="baidusnap7"/>
      <w:bookmarkEnd w:id="719"/>
      <w:bookmarkStart w:id="720" w:name="_Toc532377425"/>
      <w:bookmarkStart w:id="721" w:name="_Toc532375686"/>
      <w:bookmarkStart w:id="722" w:name="_Toc351203652"/>
      <w:r>
        <w:rPr>
          <w:rFonts w:hint="eastAsia"/>
          <w:b/>
          <w:bCs/>
          <w:kern w:val="2"/>
          <w:sz w:val="21"/>
          <w:szCs w:val="21"/>
        </w:rPr>
        <w:t>合同附件</w:t>
      </w:r>
      <w:bookmarkEnd w:id="720"/>
      <w:bookmarkEnd w:id="721"/>
    </w:p>
    <w:p w14:paraId="572FB79B">
      <w:pPr>
        <w:spacing w:line="360" w:lineRule="auto"/>
        <w:ind w:right="105" w:rightChars="50" w:firstLine="420" w:firstLineChars="200"/>
        <w:jc w:val="left"/>
        <w:rPr>
          <w:rFonts w:ascii="宋体" w:hAnsi="宋体"/>
          <w:szCs w:val="21"/>
        </w:rPr>
      </w:pPr>
      <w:r>
        <w:rPr>
          <w:rFonts w:hint="eastAsia" w:ascii="宋体" w:hAnsi="宋体"/>
          <w:szCs w:val="21"/>
        </w:rPr>
        <w:t>以下附件是本合同的有效组成部分：</w:t>
      </w:r>
    </w:p>
    <w:p w14:paraId="4D33DBB8">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hint="eastAsia" w:ascii="宋体" w:hAnsi="宋体"/>
          <w:szCs w:val="21"/>
          <w:lang w:val="en-US" w:eastAsia="zh-CN"/>
        </w:rPr>
        <w:t>1</w:t>
      </w:r>
      <w:r>
        <w:rPr>
          <w:rFonts w:hint="eastAsia" w:ascii="宋体" w:hAnsi="宋体"/>
          <w:szCs w:val="21"/>
        </w:rPr>
        <w:t>：廉洁从业协议</w:t>
      </w:r>
    </w:p>
    <w:p w14:paraId="20C0CA4E">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hint="eastAsia" w:ascii="宋体" w:hAnsi="宋体"/>
          <w:szCs w:val="21"/>
          <w:lang w:val="en-US" w:eastAsia="zh-CN"/>
        </w:rPr>
        <w:t>2</w:t>
      </w:r>
      <w:r>
        <w:rPr>
          <w:rFonts w:hint="eastAsia" w:ascii="宋体" w:hAnsi="宋体"/>
          <w:szCs w:val="21"/>
        </w:rPr>
        <w:t>：安全管理协议</w:t>
      </w:r>
    </w:p>
    <w:bookmarkEnd w:id="722"/>
    <w:p w14:paraId="6F0E2580">
      <w:pPr>
        <w:spacing w:line="360" w:lineRule="auto"/>
        <w:ind w:firstLine="420" w:firstLineChars="200"/>
        <w:jc w:val="left"/>
        <w:rPr>
          <w:rFonts w:ascii="宋体" w:hAnsi="宋体"/>
          <w:szCs w:val="21"/>
        </w:rPr>
      </w:pPr>
      <w:r>
        <w:rPr>
          <w:rFonts w:hint="eastAsia" w:ascii="宋体" w:hAnsi="宋体"/>
          <w:szCs w:val="21"/>
        </w:rPr>
        <w:br w:type="page"/>
      </w:r>
    </w:p>
    <w:p w14:paraId="48A1A862">
      <w:pPr>
        <w:spacing w:line="480" w:lineRule="auto"/>
        <w:rPr>
          <w:rFonts w:ascii="宋体" w:hAnsi="宋体"/>
          <w:szCs w:val="21"/>
        </w:rPr>
      </w:pPr>
      <w:r>
        <w:rPr>
          <w:rFonts w:hint="eastAsia" w:ascii="宋体" w:hAnsi="宋体"/>
          <w:szCs w:val="21"/>
        </w:rPr>
        <w:t>附件</w:t>
      </w:r>
      <w:r>
        <w:rPr>
          <w:rFonts w:hint="eastAsia" w:ascii="宋体" w:hAnsi="宋体"/>
          <w:szCs w:val="21"/>
          <w:lang w:val="en-US" w:eastAsia="zh-CN"/>
        </w:rPr>
        <w:t>1</w:t>
      </w:r>
      <w:r>
        <w:rPr>
          <w:rFonts w:hint="eastAsia" w:ascii="宋体" w:hAnsi="宋体"/>
          <w:szCs w:val="21"/>
        </w:rPr>
        <w:t>：</w:t>
      </w:r>
    </w:p>
    <w:p w14:paraId="7D98AC4B">
      <w:pPr>
        <w:spacing w:before="156" w:beforeLines="50" w:after="156" w:afterLines="50" w:line="480" w:lineRule="auto"/>
        <w:jc w:val="center"/>
        <w:rPr>
          <w:rFonts w:ascii="宋体" w:hAnsi="宋体"/>
          <w:szCs w:val="21"/>
        </w:rPr>
      </w:pPr>
      <w:r>
        <w:rPr>
          <w:rFonts w:hint="eastAsia" w:ascii="宋体" w:hAnsi="宋体"/>
          <w:szCs w:val="21"/>
        </w:rPr>
        <w:t>廉洁从业协议</w:t>
      </w:r>
    </w:p>
    <w:p w14:paraId="599BFACB">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eastAsia="宋体" w:cs="宋体"/>
          <w:highlight w:val="none"/>
          <w:u w:val="single"/>
          <w:lang w:eastAsia="zh-CN"/>
        </w:rPr>
        <w:t>重庆长安智慧城市运营管理有限公司</w:t>
      </w:r>
      <w:r>
        <w:rPr>
          <w:rFonts w:hint="eastAsia" w:ascii="宋体" w:hAnsi="宋体"/>
          <w:szCs w:val="21"/>
          <w:u w:val="single"/>
        </w:rPr>
        <w:t xml:space="preserve">   </w:t>
      </w:r>
    </w:p>
    <w:p w14:paraId="338EEEF1">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w:t>
      </w:r>
      <w:r>
        <w:rPr>
          <w:rFonts w:hint="eastAsia" w:ascii="宋体" w:hAnsi="宋体"/>
          <w:szCs w:val="21"/>
          <w:u w:val="single"/>
          <w:lang w:val="en-US" w:eastAsia="zh-CN"/>
        </w:rPr>
        <w:t xml:space="preserve">                          </w:t>
      </w:r>
      <w:r>
        <w:rPr>
          <w:rFonts w:hint="eastAsia" w:ascii="宋体" w:hAnsi="宋体"/>
          <w:szCs w:val="21"/>
          <w:u w:val="single"/>
        </w:rPr>
        <w:t xml:space="preserve">       </w:t>
      </w:r>
    </w:p>
    <w:p w14:paraId="1BC11B9F">
      <w:pPr>
        <w:spacing w:line="360" w:lineRule="auto"/>
        <w:ind w:firstLine="420" w:firstLineChars="200"/>
        <w:rPr>
          <w:rFonts w:ascii="宋体" w:hAnsi="宋体"/>
          <w:szCs w:val="21"/>
        </w:rPr>
      </w:pPr>
      <w:r>
        <w:rPr>
          <w:rFonts w:hint="eastAsia" w:ascii="宋体" w:hAnsi="宋体"/>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14:paraId="14861C25">
      <w:pPr>
        <w:spacing w:line="360" w:lineRule="auto"/>
        <w:ind w:firstLine="420" w:firstLineChars="200"/>
        <w:rPr>
          <w:rFonts w:ascii="宋体" w:hAnsi="宋体"/>
          <w:szCs w:val="21"/>
        </w:rPr>
      </w:pPr>
      <w:r>
        <w:rPr>
          <w:rFonts w:hint="eastAsia" w:ascii="宋体" w:hAnsi="宋体"/>
          <w:szCs w:val="21"/>
        </w:rPr>
        <w:t xml:space="preserve"> 1. 发包人承包人的权利和义务</w:t>
      </w:r>
    </w:p>
    <w:p w14:paraId="6B3B2B58">
      <w:pPr>
        <w:spacing w:line="360" w:lineRule="auto"/>
        <w:ind w:firstLine="420" w:firstLineChars="200"/>
        <w:rPr>
          <w:rFonts w:ascii="宋体" w:hAnsi="宋体"/>
          <w:szCs w:val="21"/>
        </w:rPr>
      </w:pPr>
      <w:r>
        <w:rPr>
          <w:rFonts w:hint="eastAsia" w:ascii="宋体" w:hAnsi="宋体"/>
          <w:szCs w:val="21"/>
        </w:rPr>
        <w:t>（1）严格遵守党的政策规定和国家有关法律法规及相关部门的有关规定。</w:t>
      </w:r>
    </w:p>
    <w:p w14:paraId="3A17D812">
      <w:pPr>
        <w:spacing w:line="360" w:lineRule="auto"/>
        <w:ind w:firstLine="420" w:firstLineChars="200"/>
        <w:rPr>
          <w:rFonts w:ascii="宋体" w:hAnsi="宋体"/>
          <w:szCs w:val="21"/>
        </w:rPr>
      </w:pPr>
      <w:r>
        <w:rPr>
          <w:rFonts w:hint="eastAsia" w:ascii="宋体" w:hAnsi="宋体"/>
          <w:szCs w:val="21"/>
        </w:rPr>
        <w:t>（2）严格执行工程的合同文件，自觉按合同办事。</w:t>
      </w:r>
    </w:p>
    <w:p w14:paraId="00BFB206">
      <w:pPr>
        <w:spacing w:line="360" w:lineRule="auto"/>
        <w:ind w:firstLine="420" w:firstLineChars="200"/>
        <w:rPr>
          <w:rFonts w:ascii="宋体" w:hAnsi="宋体"/>
          <w:szCs w:val="21"/>
        </w:rPr>
      </w:pPr>
      <w:r>
        <w:rPr>
          <w:rFonts w:hint="eastAsia" w:ascii="宋体" w:hAnsi="宋体"/>
          <w:szCs w:val="21"/>
        </w:rPr>
        <w:t>（3）双方的业务活动坚持公开、公正、诚信、透明的原则（法律认定的商业秘密和合同文件另有规定除外），不得损害国家和集体利益，违反工程建设管理规章制度。</w:t>
      </w:r>
    </w:p>
    <w:p w14:paraId="40386C65">
      <w:pPr>
        <w:spacing w:line="360" w:lineRule="auto"/>
        <w:ind w:firstLine="420" w:firstLineChars="200"/>
        <w:rPr>
          <w:rFonts w:ascii="宋体" w:hAnsi="宋体"/>
          <w:szCs w:val="21"/>
        </w:rPr>
      </w:pPr>
      <w:r>
        <w:rPr>
          <w:rFonts w:hint="eastAsia" w:ascii="宋体" w:hAnsi="宋体"/>
          <w:szCs w:val="21"/>
        </w:rPr>
        <w:t>（4）建立健全廉政制度，开展廉政教育，设立廉政告示牌，公布举报电话，监督并认真查处违法违纪行为。</w:t>
      </w:r>
    </w:p>
    <w:p w14:paraId="4134E9A1">
      <w:pPr>
        <w:spacing w:line="360" w:lineRule="auto"/>
        <w:ind w:firstLine="420" w:firstLineChars="200"/>
        <w:rPr>
          <w:rFonts w:ascii="宋体" w:hAnsi="宋体"/>
          <w:szCs w:val="21"/>
        </w:rPr>
      </w:pPr>
      <w:r>
        <w:rPr>
          <w:rFonts w:hint="eastAsia" w:ascii="宋体" w:hAnsi="宋体"/>
          <w:szCs w:val="21"/>
        </w:rPr>
        <w:t>（5）发现对方在业务活动中有违反廉政规定的行为，有及时提醒对方纠正的权利和义务。</w:t>
      </w:r>
    </w:p>
    <w:p w14:paraId="76862BC7">
      <w:pPr>
        <w:spacing w:line="360" w:lineRule="auto"/>
        <w:ind w:firstLine="420" w:firstLineChars="200"/>
        <w:rPr>
          <w:rFonts w:ascii="宋体" w:hAnsi="宋体"/>
          <w:szCs w:val="21"/>
        </w:rPr>
      </w:pPr>
      <w:r>
        <w:rPr>
          <w:rFonts w:hint="eastAsia" w:ascii="宋体" w:hAnsi="宋体"/>
          <w:szCs w:val="21"/>
        </w:rPr>
        <w:t>（6）发现对方严重违反协议义务条款的行为，有向其上级有关部门举报、建议给予处理并要求告知处理结果的权利。</w:t>
      </w:r>
    </w:p>
    <w:p w14:paraId="74C84FEF">
      <w:pPr>
        <w:spacing w:line="360" w:lineRule="auto"/>
        <w:ind w:firstLine="420" w:firstLineChars="200"/>
        <w:rPr>
          <w:rFonts w:ascii="宋体" w:hAnsi="宋体"/>
          <w:szCs w:val="21"/>
        </w:rPr>
      </w:pPr>
      <w:r>
        <w:rPr>
          <w:rFonts w:hint="eastAsia" w:ascii="宋体" w:hAnsi="宋体"/>
          <w:szCs w:val="21"/>
        </w:rPr>
        <w:t>2. 发包人的义务</w:t>
      </w:r>
    </w:p>
    <w:p w14:paraId="1819743D">
      <w:pPr>
        <w:spacing w:line="360" w:lineRule="auto"/>
        <w:ind w:firstLine="420" w:firstLineChars="200"/>
        <w:rPr>
          <w:rFonts w:ascii="宋体" w:hAnsi="宋体"/>
          <w:szCs w:val="21"/>
        </w:rPr>
      </w:pPr>
      <w:r>
        <w:rPr>
          <w:rFonts w:hint="eastAsia" w:ascii="宋体" w:hAnsi="宋体"/>
          <w:szCs w:val="21"/>
        </w:rPr>
        <w:t>（1）发包人及其工作人员不得索要或接受承包人的礼金、有价证券和贵重物品，不得在承包人报销任何应由发包人或发包人工作人员个人支付的费用等。</w:t>
      </w:r>
    </w:p>
    <w:p w14:paraId="5ED717CB">
      <w:pPr>
        <w:spacing w:line="360" w:lineRule="auto"/>
        <w:ind w:firstLine="420" w:firstLineChars="200"/>
        <w:rPr>
          <w:rFonts w:ascii="宋体" w:hAnsi="宋体"/>
          <w:szCs w:val="21"/>
        </w:rPr>
      </w:pPr>
      <w:r>
        <w:rPr>
          <w:rFonts w:hint="eastAsia" w:ascii="宋体" w:hAnsi="宋体"/>
          <w:szCs w:val="21"/>
        </w:rPr>
        <w:t>（2）发包人工作人员不得参加承包人安排的超标准宴请和娱乐活动；不得接受承包人提供的通讯工具、交通工具和高档办公用品等。</w:t>
      </w:r>
    </w:p>
    <w:p w14:paraId="264CE23A">
      <w:pPr>
        <w:spacing w:line="360" w:lineRule="auto"/>
        <w:ind w:firstLine="420" w:firstLineChars="200"/>
        <w:rPr>
          <w:rFonts w:ascii="宋体" w:hAnsi="宋体"/>
          <w:szCs w:val="21"/>
        </w:rPr>
      </w:pPr>
      <w:r>
        <w:rPr>
          <w:rFonts w:hint="eastAsia" w:ascii="宋体" w:hAnsi="宋体"/>
          <w:szCs w:val="21"/>
        </w:rPr>
        <w:t>（3）发包人及其工作人员不得要求或者接受承包人为其住房装修、婚丧嫁娶活动、配偶子女的工作安排以及出国出境、旅游等提供方便等。</w:t>
      </w:r>
    </w:p>
    <w:p w14:paraId="64B86155">
      <w:pPr>
        <w:spacing w:line="360" w:lineRule="auto"/>
        <w:ind w:firstLine="420" w:firstLineChars="200"/>
        <w:rPr>
          <w:rFonts w:ascii="宋体" w:hAnsi="宋体"/>
          <w:szCs w:val="21"/>
        </w:rPr>
      </w:pPr>
      <w:r>
        <w:rPr>
          <w:rFonts w:hint="eastAsia" w:ascii="宋体" w:hAnsi="宋体"/>
          <w:szCs w:val="21"/>
        </w:rPr>
        <w:t>（4）发包人工作人员及其配偶、子女不得从事与发包人工程有关的材料设备供应、工程分包、劳务等经济活动等。</w:t>
      </w:r>
    </w:p>
    <w:p w14:paraId="0AC5ADF9">
      <w:pPr>
        <w:spacing w:line="360" w:lineRule="auto"/>
        <w:ind w:firstLine="420" w:firstLineChars="200"/>
        <w:rPr>
          <w:rFonts w:ascii="宋体" w:hAnsi="宋体"/>
          <w:szCs w:val="21"/>
        </w:rPr>
      </w:pPr>
      <w:r>
        <w:rPr>
          <w:rFonts w:hint="eastAsia" w:ascii="宋体" w:hAnsi="宋体"/>
          <w:szCs w:val="21"/>
        </w:rPr>
        <w:t>（5）发包人及其工作人员不得以任何理由向承包人推荐分包单位或推销材料，不得要求承包人购买合同规定外的材料和设备。</w:t>
      </w:r>
    </w:p>
    <w:p w14:paraId="4301DB6F">
      <w:pPr>
        <w:spacing w:line="360" w:lineRule="auto"/>
        <w:ind w:firstLine="420" w:firstLineChars="200"/>
        <w:rPr>
          <w:rFonts w:ascii="宋体" w:hAnsi="宋体"/>
          <w:szCs w:val="21"/>
        </w:rPr>
      </w:pPr>
      <w:r>
        <w:rPr>
          <w:rFonts w:hint="eastAsia" w:ascii="宋体" w:hAnsi="宋体"/>
          <w:szCs w:val="21"/>
        </w:rPr>
        <w:t>（6）发包人工作人员要秉公办事，不准营私舞弊，不准利用职权从事各种个人有偿中介活动和安排个人施工队伍。</w:t>
      </w:r>
    </w:p>
    <w:p w14:paraId="172BEE42">
      <w:pPr>
        <w:spacing w:line="360" w:lineRule="auto"/>
        <w:ind w:firstLine="420" w:firstLineChars="200"/>
        <w:rPr>
          <w:rFonts w:ascii="宋体" w:hAnsi="宋体"/>
          <w:szCs w:val="21"/>
        </w:rPr>
      </w:pPr>
      <w:r>
        <w:rPr>
          <w:rFonts w:hint="eastAsia" w:ascii="宋体" w:hAnsi="宋体"/>
          <w:szCs w:val="21"/>
        </w:rPr>
        <w:t>3. 承包人义务</w:t>
      </w:r>
    </w:p>
    <w:p w14:paraId="0C2A9DF7">
      <w:pPr>
        <w:spacing w:line="360" w:lineRule="auto"/>
        <w:ind w:firstLine="420" w:firstLineChars="200"/>
        <w:rPr>
          <w:rFonts w:ascii="宋体" w:hAnsi="宋体"/>
          <w:szCs w:val="21"/>
        </w:rPr>
      </w:pPr>
      <w:r>
        <w:rPr>
          <w:rFonts w:hint="eastAsia" w:ascii="宋体" w:hAnsi="宋体"/>
          <w:szCs w:val="21"/>
        </w:rPr>
        <w:t>（1）承包人不得以任何理由向发包人及其工作人员行贿或馈赠礼金、有价证券、贵重礼品。</w:t>
      </w:r>
    </w:p>
    <w:p w14:paraId="2F60AAAC">
      <w:pPr>
        <w:spacing w:line="360" w:lineRule="auto"/>
        <w:ind w:firstLine="420" w:firstLineChars="200"/>
        <w:rPr>
          <w:rFonts w:ascii="宋体" w:hAnsi="宋体"/>
          <w:szCs w:val="21"/>
        </w:rPr>
      </w:pPr>
      <w:r>
        <w:rPr>
          <w:rFonts w:hint="eastAsia" w:ascii="宋体" w:hAnsi="宋体"/>
          <w:szCs w:val="21"/>
        </w:rPr>
        <w:t>（2）承包人不得以任何名义为发包人及其工作人员报销应由发包人单位或个人支付的任何费用。</w:t>
      </w:r>
    </w:p>
    <w:p w14:paraId="7C71F516">
      <w:pPr>
        <w:spacing w:line="360" w:lineRule="auto"/>
        <w:ind w:firstLine="420" w:firstLineChars="200"/>
        <w:rPr>
          <w:rFonts w:ascii="宋体" w:hAnsi="宋体"/>
          <w:szCs w:val="21"/>
        </w:rPr>
      </w:pPr>
      <w:r>
        <w:rPr>
          <w:rFonts w:hint="eastAsia" w:ascii="宋体" w:hAnsi="宋体"/>
          <w:szCs w:val="21"/>
        </w:rPr>
        <w:t>（3）承包人不得以任何理由安排发包人工作人员参加超标准宴请及娱乐活动。</w:t>
      </w:r>
    </w:p>
    <w:p w14:paraId="3833AE45">
      <w:pPr>
        <w:spacing w:line="360" w:lineRule="auto"/>
        <w:ind w:firstLine="420" w:firstLineChars="200"/>
        <w:rPr>
          <w:rFonts w:ascii="宋体" w:hAnsi="宋体"/>
          <w:szCs w:val="21"/>
        </w:rPr>
      </w:pPr>
      <w:r>
        <w:rPr>
          <w:rFonts w:hint="eastAsia" w:ascii="宋体" w:hAnsi="宋体"/>
          <w:szCs w:val="21"/>
        </w:rPr>
        <w:t>（4）承包人不得为发包人单位和个人购置或提供通讯工具、交通工具和高档办公用品等。</w:t>
      </w:r>
    </w:p>
    <w:p w14:paraId="0010DA4C">
      <w:pPr>
        <w:spacing w:line="360" w:lineRule="auto"/>
        <w:ind w:firstLine="420" w:firstLineChars="200"/>
        <w:rPr>
          <w:rFonts w:ascii="宋体" w:hAnsi="宋体"/>
          <w:szCs w:val="21"/>
        </w:rPr>
      </w:pPr>
      <w:r>
        <w:rPr>
          <w:rFonts w:hint="eastAsia" w:ascii="宋体" w:hAnsi="宋体"/>
          <w:szCs w:val="21"/>
        </w:rPr>
        <w:t>4. 违约责任</w:t>
      </w:r>
    </w:p>
    <w:p w14:paraId="6BF79626">
      <w:pPr>
        <w:spacing w:line="360" w:lineRule="auto"/>
        <w:ind w:firstLine="420" w:firstLineChars="200"/>
        <w:rPr>
          <w:rFonts w:ascii="宋体" w:hAnsi="宋体"/>
          <w:szCs w:val="21"/>
        </w:rPr>
      </w:pPr>
      <w:r>
        <w:rPr>
          <w:rFonts w:hint="eastAsia" w:ascii="宋体" w:hAnsi="宋体"/>
          <w:szCs w:val="21"/>
        </w:rPr>
        <w:t>（1）发包人及其工作人员违反合同第1、2条，按管理权限，依据有关规定给予党纪、政纪或组织处理；涉嫌犯罪的，移交司法机关追究刑事责任；给承包人单位造成经济损失的，应予以赔偿。</w:t>
      </w:r>
    </w:p>
    <w:p w14:paraId="4A2AB43B">
      <w:pPr>
        <w:spacing w:line="360" w:lineRule="auto"/>
        <w:ind w:firstLine="420" w:firstLineChars="200"/>
        <w:rPr>
          <w:rFonts w:ascii="宋体" w:hAnsi="宋体"/>
          <w:szCs w:val="21"/>
        </w:rPr>
      </w:pPr>
      <w:r>
        <w:rPr>
          <w:rFonts w:hint="eastAsia" w:ascii="宋体" w:hAnsi="宋体"/>
          <w:szCs w:val="21"/>
        </w:rPr>
        <w:t>（2）承包人及其工作人员违反合同第1、3条，按管理权限，依据有关规定给予党纪、政纪或组织处理；给发包人单位造成经济损失的，应予以赔偿。</w:t>
      </w:r>
    </w:p>
    <w:p w14:paraId="0F714289">
      <w:pPr>
        <w:spacing w:line="360" w:lineRule="auto"/>
        <w:ind w:firstLine="420" w:firstLineChars="200"/>
        <w:rPr>
          <w:rFonts w:ascii="宋体" w:hAnsi="宋体"/>
          <w:szCs w:val="21"/>
        </w:rPr>
      </w:pPr>
      <w:r>
        <w:rPr>
          <w:rFonts w:hint="eastAsia" w:ascii="宋体" w:hAnsi="宋体"/>
          <w:szCs w:val="21"/>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14:paraId="764A8532">
      <w:pPr>
        <w:spacing w:line="360" w:lineRule="auto"/>
        <w:ind w:firstLine="420" w:firstLineChars="200"/>
        <w:rPr>
          <w:rFonts w:ascii="宋体" w:hAnsi="宋体"/>
          <w:szCs w:val="21"/>
        </w:rPr>
      </w:pPr>
      <w:r>
        <w:rPr>
          <w:rFonts w:hint="eastAsia" w:ascii="宋体" w:hAnsi="宋体"/>
          <w:szCs w:val="21"/>
        </w:rPr>
        <w:t>6. 协议有效期为甲乙双方签署之日起至该工程项目竣工验收后止。</w:t>
      </w:r>
    </w:p>
    <w:p w14:paraId="71910207">
      <w:pPr>
        <w:spacing w:line="360" w:lineRule="auto"/>
        <w:ind w:firstLine="420" w:firstLineChars="200"/>
        <w:rPr>
          <w:rFonts w:ascii="宋体" w:hAnsi="宋体"/>
          <w:szCs w:val="21"/>
        </w:rPr>
      </w:pPr>
      <w:r>
        <w:rPr>
          <w:rFonts w:hint="eastAsia" w:ascii="宋体" w:hAnsi="宋体"/>
          <w:szCs w:val="21"/>
        </w:rPr>
        <w:t>7.</w:t>
      </w:r>
      <w:r>
        <w:rPr>
          <w:rFonts w:hint="eastAsia" w:ascii="宋体" w:hAnsi="宋体"/>
          <w:szCs w:val="21"/>
          <w:lang w:val="en-US" w:eastAsia="zh-CN"/>
        </w:rPr>
        <w:t xml:space="preserve"> </w:t>
      </w:r>
      <w:r>
        <w:rPr>
          <w:rFonts w:hint="eastAsia" w:ascii="宋体" w:hAnsi="宋体"/>
          <w:szCs w:val="21"/>
        </w:rPr>
        <w:t>协议作为工程施工合同的附件，与工程施工合同具有同等的法律效力，经合同双方签署立即生效。</w:t>
      </w:r>
    </w:p>
    <w:p w14:paraId="40B7165F">
      <w:pPr>
        <w:spacing w:line="360" w:lineRule="auto"/>
        <w:ind w:firstLine="420" w:firstLineChars="200"/>
        <w:rPr>
          <w:rFonts w:ascii="宋体" w:hAnsi="宋体"/>
          <w:szCs w:val="21"/>
        </w:rPr>
      </w:pPr>
      <w:r>
        <w:rPr>
          <w:rFonts w:hint="eastAsia" w:ascii="宋体" w:hAnsi="宋体"/>
          <w:szCs w:val="21"/>
        </w:rPr>
        <w:t>（以下无正文）</w:t>
      </w:r>
    </w:p>
    <w:p w14:paraId="5078A8D9">
      <w:pPr>
        <w:spacing w:line="360" w:lineRule="auto"/>
        <w:rPr>
          <w:rFonts w:ascii="宋体" w:hAnsi="宋体"/>
          <w:szCs w:val="21"/>
        </w:rPr>
      </w:pPr>
      <w:r>
        <w:rPr>
          <w:rFonts w:hint="eastAsia" w:ascii="宋体" w:hAnsi="宋体"/>
          <w:szCs w:val="21"/>
        </w:rPr>
        <w:t>甲     方：                         乙     方：</w:t>
      </w:r>
    </w:p>
    <w:p w14:paraId="1177C135">
      <w:pPr>
        <w:spacing w:line="360" w:lineRule="auto"/>
        <w:rPr>
          <w:rFonts w:ascii="宋体" w:hAnsi="宋体"/>
          <w:szCs w:val="21"/>
        </w:rPr>
      </w:pPr>
    </w:p>
    <w:p w14:paraId="21B57C3C">
      <w:pPr>
        <w:spacing w:line="360" w:lineRule="auto"/>
        <w:rPr>
          <w:rFonts w:ascii="宋体" w:hAnsi="宋体"/>
          <w:szCs w:val="21"/>
        </w:rPr>
      </w:pPr>
      <w:r>
        <w:rPr>
          <w:rFonts w:hint="eastAsia" w:ascii="宋体" w:hAnsi="宋体"/>
          <w:szCs w:val="21"/>
        </w:rPr>
        <w:t xml:space="preserve">法定代表人                          法定代表人                      </w:t>
      </w:r>
    </w:p>
    <w:p w14:paraId="09822507">
      <w:pPr>
        <w:spacing w:line="360" w:lineRule="auto"/>
        <w:rPr>
          <w:rFonts w:ascii="宋体" w:hAnsi="宋体"/>
          <w:szCs w:val="21"/>
        </w:rPr>
      </w:pPr>
    </w:p>
    <w:p w14:paraId="756053C8">
      <w:pPr>
        <w:spacing w:line="360" w:lineRule="auto"/>
        <w:rPr>
          <w:rFonts w:ascii="宋体" w:hAnsi="宋体"/>
          <w:szCs w:val="21"/>
        </w:rPr>
      </w:pPr>
      <w:r>
        <w:rPr>
          <w:rFonts w:hint="eastAsia" w:ascii="宋体" w:hAnsi="宋体"/>
          <w:szCs w:val="21"/>
        </w:rPr>
        <w:t>或其授权的代理人：                  或授权的代理人：</w:t>
      </w:r>
    </w:p>
    <w:p w14:paraId="2E9D3480">
      <w:pPr>
        <w:spacing w:line="480" w:lineRule="auto"/>
        <w:rPr>
          <w:rFonts w:ascii="宋体" w:hAnsi="宋体"/>
          <w:szCs w:val="21"/>
        </w:rPr>
      </w:pPr>
      <w:r>
        <w:rPr>
          <w:rFonts w:hint="eastAsia" w:ascii="宋体" w:hAnsi="宋体"/>
          <w:szCs w:val="21"/>
        </w:rPr>
        <w:br w:type="page"/>
      </w:r>
      <w:r>
        <w:rPr>
          <w:rFonts w:hint="eastAsia" w:ascii="宋体" w:hAnsi="宋体"/>
          <w:szCs w:val="21"/>
        </w:rPr>
        <w:t>附件</w:t>
      </w:r>
      <w:r>
        <w:rPr>
          <w:rFonts w:hint="eastAsia" w:ascii="宋体" w:hAnsi="宋体"/>
          <w:szCs w:val="21"/>
          <w:lang w:val="en-US" w:eastAsia="zh-CN"/>
        </w:rPr>
        <w:t>2</w:t>
      </w:r>
      <w:r>
        <w:rPr>
          <w:rFonts w:hint="eastAsia" w:ascii="宋体" w:hAnsi="宋体"/>
          <w:szCs w:val="21"/>
        </w:rPr>
        <w:t>：</w:t>
      </w:r>
    </w:p>
    <w:p w14:paraId="50944DAD">
      <w:pPr>
        <w:spacing w:before="156" w:beforeLines="50" w:after="156" w:afterLines="50" w:line="480" w:lineRule="auto"/>
        <w:jc w:val="center"/>
        <w:rPr>
          <w:rFonts w:ascii="宋体" w:hAnsi="宋体"/>
          <w:szCs w:val="21"/>
        </w:rPr>
      </w:pPr>
      <w:bookmarkStart w:id="723" w:name="_Toc448406299"/>
      <w:bookmarkStart w:id="724" w:name="_Toc247431422"/>
      <w:bookmarkStart w:id="725" w:name="_Toc435689499"/>
      <w:bookmarkStart w:id="726" w:name="_Toc239510288"/>
      <w:bookmarkStart w:id="727" w:name="_Toc435690184"/>
      <w:bookmarkStart w:id="728" w:name="_Toc336680145"/>
      <w:r>
        <w:rPr>
          <w:rFonts w:hint="eastAsia" w:ascii="宋体" w:hAnsi="宋体"/>
          <w:szCs w:val="21"/>
        </w:rPr>
        <w:t>安全管理协议</w:t>
      </w:r>
      <w:bookmarkEnd w:id="723"/>
      <w:bookmarkEnd w:id="724"/>
      <w:bookmarkEnd w:id="725"/>
      <w:bookmarkEnd w:id="726"/>
      <w:bookmarkEnd w:id="727"/>
      <w:bookmarkEnd w:id="728"/>
    </w:p>
    <w:p w14:paraId="5DDDB90A">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eastAsia="宋体" w:cs="宋体"/>
          <w:highlight w:val="none"/>
          <w:u w:val="single"/>
          <w:lang w:eastAsia="zh-CN"/>
        </w:rPr>
        <w:t>重庆长安智慧城市运营管理有限公司</w:t>
      </w:r>
      <w:r>
        <w:rPr>
          <w:rFonts w:hint="eastAsia" w:ascii="宋体" w:hAnsi="宋体"/>
          <w:szCs w:val="21"/>
          <w:u w:val="single"/>
        </w:rPr>
        <w:t xml:space="preserve">   </w:t>
      </w:r>
    </w:p>
    <w:p w14:paraId="3EE9D3F4">
      <w:pPr>
        <w:snapToGrid w:val="0"/>
        <w:spacing w:line="360" w:lineRule="auto"/>
        <w:ind w:firstLine="422" w:firstLineChars="200"/>
        <w:rPr>
          <w:rFonts w:hint="default" w:ascii="宋体" w:hAnsi="宋体" w:eastAsia="宋体"/>
          <w:b/>
          <w:szCs w:val="21"/>
          <w:u w:val="single"/>
          <w:lang w:val="en-US" w:eastAsia="zh-CN"/>
        </w:rPr>
      </w:pPr>
      <w:r>
        <w:rPr>
          <w:rFonts w:hint="eastAsia" w:ascii="宋体" w:hAnsi="宋体"/>
          <w:b/>
          <w:szCs w:val="21"/>
        </w:rPr>
        <w:t>承包人（全称）</w:t>
      </w:r>
      <w:r>
        <w:rPr>
          <w:rFonts w:hint="eastAsia" w:ascii="宋体" w:hAnsi="宋体"/>
          <w:b/>
          <w:szCs w:val="21"/>
          <w:lang w:eastAsia="zh-CN"/>
        </w:rPr>
        <w:t>：</w:t>
      </w:r>
      <w:r>
        <w:rPr>
          <w:rFonts w:hint="eastAsia" w:ascii="宋体" w:hAnsi="宋体"/>
          <w:szCs w:val="21"/>
          <w:u w:val="single"/>
        </w:rPr>
        <w:t xml:space="preserve">      </w:t>
      </w:r>
      <w:r>
        <w:rPr>
          <w:rFonts w:hint="eastAsia" w:ascii="宋体" w:hAnsi="宋体"/>
          <w:szCs w:val="21"/>
          <w:u w:val="single"/>
          <w:lang w:val="en-US" w:eastAsia="zh-CN"/>
        </w:rPr>
        <w:t xml:space="preserve">                             </w:t>
      </w:r>
    </w:p>
    <w:p w14:paraId="274CFC64">
      <w:pPr>
        <w:spacing w:line="360" w:lineRule="auto"/>
        <w:ind w:firstLine="420" w:firstLineChars="200"/>
        <w:jc w:val="left"/>
        <w:rPr>
          <w:rFonts w:ascii="宋体" w:hAnsi="宋体"/>
          <w:szCs w:val="21"/>
        </w:rPr>
      </w:pPr>
      <w:r>
        <w:rPr>
          <w:rFonts w:hint="eastAsia" w:ascii="宋体" w:hAnsi="宋体"/>
          <w:szCs w:val="21"/>
        </w:rPr>
        <w:t>为了确保实现</w:t>
      </w:r>
      <w:r>
        <w:rPr>
          <w:rFonts w:hint="eastAsia" w:ascii="宋体" w:hAnsi="宋体"/>
          <w:szCs w:val="21"/>
          <w:u w:val="single"/>
        </w:rPr>
        <w:t xml:space="preserve"> </w:t>
      </w:r>
      <w:r>
        <w:rPr>
          <w:rFonts w:hint="eastAsia" w:ascii="宋体" w:hAnsi="宋体" w:eastAsia="宋体" w:cs="宋体"/>
          <w:highlight w:val="none"/>
          <w:u w:val="single"/>
          <w:lang w:eastAsia="zh-CN"/>
        </w:rPr>
        <w:t>重庆长安智慧城市运营管理有限公司</w:t>
      </w:r>
      <w:r>
        <w:rPr>
          <w:rFonts w:hint="eastAsia" w:ascii="宋体" w:hAnsi="宋体"/>
          <w:szCs w:val="21"/>
          <w:u w:val="single"/>
        </w:rPr>
        <w:t xml:space="preserve"> </w:t>
      </w:r>
      <w:r>
        <w:rPr>
          <w:rFonts w:hint="eastAsia" w:ascii="宋体" w:hAnsi="宋体"/>
          <w:szCs w:val="21"/>
        </w:rPr>
        <w:t>安全生产目标，进一步明确双方的安全管理责任，加强安全生产管理工作的协调、管理力度，</w:t>
      </w:r>
      <w:r>
        <w:rPr>
          <w:rFonts w:hint="eastAsia" w:ascii="宋体" w:hAnsi="宋体" w:eastAsia="宋体" w:cs="宋体"/>
          <w:highlight w:val="none"/>
          <w:u w:val="single"/>
          <w:lang w:eastAsia="zh-CN"/>
        </w:rPr>
        <w:t>重庆长安智慧城市运营管理有限公司</w:t>
      </w:r>
      <w:r>
        <w:rPr>
          <w:rFonts w:hint="eastAsia" w:ascii="宋体" w:hAnsi="宋体"/>
          <w:szCs w:val="21"/>
        </w:rPr>
        <w:t>（以下简称“发包人”）与</w:t>
      </w:r>
      <w:r>
        <w:rPr>
          <w:rFonts w:hint="eastAsia" w:ascii="宋体" w:hAnsi="宋体"/>
          <w:szCs w:val="21"/>
          <w:u w:val="single"/>
          <w:lang w:val="en-US" w:eastAsia="zh-CN"/>
        </w:rPr>
        <w:t xml:space="preserve">                  </w:t>
      </w:r>
      <w:r>
        <w:rPr>
          <w:rFonts w:hint="eastAsia" w:ascii="宋体" w:hAnsi="宋体"/>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0829DA1A">
      <w:pPr>
        <w:spacing w:line="360" w:lineRule="auto"/>
        <w:ind w:firstLine="420" w:firstLineChars="200"/>
        <w:rPr>
          <w:rFonts w:ascii="宋体" w:hAnsi="宋体"/>
          <w:szCs w:val="21"/>
        </w:rPr>
      </w:pPr>
      <w:bookmarkStart w:id="729" w:name="_Toc247431423"/>
      <w:bookmarkStart w:id="730" w:name="_Toc532375700"/>
      <w:bookmarkStart w:id="731" w:name="_Toc239510289"/>
      <w:bookmarkStart w:id="732" w:name="_Toc247418263"/>
      <w:r>
        <w:rPr>
          <w:rFonts w:hint="eastAsia" w:ascii="宋体" w:hAnsi="宋体"/>
          <w:szCs w:val="21"/>
        </w:rPr>
        <w:t>一、协议有效期限</w:t>
      </w:r>
      <w:bookmarkEnd w:id="729"/>
      <w:bookmarkEnd w:id="730"/>
      <w:bookmarkEnd w:id="731"/>
      <w:bookmarkEnd w:id="732"/>
    </w:p>
    <w:p w14:paraId="2F81CBA0">
      <w:pPr>
        <w:spacing w:line="360" w:lineRule="auto"/>
        <w:ind w:firstLine="420" w:firstLineChars="200"/>
        <w:jc w:val="left"/>
        <w:rPr>
          <w:rFonts w:ascii="宋体" w:hAnsi="宋体"/>
          <w:szCs w:val="21"/>
        </w:rPr>
      </w:pPr>
      <w:r>
        <w:rPr>
          <w:rFonts w:hint="eastAsia" w:ascii="宋体" w:hAnsi="宋体"/>
          <w:szCs w:val="21"/>
        </w:rPr>
        <w:t>本协议中所涉及的安全管理责任自合同签订之日起开始生效，至合同工程全部完工验收且经发包人与承包人签订移交协议生效后之日终止。</w:t>
      </w:r>
    </w:p>
    <w:p w14:paraId="6EA9CCF5">
      <w:pPr>
        <w:spacing w:line="360" w:lineRule="auto"/>
        <w:ind w:firstLine="420" w:firstLineChars="200"/>
        <w:rPr>
          <w:rFonts w:ascii="宋体" w:hAnsi="宋体"/>
          <w:szCs w:val="21"/>
        </w:rPr>
      </w:pPr>
      <w:bookmarkStart w:id="733" w:name="_Toc247418264"/>
      <w:bookmarkStart w:id="734" w:name="_Toc247431424"/>
      <w:bookmarkStart w:id="735" w:name="_Toc532375701"/>
      <w:bookmarkStart w:id="736" w:name="_Toc239510290"/>
      <w:r>
        <w:rPr>
          <w:rFonts w:hint="eastAsia" w:ascii="宋体" w:hAnsi="宋体"/>
          <w:szCs w:val="21"/>
        </w:rPr>
        <w:t>二、责任目标</w:t>
      </w:r>
      <w:bookmarkEnd w:id="733"/>
      <w:bookmarkEnd w:id="734"/>
      <w:bookmarkEnd w:id="735"/>
      <w:bookmarkEnd w:id="736"/>
    </w:p>
    <w:p w14:paraId="28882015">
      <w:pPr>
        <w:spacing w:line="360" w:lineRule="auto"/>
        <w:ind w:firstLine="420" w:firstLineChars="200"/>
        <w:jc w:val="left"/>
        <w:rPr>
          <w:rFonts w:ascii="宋体" w:hAnsi="宋体"/>
          <w:szCs w:val="21"/>
        </w:rPr>
      </w:pPr>
      <w:r>
        <w:rPr>
          <w:rFonts w:hint="eastAsia" w:ascii="宋体" w:hAnsi="宋体"/>
          <w:szCs w:val="21"/>
        </w:rPr>
        <w:t>（一）承包人承诺承担和履行合同和发包人所规定的安全责任，且满足要求。</w:t>
      </w:r>
    </w:p>
    <w:p w14:paraId="504F768E">
      <w:pPr>
        <w:spacing w:line="360" w:lineRule="auto"/>
        <w:ind w:firstLine="420" w:firstLineChars="200"/>
        <w:jc w:val="left"/>
        <w:rPr>
          <w:rFonts w:ascii="宋体" w:hAnsi="宋体"/>
          <w:szCs w:val="21"/>
        </w:rPr>
      </w:pPr>
      <w:r>
        <w:rPr>
          <w:rFonts w:hint="eastAsia" w:ascii="宋体" w:hAnsi="宋体"/>
          <w:szCs w:val="21"/>
        </w:rPr>
        <w:t>（二）承包人的安全控制目标是确保本工程在实施过程中：</w:t>
      </w:r>
    </w:p>
    <w:p w14:paraId="178F37D3">
      <w:pPr>
        <w:spacing w:line="360" w:lineRule="auto"/>
        <w:ind w:firstLine="420" w:firstLineChars="200"/>
        <w:jc w:val="left"/>
        <w:rPr>
          <w:rFonts w:ascii="宋体" w:hAnsi="宋体"/>
          <w:szCs w:val="21"/>
        </w:rPr>
      </w:pPr>
      <w:r>
        <w:rPr>
          <w:rFonts w:hint="eastAsia" w:ascii="宋体" w:hAnsi="宋体"/>
          <w:szCs w:val="21"/>
        </w:rPr>
        <w:t>1．不发生人身重伤事故；</w:t>
      </w:r>
    </w:p>
    <w:p w14:paraId="3C1F58D2">
      <w:pPr>
        <w:spacing w:line="360" w:lineRule="auto"/>
        <w:ind w:firstLine="420" w:firstLineChars="200"/>
        <w:jc w:val="left"/>
        <w:rPr>
          <w:rFonts w:ascii="宋体" w:hAnsi="宋体"/>
          <w:szCs w:val="21"/>
        </w:rPr>
      </w:pPr>
      <w:r>
        <w:rPr>
          <w:rFonts w:hint="eastAsia" w:ascii="宋体" w:hAnsi="宋体"/>
          <w:szCs w:val="21"/>
        </w:rPr>
        <w:t>2．不发生火灾事故；</w:t>
      </w:r>
    </w:p>
    <w:p w14:paraId="4B9A320F">
      <w:pPr>
        <w:spacing w:line="360" w:lineRule="auto"/>
        <w:ind w:firstLine="420" w:firstLineChars="200"/>
        <w:jc w:val="left"/>
        <w:rPr>
          <w:rFonts w:ascii="宋体" w:hAnsi="宋体"/>
          <w:szCs w:val="21"/>
        </w:rPr>
      </w:pPr>
      <w:r>
        <w:rPr>
          <w:rFonts w:hint="eastAsia" w:ascii="宋体" w:hAnsi="宋体"/>
          <w:szCs w:val="21"/>
        </w:rPr>
        <w:t>3．不发生负有同等及以上事故责任的造成人身重伤的一般交通事故；</w:t>
      </w:r>
    </w:p>
    <w:p w14:paraId="2A46A0E0">
      <w:pPr>
        <w:spacing w:line="360" w:lineRule="auto"/>
        <w:ind w:firstLine="420" w:firstLineChars="200"/>
        <w:jc w:val="left"/>
        <w:rPr>
          <w:rFonts w:ascii="宋体" w:hAnsi="宋体"/>
          <w:szCs w:val="21"/>
        </w:rPr>
      </w:pPr>
      <w:r>
        <w:rPr>
          <w:rFonts w:hint="eastAsia" w:ascii="宋体" w:hAnsi="宋体"/>
          <w:szCs w:val="21"/>
        </w:rPr>
        <w:t>4．不发生集体食物中毒事件（同时5人及以上的食物中毒）；</w:t>
      </w:r>
    </w:p>
    <w:p w14:paraId="33C10B39">
      <w:pPr>
        <w:spacing w:line="360" w:lineRule="auto"/>
        <w:ind w:firstLine="420" w:firstLineChars="200"/>
        <w:jc w:val="left"/>
        <w:rPr>
          <w:rFonts w:ascii="宋体" w:hAnsi="宋体"/>
          <w:szCs w:val="21"/>
        </w:rPr>
      </w:pPr>
      <w:r>
        <w:rPr>
          <w:rFonts w:hint="eastAsia" w:ascii="宋体" w:hAnsi="宋体"/>
          <w:szCs w:val="21"/>
        </w:rPr>
        <w:t>5．不发生流行性传染病 （无甲型传染病、其他常见传染病未形成多人同时患病）；</w:t>
      </w:r>
    </w:p>
    <w:p w14:paraId="4BC875C8">
      <w:pPr>
        <w:spacing w:line="360" w:lineRule="auto"/>
        <w:ind w:firstLine="420" w:firstLineChars="200"/>
        <w:jc w:val="left"/>
        <w:rPr>
          <w:rFonts w:ascii="宋体" w:hAnsi="宋体"/>
          <w:szCs w:val="21"/>
        </w:rPr>
      </w:pPr>
      <w:r>
        <w:rPr>
          <w:rFonts w:hint="eastAsia" w:ascii="宋体" w:hAnsi="宋体"/>
          <w:szCs w:val="21"/>
        </w:rPr>
        <w:t>6．不发生重大环境污染事件（生活、工业垃圾及其他污染物造成环境污染和大面积水土流失）；</w:t>
      </w:r>
    </w:p>
    <w:p w14:paraId="14F74165">
      <w:pPr>
        <w:spacing w:line="360" w:lineRule="auto"/>
        <w:ind w:firstLine="420" w:firstLineChars="200"/>
        <w:jc w:val="left"/>
        <w:rPr>
          <w:rFonts w:ascii="宋体" w:hAnsi="宋体"/>
          <w:szCs w:val="21"/>
        </w:rPr>
      </w:pPr>
      <w:r>
        <w:rPr>
          <w:rFonts w:hint="eastAsia" w:ascii="宋体" w:hAnsi="宋体"/>
          <w:szCs w:val="21"/>
        </w:rPr>
        <w:t>7．不发生对施工区附近生产、生活造成重大影响的事件（如造成重大设备损坏、重大财产损失、人员伤害等）；</w:t>
      </w:r>
    </w:p>
    <w:p w14:paraId="76BFB236">
      <w:pPr>
        <w:spacing w:line="360" w:lineRule="auto"/>
        <w:ind w:firstLine="420" w:firstLineChars="200"/>
        <w:jc w:val="left"/>
        <w:rPr>
          <w:rFonts w:ascii="宋体" w:hAnsi="宋体"/>
          <w:szCs w:val="21"/>
        </w:rPr>
      </w:pPr>
      <w:r>
        <w:rPr>
          <w:rFonts w:hint="eastAsia" w:ascii="宋体" w:hAnsi="宋体"/>
          <w:szCs w:val="21"/>
        </w:rPr>
        <w:t>8．不发生治安保卫事件（构成刑事拘留及以上的事件、盗窃直接损失超过1万元人民币的事件）。</w:t>
      </w:r>
    </w:p>
    <w:p w14:paraId="40EE7F3E">
      <w:pPr>
        <w:spacing w:line="360" w:lineRule="auto"/>
        <w:ind w:firstLine="420" w:firstLineChars="200"/>
        <w:jc w:val="left"/>
        <w:rPr>
          <w:rFonts w:ascii="宋体" w:hAnsi="宋体"/>
          <w:szCs w:val="21"/>
        </w:rPr>
      </w:pPr>
      <w:bookmarkStart w:id="737" w:name="_Toc239510291"/>
      <w:bookmarkStart w:id="738" w:name="_Toc247431425"/>
      <w:bookmarkStart w:id="739" w:name="_Toc247418265"/>
      <w:r>
        <w:rPr>
          <w:rFonts w:hint="eastAsia" w:ascii="宋体" w:hAnsi="宋体"/>
          <w:szCs w:val="21"/>
        </w:rPr>
        <w:t>（三）承包人承诺在施工中控制以下安全事故的发生：</w:t>
      </w:r>
      <w:bookmarkEnd w:id="737"/>
      <w:bookmarkEnd w:id="738"/>
      <w:bookmarkEnd w:id="739"/>
    </w:p>
    <w:p w14:paraId="08E86109">
      <w:pPr>
        <w:spacing w:line="360" w:lineRule="auto"/>
        <w:ind w:firstLine="420" w:firstLineChars="200"/>
        <w:jc w:val="left"/>
        <w:rPr>
          <w:rFonts w:ascii="宋体" w:hAnsi="宋体"/>
          <w:szCs w:val="21"/>
        </w:rPr>
      </w:pPr>
      <w:r>
        <w:rPr>
          <w:rFonts w:hint="eastAsia" w:ascii="宋体" w:hAnsi="宋体"/>
          <w:szCs w:val="21"/>
        </w:rPr>
        <w:t>1．人员轻伤事故。</w:t>
      </w:r>
    </w:p>
    <w:p w14:paraId="53D4DCA0">
      <w:pPr>
        <w:spacing w:line="360" w:lineRule="auto"/>
        <w:ind w:firstLine="420" w:firstLineChars="200"/>
        <w:jc w:val="left"/>
        <w:rPr>
          <w:rFonts w:ascii="宋体" w:hAnsi="宋体"/>
          <w:szCs w:val="21"/>
        </w:rPr>
      </w:pPr>
      <w:r>
        <w:rPr>
          <w:rFonts w:hint="eastAsia" w:ascii="宋体" w:hAnsi="宋体"/>
          <w:szCs w:val="21"/>
        </w:rPr>
        <w:t>2．负有同等及以上事故责任的人身轻伤交通事故。</w:t>
      </w:r>
    </w:p>
    <w:p w14:paraId="2A882238">
      <w:pPr>
        <w:spacing w:line="360" w:lineRule="auto"/>
        <w:ind w:firstLine="420" w:firstLineChars="200"/>
        <w:jc w:val="left"/>
        <w:rPr>
          <w:rFonts w:ascii="宋体" w:hAnsi="宋体"/>
          <w:szCs w:val="21"/>
        </w:rPr>
      </w:pPr>
      <w:r>
        <w:rPr>
          <w:rFonts w:hint="eastAsia" w:ascii="宋体" w:hAnsi="宋体"/>
          <w:szCs w:val="21"/>
        </w:rPr>
        <w:t>3．其他安全未遂事故和异常事件。</w:t>
      </w:r>
    </w:p>
    <w:p w14:paraId="1FBA829F">
      <w:pPr>
        <w:spacing w:line="360" w:lineRule="auto"/>
        <w:ind w:firstLine="420" w:firstLineChars="200"/>
        <w:rPr>
          <w:rFonts w:ascii="宋体" w:hAnsi="宋体"/>
          <w:szCs w:val="21"/>
        </w:rPr>
      </w:pPr>
      <w:bookmarkStart w:id="740" w:name="_Toc247418266"/>
      <w:bookmarkStart w:id="741" w:name="_Toc247431426"/>
      <w:bookmarkStart w:id="742" w:name="_Toc532375702"/>
      <w:bookmarkStart w:id="743" w:name="_Toc239510292"/>
      <w:r>
        <w:rPr>
          <w:rFonts w:hint="eastAsia" w:ascii="宋体" w:hAnsi="宋体"/>
          <w:szCs w:val="21"/>
        </w:rPr>
        <w:t>三、安全责任</w:t>
      </w:r>
      <w:bookmarkEnd w:id="740"/>
      <w:bookmarkEnd w:id="741"/>
      <w:bookmarkEnd w:id="742"/>
      <w:bookmarkEnd w:id="743"/>
    </w:p>
    <w:p w14:paraId="5B177C90">
      <w:pPr>
        <w:spacing w:line="360" w:lineRule="auto"/>
        <w:ind w:firstLine="420" w:firstLineChars="200"/>
        <w:jc w:val="left"/>
        <w:rPr>
          <w:rFonts w:ascii="宋体" w:hAnsi="宋体"/>
          <w:szCs w:val="21"/>
        </w:rPr>
      </w:pPr>
      <w:r>
        <w:rPr>
          <w:rFonts w:hint="eastAsia" w:ascii="宋体" w:hAnsi="宋体"/>
          <w:szCs w:val="21"/>
        </w:rPr>
        <w:t>1．承包人负有安全生产的管理责任和直接责任。</w:t>
      </w:r>
    </w:p>
    <w:p w14:paraId="3B639FD2">
      <w:pPr>
        <w:spacing w:line="360" w:lineRule="auto"/>
        <w:ind w:firstLine="420" w:firstLineChars="200"/>
        <w:jc w:val="left"/>
        <w:rPr>
          <w:rFonts w:ascii="宋体" w:hAnsi="宋体"/>
          <w:szCs w:val="21"/>
        </w:rPr>
      </w:pPr>
      <w:r>
        <w:rPr>
          <w:rFonts w:hint="eastAsia" w:ascii="宋体" w:hAnsi="宋体"/>
          <w:szCs w:val="21"/>
        </w:rPr>
        <w:t>2．承包人的法人或签署合同的公司总经理或受委托的代理人对合同安全负有全面的领导责任。</w:t>
      </w:r>
    </w:p>
    <w:p w14:paraId="27DB4499">
      <w:pPr>
        <w:spacing w:line="360" w:lineRule="auto"/>
        <w:ind w:firstLine="420" w:firstLineChars="200"/>
        <w:jc w:val="left"/>
        <w:rPr>
          <w:rFonts w:ascii="宋体" w:hAnsi="宋体"/>
          <w:szCs w:val="21"/>
        </w:rPr>
      </w:pPr>
      <w:r>
        <w:rPr>
          <w:rFonts w:hint="eastAsia" w:ascii="宋体" w:hAnsi="宋体"/>
          <w:szCs w:val="21"/>
        </w:rPr>
        <w:t>3．承包人项目经理对施工现场的安全工作负有全面的直接领导责任。</w:t>
      </w:r>
    </w:p>
    <w:p w14:paraId="0D984E1D">
      <w:pPr>
        <w:spacing w:line="360" w:lineRule="auto"/>
        <w:ind w:firstLine="420" w:firstLineChars="200"/>
        <w:jc w:val="left"/>
        <w:rPr>
          <w:rFonts w:ascii="宋体" w:hAnsi="宋体"/>
          <w:szCs w:val="21"/>
        </w:rPr>
      </w:pPr>
      <w:r>
        <w:rPr>
          <w:rFonts w:hint="eastAsia" w:ascii="宋体" w:hAnsi="宋体"/>
          <w:szCs w:val="21"/>
        </w:rPr>
        <w:t>4．承包人保证执行“谁施工、谁负责”的施工安全原则。</w:t>
      </w:r>
    </w:p>
    <w:p w14:paraId="2787DDB5">
      <w:pPr>
        <w:spacing w:line="360" w:lineRule="auto"/>
        <w:ind w:firstLine="420" w:firstLineChars="200"/>
        <w:jc w:val="left"/>
        <w:rPr>
          <w:rFonts w:ascii="宋体" w:hAnsi="宋体"/>
          <w:szCs w:val="21"/>
        </w:rPr>
      </w:pPr>
      <w:r>
        <w:rPr>
          <w:rFonts w:hint="eastAsia" w:ascii="宋体" w:hAnsi="宋体"/>
          <w:szCs w:val="21"/>
        </w:rPr>
        <w:t>5．承包人保证服从发包人对安全工作的统一协调和管理。</w:t>
      </w:r>
    </w:p>
    <w:p w14:paraId="3D3C0AA8">
      <w:pPr>
        <w:spacing w:line="360" w:lineRule="auto"/>
        <w:ind w:firstLine="420" w:firstLineChars="200"/>
        <w:jc w:val="left"/>
        <w:rPr>
          <w:rFonts w:ascii="宋体" w:hAnsi="宋体"/>
          <w:szCs w:val="21"/>
        </w:rPr>
      </w:pPr>
      <w:r>
        <w:rPr>
          <w:rFonts w:hint="eastAsia" w:ascii="宋体" w:hAnsi="宋体"/>
          <w:szCs w:val="21"/>
        </w:rPr>
        <w:t>6．承包人保证对本工程项目安全生产条件及其管理资源自行投入，保证安全资金的专款专用。</w:t>
      </w:r>
    </w:p>
    <w:p w14:paraId="0CF22E60">
      <w:pPr>
        <w:spacing w:line="360" w:lineRule="auto"/>
        <w:ind w:firstLine="420" w:firstLineChars="200"/>
        <w:jc w:val="left"/>
        <w:rPr>
          <w:rFonts w:ascii="宋体" w:hAnsi="宋体"/>
          <w:szCs w:val="21"/>
        </w:rPr>
      </w:pPr>
      <w:r>
        <w:rPr>
          <w:rFonts w:hint="eastAsia" w:ascii="宋体" w:hAnsi="宋体"/>
          <w:szCs w:val="21"/>
        </w:rPr>
        <w:t>7．承包人保证建立本工程项目的安全管理体系及安全保证体系（注：项目安全管理大纲/手册、管理性的程序文件等）。</w:t>
      </w:r>
    </w:p>
    <w:p w14:paraId="20DFA08D">
      <w:pPr>
        <w:spacing w:line="360" w:lineRule="auto"/>
        <w:ind w:firstLine="420" w:firstLineChars="200"/>
        <w:jc w:val="left"/>
        <w:rPr>
          <w:rFonts w:ascii="宋体" w:hAnsi="宋体"/>
          <w:szCs w:val="21"/>
        </w:rPr>
      </w:pPr>
      <w:r>
        <w:rPr>
          <w:rFonts w:hint="eastAsia" w:ascii="宋体" w:hAnsi="宋体"/>
          <w:szCs w:val="21"/>
        </w:rPr>
        <w:t>8．承包人保证现场的安全管理专职人员必须持有建设主管部门安全生产培训考核合格证书。</w:t>
      </w:r>
    </w:p>
    <w:p w14:paraId="003816D0">
      <w:pPr>
        <w:spacing w:line="360" w:lineRule="auto"/>
        <w:ind w:firstLine="420" w:firstLineChars="200"/>
        <w:jc w:val="left"/>
        <w:rPr>
          <w:rFonts w:ascii="宋体" w:hAnsi="宋体"/>
          <w:szCs w:val="21"/>
        </w:rPr>
      </w:pPr>
      <w:r>
        <w:rPr>
          <w:rFonts w:hint="eastAsia" w:ascii="宋体" w:hAnsi="宋体"/>
          <w:szCs w:val="21"/>
        </w:rPr>
        <w:t>9．承包人保证为现场所有工作人员（含分包商员工及劳务人员）配备符合国家标准的有承包人和/或其下属分包商标志的个人基本劳动保护用品。</w:t>
      </w:r>
    </w:p>
    <w:p w14:paraId="384914FA">
      <w:pPr>
        <w:spacing w:line="360" w:lineRule="auto"/>
        <w:ind w:firstLine="420" w:firstLineChars="200"/>
        <w:jc w:val="left"/>
        <w:rPr>
          <w:rFonts w:ascii="宋体" w:hAnsi="宋体"/>
          <w:szCs w:val="21"/>
        </w:rPr>
      </w:pPr>
      <w:r>
        <w:rPr>
          <w:rFonts w:hint="eastAsia" w:ascii="宋体" w:hAnsi="宋体"/>
          <w:szCs w:val="21"/>
        </w:rPr>
        <w:t>10．承包人保证按照国家法律规定为现场所有工作人员（含分包商员工及劳务人员）购买意外伤害保险。</w:t>
      </w:r>
    </w:p>
    <w:p w14:paraId="3ED39A65">
      <w:pPr>
        <w:spacing w:line="360" w:lineRule="auto"/>
        <w:ind w:firstLine="420" w:firstLineChars="200"/>
        <w:jc w:val="left"/>
        <w:rPr>
          <w:rFonts w:ascii="宋体" w:hAnsi="宋体"/>
          <w:szCs w:val="21"/>
        </w:rPr>
      </w:pPr>
      <w:r>
        <w:rPr>
          <w:rFonts w:hint="eastAsia" w:ascii="宋体" w:hAnsi="宋体"/>
          <w:szCs w:val="21"/>
        </w:rPr>
        <w:t>11．承包人保证施工生活营地（包括自建的和租用的营地）满足消防、安全用电、卫生防疫、防暴雨、防雷击等方面的安全要求。</w:t>
      </w:r>
    </w:p>
    <w:p w14:paraId="02EF6835">
      <w:pPr>
        <w:spacing w:line="360" w:lineRule="auto"/>
        <w:ind w:firstLine="420" w:firstLineChars="200"/>
        <w:jc w:val="left"/>
        <w:rPr>
          <w:rFonts w:ascii="宋体" w:hAnsi="宋体"/>
          <w:szCs w:val="21"/>
        </w:rPr>
      </w:pPr>
      <w:r>
        <w:rPr>
          <w:rFonts w:hint="eastAsia" w:ascii="宋体" w:hAnsi="宋体"/>
          <w:szCs w:val="21"/>
        </w:rPr>
        <w:t>12．承包人保证对带入现场的设备、工具、材料按照国家法规和标准进行检测、试验，并持有法定部门出具的检验证书。</w:t>
      </w:r>
    </w:p>
    <w:p w14:paraId="78C479AC">
      <w:pPr>
        <w:spacing w:line="360" w:lineRule="auto"/>
        <w:ind w:firstLine="420" w:firstLineChars="200"/>
        <w:jc w:val="left"/>
        <w:rPr>
          <w:rFonts w:ascii="宋体" w:hAnsi="宋体"/>
          <w:szCs w:val="21"/>
        </w:rPr>
      </w:pPr>
      <w:r>
        <w:rPr>
          <w:rFonts w:hint="eastAsia" w:ascii="宋体" w:hAnsi="宋体"/>
          <w:szCs w:val="21"/>
        </w:rPr>
        <w:t>13．承包人保证制订施工现场的文明施工措施，保护环境、树木和植被，保持施工现场的良好秩序和整洁的作业环境。</w:t>
      </w:r>
    </w:p>
    <w:p w14:paraId="712882FC">
      <w:pPr>
        <w:spacing w:line="360" w:lineRule="auto"/>
        <w:ind w:firstLine="420" w:firstLineChars="200"/>
        <w:jc w:val="left"/>
        <w:rPr>
          <w:rFonts w:ascii="宋体" w:hAnsi="宋体"/>
          <w:szCs w:val="21"/>
        </w:rPr>
      </w:pPr>
      <w:r>
        <w:rPr>
          <w:rFonts w:hint="eastAsia" w:ascii="宋体" w:hAnsi="宋体"/>
          <w:szCs w:val="21"/>
        </w:rPr>
        <w:t>14．承包人负责在施工过程中与当地政府、周边群众及其他承包商保持良好的沟通和交流。承包人遇到与周边群众发生纠纷时，应负责协调工作，确保工程能够顺利进行。</w:t>
      </w:r>
    </w:p>
    <w:p w14:paraId="28394A86">
      <w:pPr>
        <w:spacing w:line="360" w:lineRule="auto"/>
        <w:ind w:firstLine="420" w:firstLineChars="200"/>
        <w:rPr>
          <w:rFonts w:ascii="宋体" w:hAnsi="宋体"/>
          <w:szCs w:val="21"/>
        </w:rPr>
      </w:pPr>
      <w:bookmarkStart w:id="744" w:name="_Toc532375703"/>
      <w:bookmarkStart w:id="745" w:name="_Toc239510293"/>
      <w:bookmarkStart w:id="746" w:name="_Toc247418267"/>
      <w:bookmarkStart w:id="747" w:name="_Toc247431427"/>
      <w:r>
        <w:rPr>
          <w:rFonts w:hint="eastAsia" w:ascii="宋体" w:hAnsi="宋体"/>
          <w:szCs w:val="21"/>
        </w:rPr>
        <w:t>四、接口及协调</w:t>
      </w:r>
      <w:bookmarkEnd w:id="744"/>
      <w:bookmarkEnd w:id="745"/>
      <w:bookmarkEnd w:id="746"/>
      <w:bookmarkEnd w:id="747"/>
    </w:p>
    <w:p w14:paraId="2A863401">
      <w:pPr>
        <w:spacing w:line="360" w:lineRule="auto"/>
        <w:ind w:firstLine="420" w:firstLineChars="200"/>
        <w:jc w:val="left"/>
        <w:rPr>
          <w:rFonts w:ascii="宋体" w:hAnsi="宋体"/>
          <w:szCs w:val="21"/>
        </w:rPr>
      </w:pPr>
      <w:r>
        <w:rPr>
          <w:rFonts w:hint="eastAsia" w:ascii="宋体" w:hAnsi="宋体"/>
          <w:szCs w:val="21"/>
          <w:lang w:val="en-US" w:eastAsia="zh-CN"/>
        </w:rPr>
        <w:t>1</w:t>
      </w:r>
      <w:r>
        <w:rPr>
          <w:rFonts w:hint="eastAsia" w:ascii="宋体" w:hAnsi="宋体"/>
          <w:szCs w:val="21"/>
        </w:rPr>
        <w:t>．承包人人员、车辆的出入，带入现场的设备、机具、材料，在现场使用的或直接管理的办公、生活、生产性设施的安全管理须满足发包人现场管理的基本要求。</w:t>
      </w:r>
    </w:p>
    <w:p w14:paraId="142495A5">
      <w:pPr>
        <w:spacing w:line="360" w:lineRule="auto"/>
        <w:ind w:firstLine="420" w:firstLineChars="200"/>
        <w:jc w:val="left"/>
        <w:rPr>
          <w:rFonts w:ascii="宋体" w:hAnsi="宋体"/>
          <w:szCs w:val="21"/>
        </w:rPr>
      </w:pPr>
      <w:r>
        <w:rPr>
          <w:rFonts w:hint="eastAsia" w:ascii="宋体" w:hAnsi="宋体"/>
          <w:szCs w:val="21"/>
          <w:lang w:val="en-US" w:eastAsia="zh-CN"/>
        </w:rPr>
        <w:t>2</w:t>
      </w:r>
      <w:r>
        <w:rPr>
          <w:rFonts w:hint="eastAsia" w:ascii="宋体" w:hAnsi="宋体"/>
          <w:szCs w:val="21"/>
        </w:rPr>
        <w:t>．承包人应指定专职安全管理人员与发包人接口，参与安全协调和管理。安全协调和管理的内容包括职业健康、工业安全、消防安全、卫生防疫、交通安全、环境保护、治安保卫等各方面。</w:t>
      </w:r>
    </w:p>
    <w:p w14:paraId="5E8110C3">
      <w:pPr>
        <w:spacing w:line="360" w:lineRule="auto"/>
        <w:ind w:firstLine="420" w:firstLineChars="200"/>
        <w:jc w:val="left"/>
        <w:rPr>
          <w:rFonts w:ascii="宋体" w:hAnsi="宋体"/>
          <w:szCs w:val="21"/>
        </w:rPr>
      </w:pPr>
      <w:r>
        <w:rPr>
          <w:rFonts w:hint="eastAsia" w:ascii="宋体" w:hAnsi="宋体"/>
          <w:szCs w:val="21"/>
          <w:lang w:val="en-US" w:eastAsia="zh-CN"/>
        </w:rPr>
        <w:t>3</w:t>
      </w:r>
      <w:r>
        <w:rPr>
          <w:rFonts w:hint="eastAsia" w:ascii="宋体" w:hAnsi="宋体"/>
          <w:szCs w:val="21"/>
        </w:rPr>
        <w:t>．承包人的专职安全管理人员应具备协调安全工作的能力和授权。发包人有权对专职安全管理人员的能力和权力做出评价，对于不能胜任的专职安全管理人员，发包人有权要求承包人换人。</w:t>
      </w:r>
    </w:p>
    <w:p w14:paraId="5B50A0F2">
      <w:pPr>
        <w:spacing w:line="360" w:lineRule="auto"/>
        <w:ind w:firstLine="420" w:firstLineChars="200"/>
        <w:jc w:val="left"/>
        <w:rPr>
          <w:rFonts w:ascii="宋体" w:hAnsi="宋体"/>
          <w:szCs w:val="21"/>
        </w:rPr>
      </w:pPr>
      <w:r>
        <w:rPr>
          <w:rFonts w:hint="eastAsia" w:ascii="宋体" w:hAnsi="宋体"/>
          <w:szCs w:val="21"/>
          <w:lang w:val="en-US" w:eastAsia="zh-CN"/>
        </w:rPr>
        <w:t>4</w:t>
      </w:r>
      <w:r>
        <w:rPr>
          <w:rFonts w:hint="eastAsia" w:ascii="宋体" w:hAnsi="宋体"/>
          <w:szCs w:val="21"/>
        </w:rPr>
        <w:t>．承包人指定的专职安全管理人员应与发包人建立联系，在业务上接受发包人的协调和指导。</w:t>
      </w:r>
    </w:p>
    <w:p w14:paraId="546CF7B5">
      <w:pPr>
        <w:spacing w:line="360" w:lineRule="auto"/>
        <w:ind w:firstLine="420" w:firstLineChars="200"/>
        <w:jc w:val="left"/>
        <w:rPr>
          <w:rFonts w:ascii="宋体" w:hAnsi="宋体"/>
          <w:szCs w:val="21"/>
        </w:rPr>
      </w:pPr>
      <w:r>
        <w:rPr>
          <w:rFonts w:hint="eastAsia" w:ascii="宋体" w:hAnsi="宋体"/>
          <w:szCs w:val="21"/>
          <w:lang w:val="en-US" w:eastAsia="zh-CN"/>
        </w:rPr>
        <w:t>5</w:t>
      </w:r>
      <w:r>
        <w:rPr>
          <w:rFonts w:hint="eastAsia" w:ascii="宋体" w:hAnsi="宋体"/>
          <w:szCs w:val="21"/>
        </w:rPr>
        <w:t>．开工后承包人的专职安全管理人员应按照发包人的规定，定期报送安全月度快报、季报、年报和各种专项事故报告等。</w:t>
      </w:r>
    </w:p>
    <w:p w14:paraId="1636A23E">
      <w:pPr>
        <w:spacing w:line="360" w:lineRule="auto"/>
        <w:ind w:firstLine="420" w:firstLineChars="200"/>
        <w:jc w:val="left"/>
        <w:rPr>
          <w:rFonts w:ascii="宋体" w:hAnsi="宋体"/>
          <w:szCs w:val="21"/>
        </w:rPr>
      </w:pPr>
      <w:r>
        <w:rPr>
          <w:rFonts w:hint="eastAsia" w:ascii="宋体" w:hAnsi="宋体"/>
          <w:szCs w:val="21"/>
          <w:lang w:val="en-US" w:eastAsia="zh-CN"/>
        </w:rPr>
        <w:t>6</w:t>
      </w:r>
      <w:r>
        <w:rPr>
          <w:rFonts w:hint="eastAsia" w:ascii="宋体" w:hAnsi="宋体"/>
          <w:szCs w:val="21"/>
        </w:rPr>
        <w:t>．在工程实体未全部正式移交发包人施工管理部门之前，承包人依旧对施工范围内的安全管理负责。</w:t>
      </w:r>
    </w:p>
    <w:p w14:paraId="4D5C21E7">
      <w:pPr>
        <w:spacing w:line="360" w:lineRule="auto"/>
        <w:ind w:firstLine="420" w:firstLineChars="200"/>
        <w:rPr>
          <w:rFonts w:ascii="宋体" w:hAnsi="宋体"/>
          <w:szCs w:val="21"/>
        </w:rPr>
      </w:pPr>
      <w:bookmarkStart w:id="748" w:name="_Toc247418268"/>
      <w:bookmarkStart w:id="749" w:name="_Toc239510294"/>
      <w:bookmarkStart w:id="750" w:name="_Toc532375704"/>
      <w:bookmarkStart w:id="751" w:name="_Toc247431428"/>
      <w:r>
        <w:rPr>
          <w:rFonts w:hint="eastAsia" w:ascii="宋体" w:hAnsi="宋体"/>
          <w:szCs w:val="21"/>
        </w:rPr>
        <w:t>五、安全资质审查</w:t>
      </w:r>
      <w:bookmarkEnd w:id="748"/>
      <w:bookmarkEnd w:id="749"/>
      <w:bookmarkEnd w:id="750"/>
      <w:bookmarkEnd w:id="751"/>
    </w:p>
    <w:p w14:paraId="763F42E9">
      <w:pPr>
        <w:spacing w:line="360" w:lineRule="auto"/>
        <w:ind w:firstLine="420" w:firstLineChars="200"/>
        <w:jc w:val="left"/>
        <w:rPr>
          <w:rFonts w:ascii="宋体" w:hAnsi="宋体"/>
          <w:szCs w:val="21"/>
        </w:rPr>
      </w:pPr>
      <w:r>
        <w:rPr>
          <w:rFonts w:hint="eastAsia" w:ascii="宋体" w:hAnsi="宋体"/>
          <w:szCs w:val="21"/>
        </w:rPr>
        <w:t>承包人在项目开工前5个工作天内向发包人提供以下安全资质供审查和存档：</w:t>
      </w:r>
    </w:p>
    <w:p w14:paraId="7FA8F21D">
      <w:pPr>
        <w:spacing w:line="360" w:lineRule="auto"/>
        <w:ind w:firstLine="420" w:firstLineChars="200"/>
        <w:jc w:val="left"/>
        <w:rPr>
          <w:rFonts w:ascii="宋体" w:hAnsi="宋体"/>
          <w:szCs w:val="21"/>
        </w:rPr>
      </w:pPr>
      <w:r>
        <w:rPr>
          <w:rFonts w:hint="eastAsia" w:ascii="宋体" w:hAnsi="宋体"/>
          <w:szCs w:val="21"/>
        </w:rPr>
        <w:t>1．企业安全生产许可证书复印件。</w:t>
      </w:r>
    </w:p>
    <w:p w14:paraId="09B62839">
      <w:pPr>
        <w:spacing w:line="360" w:lineRule="auto"/>
        <w:ind w:firstLine="420" w:firstLineChars="200"/>
        <w:jc w:val="left"/>
        <w:rPr>
          <w:rFonts w:ascii="宋体" w:hAnsi="宋体"/>
          <w:szCs w:val="21"/>
        </w:rPr>
      </w:pPr>
      <w:r>
        <w:rPr>
          <w:rFonts w:hint="eastAsia" w:ascii="宋体" w:hAnsi="宋体"/>
          <w:szCs w:val="21"/>
        </w:rPr>
        <w:t>2．企业近三年的施工简历及安全施工业绩证明文件。</w:t>
      </w:r>
    </w:p>
    <w:p w14:paraId="29E11208">
      <w:pPr>
        <w:spacing w:line="360" w:lineRule="auto"/>
        <w:ind w:firstLine="420" w:firstLineChars="200"/>
        <w:jc w:val="left"/>
        <w:rPr>
          <w:rFonts w:ascii="宋体" w:hAnsi="宋体"/>
          <w:szCs w:val="21"/>
        </w:rPr>
      </w:pPr>
      <w:r>
        <w:rPr>
          <w:rFonts w:hint="eastAsia" w:ascii="宋体" w:hAnsi="宋体"/>
          <w:szCs w:val="21"/>
        </w:rPr>
        <w:t>3．企业主要安全管理人员（包括项目经理、专职安全管理人员）经建设主管部门安全生产知识考核合格证书。</w:t>
      </w:r>
    </w:p>
    <w:p w14:paraId="1C254608">
      <w:pPr>
        <w:spacing w:line="360" w:lineRule="auto"/>
        <w:ind w:firstLine="420" w:firstLineChars="200"/>
        <w:jc w:val="left"/>
        <w:rPr>
          <w:rFonts w:ascii="宋体" w:hAnsi="宋体"/>
          <w:szCs w:val="21"/>
        </w:rPr>
      </w:pPr>
      <w:r>
        <w:rPr>
          <w:rFonts w:hint="eastAsia" w:ascii="宋体" w:hAnsi="宋体"/>
          <w:szCs w:val="21"/>
        </w:rPr>
        <w:t>4．特种作业人员资格证书。</w:t>
      </w:r>
    </w:p>
    <w:p w14:paraId="776F174E">
      <w:pPr>
        <w:spacing w:line="360" w:lineRule="auto"/>
        <w:ind w:firstLine="420" w:firstLineChars="200"/>
        <w:jc w:val="left"/>
        <w:rPr>
          <w:rFonts w:ascii="宋体" w:hAnsi="宋体"/>
          <w:szCs w:val="21"/>
        </w:rPr>
      </w:pPr>
      <w:r>
        <w:rPr>
          <w:rFonts w:hint="eastAsia" w:ascii="宋体" w:hAnsi="宋体"/>
          <w:szCs w:val="21"/>
        </w:rPr>
        <w:t>5．项目安全管理机构及其人员配备（承包人必须配有专职的安全员）。</w:t>
      </w:r>
    </w:p>
    <w:p w14:paraId="65E7E54D">
      <w:pPr>
        <w:spacing w:line="360" w:lineRule="auto"/>
        <w:ind w:firstLine="420" w:firstLineChars="200"/>
        <w:jc w:val="left"/>
        <w:rPr>
          <w:rFonts w:ascii="宋体" w:hAnsi="宋体"/>
          <w:szCs w:val="21"/>
        </w:rPr>
      </w:pPr>
      <w:r>
        <w:rPr>
          <w:rFonts w:hint="eastAsia" w:ascii="宋体" w:hAnsi="宋体"/>
          <w:szCs w:val="21"/>
        </w:rPr>
        <w:t>6．适用于项目的安全管理体系及保证体系文件（安全管理大纲及管理程序文件）。</w:t>
      </w:r>
    </w:p>
    <w:p w14:paraId="1B1D6D7D">
      <w:pPr>
        <w:spacing w:line="360" w:lineRule="auto"/>
        <w:ind w:firstLine="420" w:firstLineChars="200"/>
        <w:rPr>
          <w:rFonts w:ascii="宋体" w:hAnsi="宋体"/>
          <w:szCs w:val="21"/>
        </w:rPr>
      </w:pPr>
      <w:bookmarkStart w:id="752" w:name="_Toc247418269"/>
      <w:bookmarkStart w:id="753" w:name="_Toc247431429"/>
      <w:bookmarkStart w:id="754" w:name="_Toc532375705"/>
      <w:bookmarkStart w:id="755" w:name="_Toc239510295"/>
      <w:r>
        <w:rPr>
          <w:rFonts w:hint="eastAsia" w:ascii="宋体" w:hAnsi="宋体"/>
          <w:szCs w:val="21"/>
        </w:rPr>
        <w:t>六、人员基本素质</w:t>
      </w:r>
      <w:bookmarkEnd w:id="752"/>
      <w:bookmarkEnd w:id="753"/>
      <w:bookmarkEnd w:id="754"/>
      <w:bookmarkEnd w:id="755"/>
    </w:p>
    <w:p w14:paraId="1EEBB238">
      <w:pPr>
        <w:spacing w:line="360" w:lineRule="auto"/>
        <w:ind w:firstLine="420" w:firstLineChars="200"/>
        <w:jc w:val="left"/>
        <w:rPr>
          <w:rFonts w:ascii="宋体" w:hAnsi="宋体"/>
          <w:szCs w:val="21"/>
        </w:rPr>
      </w:pPr>
      <w:r>
        <w:rPr>
          <w:rFonts w:hint="eastAsia" w:ascii="宋体" w:hAnsi="宋体"/>
          <w:szCs w:val="21"/>
        </w:rPr>
        <w:t>承包人提供的人员必须满足下列要求：</w:t>
      </w:r>
    </w:p>
    <w:p w14:paraId="7D1E04F6">
      <w:pPr>
        <w:spacing w:line="360" w:lineRule="auto"/>
        <w:ind w:firstLine="420" w:firstLineChars="200"/>
        <w:jc w:val="left"/>
        <w:rPr>
          <w:rFonts w:ascii="宋体" w:hAnsi="宋体"/>
          <w:szCs w:val="21"/>
        </w:rPr>
      </w:pPr>
      <w:r>
        <w:rPr>
          <w:rFonts w:hint="eastAsia" w:ascii="宋体" w:hAnsi="宋体"/>
          <w:szCs w:val="21"/>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4284E5E2">
      <w:pPr>
        <w:spacing w:line="360" w:lineRule="auto"/>
        <w:ind w:firstLine="420" w:firstLineChars="200"/>
        <w:jc w:val="left"/>
        <w:rPr>
          <w:rFonts w:ascii="宋体" w:hAnsi="宋体"/>
          <w:szCs w:val="21"/>
        </w:rPr>
      </w:pPr>
      <w:r>
        <w:rPr>
          <w:rFonts w:hint="eastAsia" w:ascii="宋体" w:hAnsi="宋体"/>
          <w:szCs w:val="21"/>
        </w:rPr>
        <w:t>2．无刑事案件牵连。</w:t>
      </w:r>
    </w:p>
    <w:p w14:paraId="77FF6F6E">
      <w:pPr>
        <w:spacing w:line="360" w:lineRule="auto"/>
        <w:ind w:firstLine="420" w:firstLineChars="200"/>
        <w:jc w:val="left"/>
        <w:rPr>
          <w:rFonts w:ascii="宋体" w:hAnsi="宋体"/>
          <w:szCs w:val="21"/>
        </w:rPr>
      </w:pPr>
      <w:r>
        <w:rPr>
          <w:rFonts w:hint="eastAsia" w:ascii="宋体" w:hAnsi="宋体"/>
          <w:szCs w:val="21"/>
        </w:rPr>
        <w:t>3．无吸毒、酗酒、赌博、嫖娼等恶习及违法行为。</w:t>
      </w:r>
    </w:p>
    <w:p w14:paraId="4CB1B9B4">
      <w:pPr>
        <w:spacing w:line="360" w:lineRule="auto"/>
        <w:ind w:firstLine="420" w:firstLineChars="200"/>
        <w:rPr>
          <w:rFonts w:ascii="宋体" w:hAnsi="宋体"/>
          <w:szCs w:val="21"/>
        </w:rPr>
      </w:pPr>
      <w:bookmarkStart w:id="756" w:name="_Toc247418270"/>
      <w:bookmarkStart w:id="757" w:name="_Toc239510296"/>
      <w:bookmarkStart w:id="758" w:name="_Toc532375706"/>
      <w:bookmarkStart w:id="759" w:name="_Toc247431430"/>
      <w:r>
        <w:rPr>
          <w:rFonts w:hint="eastAsia" w:ascii="宋体" w:hAnsi="宋体"/>
          <w:szCs w:val="21"/>
        </w:rPr>
        <w:t>七、劳动保护</w:t>
      </w:r>
      <w:bookmarkEnd w:id="756"/>
      <w:bookmarkEnd w:id="757"/>
      <w:bookmarkEnd w:id="758"/>
      <w:bookmarkEnd w:id="759"/>
    </w:p>
    <w:p w14:paraId="5CA1882B">
      <w:pPr>
        <w:spacing w:line="360" w:lineRule="auto"/>
        <w:ind w:firstLine="420" w:firstLineChars="200"/>
        <w:jc w:val="left"/>
        <w:rPr>
          <w:rFonts w:ascii="宋体" w:hAnsi="宋体"/>
          <w:szCs w:val="21"/>
        </w:rPr>
      </w:pPr>
      <w:r>
        <w:rPr>
          <w:rFonts w:hint="eastAsia" w:ascii="宋体" w:hAnsi="宋体"/>
          <w:szCs w:val="21"/>
        </w:rPr>
        <w:t>1．承包人负责为本单位任何用工形式的员工提供个人劳动保护用品（包括工作服、安全帽、安全鞋等）。</w:t>
      </w:r>
    </w:p>
    <w:p w14:paraId="1B2D216A">
      <w:pPr>
        <w:spacing w:line="360" w:lineRule="auto"/>
        <w:ind w:firstLine="420" w:firstLineChars="200"/>
        <w:jc w:val="left"/>
        <w:rPr>
          <w:rFonts w:ascii="宋体" w:hAnsi="宋体"/>
          <w:szCs w:val="21"/>
        </w:rPr>
      </w:pPr>
      <w:r>
        <w:rPr>
          <w:rFonts w:hint="eastAsia" w:ascii="宋体" w:hAnsi="宋体"/>
          <w:szCs w:val="21"/>
        </w:rPr>
        <w:t>2．承包人负责向特殊工种的员工提供特殊劳动保护，否则不得从事特殊工种作业。</w:t>
      </w:r>
    </w:p>
    <w:p w14:paraId="64869D41">
      <w:pPr>
        <w:spacing w:line="360" w:lineRule="auto"/>
        <w:ind w:firstLine="420" w:firstLineChars="200"/>
        <w:jc w:val="left"/>
        <w:rPr>
          <w:rFonts w:ascii="宋体" w:hAnsi="宋体"/>
          <w:szCs w:val="21"/>
        </w:rPr>
      </w:pPr>
      <w:r>
        <w:rPr>
          <w:rFonts w:hint="eastAsia" w:ascii="宋体" w:hAnsi="宋体"/>
          <w:szCs w:val="21"/>
        </w:rPr>
        <w:t>3．发包人有权检查承包人的个人劳动保护用品是否符合国家的相应标准。</w:t>
      </w:r>
    </w:p>
    <w:p w14:paraId="60CCCF12">
      <w:pPr>
        <w:spacing w:line="360" w:lineRule="auto"/>
        <w:ind w:firstLine="420" w:firstLineChars="200"/>
        <w:jc w:val="left"/>
        <w:rPr>
          <w:rFonts w:ascii="宋体" w:hAnsi="宋体"/>
          <w:szCs w:val="21"/>
        </w:rPr>
      </w:pPr>
      <w:r>
        <w:rPr>
          <w:rFonts w:hint="eastAsia" w:ascii="宋体" w:hAnsi="宋体"/>
          <w:szCs w:val="21"/>
        </w:rPr>
        <w:t>4． 承包人在特殊风险场所作业而需要特殊防护用品或安全仪表时，必须在上述防护用品全部到位后才能开工。</w:t>
      </w:r>
    </w:p>
    <w:p w14:paraId="0853AB62">
      <w:pPr>
        <w:spacing w:line="360" w:lineRule="auto"/>
        <w:ind w:firstLine="420" w:firstLineChars="200"/>
        <w:jc w:val="left"/>
        <w:rPr>
          <w:rFonts w:ascii="宋体" w:hAnsi="宋体"/>
          <w:szCs w:val="21"/>
        </w:rPr>
      </w:pPr>
      <w:r>
        <w:rPr>
          <w:rFonts w:hint="eastAsia" w:ascii="宋体" w:hAnsi="宋体"/>
          <w:szCs w:val="21"/>
        </w:rPr>
        <w:t>5．承包人应配备临时安全围栏、警示带、警告标志、防火布等集体防护用品。</w:t>
      </w:r>
    </w:p>
    <w:p w14:paraId="03E7CB47">
      <w:pPr>
        <w:spacing w:line="360" w:lineRule="auto"/>
        <w:ind w:firstLine="420" w:firstLineChars="200"/>
        <w:rPr>
          <w:rFonts w:ascii="宋体" w:hAnsi="宋体"/>
          <w:szCs w:val="21"/>
        </w:rPr>
      </w:pPr>
      <w:bookmarkStart w:id="760" w:name="_Toc239510297"/>
      <w:bookmarkStart w:id="761" w:name="_Toc247431431"/>
      <w:bookmarkStart w:id="762" w:name="_Toc532375707"/>
      <w:bookmarkStart w:id="763" w:name="_Toc247418271"/>
      <w:r>
        <w:rPr>
          <w:rFonts w:hint="eastAsia" w:ascii="宋体" w:hAnsi="宋体"/>
          <w:szCs w:val="21"/>
        </w:rPr>
        <w:t>八、施工机具与材料</w:t>
      </w:r>
      <w:bookmarkEnd w:id="760"/>
      <w:bookmarkEnd w:id="761"/>
      <w:bookmarkEnd w:id="762"/>
      <w:bookmarkEnd w:id="763"/>
    </w:p>
    <w:p w14:paraId="3BA3F1BD">
      <w:pPr>
        <w:spacing w:line="360" w:lineRule="auto"/>
        <w:ind w:firstLine="420" w:firstLineChars="200"/>
        <w:jc w:val="left"/>
        <w:rPr>
          <w:rFonts w:ascii="宋体" w:hAnsi="宋体"/>
          <w:szCs w:val="21"/>
        </w:rPr>
      </w:pPr>
      <w:r>
        <w:rPr>
          <w:rFonts w:hint="eastAsia" w:ascii="宋体" w:hAnsi="宋体"/>
          <w:szCs w:val="21"/>
        </w:rPr>
        <w:t>1．承包人对带入现场的施工机械和工器具的安全负责。</w:t>
      </w:r>
    </w:p>
    <w:p w14:paraId="6336970C">
      <w:pPr>
        <w:spacing w:line="360" w:lineRule="auto"/>
        <w:ind w:firstLine="420" w:firstLineChars="200"/>
        <w:jc w:val="left"/>
        <w:rPr>
          <w:rFonts w:ascii="宋体" w:hAnsi="宋体"/>
          <w:szCs w:val="21"/>
        </w:rPr>
      </w:pPr>
      <w:r>
        <w:rPr>
          <w:rFonts w:hint="eastAsia" w:ascii="宋体" w:hAnsi="宋体"/>
          <w:szCs w:val="21"/>
        </w:rPr>
        <w:t>2．对于承包人带入现场的特殊工器具，如起重设备、索具、机动车辆、压缩气瓶等，承包人必须按国家法规和标准进行检测、试验，并持有法定部门出具的检验证书。</w:t>
      </w:r>
    </w:p>
    <w:p w14:paraId="5E5671AF">
      <w:pPr>
        <w:spacing w:line="360" w:lineRule="auto"/>
        <w:ind w:firstLine="420" w:firstLineChars="200"/>
        <w:jc w:val="left"/>
        <w:rPr>
          <w:rFonts w:ascii="宋体" w:hAnsi="宋体"/>
          <w:szCs w:val="21"/>
        </w:rPr>
      </w:pPr>
      <w:r>
        <w:rPr>
          <w:rFonts w:hint="eastAsia" w:ascii="宋体" w:hAnsi="宋体"/>
          <w:szCs w:val="21"/>
        </w:rPr>
        <w:t>3．对于不属于法定检测的工器具，承包人也必须建立相应的管理、检测制度，这些工器具包括登高工具、脚手架材料、电动工具、安全防护设备及用具等。</w:t>
      </w:r>
    </w:p>
    <w:p w14:paraId="4E9DEBFA">
      <w:pPr>
        <w:spacing w:line="360" w:lineRule="auto"/>
        <w:ind w:firstLine="420" w:firstLineChars="200"/>
        <w:rPr>
          <w:rFonts w:ascii="宋体" w:hAnsi="宋体"/>
          <w:szCs w:val="21"/>
        </w:rPr>
      </w:pPr>
      <w:bookmarkStart w:id="764" w:name="_Toc247418272"/>
      <w:bookmarkStart w:id="765" w:name="_Toc239510298"/>
      <w:bookmarkStart w:id="766" w:name="_Toc247431432"/>
      <w:bookmarkStart w:id="767" w:name="_Toc532375708"/>
      <w:r>
        <w:rPr>
          <w:rFonts w:hint="eastAsia" w:ascii="宋体" w:hAnsi="宋体"/>
          <w:szCs w:val="21"/>
        </w:rPr>
        <w:t>九、开工前安全条件检查</w:t>
      </w:r>
      <w:bookmarkEnd w:id="764"/>
      <w:bookmarkEnd w:id="765"/>
      <w:bookmarkEnd w:id="766"/>
      <w:bookmarkEnd w:id="767"/>
    </w:p>
    <w:p w14:paraId="08EE5888">
      <w:pPr>
        <w:spacing w:line="360" w:lineRule="auto"/>
        <w:ind w:firstLine="420" w:firstLineChars="200"/>
        <w:jc w:val="left"/>
        <w:rPr>
          <w:rFonts w:ascii="宋体" w:hAnsi="宋体"/>
          <w:szCs w:val="21"/>
        </w:rPr>
      </w:pPr>
      <w:r>
        <w:rPr>
          <w:rFonts w:hint="eastAsia" w:ascii="宋体" w:hAnsi="宋体"/>
          <w:szCs w:val="21"/>
        </w:rPr>
        <w:t>1．发包人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2E10B688">
      <w:pPr>
        <w:spacing w:line="360" w:lineRule="auto"/>
        <w:ind w:firstLine="420" w:firstLineChars="200"/>
        <w:jc w:val="left"/>
        <w:rPr>
          <w:rFonts w:ascii="宋体" w:hAnsi="宋体"/>
          <w:szCs w:val="21"/>
        </w:rPr>
      </w:pPr>
      <w:r>
        <w:rPr>
          <w:rFonts w:hint="eastAsia" w:ascii="宋体" w:hAnsi="宋体"/>
          <w:szCs w:val="21"/>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29CB7A62">
      <w:pPr>
        <w:spacing w:line="360" w:lineRule="auto"/>
        <w:ind w:firstLine="420" w:firstLineChars="200"/>
        <w:jc w:val="left"/>
        <w:rPr>
          <w:rFonts w:ascii="宋体" w:hAnsi="宋体"/>
          <w:szCs w:val="21"/>
        </w:rPr>
      </w:pPr>
      <w:r>
        <w:rPr>
          <w:rFonts w:hint="eastAsia" w:ascii="宋体" w:hAnsi="宋体"/>
          <w:szCs w:val="21"/>
        </w:rPr>
        <w:t>3．发包人检查发现的缺陷，承包人应在规定期限内完成整改。对于重大缺陷，发包人有权要求承包人推迟开工，由此对工期产生的影响或经济损失，由承包人承担。</w:t>
      </w:r>
    </w:p>
    <w:p w14:paraId="4D8B52B0">
      <w:pPr>
        <w:spacing w:line="360" w:lineRule="auto"/>
        <w:ind w:firstLine="420" w:firstLineChars="200"/>
        <w:rPr>
          <w:rFonts w:ascii="宋体" w:hAnsi="宋体"/>
          <w:szCs w:val="21"/>
        </w:rPr>
      </w:pPr>
      <w:bookmarkStart w:id="768" w:name="_Toc247418273"/>
      <w:bookmarkStart w:id="769" w:name="_Toc532375709"/>
      <w:bookmarkStart w:id="770" w:name="_Toc239510299"/>
      <w:bookmarkStart w:id="771" w:name="_Toc247431433"/>
      <w:r>
        <w:rPr>
          <w:rFonts w:hint="eastAsia" w:ascii="宋体" w:hAnsi="宋体"/>
          <w:szCs w:val="21"/>
        </w:rPr>
        <w:t>十、安全监督</w:t>
      </w:r>
      <w:bookmarkEnd w:id="768"/>
      <w:bookmarkEnd w:id="769"/>
      <w:bookmarkEnd w:id="770"/>
      <w:bookmarkEnd w:id="771"/>
    </w:p>
    <w:p w14:paraId="0D17E5C6">
      <w:pPr>
        <w:spacing w:line="360" w:lineRule="auto"/>
        <w:ind w:firstLine="420" w:firstLineChars="200"/>
        <w:jc w:val="left"/>
        <w:rPr>
          <w:rFonts w:ascii="宋体" w:hAnsi="宋体"/>
          <w:szCs w:val="21"/>
        </w:rPr>
      </w:pPr>
      <w:r>
        <w:rPr>
          <w:rFonts w:hint="eastAsia" w:ascii="宋体" w:hAnsi="宋体"/>
          <w:szCs w:val="21"/>
        </w:rPr>
        <w:t>1．承包人应配备有满足项目安全管理需要的专职安全管理人员。</w:t>
      </w:r>
    </w:p>
    <w:p w14:paraId="421F617B">
      <w:pPr>
        <w:spacing w:line="360" w:lineRule="auto"/>
        <w:ind w:firstLine="420" w:firstLineChars="200"/>
        <w:jc w:val="left"/>
        <w:rPr>
          <w:rFonts w:ascii="宋体" w:hAnsi="宋体"/>
          <w:szCs w:val="21"/>
        </w:rPr>
      </w:pPr>
      <w:r>
        <w:rPr>
          <w:rFonts w:hint="eastAsia" w:ascii="宋体" w:hAnsi="宋体"/>
          <w:szCs w:val="21"/>
        </w:rPr>
        <w:t>2．承包人的专职安全管理人员必须持建设主管部门颁发的安全生产知识考核合格证书。</w:t>
      </w:r>
    </w:p>
    <w:p w14:paraId="32FFE22E">
      <w:pPr>
        <w:spacing w:line="360" w:lineRule="auto"/>
        <w:ind w:firstLine="420" w:firstLineChars="200"/>
        <w:jc w:val="left"/>
        <w:rPr>
          <w:rFonts w:ascii="宋体" w:hAnsi="宋体"/>
          <w:szCs w:val="21"/>
        </w:rPr>
      </w:pPr>
      <w:r>
        <w:rPr>
          <w:rFonts w:hint="eastAsia" w:ascii="宋体" w:hAnsi="宋体"/>
          <w:szCs w:val="21"/>
        </w:rPr>
        <w:t>3．承包人的专职安全管理人员在业务上接受发包人安全管理部门的协调和指导。</w:t>
      </w:r>
    </w:p>
    <w:p w14:paraId="054219F7">
      <w:pPr>
        <w:spacing w:line="360" w:lineRule="auto"/>
        <w:ind w:firstLine="420" w:firstLineChars="200"/>
        <w:jc w:val="left"/>
        <w:rPr>
          <w:rFonts w:ascii="宋体" w:hAnsi="宋体"/>
          <w:szCs w:val="21"/>
        </w:rPr>
      </w:pPr>
      <w:r>
        <w:rPr>
          <w:rFonts w:hint="eastAsia" w:ascii="宋体" w:hAnsi="宋体"/>
          <w:szCs w:val="21"/>
        </w:rPr>
        <w:t>4．承包人应建立班前安全交底制度；施工期间坚持开展安全检查和日常安全监督并形成相应的记录。</w:t>
      </w:r>
    </w:p>
    <w:p w14:paraId="23B514F9">
      <w:pPr>
        <w:spacing w:line="360" w:lineRule="auto"/>
        <w:ind w:firstLine="420" w:firstLineChars="200"/>
        <w:jc w:val="left"/>
        <w:rPr>
          <w:rFonts w:ascii="宋体" w:hAnsi="宋体"/>
          <w:szCs w:val="21"/>
        </w:rPr>
      </w:pPr>
      <w:r>
        <w:rPr>
          <w:rFonts w:hint="eastAsia" w:ascii="宋体" w:hAnsi="宋体"/>
          <w:szCs w:val="21"/>
        </w:rPr>
        <w:t>5．承包人应在每个作业区任命兼职安全员，赋予兼职安全员相应的授权和义务，并对兼职安全员进行定期考核。</w:t>
      </w:r>
    </w:p>
    <w:p w14:paraId="230B373E">
      <w:pPr>
        <w:spacing w:line="360" w:lineRule="auto"/>
        <w:ind w:firstLine="420" w:firstLineChars="200"/>
        <w:jc w:val="left"/>
        <w:rPr>
          <w:rFonts w:ascii="宋体" w:hAnsi="宋体"/>
          <w:szCs w:val="21"/>
        </w:rPr>
      </w:pPr>
      <w:r>
        <w:rPr>
          <w:rFonts w:hint="eastAsia" w:ascii="宋体" w:hAnsi="宋体"/>
          <w:szCs w:val="21"/>
        </w:rPr>
        <w:t>6．承包人应接受和配合发包人专业部门的监督与安全评价。</w:t>
      </w:r>
    </w:p>
    <w:p w14:paraId="3505DABE">
      <w:pPr>
        <w:spacing w:line="360" w:lineRule="auto"/>
        <w:ind w:firstLine="420" w:firstLineChars="200"/>
        <w:jc w:val="left"/>
        <w:rPr>
          <w:rFonts w:ascii="宋体" w:hAnsi="宋体"/>
          <w:szCs w:val="21"/>
        </w:rPr>
      </w:pPr>
      <w:r>
        <w:rPr>
          <w:rFonts w:hint="eastAsia" w:ascii="宋体" w:hAnsi="宋体"/>
          <w:szCs w:val="21"/>
        </w:rPr>
        <w:t>7．发包人有权对承包人履行安全管理协议的情况进行监督，并有权对违章行为实行停工和处罚，处罚情况将通知承包人。涉及经济处罚时将直接通知合同管理部门从合同结算中扣除。</w:t>
      </w:r>
    </w:p>
    <w:p w14:paraId="1814B623">
      <w:pPr>
        <w:spacing w:line="360" w:lineRule="auto"/>
        <w:ind w:firstLine="420" w:firstLineChars="200"/>
        <w:rPr>
          <w:rFonts w:ascii="宋体" w:hAnsi="宋体"/>
          <w:szCs w:val="21"/>
        </w:rPr>
      </w:pPr>
      <w:bookmarkStart w:id="772" w:name="_Toc239510300"/>
      <w:bookmarkStart w:id="773" w:name="_Toc532375710"/>
      <w:bookmarkStart w:id="774" w:name="_Toc247431434"/>
      <w:bookmarkStart w:id="775" w:name="_Toc247418274"/>
      <w:r>
        <w:rPr>
          <w:rFonts w:hint="eastAsia" w:ascii="宋体" w:hAnsi="宋体"/>
          <w:szCs w:val="21"/>
        </w:rPr>
        <w:t>十一、安全培训与授权</w:t>
      </w:r>
      <w:bookmarkEnd w:id="772"/>
      <w:bookmarkEnd w:id="773"/>
      <w:bookmarkEnd w:id="774"/>
      <w:bookmarkEnd w:id="775"/>
    </w:p>
    <w:p w14:paraId="1F364982">
      <w:pPr>
        <w:spacing w:line="360" w:lineRule="auto"/>
        <w:ind w:firstLine="420" w:firstLineChars="200"/>
        <w:jc w:val="left"/>
        <w:rPr>
          <w:rFonts w:ascii="宋体" w:hAnsi="宋体"/>
          <w:szCs w:val="21"/>
        </w:rPr>
      </w:pPr>
      <w:r>
        <w:rPr>
          <w:rFonts w:hint="eastAsia" w:ascii="宋体" w:hAnsi="宋体"/>
          <w:szCs w:val="21"/>
        </w:rPr>
        <w:t>1．承包人所有特殊工种人员必须持证上岗，发包人有权对其进行抽查。承包人要建立特殊工种定期培训和检查计划，这些工种包括但不限于：机动车驾驶员、焊工、起重工、电工等。</w:t>
      </w:r>
    </w:p>
    <w:p w14:paraId="07C95CCF">
      <w:pPr>
        <w:spacing w:line="360" w:lineRule="auto"/>
        <w:ind w:firstLine="420" w:firstLineChars="200"/>
        <w:jc w:val="left"/>
        <w:rPr>
          <w:rFonts w:ascii="宋体" w:hAnsi="宋体"/>
          <w:szCs w:val="21"/>
        </w:rPr>
      </w:pPr>
      <w:r>
        <w:rPr>
          <w:rFonts w:hint="eastAsia" w:ascii="宋体" w:hAnsi="宋体"/>
          <w:szCs w:val="21"/>
        </w:rPr>
        <w:t>2．承包人应在特殊工种之外的其他工种中，筛选出高风险工种，并对其开展针对性的专题安全培训。</w:t>
      </w:r>
    </w:p>
    <w:p w14:paraId="2AE1D7B3">
      <w:pPr>
        <w:spacing w:line="360" w:lineRule="auto"/>
        <w:ind w:firstLine="420" w:firstLineChars="200"/>
        <w:jc w:val="left"/>
        <w:rPr>
          <w:rFonts w:ascii="宋体" w:hAnsi="宋体"/>
          <w:szCs w:val="21"/>
        </w:rPr>
      </w:pPr>
      <w:r>
        <w:rPr>
          <w:rFonts w:hint="eastAsia" w:ascii="宋体" w:hAnsi="宋体"/>
          <w:szCs w:val="21"/>
        </w:rPr>
        <w:t>3．承包人应组织 “入场培训”和考核。发包人有权监督培训、考核情况或组织抽查考核。</w:t>
      </w:r>
    </w:p>
    <w:p w14:paraId="3032C110">
      <w:pPr>
        <w:spacing w:line="360" w:lineRule="auto"/>
        <w:ind w:firstLine="420" w:firstLineChars="200"/>
        <w:jc w:val="left"/>
        <w:rPr>
          <w:rFonts w:ascii="宋体" w:hAnsi="宋体"/>
          <w:szCs w:val="21"/>
        </w:rPr>
      </w:pPr>
      <w:r>
        <w:rPr>
          <w:rFonts w:hint="eastAsia" w:ascii="宋体" w:hAnsi="宋体"/>
          <w:szCs w:val="21"/>
        </w:rPr>
        <w:t>4．承包人应建立安全培训和考核机制，编制培训教材和培训滚动计划。承包人应组织安全考试/考核，建立培训考核记录，发包人有权查看这些记录。</w:t>
      </w:r>
    </w:p>
    <w:p w14:paraId="42AB7E6F">
      <w:pPr>
        <w:spacing w:line="360" w:lineRule="auto"/>
        <w:ind w:firstLine="420" w:firstLineChars="200"/>
        <w:rPr>
          <w:rFonts w:ascii="宋体" w:hAnsi="宋体"/>
          <w:szCs w:val="21"/>
        </w:rPr>
      </w:pPr>
      <w:bookmarkStart w:id="776" w:name="_Toc247418275"/>
      <w:bookmarkStart w:id="777" w:name="_Toc532375711"/>
      <w:bookmarkStart w:id="778" w:name="_Toc247431435"/>
      <w:bookmarkStart w:id="779" w:name="_Toc239510301"/>
      <w:r>
        <w:rPr>
          <w:rFonts w:hint="eastAsia" w:ascii="宋体" w:hAnsi="宋体"/>
          <w:szCs w:val="21"/>
        </w:rPr>
        <w:t>十二、职业健康与卫生防疫</w:t>
      </w:r>
      <w:bookmarkEnd w:id="776"/>
      <w:bookmarkEnd w:id="777"/>
      <w:bookmarkEnd w:id="778"/>
      <w:bookmarkEnd w:id="779"/>
    </w:p>
    <w:p w14:paraId="08C6DDE6">
      <w:pPr>
        <w:spacing w:line="360" w:lineRule="auto"/>
        <w:ind w:firstLine="420" w:firstLineChars="200"/>
        <w:jc w:val="left"/>
        <w:rPr>
          <w:rFonts w:ascii="宋体" w:hAnsi="宋体"/>
          <w:szCs w:val="21"/>
        </w:rPr>
      </w:pPr>
      <w:r>
        <w:rPr>
          <w:rFonts w:hint="eastAsia" w:ascii="宋体" w:hAnsi="宋体"/>
          <w:szCs w:val="21"/>
        </w:rPr>
        <w:t>1．承包人应有特殊健康检查制度，预防有禁忌症患者从事有关职业，如恐高症患者不得从事高空作业，患有心血管疾病的人员不得从事繁重的体力劳动，特殊工种人员的体检应符合国家的规定。</w:t>
      </w:r>
    </w:p>
    <w:p w14:paraId="42E666C9">
      <w:pPr>
        <w:spacing w:line="360" w:lineRule="auto"/>
        <w:ind w:firstLine="420" w:firstLineChars="200"/>
        <w:jc w:val="left"/>
        <w:rPr>
          <w:rFonts w:ascii="宋体" w:hAnsi="宋体"/>
          <w:szCs w:val="21"/>
        </w:rPr>
      </w:pPr>
      <w:r>
        <w:rPr>
          <w:rFonts w:hint="eastAsia" w:ascii="宋体" w:hAnsi="宋体"/>
          <w:szCs w:val="21"/>
        </w:rPr>
        <w:t>2．承包人应保证卫生防疫基本设施的投入，以满足医疗、急救的要求，建立外部医疗支持渠道。</w:t>
      </w:r>
    </w:p>
    <w:p w14:paraId="73C733D0">
      <w:pPr>
        <w:spacing w:line="360" w:lineRule="auto"/>
        <w:ind w:firstLine="420" w:firstLineChars="200"/>
        <w:jc w:val="left"/>
        <w:rPr>
          <w:rFonts w:ascii="宋体" w:hAnsi="宋体"/>
          <w:szCs w:val="21"/>
        </w:rPr>
      </w:pPr>
      <w:r>
        <w:rPr>
          <w:rFonts w:hint="eastAsia" w:ascii="宋体" w:hAnsi="宋体"/>
          <w:szCs w:val="21"/>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33E7B9B0">
      <w:pPr>
        <w:spacing w:line="360" w:lineRule="auto"/>
        <w:ind w:firstLine="420" w:firstLineChars="200"/>
        <w:rPr>
          <w:rFonts w:ascii="宋体" w:hAnsi="宋体"/>
          <w:szCs w:val="21"/>
        </w:rPr>
      </w:pPr>
      <w:bookmarkStart w:id="780" w:name="_Toc247418276"/>
      <w:bookmarkStart w:id="781" w:name="_Toc247431436"/>
      <w:bookmarkStart w:id="782" w:name="_Toc532375712"/>
      <w:bookmarkStart w:id="783" w:name="_Toc239510302"/>
      <w:r>
        <w:rPr>
          <w:rFonts w:hint="eastAsia" w:ascii="宋体" w:hAnsi="宋体"/>
          <w:szCs w:val="21"/>
        </w:rPr>
        <w:t>十三、文明施工与环保要求</w:t>
      </w:r>
      <w:bookmarkEnd w:id="780"/>
      <w:bookmarkEnd w:id="781"/>
      <w:bookmarkEnd w:id="782"/>
      <w:bookmarkEnd w:id="783"/>
    </w:p>
    <w:p w14:paraId="4CFD2E7C">
      <w:pPr>
        <w:spacing w:line="360" w:lineRule="auto"/>
        <w:ind w:firstLine="420" w:firstLineChars="200"/>
        <w:jc w:val="left"/>
        <w:rPr>
          <w:rFonts w:ascii="宋体" w:hAnsi="宋体"/>
          <w:szCs w:val="21"/>
        </w:rPr>
      </w:pPr>
      <w:r>
        <w:rPr>
          <w:rFonts w:hint="eastAsia" w:ascii="宋体" w:hAnsi="宋体"/>
          <w:szCs w:val="21"/>
        </w:rPr>
        <w:t>1．承包人需制订施工现场的文明施工措施，保持良好的施工现场秩序。施工现场的物料堆放要摆放整齐，安全标志和宣传标志要清楚醒目，废料、废物要分类收集，安全通道要畅通。</w:t>
      </w:r>
    </w:p>
    <w:p w14:paraId="153BD691">
      <w:pPr>
        <w:spacing w:line="360" w:lineRule="auto"/>
        <w:ind w:firstLine="420" w:firstLineChars="200"/>
        <w:jc w:val="left"/>
        <w:rPr>
          <w:rFonts w:ascii="宋体" w:hAnsi="宋体"/>
          <w:szCs w:val="21"/>
        </w:rPr>
      </w:pPr>
      <w:r>
        <w:rPr>
          <w:rFonts w:hint="eastAsia" w:ascii="宋体" w:hAnsi="宋体"/>
          <w:szCs w:val="21"/>
        </w:rPr>
        <w:t>2．承包人作业时应避免建筑材料抛洒、飞扬、流淌；应尽可能降低噪音、震动。</w:t>
      </w:r>
    </w:p>
    <w:p w14:paraId="2E4D9123">
      <w:pPr>
        <w:spacing w:line="360" w:lineRule="auto"/>
        <w:ind w:firstLine="420" w:firstLineChars="200"/>
        <w:jc w:val="left"/>
        <w:rPr>
          <w:rFonts w:ascii="宋体" w:hAnsi="宋体"/>
          <w:szCs w:val="21"/>
        </w:rPr>
      </w:pPr>
      <w:r>
        <w:rPr>
          <w:rFonts w:hint="eastAsia" w:ascii="宋体" w:hAnsi="宋体"/>
          <w:szCs w:val="21"/>
        </w:rPr>
        <w:t>3．承包人应根据实际需要，在施工现场布置临时卫生设施（洗手间、卫生间等），施工作业不破坏环境卫生，不污染现场环境。</w:t>
      </w:r>
    </w:p>
    <w:p w14:paraId="0DC0443E">
      <w:pPr>
        <w:spacing w:line="360" w:lineRule="auto"/>
        <w:ind w:firstLine="420" w:firstLineChars="200"/>
        <w:jc w:val="left"/>
        <w:rPr>
          <w:rFonts w:ascii="宋体" w:hAnsi="宋体"/>
          <w:szCs w:val="21"/>
        </w:rPr>
      </w:pPr>
      <w:r>
        <w:rPr>
          <w:rFonts w:hint="eastAsia" w:ascii="宋体" w:hAnsi="宋体"/>
          <w:szCs w:val="21"/>
        </w:rPr>
        <w:t>4．承包人在施工中应充分重视对环境的保护，保护绿色植被，保护古树。施工如需伤害古树，必须报告发包人，在未得到指令前，禁止擅自伤害古树。</w:t>
      </w:r>
    </w:p>
    <w:p w14:paraId="5489D4AB">
      <w:pPr>
        <w:spacing w:line="360" w:lineRule="auto"/>
        <w:ind w:firstLine="420" w:firstLineChars="200"/>
        <w:jc w:val="left"/>
        <w:rPr>
          <w:rFonts w:ascii="宋体" w:hAnsi="宋体"/>
          <w:szCs w:val="21"/>
        </w:rPr>
      </w:pPr>
      <w:r>
        <w:rPr>
          <w:rFonts w:hint="eastAsia" w:ascii="宋体" w:hAnsi="宋体"/>
          <w:szCs w:val="21"/>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65785618">
      <w:pPr>
        <w:spacing w:line="360" w:lineRule="auto"/>
        <w:ind w:firstLine="420" w:firstLineChars="200"/>
        <w:jc w:val="left"/>
        <w:rPr>
          <w:rFonts w:ascii="宋体" w:hAnsi="宋体"/>
          <w:szCs w:val="21"/>
        </w:rPr>
      </w:pPr>
      <w:r>
        <w:rPr>
          <w:rFonts w:hint="eastAsia" w:ascii="宋体" w:hAnsi="宋体"/>
          <w:szCs w:val="21"/>
        </w:rPr>
        <w:t>6．承包人在施工中应禁止向环境，排放工业污水、生活污水、废油或其他有害物质。</w:t>
      </w:r>
    </w:p>
    <w:p w14:paraId="630E42E8">
      <w:pPr>
        <w:spacing w:line="360" w:lineRule="auto"/>
        <w:ind w:firstLine="420" w:firstLineChars="200"/>
        <w:jc w:val="left"/>
        <w:rPr>
          <w:rFonts w:ascii="宋体" w:hAnsi="宋体"/>
          <w:szCs w:val="21"/>
        </w:rPr>
      </w:pPr>
      <w:r>
        <w:rPr>
          <w:rFonts w:hint="eastAsia" w:ascii="宋体" w:hAnsi="宋体"/>
          <w:szCs w:val="21"/>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66E5B517">
      <w:pPr>
        <w:spacing w:line="360" w:lineRule="auto"/>
        <w:ind w:firstLine="420" w:firstLineChars="200"/>
        <w:rPr>
          <w:rFonts w:ascii="宋体" w:hAnsi="宋体"/>
          <w:szCs w:val="21"/>
        </w:rPr>
      </w:pPr>
      <w:bookmarkStart w:id="784" w:name="_Toc247431437"/>
      <w:bookmarkStart w:id="785" w:name="_Toc532375713"/>
      <w:bookmarkStart w:id="786" w:name="_Toc239510303"/>
      <w:bookmarkStart w:id="787" w:name="_Toc247418277"/>
      <w:r>
        <w:rPr>
          <w:rFonts w:hint="eastAsia" w:ascii="宋体" w:hAnsi="宋体"/>
          <w:szCs w:val="21"/>
        </w:rPr>
        <w:t>十四、工程风险管理与事故预防</w:t>
      </w:r>
      <w:bookmarkEnd w:id="784"/>
      <w:bookmarkEnd w:id="785"/>
      <w:bookmarkEnd w:id="786"/>
      <w:bookmarkEnd w:id="787"/>
    </w:p>
    <w:p w14:paraId="664EFCCB">
      <w:pPr>
        <w:spacing w:line="360" w:lineRule="auto"/>
        <w:ind w:firstLine="420" w:firstLineChars="200"/>
        <w:jc w:val="left"/>
        <w:rPr>
          <w:rFonts w:ascii="宋体" w:hAnsi="宋体"/>
          <w:szCs w:val="21"/>
        </w:rPr>
      </w:pPr>
      <w:bookmarkStart w:id="788" w:name="_Toc247431438"/>
      <w:bookmarkStart w:id="789" w:name="_Toc239510304"/>
      <w:bookmarkStart w:id="790" w:name="_Toc247418278"/>
      <w:r>
        <w:rPr>
          <w:rFonts w:hint="eastAsia" w:ascii="宋体" w:hAnsi="宋体"/>
          <w:szCs w:val="21"/>
        </w:rPr>
        <w:t>（一）基本要求</w:t>
      </w:r>
      <w:bookmarkEnd w:id="788"/>
      <w:bookmarkEnd w:id="789"/>
      <w:bookmarkEnd w:id="790"/>
    </w:p>
    <w:p w14:paraId="6A2E4A2A">
      <w:pPr>
        <w:spacing w:line="360" w:lineRule="auto"/>
        <w:ind w:firstLine="420" w:firstLineChars="200"/>
        <w:jc w:val="left"/>
        <w:rPr>
          <w:rFonts w:ascii="宋体" w:hAnsi="宋体"/>
          <w:szCs w:val="21"/>
        </w:rPr>
      </w:pPr>
      <w:bookmarkStart w:id="791" w:name="_Toc532375714"/>
      <w:r>
        <w:rPr>
          <w:rFonts w:hint="eastAsia" w:ascii="宋体" w:hAnsi="宋体"/>
          <w:szCs w:val="21"/>
        </w:rPr>
        <w:t>1．承包人应对施工过程进行全面、深入的危险源识别和风险分析。在施工安全组织设计中提供危险源及重要危险源清单、作业风险分析报告，该报告应包括（但不限于）如下信息：</w:t>
      </w:r>
      <w:bookmarkEnd w:id="791"/>
    </w:p>
    <w:p w14:paraId="73E420F9">
      <w:pPr>
        <w:spacing w:line="360" w:lineRule="auto"/>
        <w:ind w:firstLine="420" w:firstLineChars="200"/>
        <w:jc w:val="left"/>
        <w:rPr>
          <w:rFonts w:ascii="宋体" w:hAnsi="宋体"/>
          <w:szCs w:val="21"/>
        </w:rPr>
      </w:pPr>
      <w:r>
        <w:rPr>
          <w:rFonts w:hint="eastAsia" w:ascii="宋体" w:hAnsi="宋体"/>
          <w:szCs w:val="21"/>
        </w:rPr>
        <w:t>（1）高风险作业和工种清单：作业名称、类别和数量、主要事故风险。</w:t>
      </w:r>
    </w:p>
    <w:p w14:paraId="31C5BC35">
      <w:pPr>
        <w:spacing w:line="360" w:lineRule="auto"/>
        <w:ind w:firstLine="420" w:firstLineChars="200"/>
        <w:jc w:val="left"/>
        <w:rPr>
          <w:rFonts w:ascii="宋体" w:hAnsi="宋体"/>
          <w:szCs w:val="21"/>
        </w:rPr>
      </w:pPr>
      <w:r>
        <w:rPr>
          <w:rFonts w:hint="eastAsia" w:ascii="宋体" w:hAnsi="宋体"/>
          <w:szCs w:val="21"/>
        </w:rPr>
        <w:t>（2）施工能源和机械的种类、数量和主要事故风险。</w:t>
      </w:r>
    </w:p>
    <w:p w14:paraId="0162BE47">
      <w:pPr>
        <w:spacing w:line="360" w:lineRule="auto"/>
        <w:ind w:firstLine="420" w:firstLineChars="200"/>
        <w:jc w:val="left"/>
        <w:rPr>
          <w:rFonts w:ascii="宋体" w:hAnsi="宋体"/>
          <w:szCs w:val="21"/>
        </w:rPr>
      </w:pPr>
      <w:r>
        <w:rPr>
          <w:rFonts w:hint="eastAsia" w:ascii="宋体" w:hAnsi="宋体"/>
          <w:szCs w:val="21"/>
        </w:rPr>
        <w:t>（3）施工作业条件的类型和主要事故风险。</w:t>
      </w:r>
    </w:p>
    <w:p w14:paraId="0D1AE788">
      <w:pPr>
        <w:spacing w:line="360" w:lineRule="auto"/>
        <w:ind w:firstLine="420" w:firstLineChars="200"/>
        <w:jc w:val="left"/>
        <w:rPr>
          <w:rFonts w:ascii="宋体" w:hAnsi="宋体"/>
          <w:szCs w:val="21"/>
        </w:rPr>
      </w:pPr>
      <w:r>
        <w:rPr>
          <w:rFonts w:hint="eastAsia" w:ascii="宋体" w:hAnsi="宋体"/>
          <w:szCs w:val="21"/>
        </w:rPr>
        <w:t>（4）主要工艺过程（或施工活动）的类别及其相关的事故风险。</w:t>
      </w:r>
    </w:p>
    <w:p w14:paraId="20E1098C">
      <w:pPr>
        <w:spacing w:line="360" w:lineRule="auto"/>
        <w:ind w:firstLine="420" w:firstLineChars="200"/>
        <w:jc w:val="left"/>
        <w:rPr>
          <w:rFonts w:ascii="宋体" w:hAnsi="宋体"/>
          <w:szCs w:val="21"/>
        </w:rPr>
      </w:pPr>
      <w:r>
        <w:rPr>
          <w:rFonts w:hint="eastAsia" w:ascii="宋体" w:hAnsi="宋体"/>
          <w:szCs w:val="21"/>
        </w:rPr>
        <w:t>（5）主要火灾危险（可燃物、点火源）。</w:t>
      </w:r>
    </w:p>
    <w:p w14:paraId="648DE07E">
      <w:pPr>
        <w:spacing w:line="360" w:lineRule="auto"/>
        <w:ind w:firstLine="420" w:firstLineChars="200"/>
        <w:jc w:val="left"/>
        <w:rPr>
          <w:rFonts w:ascii="宋体" w:hAnsi="宋体"/>
          <w:szCs w:val="21"/>
        </w:rPr>
      </w:pPr>
      <w:r>
        <w:rPr>
          <w:rFonts w:hint="eastAsia" w:ascii="宋体" w:hAnsi="宋体"/>
          <w:szCs w:val="21"/>
        </w:rPr>
        <w:t>（6）主要自然灾害（洪水、大风、雷暴、暴雨、地质灾害等）。</w:t>
      </w:r>
    </w:p>
    <w:p w14:paraId="49A61235">
      <w:pPr>
        <w:spacing w:line="360" w:lineRule="auto"/>
        <w:ind w:firstLine="420" w:firstLineChars="200"/>
        <w:jc w:val="left"/>
        <w:rPr>
          <w:rFonts w:ascii="宋体" w:hAnsi="宋体"/>
          <w:szCs w:val="21"/>
        </w:rPr>
      </w:pPr>
      <w:r>
        <w:rPr>
          <w:rFonts w:hint="eastAsia" w:ascii="宋体" w:hAnsi="宋体"/>
          <w:szCs w:val="21"/>
        </w:rPr>
        <w:t>（7）主要环境保护事件（有害垃圾、机械的跑冒滴漏、原材料流失、水土流失等）。</w:t>
      </w:r>
    </w:p>
    <w:p w14:paraId="0FDE4ED1">
      <w:pPr>
        <w:spacing w:line="360" w:lineRule="auto"/>
        <w:ind w:firstLine="420" w:firstLineChars="200"/>
        <w:jc w:val="left"/>
        <w:rPr>
          <w:rFonts w:ascii="宋体" w:hAnsi="宋体"/>
          <w:szCs w:val="21"/>
        </w:rPr>
      </w:pPr>
      <w:r>
        <w:rPr>
          <w:rFonts w:hint="eastAsia" w:ascii="宋体" w:hAnsi="宋体"/>
          <w:szCs w:val="21"/>
        </w:rPr>
        <w:t>（8）其他。</w:t>
      </w:r>
    </w:p>
    <w:p w14:paraId="23822A79">
      <w:pPr>
        <w:spacing w:line="360" w:lineRule="auto"/>
        <w:ind w:firstLine="420" w:firstLineChars="200"/>
        <w:jc w:val="left"/>
        <w:rPr>
          <w:rFonts w:ascii="宋体" w:hAnsi="宋体"/>
          <w:szCs w:val="21"/>
        </w:rPr>
      </w:pPr>
      <w:r>
        <w:rPr>
          <w:rFonts w:hint="eastAsia" w:ascii="宋体" w:hAnsi="宋体"/>
          <w:szCs w:val="21"/>
        </w:rPr>
        <w:t>2．承包人应针对识别出的危险源制定有针对性的事故预防措施并确保在施工中得到有效落实。</w:t>
      </w:r>
    </w:p>
    <w:p w14:paraId="6D7DBD0D">
      <w:pPr>
        <w:spacing w:line="360" w:lineRule="auto"/>
        <w:ind w:firstLine="420" w:firstLineChars="200"/>
        <w:jc w:val="left"/>
        <w:rPr>
          <w:rFonts w:ascii="宋体" w:hAnsi="宋体"/>
          <w:szCs w:val="21"/>
        </w:rPr>
      </w:pPr>
      <w:r>
        <w:rPr>
          <w:rFonts w:hint="eastAsia" w:ascii="宋体" w:hAnsi="宋体"/>
          <w:szCs w:val="21"/>
        </w:rPr>
        <w:t>3．承包人应建立日常施工活动的动态作业风险分析和安全交底制度。该制度应明确规定风险分析的方法、责任和交底的内容、时间及记录。</w:t>
      </w:r>
    </w:p>
    <w:p w14:paraId="1AABF87A">
      <w:pPr>
        <w:spacing w:line="360" w:lineRule="auto"/>
        <w:ind w:firstLine="420" w:firstLineChars="200"/>
        <w:jc w:val="left"/>
        <w:rPr>
          <w:rFonts w:ascii="宋体" w:hAnsi="宋体"/>
          <w:szCs w:val="21"/>
        </w:rPr>
      </w:pPr>
      <w:bookmarkStart w:id="792" w:name="_Toc247431439"/>
      <w:bookmarkStart w:id="793" w:name="_Toc247418279"/>
      <w:bookmarkStart w:id="794" w:name="_Toc239510305"/>
      <w:r>
        <w:rPr>
          <w:rFonts w:hint="eastAsia" w:ascii="宋体" w:hAnsi="宋体"/>
          <w:szCs w:val="21"/>
        </w:rPr>
        <w:t>（二）现场作业基本安全条件</w:t>
      </w:r>
      <w:bookmarkEnd w:id="792"/>
      <w:bookmarkEnd w:id="793"/>
      <w:bookmarkEnd w:id="794"/>
    </w:p>
    <w:p w14:paraId="127463C5">
      <w:pPr>
        <w:spacing w:line="360" w:lineRule="auto"/>
        <w:ind w:firstLine="420" w:firstLineChars="200"/>
        <w:jc w:val="left"/>
        <w:rPr>
          <w:rFonts w:ascii="宋体" w:hAnsi="宋体"/>
          <w:szCs w:val="21"/>
        </w:rPr>
      </w:pPr>
      <w:r>
        <w:rPr>
          <w:rFonts w:hint="eastAsia" w:ascii="宋体" w:hAnsi="宋体"/>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0303B085">
      <w:pPr>
        <w:spacing w:line="360" w:lineRule="auto"/>
        <w:ind w:firstLine="420" w:firstLineChars="200"/>
        <w:rPr>
          <w:rFonts w:ascii="宋体" w:hAnsi="宋体"/>
          <w:szCs w:val="21"/>
        </w:rPr>
      </w:pPr>
      <w:bookmarkStart w:id="795" w:name="_Toc239510306"/>
      <w:bookmarkStart w:id="796" w:name="_Toc247431440"/>
      <w:bookmarkStart w:id="797" w:name="_Toc247418280"/>
      <w:bookmarkStart w:id="798" w:name="_Toc532375715"/>
      <w:r>
        <w:rPr>
          <w:rFonts w:hint="eastAsia" w:ascii="宋体" w:hAnsi="宋体"/>
          <w:szCs w:val="21"/>
        </w:rPr>
        <w:t>十五、事故报告与应急救援</w:t>
      </w:r>
      <w:bookmarkEnd w:id="795"/>
      <w:bookmarkEnd w:id="796"/>
      <w:bookmarkEnd w:id="797"/>
      <w:bookmarkEnd w:id="798"/>
    </w:p>
    <w:p w14:paraId="7FD0DF16">
      <w:pPr>
        <w:spacing w:line="360" w:lineRule="auto"/>
        <w:ind w:firstLine="420" w:firstLineChars="200"/>
        <w:jc w:val="left"/>
        <w:rPr>
          <w:rFonts w:ascii="宋体" w:hAnsi="宋体"/>
          <w:szCs w:val="21"/>
        </w:rPr>
      </w:pPr>
      <w:r>
        <w:rPr>
          <w:rFonts w:hint="eastAsia" w:ascii="宋体" w:hAnsi="宋体"/>
          <w:szCs w:val="21"/>
        </w:rPr>
        <w:t>1．承包人应制定对于未遂事故及以上级别的安全事件和事故，定期报送安全月度快报、季报、年报和各种专项事故报告等。</w:t>
      </w:r>
    </w:p>
    <w:p w14:paraId="7518B5C9">
      <w:pPr>
        <w:spacing w:line="360" w:lineRule="auto"/>
        <w:ind w:firstLine="420" w:firstLineChars="200"/>
        <w:jc w:val="left"/>
        <w:rPr>
          <w:rFonts w:ascii="宋体" w:hAnsi="宋体"/>
          <w:szCs w:val="21"/>
        </w:rPr>
      </w:pPr>
      <w:r>
        <w:rPr>
          <w:rFonts w:hint="eastAsia" w:ascii="宋体" w:hAnsi="宋体"/>
          <w:szCs w:val="21"/>
        </w:rPr>
        <w:t>2．承包人应建立安全事故统计记录、未遂事故统计记录、违章统计记录，并根据统计情况进行分析，并就分析结果制定相应的预防措施。</w:t>
      </w:r>
    </w:p>
    <w:p w14:paraId="4C3552D0">
      <w:pPr>
        <w:spacing w:line="360" w:lineRule="auto"/>
        <w:ind w:firstLine="420" w:firstLineChars="200"/>
        <w:jc w:val="left"/>
        <w:rPr>
          <w:rFonts w:ascii="宋体" w:hAnsi="宋体"/>
          <w:szCs w:val="21"/>
        </w:rPr>
      </w:pPr>
      <w:r>
        <w:rPr>
          <w:rFonts w:hint="eastAsia" w:ascii="宋体" w:hAnsi="宋体"/>
          <w:szCs w:val="21"/>
        </w:rPr>
        <w:t>3．承包人应建立事故应急救援机制，明确事故处置的基本原则，即现场发生事故时，首先抢救生命，向救援组织报警，并采取措施限制事故扩大。</w:t>
      </w:r>
    </w:p>
    <w:p w14:paraId="44195661">
      <w:pPr>
        <w:spacing w:line="360" w:lineRule="auto"/>
        <w:ind w:firstLine="420" w:firstLineChars="200"/>
        <w:jc w:val="left"/>
        <w:rPr>
          <w:rFonts w:ascii="宋体" w:hAnsi="宋体"/>
          <w:szCs w:val="21"/>
        </w:rPr>
      </w:pPr>
      <w:r>
        <w:rPr>
          <w:rFonts w:hint="eastAsia" w:ascii="宋体" w:hAnsi="宋体"/>
          <w:szCs w:val="21"/>
        </w:rPr>
        <w:t>4．承包人应建立相应的应急响应组织，以便能迅速处理突发意外。</w:t>
      </w:r>
    </w:p>
    <w:p w14:paraId="5A8E9478">
      <w:pPr>
        <w:spacing w:line="360" w:lineRule="auto"/>
        <w:ind w:firstLine="420" w:firstLineChars="200"/>
        <w:jc w:val="left"/>
        <w:rPr>
          <w:rFonts w:ascii="宋体" w:hAnsi="宋体"/>
          <w:szCs w:val="21"/>
        </w:rPr>
      </w:pPr>
      <w:r>
        <w:rPr>
          <w:rFonts w:hint="eastAsia" w:ascii="宋体" w:hAnsi="宋体"/>
          <w:szCs w:val="21"/>
        </w:rPr>
        <w:t>5．承包人应建立专项应急响应预案，包括重大人身伤亡事故的救护预案、火灾响应预案、“四防”预案（防风、防冻、防雷、防暴雨）、重大疫病防护预案、环境污染防护预案、地质灾害防护预案等。</w:t>
      </w:r>
    </w:p>
    <w:p w14:paraId="2B462760">
      <w:pPr>
        <w:spacing w:line="360" w:lineRule="auto"/>
        <w:ind w:firstLine="420" w:firstLineChars="200"/>
        <w:jc w:val="left"/>
        <w:rPr>
          <w:rFonts w:ascii="宋体" w:hAnsi="宋体"/>
          <w:szCs w:val="21"/>
        </w:rPr>
      </w:pPr>
      <w:r>
        <w:rPr>
          <w:rFonts w:hint="eastAsia" w:ascii="宋体" w:hAnsi="宋体"/>
          <w:szCs w:val="21"/>
        </w:rPr>
        <w:t>6．承包人应对应急预案进行适当演练，保证应急预案的可操作性。</w:t>
      </w:r>
    </w:p>
    <w:p w14:paraId="664C0209">
      <w:pPr>
        <w:spacing w:line="360" w:lineRule="auto"/>
        <w:ind w:firstLine="420" w:firstLineChars="200"/>
        <w:jc w:val="left"/>
        <w:rPr>
          <w:rFonts w:ascii="宋体" w:hAnsi="宋体"/>
          <w:szCs w:val="21"/>
        </w:rPr>
      </w:pPr>
      <w:r>
        <w:rPr>
          <w:rFonts w:hint="eastAsia" w:ascii="宋体" w:hAnsi="宋体"/>
          <w:szCs w:val="21"/>
        </w:rPr>
        <w:t>7．在工地的其他施工单位发生重大事故时，承包人应无条件立即配合、支持事故抢险。</w:t>
      </w:r>
    </w:p>
    <w:p w14:paraId="1B1A4898">
      <w:pPr>
        <w:spacing w:line="360" w:lineRule="auto"/>
        <w:ind w:firstLine="420" w:firstLineChars="200"/>
        <w:jc w:val="left"/>
        <w:rPr>
          <w:rFonts w:ascii="宋体" w:hAnsi="宋体"/>
          <w:szCs w:val="21"/>
        </w:rPr>
      </w:pPr>
      <w:r>
        <w:rPr>
          <w:rFonts w:hint="eastAsia" w:ascii="宋体" w:hAnsi="宋体"/>
          <w:szCs w:val="21"/>
        </w:rPr>
        <w:t>8．承包人必须为事故处置支付各项费用，包括受伤者的抚恤、补偿等费用，并按合同要求赔偿对发包人造成的损失。</w:t>
      </w:r>
    </w:p>
    <w:p w14:paraId="687F29DF">
      <w:pPr>
        <w:spacing w:line="360" w:lineRule="auto"/>
        <w:ind w:firstLine="420" w:firstLineChars="200"/>
        <w:jc w:val="left"/>
        <w:rPr>
          <w:rFonts w:ascii="宋体" w:hAnsi="宋体"/>
          <w:szCs w:val="21"/>
        </w:rPr>
      </w:pPr>
      <w:r>
        <w:rPr>
          <w:rFonts w:hint="eastAsia" w:ascii="宋体" w:hAnsi="宋体"/>
          <w:szCs w:val="21"/>
        </w:rPr>
        <w:t>9．由于发包人原因而造成的事故，发包人应负责按事故的具体损失情况给予承包人经济赔偿。</w:t>
      </w:r>
    </w:p>
    <w:p w14:paraId="7E322A43">
      <w:pPr>
        <w:spacing w:line="360" w:lineRule="auto"/>
        <w:ind w:firstLine="420" w:firstLineChars="200"/>
        <w:jc w:val="left"/>
        <w:rPr>
          <w:rFonts w:ascii="宋体" w:hAnsi="宋体"/>
          <w:szCs w:val="21"/>
        </w:rPr>
      </w:pPr>
      <w:r>
        <w:rPr>
          <w:rFonts w:hint="eastAsia" w:ascii="宋体" w:hAnsi="宋体"/>
          <w:szCs w:val="21"/>
        </w:rPr>
        <w:t>10．涉及承包人员工的伤害事故，承包人除要报告发包人外，还应负责按照国家、行业和本单位上级公司的要求，上报事故。</w:t>
      </w:r>
    </w:p>
    <w:p w14:paraId="06B56794">
      <w:pPr>
        <w:spacing w:line="360" w:lineRule="auto"/>
        <w:ind w:firstLine="420" w:firstLineChars="200"/>
        <w:rPr>
          <w:rFonts w:ascii="宋体" w:hAnsi="宋体"/>
          <w:szCs w:val="21"/>
        </w:rPr>
      </w:pPr>
      <w:bookmarkStart w:id="799" w:name="_Toc247418281"/>
      <w:bookmarkStart w:id="800" w:name="_Toc532375716"/>
      <w:bookmarkStart w:id="801" w:name="_Toc239510307"/>
      <w:bookmarkStart w:id="802" w:name="_Toc247431441"/>
      <w:r>
        <w:rPr>
          <w:rFonts w:hint="eastAsia" w:ascii="宋体" w:hAnsi="宋体"/>
          <w:szCs w:val="21"/>
        </w:rPr>
        <w:t>十六、安全业绩考核</w:t>
      </w:r>
      <w:bookmarkEnd w:id="799"/>
      <w:bookmarkEnd w:id="800"/>
      <w:bookmarkEnd w:id="801"/>
      <w:bookmarkEnd w:id="802"/>
    </w:p>
    <w:p w14:paraId="55C67769">
      <w:pPr>
        <w:spacing w:line="360" w:lineRule="auto"/>
        <w:ind w:firstLine="420" w:firstLineChars="200"/>
        <w:jc w:val="left"/>
        <w:rPr>
          <w:rFonts w:ascii="宋体" w:hAnsi="宋体"/>
          <w:szCs w:val="21"/>
        </w:rPr>
      </w:pPr>
      <w:r>
        <w:rPr>
          <w:rFonts w:hint="eastAsia" w:ascii="宋体" w:hAnsi="宋体"/>
          <w:szCs w:val="21"/>
        </w:rPr>
        <w:t>为了落实安全管理的责任，承包人在施工过程中发生安全事故时，承包人除应按国家有关规定承担责任和处罚外，发包人还将按照以下标准进行考核：</w:t>
      </w:r>
    </w:p>
    <w:tbl>
      <w:tblPr>
        <w:tblStyle w:val="45"/>
        <w:tblW w:w="7005" w:type="dxa"/>
        <w:jc w:val="center"/>
        <w:tblLayout w:type="fixed"/>
        <w:tblCellMar>
          <w:top w:w="0" w:type="dxa"/>
          <w:left w:w="0" w:type="dxa"/>
          <w:bottom w:w="0" w:type="dxa"/>
          <w:right w:w="0" w:type="dxa"/>
        </w:tblCellMar>
      </w:tblPr>
      <w:tblGrid>
        <w:gridCol w:w="3240"/>
        <w:gridCol w:w="3765"/>
      </w:tblGrid>
      <w:tr w14:paraId="1E05489D">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468E7B1">
            <w:pPr>
              <w:spacing w:line="360" w:lineRule="auto"/>
              <w:ind w:firstLine="420" w:firstLineChars="200"/>
              <w:jc w:val="left"/>
              <w:rPr>
                <w:rFonts w:ascii="宋体" w:hAnsi="宋体"/>
                <w:szCs w:val="21"/>
              </w:rPr>
            </w:pPr>
            <w:r>
              <w:rPr>
                <w:rFonts w:hint="eastAsia" w:ascii="宋体" w:hAnsi="宋体"/>
                <w:szCs w:val="21"/>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6B2797E">
            <w:pPr>
              <w:spacing w:line="360" w:lineRule="auto"/>
              <w:ind w:firstLine="420" w:firstLineChars="200"/>
              <w:jc w:val="left"/>
              <w:rPr>
                <w:rFonts w:ascii="宋体" w:hAnsi="宋体"/>
                <w:szCs w:val="21"/>
              </w:rPr>
            </w:pPr>
            <w:r>
              <w:rPr>
                <w:rFonts w:hint="eastAsia" w:ascii="宋体" w:hAnsi="宋体"/>
                <w:szCs w:val="21"/>
              </w:rPr>
              <w:t>违约金额</w:t>
            </w:r>
          </w:p>
        </w:tc>
      </w:tr>
      <w:tr w14:paraId="79A110F1">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199B2C2">
            <w:pPr>
              <w:spacing w:line="360" w:lineRule="auto"/>
              <w:ind w:firstLine="420" w:firstLineChars="200"/>
              <w:jc w:val="left"/>
              <w:rPr>
                <w:rFonts w:ascii="宋体" w:hAnsi="宋体"/>
                <w:szCs w:val="21"/>
              </w:rPr>
            </w:pPr>
            <w:r>
              <w:rPr>
                <w:rFonts w:hint="eastAsia" w:ascii="宋体" w:hAnsi="宋体"/>
                <w:szCs w:val="21"/>
              </w:rPr>
              <w:t>较大事故</w:t>
            </w:r>
          </w:p>
        </w:tc>
        <w:tc>
          <w:tcPr>
            <w:tcW w:w="3765" w:type="dxa"/>
            <w:tcBorders>
              <w:top w:val="single" w:color="auto" w:sz="8" w:space="0"/>
              <w:left w:val="nil"/>
              <w:bottom w:val="single" w:color="auto" w:sz="8" w:space="0"/>
              <w:right w:val="single" w:color="auto" w:sz="8" w:space="0"/>
            </w:tcBorders>
            <w:vAlign w:val="center"/>
          </w:tcPr>
          <w:p w14:paraId="350D8187">
            <w:pPr>
              <w:spacing w:line="360" w:lineRule="auto"/>
              <w:ind w:firstLine="420" w:firstLineChars="200"/>
              <w:jc w:val="left"/>
              <w:rPr>
                <w:rFonts w:ascii="宋体" w:hAnsi="宋体"/>
                <w:szCs w:val="21"/>
              </w:rPr>
            </w:pPr>
            <w:r>
              <w:rPr>
                <w:rFonts w:hint="eastAsia" w:ascii="宋体" w:hAnsi="宋体"/>
                <w:kern w:val="0"/>
                <w:szCs w:val="21"/>
              </w:rPr>
              <w:t>签约合同价</w:t>
            </w:r>
            <w:r>
              <w:rPr>
                <w:rFonts w:hint="eastAsia" w:ascii="宋体" w:hAnsi="宋体"/>
                <w:szCs w:val="21"/>
              </w:rPr>
              <w:t>的0.5‰</w:t>
            </w:r>
          </w:p>
        </w:tc>
      </w:tr>
      <w:tr w14:paraId="30B2C6B6">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30EEC65">
            <w:pPr>
              <w:spacing w:line="360" w:lineRule="auto"/>
              <w:ind w:firstLine="420" w:firstLineChars="200"/>
              <w:jc w:val="left"/>
              <w:rPr>
                <w:rFonts w:ascii="宋体" w:hAnsi="宋体"/>
                <w:szCs w:val="21"/>
              </w:rPr>
            </w:pPr>
            <w:r>
              <w:rPr>
                <w:rFonts w:hint="eastAsia" w:ascii="宋体" w:hAnsi="宋体"/>
                <w:szCs w:val="21"/>
              </w:rPr>
              <w:t>重大事故</w:t>
            </w:r>
          </w:p>
        </w:tc>
        <w:tc>
          <w:tcPr>
            <w:tcW w:w="3765" w:type="dxa"/>
            <w:tcBorders>
              <w:top w:val="single" w:color="auto" w:sz="8" w:space="0"/>
              <w:left w:val="nil"/>
              <w:bottom w:val="single" w:color="auto" w:sz="8" w:space="0"/>
              <w:right w:val="single" w:color="auto" w:sz="8" w:space="0"/>
            </w:tcBorders>
            <w:vAlign w:val="center"/>
          </w:tcPr>
          <w:p w14:paraId="512CA94A">
            <w:pPr>
              <w:spacing w:line="360" w:lineRule="auto"/>
              <w:ind w:firstLine="420" w:firstLineChars="200"/>
              <w:jc w:val="left"/>
              <w:rPr>
                <w:rFonts w:ascii="宋体" w:hAnsi="宋体"/>
                <w:szCs w:val="21"/>
              </w:rPr>
            </w:pPr>
            <w:r>
              <w:rPr>
                <w:rFonts w:hint="eastAsia" w:ascii="宋体" w:hAnsi="宋体"/>
                <w:szCs w:val="21"/>
              </w:rPr>
              <w:t>签约合同价的2‰</w:t>
            </w:r>
          </w:p>
        </w:tc>
      </w:tr>
      <w:tr w14:paraId="116D5FB5">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4D40F9">
            <w:pPr>
              <w:spacing w:line="360" w:lineRule="auto"/>
              <w:ind w:firstLine="420" w:firstLineChars="200"/>
              <w:jc w:val="left"/>
              <w:rPr>
                <w:rFonts w:ascii="宋体" w:hAnsi="宋体"/>
                <w:szCs w:val="21"/>
              </w:rPr>
            </w:pPr>
            <w:r>
              <w:rPr>
                <w:rFonts w:hint="eastAsia" w:ascii="宋体" w:hAnsi="宋体"/>
                <w:szCs w:val="21"/>
              </w:rPr>
              <w:t>特别重大事故</w:t>
            </w:r>
          </w:p>
        </w:tc>
        <w:tc>
          <w:tcPr>
            <w:tcW w:w="3765" w:type="dxa"/>
            <w:tcBorders>
              <w:top w:val="single" w:color="auto" w:sz="8" w:space="0"/>
              <w:left w:val="nil"/>
              <w:bottom w:val="single" w:color="auto" w:sz="8" w:space="0"/>
              <w:right w:val="single" w:color="auto" w:sz="8" w:space="0"/>
            </w:tcBorders>
            <w:vAlign w:val="center"/>
          </w:tcPr>
          <w:p w14:paraId="69E93172">
            <w:pPr>
              <w:spacing w:line="360" w:lineRule="auto"/>
              <w:ind w:firstLine="420" w:firstLineChars="200"/>
              <w:jc w:val="left"/>
              <w:rPr>
                <w:rFonts w:ascii="宋体" w:hAnsi="宋体"/>
                <w:szCs w:val="21"/>
              </w:rPr>
            </w:pPr>
            <w:r>
              <w:rPr>
                <w:rFonts w:hint="eastAsia" w:ascii="宋体" w:hAnsi="宋体"/>
                <w:szCs w:val="21"/>
              </w:rPr>
              <w:t>签约合同价的4‰</w:t>
            </w:r>
          </w:p>
        </w:tc>
      </w:tr>
    </w:tbl>
    <w:p w14:paraId="058FE1FD">
      <w:pPr>
        <w:spacing w:line="360" w:lineRule="auto"/>
        <w:ind w:firstLine="420" w:firstLineChars="200"/>
        <w:jc w:val="left"/>
        <w:rPr>
          <w:rFonts w:ascii="宋体" w:hAnsi="宋体"/>
          <w:szCs w:val="21"/>
        </w:rPr>
      </w:pPr>
      <w:r>
        <w:rPr>
          <w:rFonts w:hint="eastAsia" w:ascii="宋体" w:hAnsi="宋体"/>
          <w:szCs w:val="21"/>
        </w:rPr>
        <w:t>（1）较大事故，是指造成3人以上10人以下死亡，或者10人以上50人以下重伤，或者1000万元以上5000万元以下直接经济损失的事故；</w:t>
      </w:r>
    </w:p>
    <w:p w14:paraId="5DD796F1">
      <w:pPr>
        <w:spacing w:line="360" w:lineRule="auto"/>
        <w:ind w:firstLine="420" w:firstLineChars="200"/>
        <w:jc w:val="left"/>
        <w:rPr>
          <w:rFonts w:ascii="宋体" w:hAnsi="宋体"/>
          <w:szCs w:val="21"/>
        </w:rPr>
      </w:pPr>
      <w:r>
        <w:rPr>
          <w:rFonts w:hint="eastAsia" w:ascii="宋体" w:hAnsi="宋体"/>
          <w:szCs w:val="21"/>
        </w:rPr>
        <w:t>（2）重大事故，是指造成10人以上30人以下死亡，或者50人以上100人以下重伤，或者5000万元以上1亿元以下直接经济损失的事故；</w:t>
      </w:r>
    </w:p>
    <w:p w14:paraId="343708B2">
      <w:pPr>
        <w:spacing w:line="360" w:lineRule="auto"/>
        <w:ind w:firstLine="420" w:firstLineChars="200"/>
        <w:jc w:val="left"/>
        <w:rPr>
          <w:rFonts w:ascii="宋体" w:hAnsi="宋体"/>
          <w:szCs w:val="21"/>
        </w:rPr>
      </w:pPr>
      <w:r>
        <w:rPr>
          <w:rFonts w:hint="eastAsia" w:ascii="宋体" w:hAnsi="宋体"/>
          <w:szCs w:val="21"/>
        </w:rPr>
        <w:t>（3）特别重大事故，是指造成30人以上死亡，或者100人以上重伤（包括急性工业中毒，下同），或者1亿元以上直接经济损失的事故；</w:t>
      </w:r>
    </w:p>
    <w:p w14:paraId="14990655">
      <w:pPr>
        <w:spacing w:line="276" w:lineRule="auto"/>
        <w:ind w:firstLine="420" w:firstLineChars="200"/>
        <w:jc w:val="left"/>
        <w:rPr>
          <w:rFonts w:ascii="宋体" w:hAnsi="宋体"/>
          <w:szCs w:val="21"/>
        </w:rPr>
      </w:pPr>
      <w:r>
        <w:rPr>
          <w:rFonts w:hint="eastAsia" w:ascii="宋体" w:hAnsi="宋体"/>
          <w:szCs w:val="21"/>
        </w:rPr>
        <w:t>（4）所称的“以上”包括本数，所称的“以下”不包括本数。</w:t>
      </w:r>
    </w:p>
    <w:p w14:paraId="0468A878">
      <w:pPr>
        <w:spacing w:line="276" w:lineRule="auto"/>
        <w:ind w:firstLine="420" w:firstLineChars="200"/>
        <w:jc w:val="left"/>
        <w:rPr>
          <w:rFonts w:ascii="宋体" w:hAnsi="宋体"/>
          <w:szCs w:val="21"/>
        </w:rPr>
      </w:pPr>
      <w:r>
        <w:rPr>
          <w:rFonts w:hint="eastAsia" w:ascii="宋体" w:hAnsi="宋体"/>
          <w:szCs w:val="21"/>
        </w:rPr>
        <w:t xml:space="preserve">发包人负责对承包人的安全业绩进行考核。每次合同支付前，承包人提交自我安全业绩评估报告，然后交发包人评价。发包人在签署评价意见后，将作为合同支付依据之一，同时也作为是否可接受承包人再次参加发包人项目投标的依据之一。 </w:t>
      </w:r>
    </w:p>
    <w:p w14:paraId="7DA5DD6D">
      <w:pPr>
        <w:spacing w:line="276" w:lineRule="auto"/>
        <w:ind w:firstLine="420" w:firstLineChars="200"/>
        <w:rPr>
          <w:rFonts w:ascii="宋体" w:hAnsi="宋体"/>
          <w:szCs w:val="21"/>
        </w:rPr>
      </w:pPr>
      <w:bookmarkStart w:id="803" w:name="_Toc247431442"/>
      <w:bookmarkStart w:id="804" w:name="_Toc532375717"/>
      <w:bookmarkStart w:id="805" w:name="_Toc247418282"/>
      <w:bookmarkStart w:id="806" w:name="_Toc239510308"/>
      <w:r>
        <w:rPr>
          <w:rFonts w:hint="eastAsia" w:ascii="宋体" w:hAnsi="宋体"/>
          <w:szCs w:val="21"/>
        </w:rPr>
        <w:t>十七、协议条款的修订</w:t>
      </w:r>
      <w:bookmarkEnd w:id="803"/>
      <w:bookmarkEnd w:id="804"/>
      <w:bookmarkEnd w:id="805"/>
      <w:bookmarkEnd w:id="806"/>
    </w:p>
    <w:p w14:paraId="118393A7">
      <w:pPr>
        <w:spacing w:line="276" w:lineRule="auto"/>
        <w:ind w:firstLine="420" w:firstLineChars="200"/>
        <w:jc w:val="left"/>
        <w:rPr>
          <w:rFonts w:ascii="宋体" w:hAnsi="宋体"/>
          <w:szCs w:val="21"/>
        </w:rPr>
      </w:pPr>
      <w:r>
        <w:rPr>
          <w:rFonts w:hint="eastAsia" w:ascii="宋体" w:hAnsi="宋体"/>
          <w:szCs w:val="21"/>
        </w:rPr>
        <w:t>在项目实施过程中，经双方友好协商，本协议的有关条款也可做出相应的修改。</w:t>
      </w:r>
    </w:p>
    <w:p w14:paraId="0A93FCDA">
      <w:pPr>
        <w:spacing w:line="276" w:lineRule="auto"/>
        <w:ind w:firstLine="420" w:firstLineChars="200"/>
        <w:jc w:val="left"/>
        <w:rPr>
          <w:rFonts w:ascii="宋体" w:hAnsi="宋体"/>
          <w:szCs w:val="21"/>
        </w:rPr>
      </w:pPr>
      <w:r>
        <w:rPr>
          <w:rFonts w:hint="eastAsia" w:ascii="宋体" w:hAnsi="宋体"/>
          <w:szCs w:val="21"/>
        </w:rPr>
        <w:t>本工程安全管理协议，由发包人、承包人双方在施工承包合同签订后7天内共同签署，作为施工合同附件。</w:t>
      </w:r>
    </w:p>
    <w:p w14:paraId="0BEF150F">
      <w:pPr>
        <w:spacing w:line="360" w:lineRule="auto"/>
        <w:ind w:firstLine="420" w:firstLineChars="200"/>
        <w:jc w:val="left"/>
        <w:rPr>
          <w:rFonts w:ascii="宋体" w:hAnsi="宋体"/>
          <w:szCs w:val="21"/>
        </w:rPr>
      </w:pPr>
      <w:r>
        <w:rPr>
          <w:rFonts w:hint="eastAsia" w:ascii="宋体" w:hAnsi="宋体"/>
          <w:szCs w:val="21"/>
        </w:rPr>
        <w:t>发  包  人（</w:t>
      </w:r>
      <w:r>
        <w:rPr>
          <w:rFonts w:hint="eastAsia" w:ascii="宋体" w:hAnsi="宋体"/>
          <w:szCs w:val="21"/>
          <w:lang w:val="en-US" w:eastAsia="zh-CN"/>
        </w:rPr>
        <w:t>单位</w:t>
      </w:r>
      <w:r>
        <w:rPr>
          <w:rFonts w:hint="eastAsia" w:ascii="宋体" w:hAnsi="宋体"/>
          <w:szCs w:val="21"/>
        </w:rPr>
        <w:t>公章）：</w:t>
      </w:r>
      <w:r>
        <w:rPr>
          <w:rFonts w:hint="eastAsia" w:ascii="宋体" w:hAnsi="宋体" w:cs="宋体"/>
          <w:szCs w:val="21"/>
          <w:u w:val="single"/>
        </w:rPr>
        <w:t xml:space="preserve">                   </w:t>
      </w:r>
    </w:p>
    <w:p w14:paraId="6E8CBBD1">
      <w:pPr>
        <w:spacing w:line="360" w:lineRule="auto"/>
        <w:ind w:firstLine="420" w:firstLineChars="200"/>
        <w:jc w:val="left"/>
        <w:rPr>
          <w:rFonts w:ascii="宋体" w:hAnsi="宋体"/>
          <w:szCs w:val="21"/>
        </w:rPr>
      </w:pPr>
      <w:r>
        <w:rPr>
          <w:rFonts w:hint="eastAsia" w:ascii="宋体" w:hAnsi="宋体"/>
          <w:szCs w:val="21"/>
        </w:rPr>
        <w:t>法定代表人（签名）：</w:t>
      </w:r>
      <w:r>
        <w:rPr>
          <w:rFonts w:hint="eastAsia" w:ascii="宋体" w:hAnsi="宋体" w:cs="宋体"/>
          <w:szCs w:val="21"/>
          <w:u w:val="single"/>
        </w:rPr>
        <w:t xml:space="preserve">                       </w:t>
      </w:r>
      <w:r>
        <w:rPr>
          <w:rFonts w:hint="eastAsia" w:ascii="宋体" w:hAnsi="宋体"/>
          <w:szCs w:val="21"/>
        </w:rPr>
        <w:t xml:space="preserve">  </w:t>
      </w:r>
    </w:p>
    <w:p w14:paraId="5AA13F1B">
      <w:pPr>
        <w:spacing w:line="360" w:lineRule="auto"/>
        <w:ind w:firstLine="420" w:firstLineChars="200"/>
        <w:jc w:val="left"/>
        <w:rPr>
          <w:rFonts w:ascii="宋体" w:hAnsi="宋体"/>
          <w:szCs w:val="21"/>
        </w:rPr>
      </w:pPr>
      <w:r>
        <w:rPr>
          <w:rFonts w:hint="eastAsia" w:ascii="宋体" w:hAnsi="宋体"/>
          <w:szCs w:val="21"/>
        </w:rPr>
        <w:t>或其委托代理人（签名）：</w:t>
      </w:r>
      <w:r>
        <w:rPr>
          <w:rFonts w:hint="eastAsia" w:ascii="宋体" w:hAnsi="宋体" w:cs="宋体"/>
          <w:szCs w:val="21"/>
          <w:u w:val="single"/>
        </w:rPr>
        <w:t xml:space="preserve">                   </w:t>
      </w:r>
      <w:r>
        <w:rPr>
          <w:rFonts w:hint="eastAsia" w:ascii="宋体" w:hAnsi="宋体"/>
          <w:szCs w:val="21"/>
        </w:rPr>
        <w:t xml:space="preserve">  </w:t>
      </w:r>
    </w:p>
    <w:p w14:paraId="263C92A3">
      <w:pPr>
        <w:spacing w:line="360" w:lineRule="auto"/>
        <w:ind w:firstLine="420" w:firstLineChars="200"/>
        <w:jc w:val="left"/>
        <w:rPr>
          <w:rFonts w:ascii="宋体" w:hAnsi="宋体"/>
          <w:szCs w:val="21"/>
        </w:rPr>
      </w:pPr>
    </w:p>
    <w:p w14:paraId="27C6E40E">
      <w:pPr>
        <w:spacing w:line="360" w:lineRule="auto"/>
        <w:ind w:firstLine="420" w:firstLineChars="200"/>
        <w:jc w:val="left"/>
        <w:rPr>
          <w:rFonts w:ascii="宋体" w:hAnsi="宋体"/>
          <w:kern w:val="0"/>
          <w:szCs w:val="21"/>
        </w:rPr>
      </w:pPr>
      <w:r>
        <w:rPr>
          <w:rFonts w:hint="eastAsia" w:ascii="宋体" w:hAnsi="宋体"/>
          <w:szCs w:val="21"/>
        </w:rPr>
        <w:t>承  包  人（</w:t>
      </w:r>
      <w:r>
        <w:rPr>
          <w:rFonts w:hint="eastAsia" w:ascii="宋体" w:hAnsi="宋体"/>
          <w:szCs w:val="21"/>
          <w:lang w:val="en-US" w:eastAsia="zh-CN"/>
        </w:rPr>
        <w:t>单位</w:t>
      </w:r>
      <w:r>
        <w:rPr>
          <w:rFonts w:hint="eastAsia" w:ascii="宋体" w:hAnsi="宋体"/>
          <w:szCs w:val="21"/>
        </w:rPr>
        <w:t>公章）：</w:t>
      </w:r>
      <w:r>
        <w:rPr>
          <w:rFonts w:hint="eastAsia" w:ascii="宋体" w:hAnsi="宋体" w:cs="宋体"/>
          <w:szCs w:val="21"/>
          <w:u w:val="single"/>
        </w:rPr>
        <w:t xml:space="preserve">                   </w:t>
      </w:r>
    </w:p>
    <w:p w14:paraId="540358C4">
      <w:pPr>
        <w:spacing w:line="360" w:lineRule="auto"/>
        <w:ind w:firstLine="420" w:firstLineChars="200"/>
        <w:jc w:val="left"/>
        <w:rPr>
          <w:rFonts w:ascii="宋体" w:hAnsi="宋体"/>
          <w:szCs w:val="21"/>
        </w:rPr>
      </w:pPr>
      <w:r>
        <w:rPr>
          <w:rFonts w:hint="eastAsia" w:ascii="宋体" w:hAnsi="宋体"/>
          <w:szCs w:val="21"/>
        </w:rPr>
        <w:t>法定代表人（签名）：</w:t>
      </w:r>
      <w:r>
        <w:rPr>
          <w:rFonts w:hint="eastAsia" w:ascii="宋体" w:hAnsi="宋体" w:cs="宋体"/>
          <w:szCs w:val="21"/>
          <w:u w:val="single"/>
        </w:rPr>
        <w:t xml:space="preserve">                       </w:t>
      </w:r>
    </w:p>
    <w:p w14:paraId="1F5932EB">
      <w:pPr>
        <w:spacing w:line="360" w:lineRule="auto"/>
        <w:ind w:firstLine="420" w:firstLineChars="200"/>
        <w:jc w:val="left"/>
        <w:rPr>
          <w:rFonts w:ascii="宋体" w:hAnsi="宋体"/>
          <w:kern w:val="0"/>
          <w:szCs w:val="21"/>
        </w:rPr>
      </w:pPr>
      <w:r>
        <w:rPr>
          <w:rFonts w:hint="eastAsia" w:ascii="宋体" w:hAnsi="宋体"/>
          <w:szCs w:val="21"/>
        </w:rPr>
        <w:t>或其委托代理人（签名）：</w:t>
      </w:r>
      <w:r>
        <w:rPr>
          <w:rFonts w:hint="eastAsia" w:ascii="宋体" w:hAnsi="宋体" w:cs="宋体"/>
          <w:szCs w:val="21"/>
          <w:u w:val="single"/>
        </w:rPr>
        <w:t xml:space="preserve">                   </w:t>
      </w:r>
    </w:p>
    <w:p w14:paraId="7B84C8A8">
      <w:pPr>
        <w:spacing w:line="360" w:lineRule="auto"/>
        <w:ind w:firstLine="420" w:firstLineChars="200"/>
        <w:jc w:val="left"/>
        <w:rPr>
          <w:rFonts w:ascii="宋体" w:hAnsi="宋体"/>
          <w:color w:val="auto"/>
          <w:kern w:val="0"/>
          <w:szCs w:val="21"/>
          <w:highlight w:val="none"/>
        </w:rPr>
      </w:pPr>
    </w:p>
    <w:bookmarkEnd w:id="678"/>
    <w:p w14:paraId="01FCB68E">
      <w:pPr>
        <w:spacing w:line="240" w:lineRule="auto"/>
        <w:rPr>
          <w:rFonts w:ascii="宋体" w:hAnsi="宋体"/>
          <w:color w:val="auto"/>
          <w:sz w:val="24"/>
          <w:highlight w:val="none"/>
        </w:rPr>
      </w:pPr>
      <w:bookmarkStart w:id="807" w:name="招标文件05章工程量清单"/>
      <w:bookmarkEnd w:id="807"/>
    </w:p>
    <w:p w14:paraId="7CCDDC25">
      <w:pPr>
        <w:rPr>
          <w:rFonts w:hint="eastAsia" w:ascii="宋体" w:hAnsi="宋体"/>
          <w:color w:val="auto"/>
          <w:highlight w:val="none"/>
        </w:rPr>
      </w:pPr>
      <w:r>
        <w:rPr>
          <w:rFonts w:hint="eastAsia" w:ascii="宋体" w:hAnsi="宋体"/>
          <w:color w:val="auto"/>
          <w:highlight w:val="none"/>
        </w:rPr>
        <w:br w:type="page"/>
      </w:r>
    </w:p>
    <w:p w14:paraId="1E1E2DFC">
      <w:pPr>
        <w:pStyle w:val="17"/>
        <w:rPr>
          <w:rFonts w:hint="eastAsia"/>
          <w:color w:val="auto"/>
          <w:highlight w:val="none"/>
        </w:rPr>
      </w:pPr>
    </w:p>
    <w:p w14:paraId="3ACF8361">
      <w:pPr>
        <w:pStyle w:val="2"/>
        <w:spacing w:before="0" w:after="0" w:line="360" w:lineRule="auto"/>
        <w:jc w:val="center"/>
        <w:rPr>
          <w:rFonts w:ascii="宋体" w:hAnsi="宋体"/>
          <w:color w:val="auto"/>
          <w:highlight w:val="none"/>
        </w:rPr>
      </w:pPr>
      <w:r>
        <w:rPr>
          <w:rFonts w:hint="eastAsia" w:ascii="宋体" w:hAnsi="宋体"/>
          <w:color w:val="auto"/>
          <w:highlight w:val="none"/>
        </w:rPr>
        <w:t>第五章  工程量清单</w:t>
      </w:r>
      <w:bookmarkEnd w:id="670"/>
      <w:bookmarkEnd w:id="671"/>
      <w:bookmarkEnd w:id="672"/>
      <w:bookmarkEnd w:id="673"/>
      <w:bookmarkEnd w:id="674"/>
      <w:bookmarkEnd w:id="675"/>
      <w:bookmarkEnd w:id="676"/>
      <w:bookmarkStart w:id="808" w:name="招标文件05章工程量清单01"/>
      <w:bookmarkEnd w:id="808"/>
      <w:bookmarkStart w:id="809" w:name="_Toc430530514"/>
      <w:bookmarkStart w:id="810" w:name="_Toc277082638"/>
      <w:bookmarkStart w:id="811" w:name="_Toc287620798"/>
      <w:bookmarkStart w:id="812" w:name="_Toc287607856"/>
      <w:bookmarkStart w:id="813" w:name="_Toc224103477"/>
    </w:p>
    <w:bookmarkEnd w:id="809"/>
    <w:bookmarkEnd w:id="810"/>
    <w:bookmarkEnd w:id="811"/>
    <w:bookmarkEnd w:id="812"/>
    <w:bookmarkEnd w:id="813"/>
    <w:p w14:paraId="0216E4D5">
      <w:pPr>
        <w:snapToGrid w:val="0"/>
        <w:spacing w:line="360" w:lineRule="auto"/>
        <w:jc w:val="center"/>
        <w:rPr>
          <w:rFonts w:ascii="宋体" w:hAnsi="宋体"/>
          <w:color w:val="auto"/>
          <w:sz w:val="24"/>
          <w:highlight w:val="none"/>
        </w:rPr>
      </w:pPr>
    </w:p>
    <w:p w14:paraId="0C469E7F">
      <w:pPr>
        <w:snapToGrid w:val="0"/>
        <w:spacing w:line="360" w:lineRule="auto"/>
        <w:jc w:val="center"/>
        <w:rPr>
          <w:rFonts w:ascii="宋体" w:hAnsi="宋体"/>
          <w:color w:val="auto"/>
          <w:szCs w:val="21"/>
          <w:highlight w:val="none"/>
        </w:rPr>
      </w:pPr>
      <w:r>
        <w:rPr>
          <w:rFonts w:hint="eastAsia" w:ascii="宋体" w:hAnsi="宋体"/>
          <w:color w:val="auto"/>
          <w:szCs w:val="20"/>
          <w:highlight w:val="none"/>
        </w:rPr>
        <w:t>在</w:t>
      </w:r>
      <w:r>
        <w:rPr>
          <w:rFonts w:hint="eastAsia" w:ascii="宋体" w:hAnsi="宋体"/>
          <w:color w:val="auto"/>
          <w:szCs w:val="20"/>
          <w:highlight w:val="none"/>
          <w:u w:val="single"/>
        </w:rPr>
        <w:t>行采家（https://www.gec123.com/）</w:t>
      </w:r>
      <w:r>
        <w:rPr>
          <w:rFonts w:hint="eastAsia" w:ascii="宋体" w:hAnsi="宋体"/>
          <w:color w:val="auto"/>
          <w:szCs w:val="20"/>
          <w:highlight w:val="none"/>
        </w:rPr>
        <w:t>下载。</w:t>
      </w:r>
    </w:p>
    <w:p w14:paraId="326AC8A4">
      <w:pPr>
        <w:ind w:right="561"/>
        <w:rPr>
          <w:rFonts w:ascii="宋体" w:hAnsi="宋体"/>
          <w:color w:val="auto"/>
          <w:szCs w:val="21"/>
          <w:highlight w:val="none"/>
        </w:rPr>
      </w:pPr>
      <w:r>
        <w:rPr>
          <w:rFonts w:ascii="宋体" w:hAnsi="宋体"/>
          <w:color w:val="auto"/>
          <w:sz w:val="24"/>
          <w:highlight w:val="none"/>
        </w:rPr>
        <w:br w:type="page"/>
      </w:r>
    </w:p>
    <w:p w14:paraId="43983B5B">
      <w:pPr>
        <w:pStyle w:val="2"/>
        <w:spacing w:before="0" w:after="0" w:line="360" w:lineRule="auto"/>
        <w:jc w:val="center"/>
        <w:rPr>
          <w:rFonts w:ascii="宋体" w:hAnsi="宋体"/>
          <w:color w:val="auto"/>
          <w:sz w:val="52"/>
          <w:szCs w:val="52"/>
          <w:highlight w:val="none"/>
        </w:rPr>
      </w:pPr>
      <w:bookmarkStart w:id="814" w:name="_Toc509218844"/>
      <w:bookmarkStart w:id="815" w:name="_Toc57905911"/>
      <w:bookmarkStart w:id="816" w:name="_Toc13474"/>
      <w:bookmarkStart w:id="817" w:name="_Toc534185823"/>
      <w:r>
        <w:rPr>
          <w:rFonts w:ascii="宋体" w:hAnsi="宋体"/>
          <w:color w:val="auto"/>
          <w:sz w:val="52"/>
          <w:szCs w:val="52"/>
          <w:highlight w:val="none"/>
        </w:rPr>
        <w:t>第 二 卷</w:t>
      </w:r>
      <w:bookmarkEnd w:id="814"/>
      <w:bookmarkEnd w:id="815"/>
      <w:bookmarkEnd w:id="816"/>
      <w:bookmarkEnd w:id="817"/>
    </w:p>
    <w:p w14:paraId="417896EA">
      <w:pPr>
        <w:spacing w:line="360" w:lineRule="auto"/>
        <w:rPr>
          <w:rFonts w:ascii="宋体" w:hAnsi="宋体"/>
          <w:color w:val="auto"/>
          <w:szCs w:val="20"/>
          <w:highlight w:val="none"/>
        </w:rPr>
      </w:pPr>
      <w:r>
        <w:rPr>
          <w:rFonts w:ascii="宋体" w:hAnsi="宋体"/>
          <w:color w:val="auto"/>
          <w:szCs w:val="20"/>
          <w:highlight w:val="none"/>
        </w:rPr>
        <w:br w:type="page"/>
      </w:r>
    </w:p>
    <w:p w14:paraId="2F88F8F4">
      <w:pPr>
        <w:pStyle w:val="2"/>
        <w:spacing w:line="360" w:lineRule="auto"/>
        <w:jc w:val="center"/>
        <w:rPr>
          <w:rFonts w:ascii="宋体" w:hAnsi="宋体"/>
          <w:color w:val="auto"/>
          <w:highlight w:val="none"/>
        </w:rPr>
      </w:pPr>
      <w:bookmarkStart w:id="818" w:name="招标文件06章图纸"/>
      <w:bookmarkEnd w:id="818"/>
      <w:bookmarkStart w:id="819" w:name="_Toc287620803"/>
      <w:bookmarkStart w:id="820" w:name="_Toc509218846"/>
      <w:bookmarkStart w:id="821" w:name="_Toc430530519"/>
      <w:bookmarkStart w:id="822" w:name="_Toc287607861"/>
      <w:bookmarkStart w:id="823" w:name="_Toc22154"/>
      <w:bookmarkStart w:id="824" w:name="_Toc57905912"/>
      <w:bookmarkStart w:id="825" w:name="_Toc534185825"/>
      <w:r>
        <w:rPr>
          <w:rFonts w:hint="eastAsia" w:ascii="宋体" w:hAnsi="宋体"/>
          <w:color w:val="auto"/>
          <w:highlight w:val="none"/>
        </w:rPr>
        <w:t>第六章  图纸</w:t>
      </w:r>
      <w:bookmarkEnd w:id="819"/>
      <w:bookmarkEnd w:id="820"/>
      <w:bookmarkEnd w:id="821"/>
      <w:bookmarkEnd w:id="822"/>
      <w:bookmarkEnd w:id="823"/>
      <w:bookmarkEnd w:id="824"/>
      <w:bookmarkEnd w:id="825"/>
    </w:p>
    <w:p w14:paraId="1FD2909A">
      <w:pPr>
        <w:spacing w:line="360" w:lineRule="auto"/>
        <w:jc w:val="center"/>
        <w:rPr>
          <w:rFonts w:ascii="宋体" w:hAnsi="宋体"/>
          <w:color w:val="auto"/>
          <w:szCs w:val="20"/>
          <w:highlight w:val="none"/>
        </w:rPr>
      </w:pPr>
      <w:r>
        <w:rPr>
          <w:rFonts w:hint="eastAsia" w:ascii="宋体" w:hAnsi="宋体"/>
          <w:color w:val="auto"/>
          <w:szCs w:val="20"/>
          <w:highlight w:val="none"/>
        </w:rPr>
        <w:t>在</w:t>
      </w:r>
      <w:r>
        <w:rPr>
          <w:rFonts w:hint="eastAsia" w:ascii="宋体" w:hAnsi="宋体"/>
          <w:color w:val="auto"/>
          <w:szCs w:val="20"/>
          <w:highlight w:val="none"/>
          <w:u w:val="single"/>
        </w:rPr>
        <w:t>行采家（https://www.gec123.com/）</w:t>
      </w:r>
      <w:r>
        <w:rPr>
          <w:rFonts w:hint="eastAsia" w:ascii="宋体" w:hAnsi="宋体"/>
          <w:color w:val="auto"/>
          <w:szCs w:val="20"/>
          <w:highlight w:val="none"/>
        </w:rPr>
        <w:t>下载。</w:t>
      </w:r>
    </w:p>
    <w:p w14:paraId="36A97D88">
      <w:pPr>
        <w:spacing w:line="360" w:lineRule="auto"/>
        <w:rPr>
          <w:rFonts w:ascii="宋体" w:hAnsi="宋体"/>
          <w:color w:val="auto"/>
          <w:szCs w:val="20"/>
          <w:highlight w:val="none"/>
        </w:rPr>
      </w:pPr>
      <w:bookmarkStart w:id="826" w:name="招标文件06章图纸01"/>
      <w:bookmarkEnd w:id="826"/>
      <w:bookmarkStart w:id="827" w:name="_Toc287620804"/>
      <w:bookmarkStart w:id="828" w:name="_Toc430530520"/>
    </w:p>
    <w:bookmarkEnd w:id="827"/>
    <w:bookmarkEnd w:id="828"/>
    <w:p w14:paraId="4673BABB">
      <w:pPr>
        <w:spacing w:line="360" w:lineRule="auto"/>
        <w:rPr>
          <w:rFonts w:ascii="宋体" w:hAnsi="宋体"/>
          <w:color w:val="auto"/>
          <w:highlight w:val="none"/>
        </w:rPr>
      </w:pPr>
      <w:r>
        <w:rPr>
          <w:rFonts w:ascii="宋体" w:hAnsi="宋体"/>
          <w:color w:val="auto"/>
          <w:szCs w:val="20"/>
          <w:highlight w:val="none"/>
        </w:rPr>
        <w:br w:type="page"/>
      </w:r>
    </w:p>
    <w:p w14:paraId="1C77C622">
      <w:pPr>
        <w:pStyle w:val="2"/>
        <w:spacing w:before="0" w:after="0" w:line="360" w:lineRule="auto"/>
        <w:jc w:val="center"/>
        <w:rPr>
          <w:rFonts w:ascii="宋体" w:hAnsi="宋体"/>
          <w:color w:val="auto"/>
          <w:sz w:val="52"/>
          <w:szCs w:val="52"/>
          <w:highlight w:val="none"/>
        </w:rPr>
      </w:pPr>
      <w:bookmarkStart w:id="829" w:name="_Toc8804"/>
      <w:bookmarkStart w:id="830" w:name="_Toc57905913"/>
      <w:r>
        <w:rPr>
          <w:rFonts w:hint="eastAsia" w:ascii="宋体" w:hAnsi="宋体"/>
          <w:color w:val="auto"/>
          <w:sz w:val="52"/>
          <w:szCs w:val="52"/>
          <w:highlight w:val="none"/>
        </w:rPr>
        <w:t>第 三 卷</w:t>
      </w:r>
      <w:bookmarkEnd w:id="829"/>
      <w:bookmarkEnd w:id="830"/>
      <w:bookmarkStart w:id="831" w:name="_Toc509218847"/>
      <w:bookmarkStart w:id="832" w:name="_Toc13210772"/>
      <w:bookmarkStart w:id="833" w:name="_Toc536797390"/>
      <w:bookmarkStart w:id="834" w:name="_Toc536797255"/>
      <w:bookmarkStart w:id="835" w:name="_Toc13211764"/>
      <w:bookmarkStart w:id="836" w:name="_Toc13211206"/>
      <w:bookmarkStart w:id="837" w:name="_Toc536797121"/>
      <w:bookmarkStart w:id="838" w:name="_Toc536619968"/>
      <w:bookmarkStart w:id="839" w:name="_Toc536620100"/>
      <w:bookmarkStart w:id="840" w:name="_Toc536796850"/>
      <w:bookmarkStart w:id="841" w:name="_Toc534185826"/>
      <w:bookmarkStart w:id="842" w:name="_Toc536628344"/>
      <w:bookmarkStart w:id="843" w:name="_Toc536621880"/>
      <w:bookmarkStart w:id="844" w:name="_Toc536796986"/>
    </w:p>
    <w:bookmarkEnd w:id="831"/>
    <w:p w14:paraId="71C869D6">
      <w:pPr>
        <w:rPr>
          <w:color w:val="auto"/>
          <w:highlight w:val="none"/>
        </w:rPr>
      </w:pPr>
      <w:r>
        <w:rPr>
          <w:color w:val="auto"/>
          <w:highlight w:val="none"/>
        </w:rPr>
        <w:br w:type="page"/>
      </w:r>
      <w:bookmarkEnd w:id="832"/>
      <w:bookmarkEnd w:id="833"/>
      <w:bookmarkEnd w:id="834"/>
      <w:bookmarkEnd w:id="835"/>
      <w:bookmarkEnd w:id="836"/>
      <w:bookmarkEnd w:id="837"/>
      <w:bookmarkEnd w:id="838"/>
      <w:bookmarkEnd w:id="839"/>
      <w:bookmarkEnd w:id="840"/>
      <w:bookmarkEnd w:id="841"/>
      <w:bookmarkEnd w:id="842"/>
      <w:bookmarkEnd w:id="843"/>
      <w:bookmarkEnd w:id="844"/>
    </w:p>
    <w:p w14:paraId="6DC63AF8">
      <w:pPr>
        <w:pStyle w:val="2"/>
        <w:spacing w:line="360" w:lineRule="auto"/>
        <w:jc w:val="center"/>
        <w:rPr>
          <w:rFonts w:ascii="宋体" w:hAnsi="宋体"/>
          <w:color w:val="auto"/>
          <w:highlight w:val="none"/>
        </w:rPr>
      </w:pPr>
      <w:bookmarkStart w:id="845" w:name="招标文件07章技术标准和要求"/>
      <w:bookmarkEnd w:id="845"/>
      <w:bookmarkStart w:id="846" w:name="_Toc17170"/>
      <w:bookmarkStart w:id="847" w:name="_Toc57905914"/>
      <w:r>
        <w:rPr>
          <w:rFonts w:ascii="宋体" w:hAnsi="宋体"/>
          <w:color w:val="auto"/>
          <w:highlight w:val="none"/>
        </w:rPr>
        <w:t>第七章</w:t>
      </w:r>
      <w:r>
        <w:rPr>
          <w:rFonts w:hint="eastAsia" w:ascii="宋体" w:hAnsi="宋体"/>
          <w:color w:val="auto"/>
          <w:highlight w:val="none"/>
        </w:rPr>
        <w:t xml:space="preserve">  </w:t>
      </w:r>
      <w:r>
        <w:rPr>
          <w:rFonts w:ascii="宋体" w:hAnsi="宋体"/>
          <w:color w:val="auto"/>
          <w:highlight w:val="none"/>
        </w:rPr>
        <w:t>技术标准和要求</w:t>
      </w:r>
      <w:bookmarkEnd w:id="846"/>
      <w:bookmarkEnd w:id="847"/>
      <w:bookmarkStart w:id="848" w:name="招标文件07章技术标准和要求01"/>
      <w:bookmarkEnd w:id="848"/>
      <w:bookmarkStart w:id="849" w:name="_Toc287620808"/>
      <w:bookmarkStart w:id="850" w:name="_Toc430530524"/>
    </w:p>
    <w:bookmarkEnd w:id="849"/>
    <w:bookmarkEnd w:id="850"/>
    <w:p w14:paraId="0A435E50">
      <w:pPr>
        <w:spacing w:line="360" w:lineRule="auto"/>
        <w:jc w:val="center"/>
        <w:rPr>
          <w:rFonts w:ascii="宋体" w:hAnsi="宋体"/>
          <w:color w:val="auto"/>
          <w:szCs w:val="21"/>
          <w:highlight w:val="none"/>
        </w:rPr>
      </w:pPr>
      <w:r>
        <w:rPr>
          <w:rFonts w:ascii="宋体" w:hAnsi="宋体"/>
          <w:color w:val="auto"/>
          <w:szCs w:val="21"/>
          <w:highlight w:val="none"/>
        </w:rPr>
        <w:t>由招标人根据招标项目的实际情况编写</w:t>
      </w:r>
      <w:r>
        <w:rPr>
          <w:rFonts w:hint="eastAsia" w:ascii="宋体" w:hAnsi="宋体"/>
          <w:color w:val="auto"/>
          <w:szCs w:val="21"/>
          <w:highlight w:val="none"/>
        </w:rPr>
        <w:t>（如有）。</w:t>
      </w:r>
    </w:p>
    <w:p w14:paraId="4B8A64DC">
      <w:pPr>
        <w:spacing w:line="360" w:lineRule="auto"/>
        <w:rPr>
          <w:rFonts w:ascii="宋体" w:hAnsi="宋体"/>
          <w:color w:val="auto"/>
          <w:highlight w:val="none"/>
        </w:rPr>
      </w:pPr>
      <w:r>
        <w:rPr>
          <w:rFonts w:ascii="宋体" w:hAnsi="宋体"/>
          <w:color w:val="auto"/>
          <w:highlight w:val="none"/>
        </w:rPr>
        <w:br w:type="page"/>
      </w:r>
    </w:p>
    <w:p w14:paraId="45307850">
      <w:pPr>
        <w:pStyle w:val="2"/>
        <w:spacing w:before="0" w:after="0" w:line="360" w:lineRule="auto"/>
        <w:jc w:val="center"/>
        <w:rPr>
          <w:rFonts w:ascii="宋体" w:hAnsi="宋体"/>
          <w:color w:val="auto"/>
          <w:sz w:val="52"/>
          <w:szCs w:val="52"/>
          <w:highlight w:val="none"/>
        </w:rPr>
      </w:pPr>
      <w:bookmarkStart w:id="851" w:name="_Toc534185827"/>
      <w:bookmarkStart w:id="852" w:name="_Toc509218849"/>
      <w:bookmarkStart w:id="853" w:name="_Toc18822"/>
      <w:bookmarkStart w:id="854" w:name="_Toc57905915"/>
      <w:r>
        <w:rPr>
          <w:rFonts w:ascii="宋体" w:hAnsi="宋体"/>
          <w:color w:val="auto"/>
          <w:sz w:val="52"/>
          <w:szCs w:val="52"/>
          <w:highlight w:val="none"/>
        </w:rPr>
        <w:t>第 四 卷</w:t>
      </w:r>
      <w:bookmarkEnd w:id="851"/>
      <w:bookmarkEnd w:id="852"/>
      <w:bookmarkEnd w:id="853"/>
      <w:bookmarkEnd w:id="854"/>
      <w:bookmarkStart w:id="855" w:name="_Toc536797393"/>
      <w:bookmarkStart w:id="856" w:name="_Toc536797258"/>
      <w:bookmarkStart w:id="857" w:name="_Toc536621883"/>
      <w:bookmarkStart w:id="858" w:name="_Toc536628347"/>
      <w:bookmarkStart w:id="859" w:name="_Toc536796989"/>
      <w:bookmarkStart w:id="860" w:name="_Toc13210775"/>
      <w:bookmarkStart w:id="861" w:name="_Toc509218850"/>
      <w:bookmarkStart w:id="862" w:name="_Toc536796853"/>
      <w:bookmarkStart w:id="863" w:name="_Toc536619970"/>
      <w:bookmarkStart w:id="864" w:name="_Toc534185828"/>
      <w:bookmarkStart w:id="865" w:name="_Toc536620102"/>
      <w:bookmarkStart w:id="866" w:name="_Toc13211209"/>
      <w:bookmarkStart w:id="867" w:name="_Toc13211767"/>
      <w:bookmarkStart w:id="868" w:name="_Toc536797124"/>
    </w:p>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14:paraId="2EFD2115">
      <w:pPr>
        <w:rPr>
          <w:color w:val="auto"/>
          <w:highlight w:val="none"/>
        </w:rPr>
      </w:pPr>
      <w:r>
        <w:rPr>
          <w:color w:val="auto"/>
          <w:highlight w:val="none"/>
        </w:rPr>
        <w:br w:type="page"/>
      </w:r>
      <w:bookmarkStart w:id="869" w:name="招标文件08章投标文件格式"/>
      <w:bookmarkEnd w:id="869"/>
      <w:bookmarkStart w:id="870" w:name="_Toc287620812"/>
      <w:bookmarkStart w:id="871" w:name="_Toc287607865"/>
    </w:p>
    <w:p w14:paraId="6F961AEB">
      <w:pPr>
        <w:pStyle w:val="2"/>
        <w:spacing w:line="360" w:lineRule="auto"/>
        <w:jc w:val="center"/>
        <w:rPr>
          <w:rFonts w:ascii="宋体" w:hAnsi="宋体"/>
          <w:color w:val="auto"/>
          <w:highlight w:val="none"/>
        </w:rPr>
      </w:pPr>
      <w:bookmarkStart w:id="872" w:name="_Toc23843"/>
      <w:bookmarkStart w:id="873" w:name="_Toc430530528"/>
      <w:bookmarkStart w:id="874" w:name="_Toc534185829"/>
      <w:bookmarkStart w:id="875" w:name="_Toc57905916"/>
      <w:bookmarkStart w:id="876" w:name="_Toc509218852"/>
      <w:r>
        <w:rPr>
          <w:rFonts w:hint="eastAsia" w:ascii="宋体" w:hAnsi="宋体"/>
          <w:color w:val="auto"/>
          <w:highlight w:val="none"/>
        </w:rPr>
        <w:t>第八章  投标文件格式</w:t>
      </w:r>
      <w:bookmarkEnd w:id="870"/>
      <w:bookmarkEnd w:id="871"/>
      <w:bookmarkEnd w:id="872"/>
      <w:bookmarkEnd w:id="873"/>
      <w:bookmarkEnd w:id="874"/>
      <w:bookmarkEnd w:id="875"/>
      <w:bookmarkEnd w:id="876"/>
    </w:p>
    <w:p w14:paraId="59CA9418">
      <w:pPr>
        <w:spacing w:line="360" w:lineRule="auto"/>
        <w:rPr>
          <w:rFonts w:ascii="宋体" w:hAnsi="宋体"/>
          <w:color w:val="auto"/>
          <w:sz w:val="32"/>
          <w:szCs w:val="32"/>
          <w:highlight w:val="none"/>
        </w:rPr>
      </w:pPr>
    </w:p>
    <w:p w14:paraId="65B5B28C">
      <w:pPr>
        <w:spacing w:line="360" w:lineRule="auto"/>
        <w:jc w:val="center"/>
        <w:rPr>
          <w:rFonts w:ascii="宋体" w:hAnsi="宋体"/>
          <w:color w:val="auto"/>
          <w:sz w:val="36"/>
          <w:szCs w:val="36"/>
          <w:highlight w:val="none"/>
        </w:rPr>
      </w:pPr>
      <w:r>
        <w:rPr>
          <w:rFonts w:ascii="宋体" w:hAnsi="宋体"/>
          <w:color w:val="auto"/>
          <w:szCs w:val="20"/>
          <w:highlight w:val="none"/>
        </w:rPr>
        <w:br w:type="page"/>
      </w:r>
      <w:bookmarkStart w:id="877" w:name="_Toc224103493"/>
      <w:r>
        <w:rPr>
          <w:rFonts w:hint="eastAsia" w:ascii="宋体" w:hAnsi="宋体"/>
          <w:color w:val="auto"/>
          <w:sz w:val="36"/>
          <w:szCs w:val="36"/>
          <w:highlight w:val="none"/>
        </w:rPr>
        <w:t>目  录</w:t>
      </w:r>
      <w:bookmarkEnd w:id="877"/>
    </w:p>
    <w:p w14:paraId="43AFE7B4">
      <w:pPr>
        <w:spacing w:line="360" w:lineRule="auto"/>
        <w:jc w:val="center"/>
        <w:rPr>
          <w:rFonts w:ascii="宋体" w:hAnsi="宋体"/>
          <w:color w:val="auto"/>
          <w:szCs w:val="20"/>
          <w:highlight w:val="none"/>
        </w:rPr>
      </w:pPr>
    </w:p>
    <w:p w14:paraId="56FDAF93">
      <w:pPr>
        <w:spacing w:line="360" w:lineRule="auto"/>
        <w:rPr>
          <w:rFonts w:ascii="宋体" w:hAnsi="宋体"/>
          <w:b/>
          <w:color w:val="auto"/>
          <w:highlight w:val="none"/>
        </w:rPr>
      </w:pPr>
      <w:r>
        <w:rPr>
          <w:rFonts w:hint="eastAsia" w:ascii="宋体" w:hAnsi="宋体"/>
          <w:b/>
          <w:color w:val="auto"/>
          <w:highlight w:val="none"/>
          <w:lang w:val="en-US" w:eastAsia="zh-CN"/>
        </w:rPr>
        <w:t>一</w:t>
      </w:r>
      <w:r>
        <w:rPr>
          <w:rFonts w:ascii="宋体" w:hAnsi="宋体"/>
          <w:b/>
          <w:color w:val="auto"/>
          <w:highlight w:val="none"/>
        </w:rPr>
        <w:t>、投标函部分</w:t>
      </w:r>
    </w:p>
    <w:p w14:paraId="0E560C97">
      <w:pPr>
        <w:spacing w:line="360" w:lineRule="auto"/>
        <w:ind w:firstLine="420" w:firstLineChars="200"/>
        <w:rPr>
          <w:rFonts w:ascii="宋体" w:hAnsi="宋体"/>
          <w:color w:val="auto"/>
          <w:highlight w:val="none"/>
        </w:rPr>
      </w:pPr>
      <w:r>
        <w:rPr>
          <w:rFonts w:ascii="宋体" w:hAnsi="宋体"/>
          <w:color w:val="auto"/>
          <w:highlight w:val="none"/>
        </w:rPr>
        <w:t>（一）投标函</w:t>
      </w:r>
    </w:p>
    <w:p w14:paraId="3D419B23">
      <w:pPr>
        <w:spacing w:line="360" w:lineRule="auto"/>
        <w:ind w:firstLine="420" w:firstLineChars="200"/>
        <w:rPr>
          <w:rFonts w:ascii="宋体" w:hAnsi="宋体"/>
          <w:color w:val="auto"/>
          <w:highlight w:val="none"/>
        </w:rPr>
      </w:pPr>
      <w:r>
        <w:rPr>
          <w:rFonts w:ascii="宋体" w:hAnsi="宋体"/>
          <w:color w:val="auto"/>
          <w:highlight w:val="none"/>
        </w:rPr>
        <w:t>（二）投标函附录</w:t>
      </w:r>
    </w:p>
    <w:p w14:paraId="5B186FA3">
      <w:pPr>
        <w:spacing w:line="360" w:lineRule="auto"/>
        <w:ind w:firstLine="420" w:firstLineChars="200"/>
        <w:rPr>
          <w:rFonts w:ascii="宋体" w:hAnsi="宋体"/>
          <w:color w:val="auto"/>
          <w:highlight w:val="none"/>
        </w:rPr>
      </w:pPr>
      <w:r>
        <w:rPr>
          <w:rFonts w:ascii="宋体" w:hAnsi="宋体"/>
          <w:color w:val="auto"/>
          <w:highlight w:val="none"/>
        </w:rPr>
        <w:t>（三）</w:t>
      </w:r>
      <w:r>
        <w:rPr>
          <w:rFonts w:hint="eastAsia" w:ascii="宋体" w:hAnsi="宋体"/>
          <w:color w:val="auto"/>
          <w:highlight w:val="none"/>
        </w:rPr>
        <w:t>法定代表人身份证明或附有法定代表人身份证明的授权委托书</w:t>
      </w:r>
    </w:p>
    <w:p w14:paraId="769A62E8">
      <w:pPr>
        <w:spacing w:line="360" w:lineRule="auto"/>
        <w:ind w:firstLine="420" w:firstLineChars="200"/>
        <w:rPr>
          <w:rFonts w:hint="eastAsia" w:ascii="宋体" w:hAnsi="宋体"/>
          <w:b/>
          <w:color w:val="auto"/>
          <w:highlight w:val="none"/>
          <w:lang w:val="en-US" w:eastAsia="zh-CN"/>
        </w:rPr>
      </w:pPr>
      <w:r>
        <w:rPr>
          <w:rFonts w:ascii="宋体" w:hAnsi="宋体"/>
          <w:color w:val="auto"/>
          <w:highlight w:val="none"/>
        </w:rPr>
        <w:t>（四）</w:t>
      </w:r>
      <w:r>
        <w:rPr>
          <w:rFonts w:hint="eastAsia" w:ascii="宋体" w:hAnsi="宋体"/>
          <w:color w:val="auto"/>
          <w:highlight w:val="none"/>
        </w:rPr>
        <w:t>低价风险担保提交承诺书（如有）</w:t>
      </w:r>
    </w:p>
    <w:p w14:paraId="5CF9A909">
      <w:pPr>
        <w:spacing w:line="360" w:lineRule="auto"/>
        <w:rPr>
          <w:rFonts w:ascii="宋体" w:hAnsi="宋体"/>
          <w:b/>
          <w:color w:val="auto"/>
          <w:highlight w:val="none"/>
        </w:rPr>
      </w:pPr>
      <w:r>
        <w:rPr>
          <w:rFonts w:hint="eastAsia" w:ascii="宋体" w:hAnsi="宋体"/>
          <w:b/>
          <w:color w:val="auto"/>
          <w:highlight w:val="none"/>
          <w:lang w:val="en-US" w:eastAsia="zh-CN"/>
        </w:rPr>
        <w:t>二</w:t>
      </w:r>
      <w:r>
        <w:rPr>
          <w:rFonts w:ascii="宋体" w:hAnsi="宋体"/>
          <w:b/>
          <w:color w:val="auto"/>
          <w:highlight w:val="none"/>
        </w:rPr>
        <w:t>、</w:t>
      </w:r>
      <w:r>
        <w:rPr>
          <w:rFonts w:hint="eastAsia" w:ascii="宋体" w:hAnsi="宋体"/>
          <w:b/>
          <w:color w:val="auto"/>
          <w:highlight w:val="none"/>
        </w:rPr>
        <w:t>经济</w:t>
      </w:r>
      <w:r>
        <w:rPr>
          <w:rFonts w:ascii="宋体" w:hAnsi="宋体"/>
          <w:b/>
          <w:color w:val="auto"/>
          <w:highlight w:val="none"/>
        </w:rPr>
        <w:t>部分</w:t>
      </w:r>
    </w:p>
    <w:p w14:paraId="71BB4A67">
      <w:pPr>
        <w:spacing w:line="360" w:lineRule="auto"/>
        <w:ind w:firstLine="420" w:firstLineChars="200"/>
        <w:rPr>
          <w:rFonts w:ascii="宋体" w:hAnsi="宋体"/>
          <w:color w:val="auto"/>
          <w:highlight w:val="none"/>
        </w:rPr>
      </w:pPr>
      <w:r>
        <w:rPr>
          <w:rFonts w:ascii="宋体" w:hAnsi="宋体"/>
          <w:color w:val="auto"/>
          <w:highlight w:val="none"/>
        </w:rPr>
        <w:t>已标价工程量清单</w:t>
      </w:r>
    </w:p>
    <w:p w14:paraId="7B6B10D3">
      <w:pPr>
        <w:spacing w:line="360" w:lineRule="auto"/>
        <w:rPr>
          <w:rFonts w:ascii="宋体" w:hAnsi="宋体"/>
          <w:b/>
        </w:rPr>
      </w:pPr>
      <w:r>
        <w:rPr>
          <w:rFonts w:hint="eastAsia" w:ascii="宋体" w:hAnsi="宋体"/>
          <w:b/>
          <w:lang w:val="en-US" w:eastAsia="zh-CN"/>
        </w:rPr>
        <w:t>三</w:t>
      </w:r>
      <w:r>
        <w:rPr>
          <w:rFonts w:ascii="宋体" w:hAnsi="宋体"/>
          <w:b/>
        </w:rPr>
        <w:t>、技术部分</w:t>
      </w:r>
    </w:p>
    <w:p w14:paraId="7C87EA12">
      <w:pPr>
        <w:spacing w:line="360" w:lineRule="auto"/>
        <w:ind w:firstLine="420" w:firstLineChars="200"/>
        <w:rPr>
          <w:rFonts w:hint="eastAsia" w:ascii="宋体" w:hAnsi="宋体"/>
          <w:b/>
          <w:color w:val="auto"/>
          <w:highlight w:val="none"/>
          <w:lang w:val="en-US" w:eastAsia="zh-CN"/>
        </w:rPr>
      </w:pPr>
      <w:r>
        <w:rPr>
          <w:rFonts w:hint="eastAsia" w:ascii="宋体" w:hAnsi="宋体"/>
        </w:rPr>
        <w:t>技术方案</w:t>
      </w:r>
    </w:p>
    <w:p w14:paraId="1B34902E">
      <w:pPr>
        <w:spacing w:line="360" w:lineRule="auto"/>
        <w:rPr>
          <w:rFonts w:ascii="宋体" w:hAnsi="宋体"/>
          <w:b/>
          <w:color w:val="auto"/>
          <w:highlight w:val="none"/>
        </w:rPr>
      </w:pPr>
      <w:r>
        <w:rPr>
          <w:rFonts w:hint="eastAsia" w:ascii="宋体" w:hAnsi="宋体"/>
          <w:b/>
          <w:color w:val="auto"/>
          <w:highlight w:val="none"/>
          <w:lang w:val="en-US" w:eastAsia="zh-CN"/>
        </w:rPr>
        <w:t>四</w:t>
      </w:r>
      <w:r>
        <w:rPr>
          <w:rFonts w:ascii="宋体" w:hAnsi="宋体"/>
          <w:b/>
          <w:color w:val="auto"/>
          <w:highlight w:val="none"/>
        </w:rPr>
        <w:t>、</w:t>
      </w:r>
      <w:r>
        <w:rPr>
          <w:rFonts w:hint="eastAsia" w:ascii="宋体" w:hAnsi="宋体"/>
          <w:b/>
          <w:color w:val="auto"/>
          <w:highlight w:val="none"/>
        </w:rPr>
        <w:t>资格审查部分</w:t>
      </w:r>
    </w:p>
    <w:p w14:paraId="5086E526">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2E214864">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二</w:t>
      </w:r>
      <w:r>
        <w:rPr>
          <w:rFonts w:ascii="宋体" w:hAnsi="宋体"/>
          <w:color w:val="auto"/>
          <w:highlight w:val="none"/>
        </w:rPr>
        <w:t>）投标人基本情况表</w:t>
      </w:r>
    </w:p>
    <w:p w14:paraId="2C5F5413">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三</w:t>
      </w:r>
      <w:r>
        <w:rPr>
          <w:rFonts w:ascii="宋体" w:hAnsi="宋体"/>
          <w:color w:val="auto"/>
          <w:highlight w:val="none"/>
        </w:rPr>
        <w:t>）项目管理机构</w:t>
      </w:r>
    </w:p>
    <w:p w14:paraId="511A9131">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四</w:t>
      </w:r>
      <w:r>
        <w:rPr>
          <w:rFonts w:ascii="宋体" w:hAnsi="宋体"/>
          <w:color w:val="auto"/>
          <w:highlight w:val="none"/>
        </w:rPr>
        <w:t>）类似项目情况表</w:t>
      </w:r>
    </w:p>
    <w:p w14:paraId="3DED5C78">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五</w:t>
      </w:r>
      <w:r>
        <w:rPr>
          <w:rFonts w:ascii="宋体" w:hAnsi="宋体"/>
          <w:color w:val="auto"/>
          <w:highlight w:val="none"/>
        </w:rPr>
        <w:t>）</w:t>
      </w:r>
      <w:r>
        <w:rPr>
          <w:rFonts w:hint="eastAsia" w:ascii="宋体" w:hAnsi="宋体"/>
          <w:color w:val="auto"/>
          <w:highlight w:val="none"/>
        </w:rPr>
        <w:t>承诺</w:t>
      </w:r>
    </w:p>
    <w:p w14:paraId="240B38EC">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六</w:t>
      </w:r>
      <w:r>
        <w:rPr>
          <w:rFonts w:ascii="宋体" w:hAnsi="宋体"/>
          <w:color w:val="auto"/>
          <w:highlight w:val="none"/>
        </w:rPr>
        <w:t>）其他资料</w:t>
      </w:r>
    </w:p>
    <w:p w14:paraId="55304690">
      <w:pPr>
        <w:autoSpaceDE w:val="0"/>
        <w:autoSpaceDN w:val="0"/>
        <w:adjustRightInd w:val="0"/>
        <w:spacing w:line="276" w:lineRule="auto"/>
        <w:ind w:right="-23"/>
        <w:jc w:val="left"/>
        <w:rPr>
          <w:rFonts w:ascii="宋体" w:hAnsi="宋体"/>
          <w:b/>
          <w:color w:val="auto"/>
          <w:kern w:val="0"/>
          <w:sz w:val="24"/>
          <w:highlight w:val="none"/>
        </w:rPr>
      </w:pPr>
      <w:r>
        <w:rPr>
          <w:rFonts w:ascii="宋体" w:hAnsi="宋体"/>
          <w:b/>
          <w:color w:val="auto"/>
          <w:kern w:val="0"/>
          <w:sz w:val="24"/>
          <w:highlight w:val="none"/>
        </w:rPr>
        <w:br w:type="page"/>
      </w:r>
      <w:bookmarkStart w:id="878" w:name="_Toc430530529"/>
      <w:bookmarkStart w:id="879" w:name="_Toc277082642"/>
      <w:bookmarkStart w:id="880" w:name="_Toc287607866"/>
      <w:bookmarkStart w:id="881" w:name="_Toc224103494"/>
      <w:bookmarkStart w:id="882" w:name="_Toc287620813"/>
    </w:p>
    <w:p w14:paraId="42FC7FF6">
      <w:pPr>
        <w:pStyle w:val="3"/>
        <w:spacing w:line="360" w:lineRule="auto"/>
        <w:jc w:val="center"/>
        <w:rPr>
          <w:rFonts w:ascii="宋体" w:hAnsi="宋体"/>
          <w:b w:val="0"/>
          <w:bCs w:val="0"/>
          <w:color w:val="auto"/>
          <w:sz w:val="44"/>
          <w:szCs w:val="44"/>
          <w:highlight w:val="none"/>
        </w:rPr>
      </w:pPr>
      <w:bookmarkStart w:id="883" w:name="_Toc19476"/>
      <w:bookmarkStart w:id="884" w:name="_Toc57905918"/>
      <w:r>
        <w:rPr>
          <w:rFonts w:hint="eastAsia" w:ascii="宋体" w:hAnsi="宋体"/>
          <w:b w:val="0"/>
          <w:bCs w:val="0"/>
          <w:color w:val="auto"/>
          <w:sz w:val="44"/>
          <w:szCs w:val="44"/>
          <w:highlight w:val="none"/>
          <w:lang w:val="en-US" w:eastAsia="zh-CN"/>
        </w:rPr>
        <w:t>一</w:t>
      </w:r>
      <w:r>
        <w:rPr>
          <w:rFonts w:hint="eastAsia" w:ascii="宋体" w:hAnsi="宋体"/>
          <w:b w:val="0"/>
          <w:bCs w:val="0"/>
          <w:color w:val="auto"/>
          <w:sz w:val="44"/>
          <w:szCs w:val="44"/>
          <w:highlight w:val="none"/>
        </w:rPr>
        <w:t>、投标函部分</w:t>
      </w:r>
      <w:bookmarkEnd w:id="878"/>
      <w:bookmarkEnd w:id="879"/>
      <w:bookmarkEnd w:id="880"/>
      <w:bookmarkEnd w:id="881"/>
      <w:bookmarkEnd w:id="882"/>
      <w:bookmarkEnd w:id="883"/>
      <w:bookmarkEnd w:id="884"/>
    </w:p>
    <w:p w14:paraId="7A81380D">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79A07D3E">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2DC879CD">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45FE5CD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00B60FF">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233D994">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DD45099">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5087494">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21008D69">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77FE9F59">
      <w:pPr>
        <w:autoSpaceDE w:val="0"/>
        <w:autoSpaceDN w:val="0"/>
        <w:adjustRightInd w:val="0"/>
        <w:snapToGrid w:val="0"/>
        <w:spacing w:line="360" w:lineRule="auto"/>
        <w:jc w:val="left"/>
        <w:rPr>
          <w:rFonts w:ascii="宋体" w:hAnsi="宋体"/>
          <w:color w:val="auto"/>
          <w:kern w:val="0"/>
          <w:sz w:val="16"/>
          <w:szCs w:val="16"/>
          <w:highlight w:val="none"/>
        </w:rPr>
      </w:pPr>
    </w:p>
    <w:p w14:paraId="6123C926">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投标函部分</w:t>
      </w:r>
    </w:p>
    <w:p w14:paraId="49E7187B">
      <w:pPr>
        <w:autoSpaceDE w:val="0"/>
        <w:autoSpaceDN w:val="0"/>
        <w:adjustRightInd w:val="0"/>
        <w:snapToGrid w:val="0"/>
        <w:spacing w:line="360" w:lineRule="auto"/>
        <w:jc w:val="left"/>
        <w:rPr>
          <w:rFonts w:ascii="宋体" w:hAnsi="宋体"/>
          <w:b/>
          <w:color w:val="auto"/>
          <w:kern w:val="0"/>
          <w:sz w:val="20"/>
          <w:szCs w:val="20"/>
          <w:highlight w:val="none"/>
        </w:rPr>
      </w:pPr>
    </w:p>
    <w:p w14:paraId="3EFC1713">
      <w:pPr>
        <w:autoSpaceDE w:val="0"/>
        <w:autoSpaceDN w:val="0"/>
        <w:adjustRightInd w:val="0"/>
        <w:snapToGrid w:val="0"/>
        <w:spacing w:line="360" w:lineRule="auto"/>
        <w:jc w:val="left"/>
        <w:rPr>
          <w:rFonts w:ascii="宋体" w:hAnsi="宋体"/>
          <w:b/>
          <w:color w:val="auto"/>
          <w:kern w:val="0"/>
          <w:sz w:val="20"/>
          <w:szCs w:val="20"/>
          <w:highlight w:val="none"/>
        </w:rPr>
      </w:pPr>
    </w:p>
    <w:p w14:paraId="3CA2C6A5">
      <w:pPr>
        <w:autoSpaceDE w:val="0"/>
        <w:autoSpaceDN w:val="0"/>
        <w:adjustRightInd w:val="0"/>
        <w:snapToGrid w:val="0"/>
        <w:spacing w:line="360" w:lineRule="auto"/>
        <w:jc w:val="left"/>
        <w:rPr>
          <w:rFonts w:ascii="宋体" w:hAnsi="宋体"/>
          <w:b/>
          <w:color w:val="auto"/>
          <w:kern w:val="0"/>
          <w:sz w:val="20"/>
          <w:szCs w:val="20"/>
          <w:highlight w:val="none"/>
        </w:rPr>
      </w:pPr>
    </w:p>
    <w:p w14:paraId="364AF780">
      <w:pPr>
        <w:autoSpaceDE w:val="0"/>
        <w:autoSpaceDN w:val="0"/>
        <w:adjustRightInd w:val="0"/>
        <w:snapToGrid w:val="0"/>
        <w:spacing w:line="360" w:lineRule="auto"/>
        <w:jc w:val="left"/>
        <w:rPr>
          <w:rFonts w:ascii="宋体" w:hAnsi="宋体"/>
          <w:b/>
          <w:color w:val="auto"/>
          <w:kern w:val="0"/>
          <w:sz w:val="20"/>
          <w:szCs w:val="20"/>
          <w:highlight w:val="none"/>
        </w:rPr>
      </w:pPr>
    </w:p>
    <w:p w14:paraId="3505BD7F">
      <w:pPr>
        <w:autoSpaceDE w:val="0"/>
        <w:autoSpaceDN w:val="0"/>
        <w:adjustRightInd w:val="0"/>
        <w:snapToGrid w:val="0"/>
        <w:spacing w:line="360" w:lineRule="auto"/>
        <w:jc w:val="left"/>
        <w:rPr>
          <w:rFonts w:ascii="宋体" w:hAnsi="宋体"/>
          <w:b/>
          <w:color w:val="auto"/>
          <w:kern w:val="0"/>
          <w:sz w:val="20"/>
          <w:szCs w:val="20"/>
          <w:highlight w:val="none"/>
        </w:rPr>
      </w:pPr>
    </w:p>
    <w:p w14:paraId="13ED7416">
      <w:pPr>
        <w:autoSpaceDE w:val="0"/>
        <w:autoSpaceDN w:val="0"/>
        <w:adjustRightInd w:val="0"/>
        <w:snapToGrid w:val="0"/>
        <w:spacing w:line="360" w:lineRule="auto"/>
        <w:jc w:val="left"/>
        <w:rPr>
          <w:rFonts w:ascii="宋体" w:hAnsi="宋体"/>
          <w:b/>
          <w:color w:val="auto"/>
          <w:kern w:val="0"/>
          <w:sz w:val="20"/>
          <w:szCs w:val="20"/>
          <w:highlight w:val="none"/>
        </w:rPr>
      </w:pPr>
    </w:p>
    <w:p w14:paraId="4FD802C3">
      <w:pPr>
        <w:autoSpaceDE w:val="0"/>
        <w:autoSpaceDN w:val="0"/>
        <w:adjustRightInd w:val="0"/>
        <w:snapToGrid w:val="0"/>
        <w:spacing w:line="360" w:lineRule="auto"/>
        <w:jc w:val="left"/>
        <w:rPr>
          <w:rFonts w:ascii="宋体" w:hAnsi="宋体"/>
          <w:b/>
          <w:color w:val="auto"/>
          <w:kern w:val="0"/>
          <w:sz w:val="20"/>
          <w:szCs w:val="20"/>
          <w:highlight w:val="none"/>
        </w:rPr>
      </w:pPr>
    </w:p>
    <w:p w14:paraId="25705F3F">
      <w:pPr>
        <w:autoSpaceDE w:val="0"/>
        <w:autoSpaceDN w:val="0"/>
        <w:adjustRightInd w:val="0"/>
        <w:snapToGrid w:val="0"/>
        <w:spacing w:line="360" w:lineRule="auto"/>
        <w:jc w:val="left"/>
        <w:rPr>
          <w:rFonts w:ascii="宋体" w:hAnsi="宋体"/>
          <w:b/>
          <w:color w:val="auto"/>
          <w:kern w:val="0"/>
          <w:sz w:val="20"/>
          <w:szCs w:val="20"/>
          <w:highlight w:val="none"/>
        </w:rPr>
      </w:pPr>
    </w:p>
    <w:p w14:paraId="64F48698">
      <w:pPr>
        <w:autoSpaceDE w:val="0"/>
        <w:autoSpaceDN w:val="0"/>
        <w:adjustRightInd w:val="0"/>
        <w:snapToGrid w:val="0"/>
        <w:spacing w:line="360" w:lineRule="auto"/>
        <w:jc w:val="left"/>
        <w:rPr>
          <w:rFonts w:ascii="宋体" w:hAnsi="宋体"/>
          <w:b/>
          <w:color w:val="auto"/>
          <w:kern w:val="0"/>
          <w:sz w:val="20"/>
          <w:szCs w:val="20"/>
          <w:highlight w:val="none"/>
        </w:rPr>
      </w:pPr>
    </w:p>
    <w:p w14:paraId="42118F6A">
      <w:pPr>
        <w:autoSpaceDE w:val="0"/>
        <w:autoSpaceDN w:val="0"/>
        <w:adjustRightInd w:val="0"/>
        <w:snapToGrid w:val="0"/>
        <w:spacing w:line="360" w:lineRule="auto"/>
        <w:jc w:val="left"/>
        <w:rPr>
          <w:rFonts w:ascii="宋体" w:hAnsi="宋体"/>
          <w:b/>
          <w:color w:val="auto"/>
          <w:kern w:val="0"/>
          <w:sz w:val="20"/>
          <w:szCs w:val="20"/>
          <w:highlight w:val="none"/>
        </w:rPr>
      </w:pPr>
    </w:p>
    <w:p w14:paraId="340BBA31">
      <w:pPr>
        <w:autoSpaceDE w:val="0"/>
        <w:autoSpaceDN w:val="0"/>
        <w:adjustRightInd w:val="0"/>
        <w:snapToGrid w:val="0"/>
        <w:spacing w:line="360" w:lineRule="auto"/>
        <w:jc w:val="left"/>
        <w:rPr>
          <w:rFonts w:ascii="宋体" w:hAnsi="宋体"/>
          <w:b/>
          <w:color w:val="auto"/>
          <w:kern w:val="0"/>
          <w:sz w:val="20"/>
          <w:szCs w:val="20"/>
          <w:highlight w:val="none"/>
        </w:rPr>
      </w:pPr>
    </w:p>
    <w:p w14:paraId="7A6FC5A6">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552221CB">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6E88908B">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14:paraId="005CDD4B">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65FD9B15">
      <w:pPr>
        <w:autoSpaceDE w:val="0"/>
        <w:autoSpaceDN w:val="0"/>
        <w:adjustRightInd w:val="0"/>
        <w:snapToGrid w:val="0"/>
        <w:spacing w:line="360" w:lineRule="auto"/>
        <w:jc w:val="left"/>
        <w:rPr>
          <w:rFonts w:ascii="宋体" w:hAnsi="宋体"/>
          <w:color w:val="auto"/>
          <w:kern w:val="0"/>
          <w:sz w:val="24"/>
          <w:szCs w:val="21"/>
          <w:highlight w:val="none"/>
        </w:rPr>
      </w:pPr>
    </w:p>
    <w:p w14:paraId="022D56C7">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（一）投标函</w:t>
      </w:r>
    </w:p>
    <w:p w14:paraId="37DDF414">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（二）投标函附录</w:t>
      </w:r>
    </w:p>
    <w:p w14:paraId="3C84CADB">
      <w:pPr>
        <w:autoSpaceDE w:val="0"/>
        <w:autoSpaceDN w:val="0"/>
        <w:adjustRightInd w:val="0"/>
        <w:spacing w:line="360" w:lineRule="auto"/>
        <w:ind w:firstLine="480" w:firstLineChars="200"/>
        <w:jc w:val="left"/>
        <w:rPr>
          <w:rFonts w:hint="eastAsia" w:ascii="宋体" w:hAnsi="宋体"/>
          <w:color w:val="auto"/>
          <w:kern w:val="0"/>
          <w:sz w:val="24"/>
          <w:highlight w:val="none"/>
        </w:rPr>
      </w:pPr>
      <w:r>
        <w:rPr>
          <w:rFonts w:ascii="宋体" w:hAnsi="宋体"/>
          <w:color w:val="auto"/>
          <w:kern w:val="0"/>
          <w:sz w:val="24"/>
          <w:highlight w:val="none"/>
        </w:rPr>
        <w:t>（三）</w:t>
      </w:r>
      <w:r>
        <w:rPr>
          <w:rFonts w:hint="eastAsia" w:ascii="宋体" w:hAnsi="宋体"/>
          <w:color w:val="auto"/>
          <w:kern w:val="0"/>
          <w:sz w:val="24"/>
          <w:highlight w:val="none"/>
        </w:rPr>
        <w:t>法定代表人身份证明或附有法定代表人身份证明的授权委托书</w:t>
      </w:r>
    </w:p>
    <w:p w14:paraId="6106E8D0">
      <w:pPr>
        <w:autoSpaceDE w:val="0"/>
        <w:autoSpaceDN w:val="0"/>
        <w:adjustRightInd w:val="0"/>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（四）低价风险担保提交承诺书（如有）</w:t>
      </w:r>
    </w:p>
    <w:p w14:paraId="677BFBAA">
      <w:pPr>
        <w:autoSpaceDE w:val="0"/>
        <w:autoSpaceDN w:val="0"/>
        <w:adjustRightInd w:val="0"/>
        <w:snapToGrid w:val="0"/>
        <w:spacing w:line="360" w:lineRule="auto"/>
        <w:jc w:val="left"/>
        <w:rPr>
          <w:rFonts w:ascii="宋体" w:hAnsi="宋体"/>
          <w:color w:val="auto"/>
          <w:w w:val="99"/>
          <w:kern w:val="0"/>
          <w:sz w:val="28"/>
          <w:szCs w:val="28"/>
          <w:highlight w:val="none"/>
        </w:rPr>
      </w:pPr>
    </w:p>
    <w:p w14:paraId="6251F3C7">
      <w:pPr>
        <w:pStyle w:val="4"/>
        <w:spacing w:before="0" w:after="0" w:line="400" w:lineRule="exact"/>
        <w:jc w:val="center"/>
        <w:rPr>
          <w:rFonts w:ascii="宋体" w:hAnsi="宋体"/>
          <w:b w:val="0"/>
          <w:color w:val="auto"/>
          <w:highlight w:val="none"/>
        </w:rPr>
      </w:pPr>
      <w:bookmarkStart w:id="885" w:name="_Toc287620814"/>
      <w:bookmarkStart w:id="886" w:name="_Toc534185831"/>
      <w:bookmarkStart w:id="887" w:name="_Toc430530530"/>
      <w:bookmarkStart w:id="888" w:name="_Toc509218854"/>
      <w:bookmarkStart w:id="889" w:name="_Toc277082643"/>
      <w:bookmarkStart w:id="890" w:name="_Toc224103495"/>
      <w:bookmarkStart w:id="891" w:name="_Toc287607867"/>
      <w:r>
        <w:rPr>
          <w:rFonts w:ascii="宋体" w:hAnsi="宋体"/>
          <w:color w:val="auto"/>
          <w:highlight w:val="none"/>
        </w:rPr>
        <w:br w:type="page"/>
      </w:r>
      <w:bookmarkStart w:id="892" w:name="_Toc26071"/>
      <w:bookmarkStart w:id="893" w:name="_Toc57905919"/>
      <w:r>
        <w:rPr>
          <w:rFonts w:hint="eastAsia"/>
          <w:color w:val="auto"/>
          <w:highlight w:val="none"/>
        </w:rPr>
        <w:t>（一）投标函</w:t>
      </w:r>
      <w:bookmarkEnd w:id="885"/>
      <w:bookmarkEnd w:id="886"/>
      <w:bookmarkEnd w:id="887"/>
      <w:bookmarkEnd w:id="888"/>
      <w:bookmarkEnd w:id="889"/>
      <w:bookmarkEnd w:id="890"/>
      <w:bookmarkEnd w:id="891"/>
      <w:bookmarkEnd w:id="892"/>
      <w:bookmarkEnd w:id="893"/>
    </w:p>
    <w:p w14:paraId="6D083227">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（招标人名称）</w:t>
      </w:r>
      <w:r>
        <w:rPr>
          <w:rFonts w:ascii="宋体" w:hAnsi="宋体"/>
          <w:snapToGrid w:val="0"/>
          <w:color w:val="auto"/>
          <w:kern w:val="0"/>
          <w:szCs w:val="21"/>
          <w:highlight w:val="none"/>
        </w:rPr>
        <w:t>：</w:t>
      </w:r>
    </w:p>
    <w:p w14:paraId="3D815124">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招标文件的全部内容，愿意以人民币（大写）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）的投标总报价进行报价，其中</w:t>
      </w:r>
      <w:r>
        <w:rPr>
          <w:rFonts w:ascii="宋体" w:hAnsi="宋体"/>
          <w:snapToGrid w:val="0"/>
          <w:color w:val="auto"/>
          <w:kern w:val="0"/>
          <w:highlight w:val="none"/>
        </w:rPr>
        <w:t>安全文明施工费暂定金额为人民币</w:t>
      </w:r>
      <w:r>
        <w:rPr>
          <w:rFonts w:ascii="宋体" w:hAnsi="宋体"/>
          <w:snapToGrid w:val="0"/>
          <w:color w:val="auto"/>
          <w:kern w:val="0"/>
          <w:szCs w:val="21"/>
          <w:highlight w:val="none"/>
        </w:rPr>
        <w:t>（大写）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质保期</w:t>
      </w:r>
      <w:r>
        <w:rPr>
          <w:rFonts w:hint="eastAsia" w:ascii="宋体" w:hAnsi="宋体"/>
          <w:snapToGrid w:val="0"/>
          <w:color w:val="auto"/>
          <w:kern w:val="0"/>
          <w:szCs w:val="21"/>
          <w:highlight w:val="none"/>
          <w:lang w:eastAsia="zh-CN"/>
        </w:rPr>
        <w:t>：</w:t>
      </w:r>
      <w:r>
        <w:rPr>
          <w:rFonts w:hint="eastAsia" w:ascii="宋体" w:hAnsi="宋体"/>
          <w:b/>
          <w:bCs/>
          <w:snapToGrid w:val="0"/>
          <w:color w:val="auto"/>
          <w:kern w:val="0"/>
          <w:szCs w:val="21"/>
          <w:highlight w:val="none"/>
          <w:u w:val="single"/>
        </w:rPr>
        <w:t>达到招标文件的要求</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工期</w:t>
      </w:r>
      <w:r>
        <w:rPr>
          <w:rFonts w:hint="eastAsia" w:ascii="宋体" w:hAnsi="宋体"/>
          <w:b/>
          <w:bCs/>
          <w:snapToGrid w:val="0"/>
          <w:color w:val="auto"/>
          <w:kern w:val="0"/>
          <w:szCs w:val="21"/>
          <w:highlight w:val="none"/>
          <w:u w:val="single"/>
        </w:rPr>
        <w:t>达到招标文件的要求</w:t>
      </w:r>
      <w:r>
        <w:rPr>
          <w:rFonts w:ascii="宋体" w:hAnsi="宋体"/>
          <w:snapToGrid w:val="0"/>
          <w:color w:val="auto"/>
          <w:kern w:val="0"/>
          <w:szCs w:val="21"/>
          <w:highlight w:val="none"/>
        </w:rPr>
        <w:t>， 按合同约定实施和完成承包工程，修补工程中的任何缺陷，工程质量达到</w:t>
      </w:r>
      <w:r>
        <w:rPr>
          <w:rFonts w:hint="eastAsia" w:ascii="宋体" w:hAnsi="宋体"/>
          <w:snapToGrid w:val="0"/>
          <w:color w:val="auto"/>
          <w:kern w:val="0"/>
          <w:szCs w:val="21"/>
          <w:highlight w:val="none"/>
        </w:rPr>
        <w:t>招标文件的要求</w:t>
      </w:r>
      <w:r>
        <w:rPr>
          <w:rFonts w:ascii="宋体" w:hAnsi="宋体"/>
          <w:snapToGrid w:val="0"/>
          <w:color w:val="auto"/>
          <w:kern w:val="0"/>
          <w:szCs w:val="21"/>
          <w:highlight w:val="none"/>
        </w:rPr>
        <w:t>。</w:t>
      </w:r>
    </w:p>
    <w:p w14:paraId="3AB99409">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响应招标文件规定的投标有效期，</w:t>
      </w:r>
      <w:r>
        <w:rPr>
          <w:rFonts w:ascii="宋体" w:hAnsi="宋体"/>
          <w:snapToGrid w:val="0"/>
          <w:color w:val="auto"/>
          <w:kern w:val="0"/>
          <w:szCs w:val="21"/>
          <w:highlight w:val="none"/>
        </w:rPr>
        <w:t>在投标有效期内不修改、撤销投标文件。</w:t>
      </w:r>
    </w:p>
    <w:p w14:paraId="21BE4EC4">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随同本投标函提交投标保证金一份，金额为人民币（大写）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）。投标保证金</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与投标</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一致，在此期间，若我方违反招投标有关法律、法规及本招标文件的相关规定，投标保证金的受益人为招标人。</w:t>
      </w:r>
    </w:p>
    <w:p w14:paraId="050F1EB9">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14:paraId="79E35D5E">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（1）我方承诺在收到中标通知书后，在中标通知书规定的期限内与你方签订合同。</w:t>
      </w:r>
    </w:p>
    <w:p w14:paraId="601BD0EF">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（2）随同本投标函递交的投标函附录属于合同文件的组成部分。</w:t>
      </w:r>
    </w:p>
    <w:p w14:paraId="3CB1F6BB">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（3）我方承诺按照招标文件规定向你方递交履约担保。</w:t>
      </w:r>
    </w:p>
    <w:p w14:paraId="09B88675">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14:paraId="35E3A33B">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hint="eastAsia" w:ascii="宋体" w:hAnsi="宋体"/>
          <w:snapToGrid w:val="0"/>
          <w:color w:val="auto"/>
          <w:kern w:val="0"/>
          <w:szCs w:val="21"/>
          <w:highlight w:val="none"/>
        </w:rPr>
        <w:t>（5）我方承诺以不低于招标文件第七章 技术标准和要求中所列的技术指标和参数要求完成全部合同工程。</w:t>
      </w:r>
    </w:p>
    <w:p w14:paraId="1653383A">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在此声明，所递交的投标文件及有关资料内容完整、真实和准确，且不存在第二章“投标人</w:t>
      </w:r>
      <w:r>
        <w:rPr>
          <w:rFonts w:ascii="宋体" w:hAnsi="宋体"/>
          <w:snapToGrid w:val="0"/>
          <w:color w:val="auto"/>
          <w:kern w:val="0"/>
          <w:szCs w:val="21"/>
          <w:highlight w:val="none"/>
        </w:rPr>
        <w:t>须知”第 1.4.3 项规定的任何一种情形。同时我方承诺接受招标文件及附件、澄清及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71B22189">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14:paraId="2F8BBD5D">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3C0A07C7">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0888DFAF">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3B5DE3AE">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27D5476A">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41BB7A6C">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28602417">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073CB81E">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14:paraId="72FAFAEC">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55F3C40A">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p>
    <w:p w14:paraId="5A0F5A76">
      <w:pPr>
        <w:tabs>
          <w:tab w:val="left" w:pos="8300"/>
        </w:tabs>
        <w:autoSpaceDE w:val="0"/>
        <w:autoSpaceDN w:val="0"/>
        <w:adjustRightInd w:val="0"/>
        <w:spacing w:line="400" w:lineRule="exact"/>
        <w:ind w:firstLine="400" w:firstLineChars="200"/>
        <w:jc w:val="right"/>
        <w:rPr>
          <w:rFonts w:ascii="宋体" w:hAnsi="宋体"/>
          <w:snapToGrid w:val="0"/>
          <w:color w:val="auto"/>
          <w:kern w:val="0"/>
          <w:sz w:val="20"/>
          <w:szCs w:val="20"/>
          <w:highlight w:val="none"/>
        </w:rPr>
      </w:pPr>
    </w:p>
    <w:p w14:paraId="1EDE0C2A">
      <w:pPr>
        <w:pStyle w:val="4"/>
        <w:jc w:val="center"/>
        <w:rPr>
          <w:rFonts w:ascii="宋体" w:hAnsi="宋体"/>
          <w:snapToGrid w:val="0"/>
          <w:color w:val="auto"/>
          <w:kern w:val="0"/>
          <w:szCs w:val="21"/>
          <w:highlight w:val="none"/>
        </w:rPr>
      </w:pPr>
      <w:bookmarkStart w:id="894" w:name="_Toc277082644"/>
      <w:bookmarkStart w:id="895" w:name="_Toc430530531"/>
      <w:bookmarkStart w:id="896" w:name="_Toc287607868"/>
      <w:bookmarkStart w:id="897" w:name="_Toc224103496"/>
      <w:bookmarkStart w:id="898" w:name="_Toc287620815"/>
      <w:r>
        <w:rPr>
          <w:rFonts w:ascii="宋体" w:hAnsi="宋体"/>
          <w:color w:val="auto"/>
          <w:sz w:val="28"/>
          <w:highlight w:val="none"/>
        </w:rPr>
        <w:br w:type="page"/>
      </w:r>
      <w:bookmarkStart w:id="899" w:name="_Toc30967"/>
      <w:bookmarkStart w:id="900" w:name="_Toc509218855"/>
      <w:bookmarkStart w:id="901" w:name="_Toc534185832"/>
      <w:bookmarkStart w:id="902" w:name="_Toc57905920"/>
      <w:r>
        <w:rPr>
          <w:color w:val="auto"/>
          <w:highlight w:val="none"/>
        </w:rPr>
        <w:t>（二）投标函附录</w:t>
      </w:r>
      <w:bookmarkEnd w:id="894"/>
      <w:bookmarkEnd w:id="895"/>
      <w:bookmarkEnd w:id="896"/>
      <w:bookmarkEnd w:id="897"/>
      <w:bookmarkEnd w:id="898"/>
      <w:bookmarkEnd w:id="899"/>
      <w:bookmarkEnd w:id="900"/>
      <w:bookmarkEnd w:id="901"/>
      <w:bookmarkEnd w:id="902"/>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1643"/>
        <w:gridCol w:w="3732"/>
        <w:gridCol w:w="792"/>
      </w:tblGrid>
      <w:tr w14:paraId="35A27D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A6CAF63">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2582" w:type="dxa"/>
            <w:vAlign w:val="center"/>
          </w:tcPr>
          <w:p w14:paraId="63DFCAA1">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条款名称</w:t>
            </w:r>
          </w:p>
        </w:tc>
        <w:tc>
          <w:tcPr>
            <w:tcW w:w="1643" w:type="dxa"/>
            <w:vAlign w:val="center"/>
          </w:tcPr>
          <w:p w14:paraId="4AF5ED08">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合同条款号</w:t>
            </w:r>
          </w:p>
        </w:tc>
        <w:tc>
          <w:tcPr>
            <w:tcW w:w="3732" w:type="dxa"/>
            <w:vAlign w:val="center"/>
          </w:tcPr>
          <w:p w14:paraId="54A424A1">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约定内容</w:t>
            </w:r>
          </w:p>
        </w:tc>
        <w:tc>
          <w:tcPr>
            <w:tcW w:w="792" w:type="dxa"/>
            <w:vAlign w:val="center"/>
          </w:tcPr>
          <w:p w14:paraId="291C4BA0">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r>
      <w:tr w14:paraId="6EEDFE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5D28AA20">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2582" w:type="dxa"/>
            <w:vAlign w:val="center"/>
          </w:tcPr>
          <w:p w14:paraId="02F09F12">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1643" w:type="dxa"/>
            <w:vAlign w:val="center"/>
          </w:tcPr>
          <w:p w14:paraId="6CF3C99C">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3732" w:type="dxa"/>
            <w:vAlign w:val="center"/>
          </w:tcPr>
          <w:p w14:paraId="03838968">
            <w:pPr>
              <w:tabs>
                <w:tab w:val="left" w:pos="1560"/>
              </w:tabs>
              <w:autoSpaceDE w:val="0"/>
              <w:autoSpaceDN w:val="0"/>
              <w:adjustRightInd w:val="0"/>
              <w:jc w:val="center"/>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注：填达到招标文件要求或据实填写</w:t>
            </w:r>
          </w:p>
        </w:tc>
        <w:tc>
          <w:tcPr>
            <w:tcW w:w="792" w:type="dxa"/>
            <w:vAlign w:val="center"/>
          </w:tcPr>
          <w:p w14:paraId="6579D82A">
            <w:pPr>
              <w:autoSpaceDE w:val="0"/>
              <w:autoSpaceDN w:val="0"/>
              <w:adjustRightInd w:val="0"/>
              <w:jc w:val="center"/>
              <w:rPr>
                <w:rFonts w:ascii="宋体" w:hAnsi="宋体"/>
                <w:snapToGrid w:val="0"/>
                <w:color w:val="auto"/>
                <w:kern w:val="0"/>
                <w:szCs w:val="21"/>
                <w:highlight w:val="none"/>
              </w:rPr>
            </w:pPr>
          </w:p>
        </w:tc>
      </w:tr>
      <w:tr w14:paraId="75E16C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73479178">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2582" w:type="dxa"/>
            <w:vAlign w:val="center"/>
          </w:tcPr>
          <w:p w14:paraId="09915E33">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分包</w:t>
            </w:r>
          </w:p>
        </w:tc>
        <w:tc>
          <w:tcPr>
            <w:tcW w:w="1643" w:type="dxa"/>
            <w:vAlign w:val="center"/>
          </w:tcPr>
          <w:p w14:paraId="6FB1043C">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3732" w:type="dxa"/>
            <w:vAlign w:val="center"/>
          </w:tcPr>
          <w:p w14:paraId="76CCFC02">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注：填达到招标文件要求或据实填写</w:t>
            </w:r>
          </w:p>
        </w:tc>
        <w:tc>
          <w:tcPr>
            <w:tcW w:w="792" w:type="dxa"/>
            <w:vAlign w:val="center"/>
          </w:tcPr>
          <w:p w14:paraId="32F0158F">
            <w:pPr>
              <w:autoSpaceDE w:val="0"/>
              <w:autoSpaceDN w:val="0"/>
              <w:adjustRightInd w:val="0"/>
              <w:jc w:val="center"/>
              <w:rPr>
                <w:rFonts w:ascii="宋体" w:hAnsi="宋体"/>
                <w:snapToGrid w:val="0"/>
                <w:color w:val="auto"/>
                <w:kern w:val="0"/>
                <w:szCs w:val="21"/>
                <w:highlight w:val="none"/>
              </w:rPr>
            </w:pPr>
          </w:p>
        </w:tc>
      </w:tr>
      <w:tr w14:paraId="378521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0321B8DB">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3</w:t>
            </w:r>
          </w:p>
        </w:tc>
        <w:tc>
          <w:tcPr>
            <w:tcW w:w="2582" w:type="dxa"/>
            <w:vAlign w:val="center"/>
          </w:tcPr>
          <w:p w14:paraId="52C57960">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工程质量</w:t>
            </w:r>
          </w:p>
        </w:tc>
        <w:tc>
          <w:tcPr>
            <w:tcW w:w="1643" w:type="dxa"/>
            <w:vAlign w:val="center"/>
          </w:tcPr>
          <w:p w14:paraId="0668C39B">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3732" w:type="dxa"/>
            <w:vAlign w:val="center"/>
          </w:tcPr>
          <w:p w14:paraId="24FED5A7">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注：填达到招标文件要求或据实填写</w:t>
            </w:r>
          </w:p>
        </w:tc>
        <w:tc>
          <w:tcPr>
            <w:tcW w:w="792" w:type="dxa"/>
            <w:vAlign w:val="center"/>
          </w:tcPr>
          <w:p w14:paraId="59191E4A">
            <w:pPr>
              <w:autoSpaceDE w:val="0"/>
              <w:autoSpaceDN w:val="0"/>
              <w:adjustRightInd w:val="0"/>
              <w:jc w:val="center"/>
              <w:rPr>
                <w:rFonts w:ascii="宋体" w:hAnsi="宋体"/>
                <w:snapToGrid w:val="0"/>
                <w:color w:val="auto"/>
                <w:kern w:val="0"/>
                <w:szCs w:val="21"/>
                <w:highlight w:val="none"/>
              </w:rPr>
            </w:pPr>
          </w:p>
        </w:tc>
      </w:tr>
      <w:tr w14:paraId="7513C6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2CFC232D">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14:paraId="557C0F11">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1643" w:type="dxa"/>
            <w:vAlign w:val="center"/>
          </w:tcPr>
          <w:p w14:paraId="28D46D3E">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3732" w:type="dxa"/>
            <w:vAlign w:val="center"/>
          </w:tcPr>
          <w:p w14:paraId="3063602C">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14:paraId="31049ECB">
            <w:pPr>
              <w:autoSpaceDE w:val="0"/>
              <w:autoSpaceDN w:val="0"/>
              <w:adjustRightInd w:val="0"/>
              <w:jc w:val="center"/>
              <w:rPr>
                <w:rFonts w:ascii="宋体" w:hAnsi="宋体"/>
                <w:snapToGrid w:val="0"/>
                <w:color w:val="auto"/>
                <w:kern w:val="0"/>
                <w:szCs w:val="21"/>
                <w:highlight w:val="none"/>
              </w:rPr>
            </w:pPr>
          </w:p>
        </w:tc>
      </w:tr>
      <w:tr w14:paraId="0E4A8C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8E9994C">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14:paraId="53970835">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1643" w:type="dxa"/>
            <w:vAlign w:val="center"/>
          </w:tcPr>
          <w:p w14:paraId="74F89FFC">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3732" w:type="dxa"/>
            <w:vAlign w:val="center"/>
          </w:tcPr>
          <w:p w14:paraId="76CB2C55">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14:paraId="2B687097">
            <w:pPr>
              <w:autoSpaceDE w:val="0"/>
              <w:autoSpaceDN w:val="0"/>
              <w:adjustRightInd w:val="0"/>
              <w:jc w:val="center"/>
              <w:rPr>
                <w:rFonts w:ascii="宋体" w:hAnsi="宋体"/>
                <w:snapToGrid w:val="0"/>
                <w:color w:val="auto"/>
                <w:kern w:val="0"/>
                <w:szCs w:val="21"/>
                <w:highlight w:val="none"/>
              </w:rPr>
            </w:pPr>
          </w:p>
        </w:tc>
      </w:tr>
    </w:tbl>
    <w:p w14:paraId="441105C2">
      <w:pPr>
        <w:spacing w:line="360" w:lineRule="auto"/>
        <w:rPr>
          <w:rFonts w:ascii="宋体" w:hAnsi="宋体"/>
          <w:snapToGrid w:val="0"/>
          <w:color w:val="auto"/>
          <w:w w:val="99"/>
          <w:highlight w:val="none"/>
        </w:rPr>
      </w:pPr>
    </w:p>
    <w:p w14:paraId="14F6C30B">
      <w:pPr>
        <w:spacing w:line="360" w:lineRule="auto"/>
        <w:rPr>
          <w:rFonts w:ascii="宋体" w:hAnsi="宋体"/>
          <w:snapToGrid w:val="0"/>
          <w:color w:val="auto"/>
          <w:highlight w:val="none"/>
        </w:rPr>
      </w:pPr>
    </w:p>
    <w:p w14:paraId="4ACEFA95">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43355C2E">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w:t>
      </w:r>
    </w:p>
    <w:p w14:paraId="3A8E9196">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 xml:space="preserve">或盖章） </w:t>
      </w:r>
    </w:p>
    <w:p w14:paraId="146E26EA">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color w:val="auto"/>
          <w:kern w:val="0"/>
          <w:szCs w:val="21"/>
          <w:highlight w:val="none"/>
        </w:rPr>
      </w:pPr>
    </w:p>
    <w:p w14:paraId="2D40E0F9">
      <w:pPr>
        <w:pStyle w:val="4"/>
        <w:jc w:val="center"/>
        <w:rPr>
          <w:rFonts w:ascii="宋体" w:hAnsi="宋体"/>
          <w:b w:val="0"/>
          <w:snapToGrid w:val="0"/>
          <w:color w:val="auto"/>
          <w:kern w:val="0"/>
          <w:sz w:val="30"/>
          <w:szCs w:val="30"/>
          <w:highlight w:val="none"/>
        </w:rPr>
      </w:pPr>
      <w:r>
        <w:rPr>
          <w:rFonts w:ascii="宋体" w:hAnsi="宋体"/>
          <w:snapToGrid w:val="0"/>
          <w:color w:val="auto"/>
          <w:highlight w:val="none"/>
        </w:rPr>
        <w:br w:type="page"/>
      </w:r>
      <w:bookmarkStart w:id="903" w:name="_Toc57905921"/>
      <w:bookmarkStart w:id="904" w:name="_Toc287620816"/>
      <w:bookmarkStart w:id="905" w:name="_Toc287607869"/>
      <w:bookmarkStart w:id="906" w:name="_Toc8650"/>
      <w:bookmarkStart w:id="907" w:name="_Toc224103497"/>
      <w:bookmarkStart w:id="908" w:name="_Toc430530532"/>
      <w:bookmarkStart w:id="909" w:name="_Toc277082645"/>
      <w:r>
        <w:rPr>
          <w:color w:val="auto"/>
          <w:sz w:val="30"/>
          <w:szCs w:val="30"/>
          <w:highlight w:val="none"/>
        </w:rPr>
        <w:t>（三）</w:t>
      </w:r>
      <w:r>
        <w:rPr>
          <w:rFonts w:hint="eastAsia"/>
          <w:color w:val="auto"/>
          <w:sz w:val="30"/>
          <w:szCs w:val="30"/>
          <w:highlight w:val="none"/>
        </w:rPr>
        <w:t>法定代表人身份证明或附有法定代表人身份证明的授权委托书</w:t>
      </w:r>
      <w:bookmarkEnd w:id="903"/>
      <w:bookmarkEnd w:id="904"/>
      <w:bookmarkEnd w:id="905"/>
      <w:bookmarkEnd w:id="906"/>
      <w:bookmarkEnd w:id="907"/>
      <w:bookmarkEnd w:id="908"/>
      <w:bookmarkEnd w:id="909"/>
    </w:p>
    <w:p w14:paraId="51E6C052">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7630B1D4">
      <w:pPr>
        <w:spacing w:line="480" w:lineRule="auto"/>
        <w:jc w:val="center"/>
        <w:rPr>
          <w:rFonts w:ascii="宋体" w:hAnsi="宋体"/>
          <w:color w:val="auto"/>
          <w:highlight w:val="none"/>
        </w:rPr>
      </w:pPr>
    </w:p>
    <w:p w14:paraId="30DBF591">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6B758D0">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E0E0935">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C4B0125">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068928B8">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0B34D2A0">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6F3BDA71">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14:paraId="5B122F17">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76EE7CD7">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55450357">
      <w:pPr>
        <w:pStyle w:val="17"/>
        <w:spacing w:after="0" w:line="360" w:lineRule="auto"/>
        <w:rPr>
          <w:rFonts w:ascii="宋体" w:hAnsi="宋体"/>
          <w:color w:val="auto"/>
          <w:szCs w:val="21"/>
          <w:highlight w:val="none"/>
        </w:rPr>
      </w:pPr>
    </w:p>
    <w:p w14:paraId="508BF214">
      <w:pPr>
        <w:pStyle w:val="17"/>
        <w:spacing w:after="0" w:line="360" w:lineRule="auto"/>
        <w:rPr>
          <w:rFonts w:ascii="宋体" w:hAnsi="宋体"/>
          <w:color w:val="auto"/>
          <w:szCs w:val="21"/>
          <w:highlight w:val="none"/>
        </w:rPr>
      </w:pPr>
    </w:p>
    <w:p w14:paraId="0E9EFE74">
      <w:pPr>
        <w:pStyle w:val="17"/>
        <w:spacing w:after="0" w:line="360" w:lineRule="auto"/>
        <w:rPr>
          <w:rFonts w:ascii="宋体" w:hAnsi="宋体"/>
          <w:color w:val="auto"/>
          <w:szCs w:val="21"/>
          <w:highlight w:val="none"/>
        </w:rPr>
      </w:pPr>
    </w:p>
    <w:p w14:paraId="7A3C7EB0">
      <w:pPr>
        <w:pStyle w:val="17"/>
        <w:spacing w:after="0" w:line="360" w:lineRule="auto"/>
        <w:rPr>
          <w:rFonts w:ascii="宋体" w:hAnsi="宋体"/>
          <w:color w:val="auto"/>
          <w:szCs w:val="21"/>
          <w:highlight w:val="none"/>
        </w:rPr>
      </w:pPr>
    </w:p>
    <w:p w14:paraId="4D968DF9">
      <w:pPr>
        <w:pStyle w:val="17"/>
        <w:spacing w:after="0" w:line="360" w:lineRule="auto"/>
        <w:rPr>
          <w:rFonts w:ascii="宋体" w:hAnsi="宋体"/>
          <w:color w:val="auto"/>
          <w:szCs w:val="21"/>
          <w:highlight w:val="none"/>
        </w:rPr>
      </w:pPr>
    </w:p>
    <w:p w14:paraId="356334E4">
      <w:pPr>
        <w:pStyle w:val="17"/>
        <w:spacing w:after="0" w:line="360" w:lineRule="auto"/>
        <w:rPr>
          <w:rFonts w:ascii="宋体" w:hAnsi="宋体"/>
          <w:color w:val="auto"/>
          <w:szCs w:val="21"/>
          <w:highlight w:val="none"/>
        </w:rPr>
      </w:pPr>
    </w:p>
    <w:p w14:paraId="4127D059">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76A8BCA0">
      <w:pPr>
        <w:autoSpaceDE w:val="0"/>
        <w:autoSpaceDN w:val="0"/>
        <w:adjustRightInd w:val="0"/>
        <w:snapToGrid w:val="0"/>
        <w:spacing w:line="480" w:lineRule="auto"/>
        <w:jc w:val="left"/>
        <w:rPr>
          <w:rFonts w:ascii="宋体" w:hAnsi="宋体"/>
          <w:color w:val="auto"/>
          <w:kern w:val="0"/>
          <w:sz w:val="20"/>
          <w:szCs w:val="20"/>
          <w:highlight w:val="none"/>
        </w:rPr>
      </w:pPr>
    </w:p>
    <w:p w14:paraId="04FCA172">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03896D61">
      <w:pPr>
        <w:autoSpaceDE w:val="0"/>
        <w:autoSpaceDN w:val="0"/>
        <w:adjustRightInd w:val="0"/>
        <w:snapToGrid w:val="0"/>
        <w:spacing w:line="360" w:lineRule="auto"/>
        <w:jc w:val="left"/>
        <w:rPr>
          <w:rFonts w:ascii="宋体" w:hAnsi="宋体"/>
          <w:color w:val="auto"/>
          <w:kern w:val="0"/>
          <w:highlight w:val="none"/>
        </w:rPr>
      </w:pPr>
    </w:p>
    <w:p w14:paraId="09FB5AFB">
      <w:pPr>
        <w:autoSpaceDE w:val="0"/>
        <w:autoSpaceDN w:val="0"/>
        <w:adjustRightInd w:val="0"/>
        <w:snapToGrid w:val="0"/>
        <w:spacing w:line="360" w:lineRule="auto"/>
        <w:jc w:val="left"/>
        <w:rPr>
          <w:rFonts w:ascii="宋体" w:hAnsi="宋体"/>
          <w:color w:val="auto"/>
          <w:kern w:val="0"/>
          <w:highlight w:val="none"/>
        </w:rPr>
      </w:pPr>
    </w:p>
    <w:p w14:paraId="627664DD">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0B95136E">
      <w:pPr>
        <w:autoSpaceDE w:val="0"/>
        <w:autoSpaceDN w:val="0"/>
        <w:adjustRightInd w:val="0"/>
        <w:snapToGrid w:val="0"/>
        <w:spacing w:line="360" w:lineRule="auto"/>
        <w:jc w:val="left"/>
        <w:rPr>
          <w:rFonts w:ascii="宋体" w:hAnsi="宋体"/>
          <w:color w:val="auto"/>
          <w:kern w:val="0"/>
          <w:highlight w:val="none"/>
        </w:rPr>
      </w:pPr>
    </w:p>
    <w:p w14:paraId="14350144">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73AC1FF4">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14:paraId="2C518E5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67347F3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18562FE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2A825526">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1CD47CB0">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650DFBAC">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699A868A">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2C859492">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FEDA1F5">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53AB92A4">
      <w:pPr>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59DDC0A6">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61A1EE22">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7342D03">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115850A">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79DAF0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FB4E27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332BA7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5399D13">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AC03E81">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14:paraId="3D9F4EBF">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4EC38074">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5F9AD696">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2、法定代表人身份证明及授权委托书原件装入投标文件一并递交。另外须准备一份授权委托书原件在开标现场出具。</w:t>
      </w:r>
    </w:p>
    <w:p w14:paraId="7830C97D">
      <w:pPr>
        <w:spacing w:line="360" w:lineRule="auto"/>
        <w:ind w:firstLine="420" w:firstLineChars="200"/>
        <w:jc w:val="left"/>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1EEC453F">
      <w:pPr>
        <w:spacing w:line="360" w:lineRule="auto"/>
        <w:ind w:firstLine="420" w:firstLineChars="200"/>
        <w:rPr>
          <w:rFonts w:ascii="宋体" w:hAnsi="宋体"/>
          <w:color w:val="auto"/>
          <w:highlight w:val="none"/>
        </w:rPr>
      </w:pPr>
      <w:r>
        <w:rPr>
          <w:rFonts w:ascii="宋体" w:hAnsi="宋体"/>
          <w:color w:val="auto"/>
          <w:highlight w:val="none"/>
        </w:rPr>
        <w:br w:type="page"/>
      </w:r>
    </w:p>
    <w:p w14:paraId="18BAF085">
      <w:pPr>
        <w:spacing w:line="360" w:lineRule="auto"/>
        <w:jc w:val="center"/>
        <w:rPr>
          <w:rFonts w:hint="eastAsia" w:ascii="宋体" w:hAnsi="宋体" w:eastAsia="宋体" w:cs="Times New Roman"/>
          <w:b w:val="0"/>
          <w:bCs w:val="0"/>
          <w:color w:val="auto"/>
          <w:kern w:val="2"/>
          <w:sz w:val="32"/>
          <w:szCs w:val="32"/>
          <w:highlight w:val="none"/>
          <w:lang w:val="en-US" w:eastAsia="zh-CN" w:bidi="ar-SA"/>
        </w:rPr>
      </w:pPr>
      <w:bookmarkStart w:id="910" w:name="_Toc277082646"/>
      <w:bookmarkStart w:id="911" w:name="_Toc287620817"/>
      <w:bookmarkStart w:id="912" w:name="_Toc224103498"/>
      <w:bookmarkStart w:id="913" w:name="_Toc287607870"/>
      <w:bookmarkStart w:id="914" w:name="_Toc57820651"/>
      <w:bookmarkStart w:id="915" w:name="_Toc287620819"/>
      <w:bookmarkStart w:id="916" w:name="_Toc224103500"/>
      <w:bookmarkStart w:id="917" w:name="_Toc430530534"/>
      <w:bookmarkStart w:id="918" w:name="_Toc287607872"/>
      <w:r>
        <w:rPr>
          <w:rFonts w:hint="eastAsia" w:ascii="宋体" w:hAnsi="宋体" w:eastAsia="宋体" w:cs="Times New Roman"/>
          <w:b w:val="0"/>
          <w:bCs w:val="0"/>
          <w:color w:val="auto"/>
          <w:kern w:val="2"/>
          <w:sz w:val="32"/>
          <w:szCs w:val="32"/>
          <w:highlight w:val="none"/>
          <w:lang w:val="en-US" w:eastAsia="zh-CN" w:bidi="ar-SA"/>
        </w:rPr>
        <w:t>（四）</w:t>
      </w:r>
      <w:bookmarkEnd w:id="910"/>
      <w:bookmarkEnd w:id="911"/>
      <w:bookmarkEnd w:id="912"/>
      <w:bookmarkEnd w:id="913"/>
      <w:r>
        <w:rPr>
          <w:rFonts w:hint="eastAsia" w:ascii="宋体" w:hAnsi="宋体" w:eastAsia="宋体" w:cs="Times New Roman"/>
          <w:b w:val="0"/>
          <w:bCs w:val="0"/>
          <w:color w:val="auto"/>
          <w:kern w:val="2"/>
          <w:sz w:val="32"/>
          <w:szCs w:val="32"/>
          <w:highlight w:val="none"/>
          <w:lang w:val="en-US" w:eastAsia="zh-CN" w:bidi="ar-SA"/>
        </w:rPr>
        <w:t>低价风险担保提交承诺书</w:t>
      </w:r>
      <w:bookmarkEnd w:id="914"/>
    </w:p>
    <w:p w14:paraId="4277114B">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48FF24B9">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（投标报价低于招标项目最高限价的85%时采用）</w:t>
      </w:r>
    </w:p>
    <w:p w14:paraId="0ADEDFF2">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21A2664F">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（招标人名称）</w:t>
      </w:r>
      <w:r>
        <w:rPr>
          <w:rFonts w:hint="eastAsia" w:ascii="宋体" w:hAnsi="宋体" w:cs="宋体"/>
          <w:snapToGrid w:val="0"/>
          <w:color w:val="auto"/>
          <w:kern w:val="0"/>
          <w:szCs w:val="21"/>
          <w:highlight w:val="none"/>
        </w:rPr>
        <w:t>：</w:t>
      </w:r>
    </w:p>
    <w:p w14:paraId="7E5818AD">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（投标人名称）</w:t>
      </w:r>
      <w:r>
        <w:rPr>
          <w:rFonts w:hint="eastAsia" w:ascii="宋体" w:hAnsi="宋体" w:cs="宋体"/>
          <w:snapToGrid w:val="0"/>
          <w:color w:val="auto"/>
          <w:kern w:val="0"/>
          <w:szCs w:val="21"/>
          <w:highlight w:val="none"/>
        </w:rPr>
        <w:t>参加了你</w:t>
      </w:r>
      <w:r>
        <w:rPr>
          <w:rFonts w:hint="eastAsia" w:ascii="宋体" w:hAnsi="宋体" w:cs="宋体"/>
          <w:snapToGrid w:val="0"/>
          <w:color w:val="auto"/>
          <w:kern w:val="0"/>
          <w:szCs w:val="21"/>
          <w:highlight w:val="none"/>
          <w:lang w:eastAsia="zh-CN"/>
        </w:rPr>
        <w:t>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14:paraId="6808FD2B">
      <w:pPr>
        <w:autoSpaceDE w:val="0"/>
        <w:autoSpaceDN w:val="0"/>
        <w:adjustRightInd w:val="0"/>
        <w:snapToGrid w:val="0"/>
        <w:spacing w:line="360" w:lineRule="auto"/>
        <w:ind w:firstLine="640"/>
        <w:rPr>
          <w:rFonts w:ascii="宋体" w:hAnsi="宋体" w:cs="宋体"/>
          <w:snapToGrid w:val="0"/>
          <w:color w:val="auto"/>
          <w:kern w:val="0"/>
          <w:szCs w:val="21"/>
          <w:highlight w:val="none"/>
        </w:rPr>
      </w:pPr>
    </w:p>
    <w:p w14:paraId="396C2155">
      <w:pPr>
        <w:autoSpaceDE w:val="0"/>
        <w:autoSpaceDN w:val="0"/>
        <w:adjustRightInd w:val="0"/>
        <w:snapToGrid w:val="0"/>
        <w:spacing w:line="360" w:lineRule="auto"/>
        <w:ind w:firstLine="64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14:paraId="60611A7E">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52615DBB">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4B586A75">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5207BA32">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3EB73ABE">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089FB034">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6A926CA9">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39699E15">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p>
    <w:p w14:paraId="386C8A21">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35018AD3">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6C17D6F2">
      <w:pPr>
        <w:tabs>
          <w:tab w:val="left" w:pos="2580"/>
          <w:tab w:val="left" w:pos="5940"/>
        </w:tabs>
        <w:autoSpaceDE w:val="0"/>
        <w:autoSpaceDN w:val="0"/>
        <w:adjustRightInd w:val="0"/>
        <w:snapToGrid w:val="0"/>
        <w:spacing w:line="360" w:lineRule="auto"/>
        <w:jc w:val="left"/>
        <w:rPr>
          <w:rFonts w:ascii="宋体" w:hAnsi="宋体"/>
          <w:color w:val="auto"/>
          <w:highlight w:val="none"/>
        </w:rPr>
      </w:pPr>
    </w:p>
    <w:p w14:paraId="3D824402">
      <w:pPr>
        <w:rPr>
          <w:rFonts w:hint="eastAsia" w:ascii="宋体" w:hAnsi="宋体"/>
          <w:b w:val="0"/>
          <w:bCs w:val="0"/>
          <w:color w:val="auto"/>
          <w:sz w:val="44"/>
          <w:szCs w:val="44"/>
          <w:highlight w:val="none"/>
          <w:lang w:val="en-US" w:eastAsia="zh-CN"/>
        </w:rPr>
      </w:pPr>
      <w:bookmarkStart w:id="919" w:name="_Toc57905924"/>
      <w:bookmarkStart w:id="920" w:name="_Toc23891"/>
      <w:r>
        <w:rPr>
          <w:rFonts w:hint="eastAsia" w:ascii="宋体" w:hAnsi="宋体"/>
          <w:b w:val="0"/>
          <w:bCs w:val="0"/>
          <w:color w:val="auto"/>
          <w:sz w:val="44"/>
          <w:szCs w:val="44"/>
          <w:highlight w:val="none"/>
          <w:lang w:val="en-US" w:eastAsia="zh-CN"/>
        </w:rPr>
        <w:br w:type="page"/>
      </w:r>
    </w:p>
    <w:p w14:paraId="64F1ACF8">
      <w:pPr>
        <w:pStyle w:val="3"/>
        <w:spacing w:line="360" w:lineRule="auto"/>
        <w:jc w:val="center"/>
        <w:rPr>
          <w:rFonts w:ascii="宋体" w:hAnsi="宋体"/>
          <w:b w:val="0"/>
          <w:bCs w:val="0"/>
          <w:color w:val="auto"/>
          <w:sz w:val="44"/>
          <w:szCs w:val="44"/>
          <w:highlight w:val="none"/>
        </w:rPr>
      </w:pPr>
      <w:r>
        <w:rPr>
          <w:rFonts w:hint="eastAsia" w:ascii="宋体" w:hAnsi="宋体"/>
          <w:b w:val="0"/>
          <w:bCs w:val="0"/>
          <w:color w:val="auto"/>
          <w:sz w:val="44"/>
          <w:szCs w:val="44"/>
          <w:highlight w:val="none"/>
          <w:lang w:val="en-US" w:eastAsia="zh-CN"/>
        </w:rPr>
        <w:t>二</w:t>
      </w:r>
      <w:r>
        <w:rPr>
          <w:rFonts w:hint="eastAsia" w:ascii="宋体" w:hAnsi="宋体"/>
          <w:b w:val="0"/>
          <w:bCs w:val="0"/>
          <w:color w:val="auto"/>
          <w:sz w:val="44"/>
          <w:szCs w:val="44"/>
          <w:highlight w:val="none"/>
        </w:rPr>
        <w:t>、经济部分</w:t>
      </w:r>
      <w:bookmarkEnd w:id="915"/>
      <w:bookmarkEnd w:id="916"/>
      <w:bookmarkEnd w:id="917"/>
      <w:bookmarkEnd w:id="918"/>
      <w:bookmarkEnd w:id="919"/>
      <w:bookmarkEnd w:id="920"/>
    </w:p>
    <w:p w14:paraId="003BA423">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6BEF6CC0">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04206A1A">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2CCA1EB4">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F598CC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492E404">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6655F89">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3A6E10F4">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751E1467">
      <w:pPr>
        <w:autoSpaceDE w:val="0"/>
        <w:autoSpaceDN w:val="0"/>
        <w:adjustRightInd w:val="0"/>
        <w:snapToGrid w:val="0"/>
        <w:spacing w:line="360" w:lineRule="auto"/>
        <w:jc w:val="left"/>
        <w:rPr>
          <w:rFonts w:ascii="宋体" w:hAnsi="宋体"/>
          <w:color w:val="auto"/>
          <w:kern w:val="0"/>
          <w:sz w:val="16"/>
          <w:szCs w:val="16"/>
          <w:highlight w:val="none"/>
        </w:rPr>
      </w:pPr>
    </w:p>
    <w:p w14:paraId="32DB1A9B">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经济部分</w:t>
      </w:r>
    </w:p>
    <w:p w14:paraId="7763D410">
      <w:pPr>
        <w:autoSpaceDE w:val="0"/>
        <w:autoSpaceDN w:val="0"/>
        <w:adjustRightInd w:val="0"/>
        <w:snapToGrid w:val="0"/>
        <w:spacing w:line="360" w:lineRule="auto"/>
        <w:jc w:val="left"/>
        <w:rPr>
          <w:rFonts w:ascii="宋体" w:hAnsi="宋体"/>
          <w:b/>
          <w:color w:val="auto"/>
          <w:kern w:val="0"/>
          <w:sz w:val="20"/>
          <w:szCs w:val="20"/>
          <w:highlight w:val="none"/>
        </w:rPr>
      </w:pPr>
    </w:p>
    <w:p w14:paraId="183011C3">
      <w:pPr>
        <w:autoSpaceDE w:val="0"/>
        <w:autoSpaceDN w:val="0"/>
        <w:adjustRightInd w:val="0"/>
        <w:snapToGrid w:val="0"/>
        <w:spacing w:line="360" w:lineRule="auto"/>
        <w:jc w:val="left"/>
        <w:rPr>
          <w:rFonts w:ascii="宋体" w:hAnsi="宋体"/>
          <w:b/>
          <w:color w:val="auto"/>
          <w:kern w:val="0"/>
          <w:sz w:val="20"/>
          <w:szCs w:val="20"/>
          <w:highlight w:val="none"/>
        </w:rPr>
      </w:pPr>
    </w:p>
    <w:p w14:paraId="2A842E71">
      <w:pPr>
        <w:autoSpaceDE w:val="0"/>
        <w:autoSpaceDN w:val="0"/>
        <w:adjustRightInd w:val="0"/>
        <w:snapToGrid w:val="0"/>
        <w:spacing w:line="360" w:lineRule="auto"/>
        <w:jc w:val="left"/>
        <w:rPr>
          <w:rFonts w:ascii="宋体" w:hAnsi="宋体"/>
          <w:b/>
          <w:color w:val="auto"/>
          <w:kern w:val="0"/>
          <w:sz w:val="20"/>
          <w:szCs w:val="20"/>
          <w:highlight w:val="none"/>
        </w:rPr>
      </w:pPr>
    </w:p>
    <w:p w14:paraId="7F8B228E">
      <w:pPr>
        <w:autoSpaceDE w:val="0"/>
        <w:autoSpaceDN w:val="0"/>
        <w:adjustRightInd w:val="0"/>
        <w:snapToGrid w:val="0"/>
        <w:spacing w:line="360" w:lineRule="auto"/>
        <w:jc w:val="left"/>
        <w:rPr>
          <w:rFonts w:ascii="宋体" w:hAnsi="宋体"/>
          <w:b/>
          <w:color w:val="auto"/>
          <w:kern w:val="0"/>
          <w:sz w:val="20"/>
          <w:szCs w:val="20"/>
          <w:highlight w:val="none"/>
        </w:rPr>
      </w:pPr>
    </w:p>
    <w:p w14:paraId="168F1EF2">
      <w:pPr>
        <w:autoSpaceDE w:val="0"/>
        <w:autoSpaceDN w:val="0"/>
        <w:adjustRightInd w:val="0"/>
        <w:snapToGrid w:val="0"/>
        <w:spacing w:line="360" w:lineRule="auto"/>
        <w:jc w:val="left"/>
        <w:rPr>
          <w:rFonts w:ascii="宋体" w:hAnsi="宋体"/>
          <w:b/>
          <w:color w:val="auto"/>
          <w:kern w:val="0"/>
          <w:sz w:val="20"/>
          <w:szCs w:val="20"/>
          <w:highlight w:val="none"/>
        </w:rPr>
      </w:pPr>
    </w:p>
    <w:p w14:paraId="6D03672E">
      <w:pPr>
        <w:autoSpaceDE w:val="0"/>
        <w:autoSpaceDN w:val="0"/>
        <w:adjustRightInd w:val="0"/>
        <w:snapToGrid w:val="0"/>
        <w:spacing w:line="360" w:lineRule="auto"/>
        <w:jc w:val="left"/>
        <w:rPr>
          <w:rFonts w:ascii="宋体" w:hAnsi="宋体"/>
          <w:b/>
          <w:color w:val="auto"/>
          <w:kern w:val="0"/>
          <w:sz w:val="20"/>
          <w:szCs w:val="20"/>
          <w:highlight w:val="none"/>
        </w:rPr>
      </w:pPr>
    </w:p>
    <w:p w14:paraId="1644E74F">
      <w:pPr>
        <w:autoSpaceDE w:val="0"/>
        <w:autoSpaceDN w:val="0"/>
        <w:adjustRightInd w:val="0"/>
        <w:snapToGrid w:val="0"/>
        <w:spacing w:line="360" w:lineRule="auto"/>
        <w:jc w:val="left"/>
        <w:rPr>
          <w:rFonts w:ascii="宋体" w:hAnsi="宋体"/>
          <w:b/>
          <w:color w:val="auto"/>
          <w:kern w:val="0"/>
          <w:sz w:val="20"/>
          <w:szCs w:val="20"/>
          <w:highlight w:val="none"/>
        </w:rPr>
      </w:pPr>
    </w:p>
    <w:p w14:paraId="7EF0967C">
      <w:pPr>
        <w:autoSpaceDE w:val="0"/>
        <w:autoSpaceDN w:val="0"/>
        <w:adjustRightInd w:val="0"/>
        <w:snapToGrid w:val="0"/>
        <w:spacing w:line="360" w:lineRule="auto"/>
        <w:jc w:val="left"/>
        <w:rPr>
          <w:rFonts w:ascii="宋体" w:hAnsi="宋体"/>
          <w:b/>
          <w:color w:val="auto"/>
          <w:kern w:val="0"/>
          <w:sz w:val="20"/>
          <w:szCs w:val="20"/>
          <w:highlight w:val="none"/>
        </w:rPr>
      </w:pPr>
    </w:p>
    <w:p w14:paraId="237C6A78">
      <w:pPr>
        <w:autoSpaceDE w:val="0"/>
        <w:autoSpaceDN w:val="0"/>
        <w:adjustRightInd w:val="0"/>
        <w:snapToGrid w:val="0"/>
        <w:spacing w:line="360" w:lineRule="auto"/>
        <w:jc w:val="left"/>
        <w:rPr>
          <w:rFonts w:ascii="宋体" w:hAnsi="宋体"/>
          <w:b/>
          <w:color w:val="auto"/>
          <w:kern w:val="0"/>
          <w:sz w:val="20"/>
          <w:szCs w:val="20"/>
          <w:highlight w:val="none"/>
        </w:rPr>
      </w:pPr>
    </w:p>
    <w:p w14:paraId="33293031">
      <w:pPr>
        <w:autoSpaceDE w:val="0"/>
        <w:autoSpaceDN w:val="0"/>
        <w:adjustRightInd w:val="0"/>
        <w:snapToGrid w:val="0"/>
        <w:spacing w:line="360" w:lineRule="auto"/>
        <w:jc w:val="left"/>
        <w:rPr>
          <w:rFonts w:ascii="宋体" w:hAnsi="宋体"/>
          <w:b/>
          <w:color w:val="auto"/>
          <w:kern w:val="0"/>
          <w:sz w:val="20"/>
          <w:szCs w:val="20"/>
          <w:highlight w:val="none"/>
        </w:rPr>
      </w:pPr>
    </w:p>
    <w:p w14:paraId="0B41EEC8">
      <w:pPr>
        <w:autoSpaceDE w:val="0"/>
        <w:autoSpaceDN w:val="0"/>
        <w:adjustRightInd w:val="0"/>
        <w:snapToGrid w:val="0"/>
        <w:spacing w:line="360" w:lineRule="auto"/>
        <w:jc w:val="left"/>
        <w:rPr>
          <w:rFonts w:ascii="宋体" w:hAnsi="宋体"/>
          <w:b/>
          <w:color w:val="auto"/>
          <w:kern w:val="0"/>
          <w:sz w:val="20"/>
          <w:szCs w:val="20"/>
          <w:highlight w:val="none"/>
        </w:rPr>
      </w:pPr>
    </w:p>
    <w:p w14:paraId="0525F14F">
      <w:pPr>
        <w:autoSpaceDE w:val="0"/>
        <w:autoSpaceDN w:val="0"/>
        <w:adjustRightInd w:val="0"/>
        <w:snapToGrid w:val="0"/>
        <w:spacing w:line="360" w:lineRule="auto"/>
        <w:jc w:val="left"/>
        <w:rPr>
          <w:rFonts w:ascii="宋体" w:hAnsi="宋体"/>
          <w:b/>
          <w:color w:val="auto"/>
          <w:kern w:val="0"/>
          <w:sz w:val="20"/>
          <w:szCs w:val="20"/>
          <w:highlight w:val="none"/>
        </w:rPr>
      </w:pPr>
    </w:p>
    <w:p w14:paraId="64FF8CDC">
      <w:pPr>
        <w:autoSpaceDE w:val="0"/>
        <w:autoSpaceDN w:val="0"/>
        <w:adjustRightInd w:val="0"/>
        <w:snapToGrid w:val="0"/>
        <w:spacing w:line="360" w:lineRule="auto"/>
        <w:jc w:val="left"/>
        <w:rPr>
          <w:rFonts w:ascii="宋体" w:hAnsi="宋体"/>
          <w:b/>
          <w:color w:val="auto"/>
          <w:kern w:val="0"/>
          <w:sz w:val="20"/>
          <w:szCs w:val="20"/>
          <w:highlight w:val="none"/>
        </w:rPr>
      </w:pPr>
    </w:p>
    <w:p w14:paraId="52BBFA23">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78D73C3D">
      <w:pPr>
        <w:tabs>
          <w:tab w:val="left" w:pos="6080"/>
          <w:tab w:val="left" w:pos="6640"/>
        </w:tabs>
        <w:autoSpaceDE w:val="0"/>
        <w:autoSpaceDN w:val="0"/>
        <w:adjustRightInd w:val="0"/>
        <w:snapToGrid w:val="0"/>
        <w:spacing w:after="156" w:afterLines="50" w:line="36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5663655D">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570B921C">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kern w:val="0"/>
          <w:sz w:val="24"/>
          <w:szCs w:val="21"/>
          <w:highlight w:val="none"/>
        </w:rPr>
        <w:br w:type="page"/>
      </w:r>
    </w:p>
    <w:p w14:paraId="49DF2C6B">
      <w:pPr>
        <w:autoSpaceDE w:val="0"/>
        <w:autoSpaceDN w:val="0"/>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 w:val="36"/>
          <w:szCs w:val="36"/>
          <w:highlight w:val="none"/>
        </w:rPr>
        <w:t>目  录</w:t>
      </w:r>
    </w:p>
    <w:p w14:paraId="7E934D92">
      <w:pPr>
        <w:autoSpaceDE w:val="0"/>
        <w:autoSpaceDN w:val="0"/>
        <w:adjustRightInd w:val="0"/>
        <w:snapToGrid w:val="0"/>
        <w:spacing w:line="360" w:lineRule="auto"/>
        <w:jc w:val="left"/>
        <w:rPr>
          <w:rFonts w:ascii="宋体" w:hAnsi="宋体"/>
          <w:color w:val="auto"/>
          <w:kern w:val="0"/>
          <w:szCs w:val="21"/>
          <w:highlight w:val="none"/>
        </w:rPr>
      </w:pPr>
    </w:p>
    <w:p w14:paraId="625F96A8">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目录由投标人自行编制]</w:t>
      </w:r>
    </w:p>
    <w:p w14:paraId="6055D302">
      <w:pPr>
        <w:autoSpaceDE w:val="0"/>
        <w:autoSpaceDN w:val="0"/>
        <w:adjustRightInd w:val="0"/>
        <w:snapToGrid w:val="0"/>
        <w:spacing w:line="360" w:lineRule="auto"/>
        <w:jc w:val="left"/>
        <w:rPr>
          <w:rFonts w:ascii="宋体" w:hAnsi="宋体"/>
          <w:color w:val="auto"/>
          <w:w w:val="99"/>
          <w:kern w:val="0"/>
          <w:sz w:val="28"/>
          <w:szCs w:val="28"/>
          <w:highlight w:val="none"/>
        </w:rPr>
      </w:pPr>
    </w:p>
    <w:p w14:paraId="4C8E68E1">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highlight w:val="none"/>
        </w:rPr>
        <w:br w:type="page"/>
      </w:r>
      <w:bookmarkStart w:id="921" w:name="_Toc224103501"/>
      <w:bookmarkStart w:id="922" w:name="_Toc277082648"/>
      <w:bookmarkStart w:id="923" w:name="_Toc287607873"/>
      <w:bookmarkStart w:id="924" w:name="_Toc287620820"/>
      <w:bookmarkStart w:id="925" w:name="_Toc430530535"/>
    </w:p>
    <w:p w14:paraId="6D0AF43B">
      <w:pPr>
        <w:pStyle w:val="4"/>
        <w:jc w:val="center"/>
        <w:rPr>
          <w:color w:val="auto"/>
          <w:highlight w:val="none"/>
        </w:rPr>
      </w:pPr>
      <w:bookmarkStart w:id="926" w:name="_Toc57905925"/>
      <w:bookmarkStart w:id="927" w:name="_Toc28475"/>
      <w:r>
        <w:rPr>
          <w:rFonts w:hint="eastAsia"/>
          <w:color w:val="auto"/>
          <w:highlight w:val="none"/>
        </w:rPr>
        <w:t>（一）已标价工程量清单</w:t>
      </w:r>
      <w:bookmarkEnd w:id="921"/>
      <w:bookmarkEnd w:id="922"/>
      <w:bookmarkEnd w:id="923"/>
      <w:bookmarkEnd w:id="924"/>
      <w:bookmarkEnd w:id="925"/>
      <w:bookmarkEnd w:id="926"/>
      <w:bookmarkEnd w:id="927"/>
    </w:p>
    <w:p w14:paraId="1F406BC3">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08B96829">
      <w:pPr>
        <w:autoSpaceDE w:val="0"/>
        <w:autoSpaceDN w:val="0"/>
        <w:adjustRightInd w:val="0"/>
        <w:snapToGrid w:val="0"/>
        <w:spacing w:line="360" w:lineRule="auto"/>
        <w:jc w:val="left"/>
        <w:rPr>
          <w:rFonts w:ascii="宋体" w:hAnsi="宋体"/>
          <w:color w:val="auto"/>
          <w:kern w:val="0"/>
          <w:sz w:val="24"/>
          <w:szCs w:val="21"/>
          <w:highlight w:val="none"/>
        </w:rPr>
      </w:pPr>
      <w:bookmarkStart w:id="928" w:name="_Toc430530536"/>
      <w:bookmarkStart w:id="929" w:name="_Toc287607874"/>
      <w:bookmarkStart w:id="930" w:name="_Toc287620821"/>
      <w:bookmarkStart w:id="931" w:name="_Toc224103502"/>
      <w:r>
        <w:rPr>
          <w:rFonts w:ascii="宋体" w:hAnsi="宋体"/>
          <w:color w:val="auto"/>
          <w:highlight w:val="none"/>
        </w:rPr>
        <w:br w:type="page"/>
      </w:r>
    </w:p>
    <w:bookmarkEnd w:id="928"/>
    <w:bookmarkEnd w:id="929"/>
    <w:bookmarkEnd w:id="930"/>
    <w:bookmarkEnd w:id="931"/>
    <w:p w14:paraId="75E6CE25">
      <w:pPr>
        <w:pStyle w:val="3"/>
        <w:spacing w:line="360" w:lineRule="auto"/>
        <w:jc w:val="center"/>
        <w:rPr>
          <w:rFonts w:ascii="宋体" w:hAnsi="宋体"/>
          <w:b w:val="0"/>
          <w:bCs w:val="0"/>
          <w:sz w:val="44"/>
          <w:szCs w:val="44"/>
        </w:rPr>
      </w:pPr>
      <w:bookmarkStart w:id="932" w:name="_Toc287607882"/>
      <w:bookmarkStart w:id="933" w:name="_Toc430530545"/>
      <w:bookmarkStart w:id="934" w:name="_Toc287620829"/>
      <w:bookmarkStart w:id="935" w:name="_Toc277082656"/>
      <w:bookmarkStart w:id="936" w:name="_Toc224103510"/>
      <w:bookmarkStart w:id="937" w:name="_Toc27141"/>
      <w:bookmarkStart w:id="938" w:name="_Toc57905928"/>
      <w:r>
        <w:rPr>
          <w:rFonts w:hint="eastAsia" w:ascii="宋体" w:hAnsi="宋体"/>
          <w:b w:val="0"/>
          <w:bCs w:val="0"/>
          <w:color w:val="auto"/>
          <w:sz w:val="44"/>
          <w:szCs w:val="44"/>
          <w:highlight w:val="none"/>
          <w:lang w:val="en-US" w:eastAsia="zh-CN"/>
        </w:rPr>
        <w:t>三、</w:t>
      </w:r>
      <w:r>
        <w:rPr>
          <w:rFonts w:hint="eastAsia" w:ascii="宋体" w:hAnsi="宋体"/>
          <w:b w:val="0"/>
          <w:bCs w:val="0"/>
          <w:sz w:val="44"/>
          <w:szCs w:val="44"/>
        </w:rPr>
        <w:t>技术部分</w:t>
      </w:r>
    </w:p>
    <w:p w14:paraId="57236FEA">
      <w:pPr>
        <w:autoSpaceDE w:val="0"/>
        <w:autoSpaceDN w:val="0"/>
        <w:adjustRightInd w:val="0"/>
        <w:snapToGrid w:val="0"/>
        <w:spacing w:line="360" w:lineRule="auto"/>
        <w:jc w:val="center"/>
        <w:rPr>
          <w:rFonts w:hint="eastAsia" w:ascii="宋体" w:hAnsi="宋体"/>
          <w:kern w:val="0"/>
          <w:sz w:val="36"/>
          <w:szCs w:val="36"/>
        </w:rPr>
      </w:pPr>
      <w:r>
        <w:rPr>
          <w:rFonts w:hint="eastAsia" w:ascii="宋体" w:hAnsi="宋体"/>
          <w:kern w:val="0"/>
          <w:sz w:val="36"/>
          <w:szCs w:val="36"/>
        </w:rPr>
        <w:br w:type="page"/>
      </w:r>
    </w:p>
    <w:p w14:paraId="280F0DB2">
      <w:pPr>
        <w:autoSpaceDE w:val="0"/>
        <w:autoSpaceDN w:val="0"/>
        <w:adjustRightInd w:val="0"/>
        <w:snapToGrid w:val="0"/>
        <w:spacing w:line="360" w:lineRule="auto"/>
        <w:jc w:val="center"/>
        <w:rPr>
          <w:rFonts w:hint="eastAsia" w:ascii="宋体" w:hAnsi="宋体"/>
          <w:kern w:val="0"/>
          <w:sz w:val="36"/>
          <w:szCs w:val="36"/>
        </w:rPr>
      </w:pPr>
    </w:p>
    <w:p w14:paraId="262109CA">
      <w:pPr>
        <w:autoSpaceDE w:val="0"/>
        <w:autoSpaceDN w:val="0"/>
        <w:adjustRightInd w:val="0"/>
        <w:snapToGrid w:val="0"/>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5FECD578">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29AC698">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59FEB5E">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962B8D9">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F34F6C9">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47DC3F2C">
      <w:pPr>
        <w:autoSpaceDE w:val="0"/>
        <w:autoSpaceDN w:val="0"/>
        <w:adjustRightInd w:val="0"/>
        <w:snapToGrid w:val="0"/>
        <w:spacing w:line="360" w:lineRule="auto"/>
        <w:jc w:val="left"/>
        <w:rPr>
          <w:rFonts w:ascii="宋体" w:hAnsi="宋体"/>
          <w:color w:val="auto"/>
          <w:kern w:val="0"/>
          <w:sz w:val="16"/>
          <w:szCs w:val="16"/>
          <w:highlight w:val="none"/>
        </w:rPr>
      </w:pPr>
    </w:p>
    <w:p w14:paraId="58E99752">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lang w:val="en-US" w:eastAsia="zh-CN"/>
        </w:rPr>
        <w:t>技术</w:t>
      </w:r>
      <w:r>
        <w:rPr>
          <w:rFonts w:hint="eastAsia" w:ascii="宋体" w:hAnsi="宋体"/>
          <w:color w:val="auto"/>
          <w:kern w:val="0"/>
          <w:sz w:val="36"/>
          <w:szCs w:val="36"/>
          <w:highlight w:val="none"/>
        </w:rPr>
        <w:t>部分</w:t>
      </w:r>
    </w:p>
    <w:p w14:paraId="18F61DF7">
      <w:pPr>
        <w:autoSpaceDE w:val="0"/>
        <w:autoSpaceDN w:val="0"/>
        <w:adjustRightInd w:val="0"/>
        <w:snapToGrid w:val="0"/>
        <w:spacing w:line="360" w:lineRule="auto"/>
        <w:jc w:val="left"/>
        <w:rPr>
          <w:rFonts w:ascii="宋体" w:hAnsi="宋体"/>
          <w:b/>
          <w:color w:val="auto"/>
          <w:kern w:val="0"/>
          <w:sz w:val="20"/>
          <w:szCs w:val="20"/>
          <w:highlight w:val="none"/>
        </w:rPr>
      </w:pPr>
    </w:p>
    <w:p w14:paraId="32CC4026">
      <w:pPr>
        <w:autoSpaceDE w:val="0"/>
        <w:autoSpaceDN w:val="0"/>
        <w:adjustRightInd w:val="0"/>
        <w:snapToGrid w:val="0"/>
        <w:spacing w:line="360" w:lineRule="auto"/>
        <w:jc w:val="left"/>
        <w:rPr>
          <w:rFonts w:ascii="宋体" w:hAnsi="宋体"/>
          <w:b/>
          <w:color w:val="auto"/>
          <w:kern w:val="0"/>
          <w:sz w:val="20"/>
          <w:szCs w:val="20"/>
          <w:highlight w:val="none"/>
        </w:rPr>
      </w:pPr>
    </w:p>
    <w:p w14:paraId="5948B39E">
      <w:pPr>
        <w:autoSpaceDE w:val="0"/>
        <w:autoSpaceDN w:val="0"/>
        <w:adjustRightInd w:val="0"/>
        <w:snapToGrid w:val="0"/>
        <w:spacing w:line="360" w:lineRule="auto"/>
        <w:jc w:val="left"/>
        <w:rPr>
          <w:rFonts w:ascii="宋体" w:hAnsi="宋体"/>
          <w:b/>
          <w:color w:val="auto"/>
          <w:kern w:val="0"/>
          <w:sz w:val="20"/>
          <w:szCs w:val="20"/>
          <w:highlight w:val="none"/>
        </w:rPr>
      </w:pPr>
    </w:p>
    <w:p w14:paraId="7D86D21A">
      <w:pPr>
        <w:autoSpaceDE w:val="0"/>
        <w:autoSpaceDN w:val="0"/>
        <w:adjustRightInd w:val="0"/>
        <w:snapToGrid w:val="0"/>
        <w:spacing w:line="360" w:lineRule="auto"/>
        <w:jc w:val="left"/>
        <w:rPr>
          <w:rFonts w:ascii="宋体" w:hAnsi="宋体"/>
          <w:b/>
          <w:color w:val="auto"/>
          <w:kern w:val="0"/>
          <w:sz w:val="20"/>
          <w:szCs w:val="20"/>
          <w:highlight w:val="none"/>
        </w:rPr>
      </w:pPr>
    </w:p>
    <w:p w14:paraId="7FCE607B">
      <w:pPr>
        <w:autoSpaceDE w:val="0"/>
        <w:autoSpaceDN w:val="0"/>
        <w:adjustRightInd w:val="0"/>
        <w:snapToGrid w:val="0"/>
        <w:spacing w:line="360" w:lineRule="auto"/>
        <w:jc w:val="left"/>
        <w:rPr>
          <w:rFonts w:ascii="宋体" w:hAnsi="宋体"/>
          <w:b/>
          <w:color w:val="auto"/>
          <w:kern w:val="0"/>
          <w:sz w:val="20"/>
          <w:szCs w:val="20"/>
          <w:highlight w:val="none"/>
        </w:rPr>
      </w:pPr>
    </w:p>
    <w:p w14:paraId="662B62A8">
      <w:pPr>
        <w:autoSpaceDE w:val="0"/>
        <w:autoSpaceDN w:val="0"/>
        <w:adjustRightInd w:val="0"/>
        <w:snapToGrid w:val="0"/>
        <w:spacing w:line="360" w:lineRule="auto"/>
        <w:jc w:val="left"/>
        <w:rPr>
          <w:rFonts w:ascii="宋体" w:hAnsi="宋体"/>
          <w:b/>
          <w:color w:val="auto"/>
          <w:kern w:val="0"/>
          <w:sz w:val="20"/>
          <w:szCs w:val="20"/>
          <w:highlight w:val="none"/>
        </w:rPr>
      </w:pPr>
    </w:p>
    <w:p w14:paraId="246E9B0B">
      <w:pPr>
        <w:autoSpaceDE w:val="0"/>
        <w:autoSpaceDN w:val="0"/>
        <w:adjustRightInd w:val="0"/>
        <w:snapToGrid w:val="0"/>
        <w:spacing w:line="360" w:lineRule="auto"/>
        <w:jc w:val="left"/>
        <w:rPr>
          <w:rFonts w:ascii="宋体" w:hAnsi="宋体"/>
          <w:b/>
          <w:color w:val="auto"/>
          <w:kern w:val="0"/>
          <w:sz w:val="20"/>
          <w:szCs w:val="20"/>
          <w:highlight w:val="none"/>
        </w:rPr>
      </w:pPr>
    </w:p>
    <w:p w14:paraId="30EBE44D">
      <w:pPr>
        <w:autoSpaceDE w:val="0"/>
        <w:autoSpaceDN w:val="0"/>
        <w:adjustRightInd w:val="0"/>
        <w:snapToGrid w:val="0"/>
        <w:spacing w:line="360" w:lineRule="auto"/>
        <w:jc w:val="left"/>
        <w:rPr>
          <w:rFonts w:ascii="宋体" w:hAnsi="宋体"/>
          <w:b/>
          <w:color w:val="auto"/>
          <w:kern w:val="0"/>
          <w:sz w:val="20"/>
          <w:szCs w:val="20"/>
          <w:highlight w:val="none"/>
        </w:rPr>
      </w:pPr>
    </w:p>
    <w:p w14:paraId="3316AEC0">
      <w:pPr>
        <w:autoSpaceDE w:val="0"/>
        <w:autoSpaceDN w:val="0"/>
        <w:adjustRightInd w:val="0"/>
        <w:snapToGrid w:val="0"/>
        <w:spacing w:line="360" w:lineRule="auto"/>
        <w:jc w:val="left"/>
        <w:rPr>
          <w:rFonts w:ascii="宋体" w:hAnsi="宋体"/>
          <w:b/>
          <w:color w:val="auto"/>
          <w:kern w:val="0"/>
          <w:sz w:val="20"/>
          <w:szCs w:val="20"/>
          <w:highlight w:val="none"/>
        </w:rPr>
      </w:pPr>
    </w:p>
    <w:p w14:paraId="32CADC18">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6EDC186A">
      <w:pPr>
        <w:tabs>
          <w:tab w:val="left" w:pos="6080"/>
          <w:tab w:val="left" w:pos="6640"/>
        </w:tabs>
        <w:autoSpaceDE w:val="0"/>
        <w:autoSpaceDN w:val="0"/>
        <w:adjustRightInd w:val="0"/>
        <w:snapToGrid w:val="0"/>
        <w:spacing w:after="156" w:afterLines="50" w:line="36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120000D1">
      <w:pPr>
        <w:ind w:firstLine="2770" w:firstLineChars="500"/>
        <w:rPr>
          <w:rFonts w:hint="eastAsia" w:ascii="宋体" w:hAnsi="宋体"/>
          <w:kern w:val="0"/>
          <w:sz w:val="36"/>
          <w:szCs w:val="36"/>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144EC1C0">
      <w:pPr>
        <w:rPr>
          <w:rFonts w:hint="eastAsia" w:ascii="宋体" w:hAnsi="宋体"/>
          <w:kern w:val="0"/>
          <w:sz w:val="36"/>
          <w:szCs w:val="36"/>
        </w:rPr>
      </w:pPr>
      <w:r>
        <w:rPr>
          <w:rFonts w:hint="eastAsia" w:ascii="宋体" w:hAnsi="宋体"/>
          <w:kern w:val="0"/>
          <w:sz w:val="36"/>
          <w:szCs w:val="36"/>
        </w:rPr>
        <w:br w:type="page"/>
      </w:r>
    </w:p>
    <w:p w14:paraId="12589763">
      <w:pPr>
        <w:autoSpaceDE w:val="0"/>
        <w:autoSpaceDN w:val="0"/>
        <w:adjustRightInd w:val="0"/>
        <w:snapToGrid w:val="0"/>
        <w:spacing w:line="360" w:lineRule="auto"/>
        <w:jc w:val="center"/>
        <w:rPr>
          <w:rFonts w:ascii="宋体" w:hAnsi="宋体"/>
          <w:kern w:val="0"/>
          <w:sz w:val="32"/>
          <w:szCs w:val="32"/>
        </w:rPr>
      </w:pPr>
      <w:r>
        <w:rPr>
          <w:rFonts w:hint="eastAsia" w:ascii="宋体" w:hAnsi="宋体"/>
          <w:kern w:val="0"/>
          <w:sz w:val="36"/>
          <w:szCs w:val="36"/>
        </w:rPr>
        <w:t>目  录</w:t>
      </w:r>
    </w:p>
    <w:p w14:paraId="1D47C975">
      <w:pPr>
        <w:autoSpaceDE w:val="0"/>
        <w:autoSpaceDN w:val="0"/>
        <w:adjustRightInd w:val="0"/>
        <w:snapToGrid w:val="0"/>
        <w:spacing w:line="360" w:lineRule="auto"/>
        <w:jc w:val="left"/>
        <w:rPr>
          <w:rFonts w:ascii="宋体" w:hAnsi="宋体"/>
          <w:kern w:val="0"/>
          <w:sz w:val="32"/>
          <w:szCs w:val="32"/>
        </w:rPr>
      </w:pPr>
    </w:p>
    <w:p w14:paraId="68D89D2A">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hint="eastAsia" w:ascii="宋体" w:hAnsi="宋体"/>
          <w:i/>
          <w:iCs/>
          <w:kern w:val="0"/>
          <w:szCs w:val="21"/>
        </w:rPr>
        <w:t>提示：</w:t>
      </w:r>
      <w:r>
        <w:rPr>
          <w:rFonts w:ascii="宋体" w:hAnsi="宋体"/>
          <w:i/>
          <w:iCs/>
          <w:kern w:val="0"/>
          <w:szCs w:val="21"/>
        </w:rPr>
        <w:t>目录由投标人自行编制]</w:t>
      </w:r>
    </w:p>
    <w:p w14:paraId="0EF5FB3C">
      <w:pPr>
        <w:rPr>
          <w:rFonts w:hint="eastAsia" w:ascii="宋体" w:hAnsi="宋体"/>
          <w:b w:val="0"/>
          <w:bCs w:val="0"/>
          <w:color w:val="auto"/>
          <w:sz w:val="44"/>
          <w:szCs w:val="44"/>
          <w:highlight w:val="none"/>
          <w:lang w:val="en-US" w:eastAsia="zh-CN"/>
        </w:rPr>
      </w:pPr>
    </w:p>
    <w:p w14:paraId="608E8B76">
      <w:pPr>
        <w:rPr>
          <w:rFonts w:hint="eastAsia" w:ascii="宋体" w:hAnsi="宋体"/>
          <w:b w:val="0"/>
          <w:bCs w:val="0"/>
          <w:color w:val="auto"/>
          <w:sz w:val="44"/>
          <w:szCs w:val="44"/>
          <w:highlight w:val="none"/>
          <w:lang w:val="en-US" w:eastAsia="zh-CN"/>
        </w:rPr>
      </w:pPr>
      <w:r>
        <w:rPr>
          <w:rFonts w:hint="eastAsia" w:ascii="宋体" w:hAnsi="宋体"/>
          <w:b w:val="0"/>
          <w:bCs w:val="0"/>
          <w:color w:val="auto"/>
          <w:sz w:val="44"/>
          <w:szCs w:val="44"/>
          <w:highlight w:val="none"/>
          <w:lang w:val="en-US" w:eastAsia="zh-CN"/>
        </w:rPr>
        <w:br w:type="page"/>
      </w:r>
    </w:p>
    <w:p w14:paraId="30BDE626">
      <w:pPr>
        <w:pStyle w:val="3"/>
        <w:spacing w:line="360" w:lineRule="auto"/>
        <w:jc w:val="center"/>
        <w:rPr>
          <w:rFonts w:ascii="宋体" w:hAnsi="宋体"/>
          <w:b w:val="0"/>
          <w:bCs w:val="0"/>
          <w:color w:val="auto"/>
          <w:sz w:val="44"/>
          <w:szCs w:val="44"/>
          <w:highlight w:val="none"/>
        </w:rPr>
      </w:pPr>
      <w:r>
        <w:rPr>
          <w:rFonts w:hint="eastAsia" w:ascii="宋体" w:hAnsi="宋体"/>
          <w:b w:val="0"/>
          <w:bCs w:val="0"/>
          <w:color w:val="auto"/>
          <w:sz w:val="44"/>
          <w:szCs w:val="44"/>
          <w:highlight w:val="none"/>
          <w:lang w:val="en-US" w:eastAsia="zh-CN"/>
        </w:rPr>
        <w:t>三</w:t>
      </w:r>
      <w:r>
        <w:rPr>
          <w:rFonts w:hint="eastAsia" w:ascii="宋体" w:hAnsi="宋体"/>
          <w:b w:val="0"/>
          <w:bCs w:val="0"/>
          <w:color w:val="auto"/>
          <w:sz w:val="44"/>
          <w:szCs w:val="44"/>
          <w:highlight w:val="none"/>
        </w:rPr>
        <w:t>、</w:t>
      </w:r>
      <w:bookmarkEnd w:id="932"/>
      <w:bookmarkEnd w:id="933"/>
      <w:bookmarkEnd w:id="934"/>
      <w:bookmarkEnd w:id="935"/>
      <w:bookmarkEnd w:id="936"/>
      <w:r>
        <w:rPr>
          <w:rFonts w:hint="eastAsia" w:ascii="宋体" w:hAnsi="宋体"/>
          <w:b w:val="0"/>
          <w:bCs w:val="0"/>
          <w:color w:val="auto"/>
          <w:sz w:val="44"/>
          <w:szCs w:val="44"/>
          <w:highlight w:val="none"/>
        </w:rPr>
        <w:t>资格审查部分</w:t>
      </w:r>
      <w:bookmarkEnd w:id="937"/>
      <w:bookmarkEnd w:id="938"/>
    </w:p>
    <w:p w14:paraId="69FA4A17">
      <w:pPr>
        <w:spacing w:line="360" w:lineRule="auto"/>
        <w:rPr>
          <w:rFonts w:ascii="宋体" w:hAnsi="宋体"/>
          <w:color w:val="auto"/>
          <w:sz w:val="32"/>
          <w:szCs w:val="32"/>
          <w:highlight w:val="none"/>
        </w:rPr>
      </w:pPr>
    </w:p>
    <w:p w14:paraId="6CDD5A8C">
      <w:pPr>
        <w:spacing w:line="360" w:lineRule="auto"/>
        <w:rPr>
          <w:rFonts w:ascii="宋体" w:hAnsi="宋体"/>
          <w:color w:val="auto"/>
          <w:sz w:val="32"/>
          <w:szCs w:val="32"/>
          <w:highlight w:val="none"/>
        </w:rPr>
      </w:pPr>
      <w:r>
        <w:rPr>
          <w:rFonts w:ascii="宋体" w:hAnsi="宋体"/>
          <w:color w:val="auto"/>
          <w:sz w:val="32"/>
          <w:szCs w:val="32"/>
          <w:highlight w:val="none"/>
        </w:rPr>
        <w:br w:type="page"/>
      </w:r>
    </w:p>
    <w:p w14:paraId="1EDD3522">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7F917210">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3097DD0D">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07C5EDDB">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552E3CF6">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0612968B">
      <w:pPr>
        <w:autoSpaceDE w:val="0"/>
        <w:autoSpaceDN w:val="0"/>
        <w:adjustRightInd w:val="0"/>
        <w:snapToGrid w:val="0"/>
        <w:spacing w:line="360" w:lineRule="auto"/>
        <w:jc w:val="left"/>
        <w:rPr>
          <w:rFonts w:ascii="宋体" w:hAnsi="宋体"/>
          <w:color w:val="auto"/>
          <w:kern w:val="0"/>
          <w:sz w:val="16"/>
          <w:szCs w:val="16"/>
          <w:highlight w:val="none"/>
        </w:rPr>
      </w:pPr>
    </w:p>
    <w:p w14:paraId="157F9376">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14:paraId="186B17FD">
      <w:pPr>
        <w:autoSpaceDE w:val="0"/>
        <w:autoSpaceDN w:val="0"/>
        <w:adjustRightInd w:val="0"/>
        <w:snapToGrid w:val="0"/>
        <w:spacing w:line="360" w:lineRule="auto"/>
        <w:jc w:val="left"/>
        <w:rPr>
          <w:rFonts w:ascii="宋体" w:hAnsi="宋体" w:cs="MingLiU"/>
          <w:color w:val="auto"/>
          <w:kern w:val="0"/>
          <w:sz w:val="20"/>
          <w:szCs w:val="20"/>
          <w:highlight w:val="none"/>
        </w:rPr>
      </w:pPr>
    </w:p>
    <w:p w14:paraId="128B021C">
      <w:pPr>
        <w:adjustRightInd w:val="0"/>
        <w:snapToGrid w:val="0"/>
        <w:spacing w:line="264" w:lineRule="auto"/>
        <w:rPr>
          <w:rFonts w:ascii="宋体" w:hAnsi="宋体"/>
          <w:color w:val="auto"/>
          <w:szCs w:val="21"/>
          <w:highlight w:val="none"/>
        </w:rPr>
      </w:pPr>
    </w:p>
    <w:p w14:paraId="18D3FFDF">
      <w:pPr>
        <w:autoSpaceDE w:val="0"/>
        <w:autoSpaceDN w:val="0"/>
        <w:adjustRightInd w:val="0"/>
        <w:snapToGrid w:val="0"/>
        <w:spacing w:line="360" w:lineRule="auto"/>
        <w:jc w:val="left"/>
        <w:rPr>
          <w:rFonts w:ascii="宋体" w:hAnsi="宋体" w:cs="MingLiU"/>
          <w:color w:val="auto"/>
          <w:kern w:val="0"/>
          <w:sz w:val="20"/>
          <w:szCs w:val="20"/>
          <w:highlight w:val="none"/>
        </w:rPr>
      </w:pPr>
    </w:p>
    <w:p w14:paraId="442A0462">
      <w:pPr>
        <w:autoSpaceDE w:val="0"/>
        <w:autoSpaceDN w:val="0"/>
        <w:adjustRightInd w:val="0"/>
        <w:snapToGrid w:val="0"/>
        <w:spacing w:line="360" w:lineRule="auto"/>
        <w:jc w:val="left"/>
        <w:rPr>
          <w:rFonts w:ascii="宋体" w:hAnsi="宋体" w:cs="MingLiU"/>
          <w:color w:val="auto"/>
          <w:kern w:val="0"/>
          <w:sz w:val="20"/>
          <w:szCs w:val="20"/>
          <w:highlight w:val="none"/>
        </w:rPr>
      </w:pPr>
    </w:p>
    <w:p w14:paraId="07DD9EEA">
      <w:pPr>
        <w:autoSpaceDE w:val="0"/>
        <w:autoSpaceDN w:val="0"/>
        <w:adjustRightInd w:val="0"/>
        <w:snapToGrid w:val="0"/>
        <w:spacing w:line="360" w:lineRule="auto"/>
        <w:jc w:val="left"/>
        <w:rPr>
          <w:rFonts w:ascii="宋体" w:hAnsi="宋体" w:cs="MingLiU"/>
          <w:color w:val="auto"/>
          <w:kern w:val="0"/>
          <w:sz w:val="20"/>
          <w:szCs w:val="20"/>
          <w:highlight w:val="none"/>
        </w:rPr>
      </w:pPr>
    </w:p>
    <w:p w14:paraId="1CA1AEB7">
      <w:pPr>
        <w:autoSpaceDE w:val="0"/>
        <w:autoSpaceDN w:val="0"/>
        <w:adjustRightInd w:val="0"/>
        <w:snapToGrid w:val="0"/>
        <w:spacing w:line="360" w:lineRule="auto"/>
        <w:jc w:val="left"/>
        <w:rPr>
          <w:rFonts w:ascii="宋体" w:hAnsi="宋体" w:cs="MingLiU"/>
          <w:color w:val="auto"/>
          <w:kern w:val="0"/>
          <w:sz w:val="20"/>
          <w:szCs w:val="20"/>
          <w:highlight w:val="none"/>
        </w:rPr>
      </w:pPr>
    </w:p>
    <w:p w14:paraId="58BBA3B3">
      <w:pPr>
        <w:autoSpaceDE w:val="0"/>
        <w:autoSpaceDN w:val="0"/>
        <w:adjustRightInd w:val="0"/>
        <w:snapToGrid w:val="0"/>
        <w:spacing w:line="360" w:lineRule="auto"/>
        <w:jc w:val="left"/>
        <w:rPr>
          <w:rFonts w:ascii="宋体" w:hAnsi="宋体" w:cs="MingLiU"/>
          <w:color w:val="auto"/>
          <w:kern w:val="0"/>
          <w:sz w:val="20"/>
          <w:szCs w:val="20"/>
          <w:highlight w:val="none"/>
        </w:rPr>
      </w:pPr>
    </w:p>
    <w:p w14:paraId="574A429E">
      <w:pPr>
        <w:autoSpaceDE w:val="0"/>
        <w:autoSpaceDN w:val="0"/>
        <w:adjustRightInd w:val="0"/>
        <w:snapToGrid w:val="0"/>
        <w:spacing w:line="360" w:lineRule="auto"/>
        <w:jc w:val="left"/>
        <w:rPr>
          <w:rFonts w:ascii="宋体" w:hAnsi="宋体" w:cs="MingLiU"/>
          <w:color w:val="auto"/>
          <w:kern w:val="0"/>
          <w:sz w:val="20"/>
          <w:szCs w:val="20"/>
          <w:highlight w:val="none"/>
        </w:rPr>
      </w:pPr>
    </w:p>
    <w:p w14:paraId="20837230">
      <w:pPr>
        <w:autoSpaceDE w:val="0"/>
        <w:autoSpaceDN w:val="0"/>
        <w:adjustRightInd w:val="0"/>
        <w:snapToGrid w:val="0"/>
        <w:spacing w:line="360" w:lineRule="auto"/>
        <w:jc w:val="left"/>
        <w:rPr>
          <w:rFonts w:ascii="宋体" w:hAnsi="宋体" w:cs="MingLiU"/>
          <w:color w:val="auto"/>
          <w:kern w:val="0"/>
          <w:sz w:val="20"/>
          <w:szCs w:val="20"/>
          <w:highlight w:val="none"/>
        </w:rPr>
      </w:pPr>
    </w:p>
    <w:p w14:paraId="6941A67B">
      <w:pPr>
        <w:autoSpaceDE w:val="0"/>
        <w:autoSpaceDN w:val="0"/>
        <w:adjustRightInd w:val="0"/>
        <w:snapToGrid w:val="0"/>
        <w:spacing w:line="360" w:lineRule="auto"/>
        <w:jc w:val="left"/>
        <w:rPr>
          <w:rFonts w:ascii="宋体" w:hAnsi="宋体" w:cs="MingLiU"/>
          <w:color w:val="auto"/>
          <w:kern w:val="0"/>
          <w:sz w:val="20"/>
          <w:szCs w:val="20"/>
          <w:highlight w:val="none"/>
        </w:rPr>
      </w:pPr>
    </w:p>
    <w:p w14:paraId="7D680987">
      <w:pPr>
        <w:autoSpaceDE w:val="0"/>
        <w:autoSpaceDN w:val="0"/>
        <w:adjustRightInd w:val="0"/>
        <w:snapToGrid w:val="0"/>
        <w:spacing w:line="360" w:lineRule="auto"/>
        <w:jc w:val="left"/>
        <w:rPr>
          <w:rFonts w:ascii="宋体" w:hAnsi="宋体" w:cs="MingLiU"/>
          <w:color w:val="auto"/>
          <w:kern w:val="0"/>
          <w:sz w:val="20"/>
          <w:szCs w:val="20"/>
          <w:highlight w:val="none"/>
        </w:rPr>
      </w:pPr>
    </w:p>
    <w:p w14:paraId="20DC8A22">
      <w:pPr>
        <w:autoSpaceDE w:val="0"/>
        <w:autoSpaceDN w:val="0"/>
        <w:adjustRightInd w:val="0"/>
        <w:snapToGrid w:val="0"/>
        <w:spacing w:line="360" w:lineRule="auto"/>
        <w:jc w:val="left"/>
        <w:rPr>
          <w:rFonts w:ascii="宋体" w:hAnsi="宋体" w:cs="MingLiU"/>
          <w:color w:val="auto"/>
          <w:kern w:val="0"/>
          <w:sz w:val="20"/>
          <w:szCs w:val="20"/>
          <w:highlight w:val="none"/>
        </w:rPr>
      </w:pPr>
    </w:p>
    <w:p w14:paraId="3650385F">
      <w:pPr>
        <w:autoSpaceDE w:val="0"/>
        <w:autoSpaceDN w:val="0"/>
        <w:adjustRightInd w:val="0"/>
        <w:snapToGrid w:val="0"/>
        <w:spacing w:line="360" w:lineRule="auto"/>
        <w:jc w:val="left"/>
        <w:rPr>
          <w:rFonts w:ascii="宋体" w:hAnsi="宋体" w:cs="MingLiU"/>
          <w:color w:val="auto"/>
          <w:kern w:val="0"/>
          <w:sz w:val="20"/>
          <w:szCs w:val="20"/>
          <w:highlight w:val="none"/>
        </w:rPr>
      </w:pPr>
    </w:p>
    <w:p w14:paraId="2B4ED89B">
      <w:pPr>
        <w:autoSpaceDE w:val="0"/>
        <w:autoSpaceDN w:val="0"/>
        <w:adjustRightInd w:val="0"/>
        <w:snapToGrid w:val="0"/>
        <w:spacing w:line="360" w:lineRule="auto"/>
        <w:jc w:val="left"/>
        <w:rPr>
          <w:rFonts w:ascii="宋体" w:hAnsi="宋体" w:cs="MingLiU"/>
          <w:color w:val="auto"/>
          <w:kern w:val="0"/>
          <w:sz w:val="20"/>
          <w:szCs w:val="20"/>
          <w:highlight w:val="none"/>
        </w:rPr>
      </w:pPr>
    </w:p>
    <w:p w14:paraId="404887E3">
      <w:pPr>
        <w:autoSpaceDE w:val="0"/>
        <w:autoSpaceDN w:val="0"/>
        <w:adjustRightInd w:val="0"/>
        <w:snapToGrid w:val="0"/>
        <w:spacing w:line="360" w:lineRule="auto"/>
        <w:jc w:val="left"/>
        <w:rPr>
          <w:rFonts w:ascii="宋体" w:hAnsi="宋体" w:cs="MingLiU"/>
          <w:color w:val="auto"/>
          <w:kern w:val="0"/>
          <w:sz w:val="20"/>
          <w:szCs w:val="20"/>
          <w:highlight w:val="none"/>
        </w:rPr>
      </w:pPr>
    </w:p>
    <w:p w14:paraId="305F792D">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33607F68">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53B45D7C">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1274E1A2">
      <w:pPr>
        <w:rPr>
          <w:rFonts w:hint="eastAsia" w:ascii="宋体" w:hAnsi="宋体"/>
          <w:color w:val="auto"/>
          <w:kern w:val="0"/>
          <w:sz w:val="36"/>
          <w:szCs w:val="36"/>
          <w:highlight w:val="none"/>
        </w:rPr>
      </w:pPr>
      <w:r>
        <w:rPr>
          <w:rFonts w:hint="eastAsia" w:ascii="宋体" w:hAnsi="宋体"/>
          <w:color w:val="auto"/>
          <w:kern w:val="0"/>
          <w:sz w:val="36"/>
          <w:szCs w:val="36"/>
          <w:highlight w:val="none"/>
        </w:rPr>
        <w:br w:type="page"/>
      </w:r>
    </w:p>
    <w:p w14:paraId="5E045672">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0F13677F">
      <w:pPr>
        <w:spacing w:line="360" w:lineRule="auto"/>
        <w:jc w:val="center"/>
        <w:rPr>
          <w:rFonts w:ascii="宋体" w:hAnsi="宋体"/>
          <w:b/>
          <w:color w:val="auto"/>
          <w:kern w:val="0"/>
          <w:sz w:val="32"/>
          <w:szCs w:val="32"/>
          <w:highlight w:val="none"/>
        </w:rPr>
      </w:pPr>
    </w:p>
    <w:p w14:paraId="19697D25">
      <w:pPr>
        <w:spacing w:line="360" w:lineRule="auto"/>
        <w:ind w:firstLine="420" w:firstLineChars="200"/>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法定代表人身份证明或附有法定代表人身份证明的授权委托书</w:t>
      </w:r>
    </w:p>
    <w:p w14:paraId="0535A618">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二</w:t>
      </w:r>
      <w:r>
        <w:rPr>
          <w:rFonts w:ascii="宋体" w:hAnsi="宋体"/>
          <w:color w:val="auto"/>
          <w:szCs w:val="21"/>
          <w:highlight w:val="none"/>
        </w:rPr>
        <w:t>）投标人基本情况表</w:t>
      </w:r>
    </w:p>
    <w:p w14:paraId="2A080C04">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三</w:t>
      </w:r>
      <w:r>
        <w:rPr>
          <w:rFonts w:ascii="宋体" w:hAnsi="宋体"/>
          <w:color w:val="auto"/>
          <w:szCs w:val="21"/>
          <w:highlight w:val="none"/>
        </w:rPr>
        <w:t>）项目管理机构</w:t>
      </w:r>
    </w:p>
    <w:p w14:paraId="3A93DF43">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四</w:t>
      </w:r>
      <w:r>
        <w:rPr>
          <w:rFonts w:ascii="宋体" w:hAnsi="宋体"/>
          <w:color w:val="auto"/>
          <w:szCs w:val="21"/>
          <w:highlight w:val="none"/>
        </w:rPr>
        <w:t>）类似项目情况表</w:t>
      </w:r>
    </w:p>
    <w:p w14:paraId="2728F991">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五</w:t>
      </w:r>
      <w:r>
        <w:rPr>
          <w:rFonts w:ascii="宋体" w:hAnsi="宋体"/>
          <w:color w:val="auto"/>
          <w:szCs w:val="21"/>
          <w:highlight w:val="none"/>
        </w:rPr>
        <w:t>）</w:t>
      </w:r>
      <w:r>
        <w:rPr>
          <w:rFonts w:hint="eastAsia" w:ascii="宋体" w:hAnsi="宋体"/>
          <w:color w:val="auto"/>
          <w:szCs w:val="21"/>
          <w:highlight w:val="none"/>
        </w:rPr>
        <w:t>承诺</w:t>
      </w:r>
    </w:p>
    <w:p w14:paraId="4ED3947D">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六</w:t>
      </w:r>
      <w:r>
        <w:rPr>
          <w:rFonts w:ascii="宋体" w:hAnsi="宋体"/>
          <w:color w:val="auto"/>
          <w:szCs w:val="21"/>
          <w:highlight w:val="none"/>
        </w:rPr>
        <w:t>）其他资料</w:t>
      </w:r>
    </w:p>
    <w:p w14:paraId="43E5526F">
      <w:pPr>
        <w:spacing w:line="360" w:lineRule="auto"/>
        <w:jc w:val="center"/>
        <w:rPr>
          <w:rFonts w:ascii="宋体" w:hAnsi="宋体"/>
          <w:b/>
          <w:color w:val="auto"/>
          <w:kern w:val="0"/>
          <w:sz w:val="32"/>
          <w:szCs w:val="32"/>
          <w:highlight w:val="none"/>
        </w:rPr>
      </w:pPr>
    </w:p>
    <w:p w14:paraId="620DA9E0">
      <w:pPr>
        <w:spacing w:line="360" w:lineRule="auto"/>
        <w:jc w:val="center"/>
        <w:rPr>
          <w:rFonts w:ascii="宋体" w:hAnsi="宋体"/>
          <w:b/>
          <w:color w:val="auto"/>
          <w:kern w:val="0"/>
          <w:sz w:val="32"/>
          <w:szCs w:val="32"/>
          <w:highlight w:val="none"/>
        </w:rPr>
      </w:pPr>
    </w:p>
    <w:p w14:paraId="5885C070">
      <w:pPr>
        <w:pStyle w:val="4"/>
        <w:jc w:val="center"/>
        <w:rPr>
          <w:rFonts w:ascii="宋体" w:hAnsi="宋体"/>
          <w:snapToGrid w:val="0"/>
          <w:color w:val="auto"/>
          <w:kern w:val="0"/>
          <w:sz w:val="30"/>
          <w:szCs w:val="30"/>
          <w:highlight w:val="none"/>
        </w:rPr>
      </w:pPr>
      <w:r>
        <w:rPr>
          <w:rFonts w:ascii="宋体" w:hAnsi="宋体"/>
          <w:color w:val="auto"/>
          <w:highlight w:val="none"/>
        </w:rPr>
        <w:br w:type="page"/>
      </w:r>
      <w:bookmarkStart w:id="939" w:name="_Toc57905929"/>
      <w:bookmarkStart w:id="940" w:name="_Toc5633"/>
      <w:bookmarkStart w:id="941" w:name="_Toc277082657"/>
      <w:bookmarkStart w:id="942" w:name="_Toc287607883"/>
      <w:bookmarkStart w:id="943" w:name="_Toc224103511"/>
      <w:bookmarkStart w:id="944" w:name="_Toc287620830"/>
      <w:bookmarkStart w:id="945" w:name="_Toc430530546"/>
      <w:r>
        <w:rPr>
          <w:color w:val="auto"/>
          <w:sz w:val="30"/>
          <w:szCs w:val="30"/>
          <w:highlight w:val="none"/>
        </w:rPr>
        <w:t>（一）</w:t>
      </w:r>
      <w:r>
        <w:rPr>
          <w:rFonts w:hint="eastAsia"/>
          <w:color w:val="auto"/>
          <w:sz w:val="30"/>
          <w:szCs w:val="30"/>
          <w:highlight w:val="none"/>
        </w:rPr>
        <w:t>法定代表人身份证明或附有法定代表人身份证明的授权委托书</w:t>
      </w:r>
      <w:bookmarkEnd w:id="939"/>
      <w:bookmarkEnd w:id="940"/>
    </w:p>
    <w:p w14:paraId="41146DB9">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330128E0">
      <w:pPr>
        <w:spacing w:line="480" w:lineRule="auto"/>
        <w:jc w:val="center"/>
        <w:rPr>
          <w:rFonts w:ascii="宋体" w:hAnsi="宋体"/>
          <w:color w:val="auto"/>
          <w:highlight w:val="none"/>
        </w:rPr>
      </w:pPr>
    </w:p>
    <w:p w14:paraId="4ACD72ED">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9A2E00C">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10D70181">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0D79725B">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170A8C0A">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B172F19">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558CC2D8">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14:paraId="76999B79">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115D8235">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688AAE71">
      <w:pPr>
        <w:autoSpaceDE w:val="0"/>
        <w:autoSpaceDN w:val="0"/>
        <w:adjustRightInd w:val="0"/>
        <w:snapToGrid w:val="0"/>
        <w:spacing w:line="360" w:lineRule="auto"/>
        <w:jc w:val="left"/>
        <w:rPr>
          <w:rFonts w:ascii="宋体" w:hAnsi="宋体"/>
          <w:color w:val="auto"/>
          <w:szCs w:val="21"/>
          <w:highlight w:val="none"/>
        </w:rPr>
      </w:pPr>
    </w:p>
    <w:p w14:paraId="2700FDDD">
      <w:pPr>
        <w:pStyle w:val="17"/>
        <w:spacing w:after="0" w:line="360" w:lineRule="auto"/>
        <w:rPr>
          <w:rFonts w:ascii="宋体" w:hAnsi="宋体"/>
          <w:color w:val="auto"/>
          <w:szCs w:val="21"/>
          <w:highlight w:val="none"/>
        </w:rPr>
      </w:pPr>
    </w:p>
    <w:p w14:paraId="5D6923B0">
      <w:pPr>
        <w:pStyle w:val="17"/>
        <w:spacing w:after="0" w:line="360" w:lineRule="auto"/>
        <w:rPr>
          <w:rFonts w:ascii="宋体" w:hAnsi="宋体"/>
          <w:color w:val="auto"/>
          <w:szCs w:val="21"/>
          <w:highlight w:val="none"/>
        </w:rPr>
      </w:pPr>
    </w:p>
    <w:p w14:paraId="1EB9DC3D">
      <w:pPr>
        <w:pStyle w:val="17"/>
        <w:spacing w:after="0" w:line="360" w:lineRule="auto"/>
        <w:rPr>
          <w:rFonts w:ascii="宋体" w:hAnsi="宋体"/>
          <w:color w:val="auto"/>
          <w:szCs w:val="21"/>
          <w:highlight w:val="none"/>
        </w:rPr>
      </w:pPr>
    </w:p>
    <w:p w14:paraId="65322C17">
      <w:pPr>
        <w:pStyle w:val="17"/>
        <w:spacing w:after="0" w:line="360" w:lineRule="auto"/>
        <w:rPr>
          <w:rFonts w:ascii="宋体" w:hAnsi="宋体"/>
          <w:color w:val="auto"/>
          <w:szCs w:val="21"/>
          <w:highlight w:val="none"/>
        </w:rPr>
      </w:pPr>
    </w:p>
    <w:p w14:paraId="463BCB88">
      <w:pPr>
        <w:pStyle w:val="17"/>
        <w:spacing w:after="0" w:line="360" w:lineRule="auto"/>
        <w:rPr>
          <w:rFonts w:ascii="宋体" w:hAnsi="宋体"/>
          <w:color w:val="auto"/>
          <w:szCs w:val="21"/>
          <w:highlight w:val="none"/>
        </w:rPr>
      </w:pPr>
    </w:p>
    <w:p w14:paraId="4A3D4F32">
      <w:pPr>
        <w:autoSpaceDE w:val="0"/>
        <w:autoSpaceDN w:val="0"/>
        <w:adjustRightInd w:val="0"/>
        <w:snapToGrid w:val="0"/>
        <w:spacing w:line="480" w:lineRule="auto"/>
        <w:ind w:firstLine="810" w:firstLineChars="386"/>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2F9E0101">
      <w:pPr>
        <w:autoSpaceDE w:val="0"/>
        <w:autoSpaceDN w:val="0"/>
        <w:adjustRightInd w:val="0"/>
        <w:snapToGrid w:val="0"/>
        <w:spacing w:line="480" w:lineRule="auto"/>
        <w:jc w:val="left"/>
        <w:rPr>
          <w:rFonts w:ascii="宋体" w:hAnsi="宋体"/>
          <w:color w:val="auto"/>
          <w:kern w:val="0"/>
          <w:sz w:val="20"/>
          <w:szCs w:val="20"/>
          <w:highlight w:val="none"/>
        </w:rPr>
      </w:pPr>
    </w:p>
    <w:p w14:paraId="09AB35D2">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7B4A8D87">
      <w:pPr>
        <w:autoSpaceDE w:val="0"/>
        <w:autoSpaceDN w:val="0"/>
        <w:adjustRightInd w:val="0"/>
        <w:snapToGrid w:val="0"/>
        <w:spacing w:line="360" w:lineRule="auto"/>
        <w:jc w:val="left"/>
        <w:rPr>
          <w:rFonts w:ascii="宋体" w:hAnsi="宋体"/>
          <w:color w:val="auto"/>
          <w:kern w:val="0"/>
          <w:highlight w:val="none"/>
        </w:rPr>
      </w:pPr>
    </w:p>
    <w:p w14:paraId="40580493">
      <w:pPr>
        <w:autoSpaceDE w:val="0"/>
        <w:autoSpaceDN w:val="0"/>
        <w:adjustRightInd w:val="0"/>
        <w:snapToGrid w:val="0"/>
        <w:spacing w:line="360" w:lineRule="auto"/>
        <w:jc w:val="left"/>
        <w:rPr>
          <w:rFonts w:ascii="宋体" w:hAnsi="宋体"/>
          <w:color w:val="auto"/>
          <w:kern w:val="0"/>
          <w:highlight w:val="none"/>
        </w:rPr>
      </w:pPr>
    </w:p>
    <w:p w14:paraId="0B72F388">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color w:val="auto"/>
          <w:highlight w:val="none"/>
        </w:rPr>
        <w:t>注：法定代表人身份证明需按上述格式填写完整，不可缺少内容。在此基础上增加内容的不影响其有效性</w:t>
      </w:r>
      <w:bookmarkEnd w:id="941"/>
      <w:bookmarkEnd w:id="942"/>
      <w:bookmarkEnd w:id="943"/>
      <w:bookmarkEnd w:id="944"/>
      <w:bookmarkEnd w:id="945"/>
      <w:r>
        <w:rPr>
          <w:rFonts w:hint="eastAsia" w:ascii="宋体" w:hAnsi="宋体"/>
          <w:color w:val="auto"/>
          <w:kern w:val="0"/>
          <w:szCs w:val="21"/>
          <w:highlight w:val="none"/>
        </w:rPr>
        <w:t>。</w:t>
      </w:r>
    </w:p>
    <w:p w14:paraId="2F38535C">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67D9DA38">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14:paraId="7DF35B8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0677A61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5F9E992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3A3CC4F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32A1F06B">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751491F3">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04EC418">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6D78DEB7">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A312794">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0292E371">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39CF15F5">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25312065">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A34A24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585547F">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B149603">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065314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2BE891E">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14:paraId="471F68E4">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4D21A08A">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2C0BFFA4">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1FCFA0D4">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2、法定代表人身份证明及授权委托书原件装入投标文件一并递交。另外须准备一份授权委托书原件在开标现场出具。</w:t>
      </w:r>
    </w:p>
    <w:p w14:paraId="01DDB23F">
      <w:pPr>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593B2873">
      <w:pPr>
        <w:pStyle w:val="4"/>
        <w:spacing w:before="0" w:after="0" w:line="240" w:lineRule="auto"/>
        <w:jc w:val="center"/>
        <w:rPr>
          <w:rFonts w:ascii="宋体" w:hAnsi="宋体"/>
          <w:color w:val="auto"/>
          <w:highlight w:val="none"/>
        </w:rPr>
      </w:pPr>
      <w:bookmarkStart w:id="946" w:name="_Toc57905931"/>
      <w:bookmarkStart w:id="947" w:name="_Toc287607887"/>
      <w:bookmarkStart w:id="948" w:name="_Toc277082659"/>
      <w:r>
        <w:rPr>
          <w:rFonts w:hint="eastAsia" w:ascii="宋体" w:hAnsi="宋体"/>
          <w:b w:val="0"/>
          <w:bCs w:val="0"/>
          <w:color w:val="auto"/>
          <w:highlight w:val="none"/>
        </w:rPr>
        <w:t>（</w:t>
      </w:r>
      <w:r>
        <w:rPr>
          <w:rFonts w:hint="eastAsia" w:ascii="宋体" w:hAnsi="宋体"/>
          <w:b w:val="0"/>
          <w:bCs w:val="0"/>
          <w:color w:val="auto"/>
          <w:highlight w:val="none"/>
          <w:lang w:val="en-US" w:eastAsia="zh-CN"/>
        </w:rPr>
        <w:t>二</w:t>
      </w:r>
      <w:r>
        <w:rPr>
          <w:rFonts w:hint="eastAsia" w:ascii="宋体" w:hAnsi="宋体"/>
          <w:b w:val="0"/>
          <w:bCs w:val="0"/>
          <w:color w:val="auto"/>
          <w:highlight w:val="none"/>
        </w:rPr>
        <w:t>）投标人基本情况表</w:t>
      </w:r>
      <w:bookmarkEnd w:id="946"/>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1F0659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CD8BC3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投标人名称</w:t>
            </w:r>
          </w:p>
        </w:tc>
        <w:tc>
          <w:tcPr>
            <w:tcW w:w="7607" w:type="dxa"/>
            <w:gridSpan w:val="9"/>
            <w:vAlign w:val="center"/>
          </w:tcPr>
          <w:p w14:paraId="26927ABC">
            <w:pPr>
              <w:autoSpaceDE w:val="0"/>
              <w:autoSpaceDN w:val="0"/>
              <w:adjustRightInd w:val="0"/>
              <w:snapToGrid w:val="0"/>
              <w:jc w:val="center"/>
              <w:rPr>
                <w:rFonts w:ascii="宋体" w:hAnsi="宋体"/>
                <w:color w:val="auto"/>
                <w:kern w:val="0"/>
                <w:szCs w:val="21"/>
                <w:highlight w:val="none"/>
              </w:rPr>
            </w:pPr>
          </w:p>
        </w:tc>
      </w:tr>
      <w:tr w14:paraId="634DA0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3651F9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14:paraId="412B8A31">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01EB8E7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14:paraId="17DF25FA">
            <w:pPr>
              <w:autoSpaceDE w:val="0"/>
              <w:autoSpaceDN w:val="0"/>
              <w:adjustRightInd w:val="0"/>
              <w:snapToGrid w:val="0"/>
              <w:jc w:val="center"/>
              <w:rPr>
                <w:rFonts w:ascii="宋体" w:hAnsi="宋体"/>
                <w:color w:val="auto"/>
                <w:kern w:val="0"/>
                <w:szCs w:val="21"/>
                <w:highlight w:val="none"/>
              </w:rPr>
            </w:pPr>
          </w:p>
        </w:tc>
      </w:tr>
      <w:tr w14:paraId="5D0EB3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2E70F2C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14:paraId="6BB354F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14:paraId="61DFF8BB">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663381B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14:paraId="0F6FB0B3">
            <w:pPr>
              <w:autoSpaceDE w:val="0"/>
              <w:autoSpaceDN w:val="0"/>
              <w:adjustRightInd w:val="0"/>
              <w:snapToGrid w:val="0"/>
              <w:jc w:val="center"/>
              <w:rPr>
                <w:rFonts w:ascii="宋体" w:hAnsi="宋体"/>
                <w:color w:val="auto"/>
                <w:kern w:val="0"/>
                <w:szCs w:val="21"/>
                <w:highlight w:val="none"/>
              </w:rPr>
            </w:pPr>
          </w:p>
        </w:tc>
      </w:tr>
      <w:tr w14:paraId="19A3C3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1F91A0F1">
            <w:pPr>
              <w:autoSpaceDE w:val="0"/>
              <w:autoSpaceDN w:val="0"/>
              <w:adjustRightInd w:val="0"/>
              <w:snapToGrid w:val="0"/>
              <w:jc w:val="center"/>
              <w:rPr>
                <w:rFonts w:ascii="宋体" w:hAnsi="宋体"/>
                <w:color w:val="auto"/>
                <w:kern w:val="0"/>
                <w:szCs w:val="21"/>
                <w:highlight w:val="none"/>
              </w:rPr>
            </w:pPr>
          </w:p>
        </w:tc>
        <w:tc>
          <w:tcPr>
            <w:tcW w:w="967" w:type="dxa"/>
            <w:vAlign w:val="center"/>
          </w:tcPr>
          <w:p w14:paraId="313FAA87">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14:paraId="1BDEF629">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522C9C7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14:paraId="0DB73685">
            <w:pPr>
              <w:autoSpaceDE w:val="0"/>
              <w:autoSpaceDN w:val="0"/>
              <w:adjustRightInd w:val="0"/>
              <w:snapToGrid w:val="0"/>
              <w:jc w:val="center"/>
              <w:rPr>
                <w:rFonts w:ascii="宋体" w:hAnsi="宋体"/>
                <w:color w:val="auto"/>
                <w:kern w:val="0"/>
                <w:szCs w:val="21"/>
                <w:highlight w:val="none"/>
              </w:rPr>
            </w:pPr>
          </w:p>
        </w:tc>
      </w:tr>
      <w:tr w14:paraId="1BA7FF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1BBDA9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14:paraId="4D29F8F9">
            <w:pPr>
              <w:autoSpaceDE w:val="0"/>
              <w:autoSpaceDN w:val="0"/>
              <w:adjustRightInd w:val="0"/>
              <w:snapToGrid w:val="0"/>
              <w:jc w:val="center"/>
              <w:rPr>
                <w:rFonts w:ascii="宋体" w:hAnsi="宋体"/>
                <w:color w:val="auto"/>
                <w:kern w:val="0"/>
                <w:szCs w:val="21"/>
                <w:highlight w:val="none"/>
              </w:rPr>
            </w:pPr>
          </w:p>
        </w:tc>
      </w:tr>
      <w:tr w14:paraId="137D3D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AF682C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14:paraId="03ACEE5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389FE4DA">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29C9A1D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2B1236C6">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4FC01C8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77CDFBD4">
            <w:pPr>
              <w:autoSpaceDE w:val="0"/>
              <w:autoSpaceDN w:val="0"/>
              <w:adjustRightInd w:val="0"/>
              <w:snapToGrid w:val="0"/>
              <w:jc w:val="center"/>
              <w:rPr>
                <w:rFonts w:ascii="宋体" w:hAnsi="宋体"/>
                <w:color w:val="auto"/>
                <w:kern w:val="0"/>
                <w:szCs w:val="21"/>
                <w:highlight w:val="none"/>
              </w:rPr>
            </w:pPr>
          </w:p>
        </w:tc>
      </w:tr>
      <w:tr w14:paraId="075759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D8D30D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vAlign w:val="center"/>
          </w:tcPr>
          <w:p w14:paraId="44957B4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52F8155E">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2D5250B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5CA4A0ED">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7090CBE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65D967FB">
            <w:pPr>
              <w:autoSpaceDE w:val="0"/>
              <w:autoSpaceDN w:val="0"/>
              <w:adjustRightInd w:val="0"/>
              <w:snapToGrid w:val="0"/>
              <w:jc w:val="center"/>
              <w:rPr>
                <w:rFonts w:ascii="宋体" w:hAnsi="宋体"/>
                <w:color w:val="auto"/>
                <w:kern w:val="0"/>
                <w:szCs w:val="21"/>
                <w:highlight w:val="none"/>
              </w:rPr>
            </w:pPr>
          </w:p>
        </w:tc>
      </w:tr>
      <w:tr w14:paraId="0D2CED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F9F135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14:paraId="137D7504">
            <w:pPr>
              <w:autoSpaceDE w:val="0"/>
              <w:autoSpaceDN w:val="0"/>
              <w:adjustRightInd w:val="0"/>
              <w:snapToGrid w:val="0"/>
              <w:jc w:val="center"/>
              <w:rPr>
                <w:rFonts w:ascii="宋体" w:hAnsi="宋体"/>
                <w:color w:val="auto"/>
                <w:kern w:val="0"/>
                <w:szCs w:val="21"/>
                <w:highlight w:val="none"/>
              </w:rPr>
            </w:pPr>
          </w:p>
        </w:tc>
        <w:tc>
          <w:tcPr>
            <w:tcW w:w="5616" w:type="dxa"/>
            <w:gridSpan w:val="7"/>
            <w:vAlign w:val="center"/>
          </w:tcPr>
          <w:p w14:paraId="137DA71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14:paraId="6D49EF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5284B3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14:paraId="5F2062BB">
            <w:pPr>
              <w:autoSpaceDE w:val="0"/>
              <w:autoSpaceDN w:val="0"/>
              <w:adjustRightInd w:val="0"/>
              <w:snapToGrid w:val="0"/>
              <w:jc w:val="center"/>
              <w:rPr>
                <w:rFonts w:ascii="宋体" w:hAnsi="宋体"/>
                <w:color w:val="auto"/>
                <w:kern w:val="0"/>
                <w:szCs w:val="21"/>
                <w:highlight w:val="none"/>
              </w:rPr>
            </w:pPr>
          </w:p>
        </w:tc>
        <w:tc>
          <w:tcPr>
            <w:tcW w:w="904" w:type="dxa"/>
            <w:vMerge w:val="restart"/>
            <w:vAlign w:val="center"/>
          </w:tcPr>
          <w:p w14:paraId="004E2EA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14:paraId="161553D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14:paraId="3C49C54C">
            <w:pPr>
              <w:autoSpaceDE w:val="0"/>
              <w:autoSpaceDN w:val="0"/>
              <w:adjustRightInd w:val="0"/>
              <w:snapToGrid w:val="0"/>
              <w:jc w:val="center"/>
              <w:rPr>
                <w:rFonts w:ascii="宋体" w:hAnsi="宋体"/>
                <w:color w:val="auto"/>
                <w:kern w:val="0"/>
                <w:szCs w:val="21"/>
                <w:highlight w:val="none"/>
              </w:rPr>
            </w:pPr>
          </w:p>
        </w:tc>
      </w:tr>
      <w:tr w14:paraId="7C9220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70AA28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统一社会信用代码</w:t>
            </w:r>
          </w:p>
        </w:tc>
        <w:tc>
          <w:tcPr>
            <w:tcW w:w="1991" w:type="dxa"/>
            <w:gridSpan w:val="2"/>
            <w:vAlign w:val="center"/>
          </w:tcPr>
          <w:p w14:paraId="44E42F5A">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39787D7A">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6722050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14:paraId="1A99CA6F">
            <w:pPr>
              <w:autoSpaceDE w:val="0"/>
              <w:autoSpaceDN w:val="0"/>
              <w:adjustRightInd w:val="0"/>
              <w:snapToGrid w:val="0"/>
              <w:jc w:val="center"/>
              <w:rPr>
                <w:rFonts w:ascii="宋体" w:hAnsi="宋体"/>
                <w:color w:val="auto"/>
                <w:kern w:val="0"/>
                <w:szCs w:val="21"/>
                <w:highlight w:val="none"/>
              </w:rPr>
            </w:pPr>
          </w:p>
        </w:tc>
      </w:tr>
      <w:tr w14:paraId="4002A0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6CB7B1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14:paraId="4A016035">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14EEFEB4">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1297128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14:paraId="3D31B340">
            <w:pPr>
              <w:autoSpaceDE w:val="0"/>
              <w:autoSpaceDN w:val="0"/>
              <w:adjustRightInd w:val="0"/>
              <w:snapToGrid w:val="0"/>
              <w:jc w:val="center"/>
              <w:rPr>
                <w:rFonts w:ascii="宋体" w:hAnsi="宋体"/>
                <w:color w:val="auto"/>
                <w:kern w:val="0"/>
                <w:szCs w:val="21"/>
                <w:highlight w:val="none"/>
              </w:rPr>
            </w:pPr>
          </w:p>
        </w:tc>
      </w:tr>
      <w:tr w14:paraId="5C4F44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A3A48B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14:paraId="1D23A312">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1DCF90C6">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33CFF13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14:paraId="36656FB0">
            <w:pPr>
              <w:autoSpaceDE w:val="0"/>
              <w:autoSpaceDN w:val="0"/>
              <w:adjustRightInd w:val="0"/>
              <w:snapToGrid w:val="0"/>
              <w:jc w:val="center"/>
              <w:rPr>
                <w:rFonts w:ascii="宋体" w:hAnsi="宋体"/>
                <w:color w:val="auto"/>
                <w:kern w:val="0"/>
                <w:szCs w:val="21"/>
                <w:highlight w:val="none"/>
              </w:rPr>
            </w:pPr>
          </w:p>
        </w:tc>
      </w:tr>
      <w:tr w14:paraId="0ECA8D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3656802">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14:paraId="0F09B343">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684800EF">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2DAA605C">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14:paraId="53C43EEB">
            <w:pPr>
              <w:autoSpaceDE w:val="0"/>
              <w:autoSpaceDN w:val="0"/>
              <w:adjustRightInd w:val="0"/>
              <w:snapToGrid w:val="0"/>
              <w:jc w:val="center"/>
              <w:rPr>
                <w:rFonts w:ascii="宋体" w:hAnsi="宋体"/>
                <w:color w:val="auto"/>
                <w:kern w:val="0"/>
                <w:szCs w:val="21"/>
                <w:highlight w:val="none"/>
              </w:rPr>
            </w:pPr>
          </w:p>
        </w:tc>
      </w:tr>
      <w:tr w14:paraId="001787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E4912E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14:paraId="555EE388">
            <w:pPr>
              <w:autoSpaceDE w:val="0"/>
              <w:autoSpaceDN w:val="0"/>
              <w:adjustRightInd w:val="0"/>
              <w:snapToGrid w:val="0"/>
              <w:jc w:val="center"/>
              <w:rPr>
                <w:rFonts w:ascii="宋体" w:hAnsi="宋体"/>
                <w:color w:val="auto"/>
                <w:kern w:val="0"/>
                <w:szCs w:val="21"/>
                <w:highlight w:val="none"/>
              </w:rPr>
            </w:pPr>
          </w:p>
        </w:tc>
      </w:tr>
      <w:tr w14:paraId="6E6AEB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593D4B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14:paraId="78E69F0C">
            <w:pPr>
              <w:autoSpaceDE w:val="0"/>
              <w:autoSpaceDN w:val="0"/>
              <w:adjustRightInd w:val="0"/>
              <w:snapToGrid w:val="0"/>
              <w:jc w:val="center"/>
              <w:rPr>
                <w:rFonts w:ascii="宋体" w:hAnsi="宋体"/>
                <w:color w:val="auto"/>
                <w:kern w:val="0"/>
                <w:szCs w:val="21"/>
                <w:highlight w:val="none"/>
              </w:rPr>
            </w:pPr>
          </w:p>
        </w:tc>
      </w:tr>
    </w:tbl>
    <w:p w14:paraId="32C5D5AD">
      <w:pPr>
        <w:spacing w:line="360" w:lineRule="auto"/>
        <w:jc w:val="center"/>
        <w:rPr>
          <w:rFonts w:ascii="宋体" w:hAnsi="宋体"/>
          <w:color w:val="auto"/>
          <w:szCs w:val="21"/>
          <w:highlight w:val="none"/>
        </w:rPr>
      </w:pPr>
    </w:p>
    <w:p w14:paraId="02937392">
      <w:pPr>
        <w:pStyle w:val="4"/>
        <w:spacing w:before="0" w:after="0" w:line="240" w:lineRule="auto"/>
        <w:jc w:val="center"/>
        <w:rPr>
          <w:rFonts w:ascii="宋体" w:hAnsi="宋体"/>
          <w:b w:val="0"/>
          <w:bCs w:val="0"/>
          <w:color w:val="auto"/>
          <w:highlight w:val="none"/>
        </w:rPr>
      </w:pPr>
      <w:r>
        <w:rPr>
          <w:rFonts w:ascii="宋体" w:hAnsi="宋体"/>
          <w:color w:val="auto"/>
          <w:szCs w:val="21"/>
          <w:highlight w:val="none"/>
        </w:rPr>
        <w:br w:type="page"/>
      </w:r>
      <w:bookmarkStart w:id="949" w:name="_Toc534185840"/>
      <w:bookmarkStart w:id="950" w:name="_Toc57905932"/>
      <w:bookmarkStart w:id="951" w:name="_Toc509218863"/>
      <w:r>
        <w:rPr>
          <w:rFonts w:hint="eastAsia" w:ascii="宋体" w:hAnsi="宋体"/>
          <w:b w:val="0"/>
          <w:bCs w:val="0"/>
          <w:color w:val="auto"/>
          <w:highlight w:val="none"/>
        </w:rPr>
        <w:t>（</w:t>
      </w:r>
      <w:r>
        <w:rPr>
          <w:rFonts w:hint="eastAsia" w:ascii="宋体" w:hAnsi="宋体"/>
          <w:b w:val="0"/>
          <w:bCs w:val="0"/>
          <w:color w:val="auto"/>
          <w:highlight w:val="none"/>
          <w:lang w:val="en-US" w:eastAsia="zh-CN"/>
        </w:rPr>
        <w:t>三</w:t>
      </w:r>
      <w:r>
        <w:rPr>
          <w:rFonts w:hint="eastAsia" w:ascii="宋体" w:hAnsi="宋体"/>
          <w:b w:val="0"/>
          <w:bCs w:val="0"/>
          <w:color w:val="auto"/>
          <w:highlight w:val="none"/>
        </w:rPr>
        <w:t>）项目管理机构</w:t>
      </w:r>
      <w:bookmarkEnd w:id="949"/>
      <w:bookmarkEnd w:id="950"/>
      <w:bookmarkEnd w:id="951"/>
    </w:p>
    <w:p w14:paraId="69FD352C">
      <w:pPr>
        <w:spacing w:line="360" w:lineRule="auto"/>
        <w:rPr>
          <w:rFonts w:ascii="宋体" w:hAnsi="宋体"/>
          <w:color w:val="auto"/>
          <w:highlight w:val="none"/>
        </w:rPr>
      </w:pPr>
    </w:p>
    <w:p w14:paraId="03FA8032">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45"/>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274"/>
        <w:gridCol w:w="1105"/>
        <w:gridCol w:w="1173"/>
        <w:gridCol w:w="1254"/>
        <w:gridCol w:w="1414"/>
        <w:gridCol w:w="896"/>
      </w:tblGrid>
      <w:tr w14:paraId="461B8B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64846BD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734" w:type="dxa"/>
            <w:vMerge w:val="restart"/>
            <w:vAlign w:val="center"/>
          </w:tcPr>
          <w:p w14:paraId="2135C52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776" w:type="dxa"/>
            <w:vMerge w:val="restart"/>
            <w:vAlign w:val="center"/>
          </w:tcPr>
          <w:p w14:paraId="4E6D045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职称</w:t>
            </w:r>
          </w:p>
        </w:tc>
        <w:tc>
          <w:tcPr>
            <w:tcW w:w="6220" w:type="dxa"/>
            <w:gridSpan w:val="5"/>
            <w:vAlign w:val="center"/>
          </w:tcPr>
          <w:p w14:paraId="26EBB16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14:paraId="1DC5434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14:paraId="773DFA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76E2AF12">
            <w:pPr>
              <w:autoSpaceDE w:val="0"/>
              <w:autoSpaceDN w:val="0"/>
              <w:adjustRightInd w:val="0"/>
              <w:snapToGrid w:val="0"/>
              <w:jc w:val="left"/>
              <w:rPr>
                <w:rFonts w:ascii="宋体" w:hAnsi="宋体"/>
                <w:color w:val="auto"/>
                <w:kern w:val="0"/>
                <w:szCs w:val="21"/>
                <w:highlight w:val="none"/>
              </w:rPr>
            </w:pPr>
          </w:p>
        </w:tc>
        <w:tc>
          <w:tcPr>
            <w:tcW w:w="734" w:type="dxa"/>
            <w:vMerge w:val="continue"/>
          </w:tcPr>
          <w:p w14:paraId="3B3AB07A">
            <w:pPr>
              <w:autoSpaceDE w:val="0"/>
              <w:autoSpaceDN w:val="0"/>
              <w:adjustRightInd w:val="0"/>
              <w:snapToGrid w:val="0"/>
              <w:jc w:val="left"/>
              <w:rPr>
                <w:rFonts w:ascii="宋体" w:hAnsi="宋体"/>
                <w:color w:val="auto"/>
                <w:kern w:val="0"/>
                <w:szCs w:val="21"/>
                <w:highlight w:val="none"/>
              </w:rPr>
            </w:pPr>
          </w:p>
        </w:tc>
        <w:tc>
          <w:tcPr>
            <w:tcW w:w="776" w:type="dxa"/>
            <w:vMerge w:val="continue"/>
          </w:tcPr>
          <w:p w14:paraId="6CDC8E8E">
            <w:pPr>
              <w:autoSpaceDE w:val="0"/>
              <w:autoSpaceDN w:val="0"/>
              <w:adjustRightInd w:val="0"/>
              <w:snapToGrid w:val="0"/>
              <w:jc w:val="left"/>
              <w:rPr>
                <w:rFonts w:ascii="宋体" w:hAnsi="宋体"/>
                <w:color w:val="auto"/>
                <w:kern w:val="0"/>
                <w:szCs w:val="21"/>
                <w:highlight w:val="none"/>
              </w:rPr>
            </w:pPr>
          </w:p>
        </w:tc>
        <w:tc>
          <w:tcPr>
            <w:tcW w:w="1274" w:type="dxa"/>
            <w:vAlign w:val="center"/>
          </w:tcPr>
          <w:p w14:paraId="6825325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1105" w:type="dxa"/>
            <w:vAlign w:val="center"/>
          </w:tcPr>
          <w:p w14:paraId="672EB93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1173" w:type="dxa"/>
            <w:vAlign w:val="center"/>
          </w:tcPr>
          <w:p w14:paraId="48BFDF8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1254" w:type="dxa"/>
            <w:vAlign w:val="center"/>
          </w:tcPr>
          <w:p w14:paraId="2B854F7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1414" w:type="dxa"/>
            <w:vAlign w:val="center"/>
          </w:tcPr>
          <w:p w14:paraId="524270A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tcPr>
          <w:p w14:paraId="76F3BBF2">
            <w:pPr>
              <w:autoSpaceDE w:val="0"/>
              <w:autoSpaceDN w:val="0"/>
              <w:adjustRightInd w:val="0"/>
              <w:snapToGrid w:val="0"/>
              <w:jc w:val="left"/>
              <w:rPr>
                <w:rFonts w:ascii="宋体" w:hAnsi="宋体"/>
                <w:color w:val="auto"/>
                <w:kern w:val="0"/>
                <w:szCs w:val="21"/>
                <w:highlight w:val="none"/>
              </w:rPr>
            </w:pPr>
          </w:p>
        </w:tc>
      </w:tr>
      <w:tr w14:paraId="16928E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69CCAEB2">
            <w:pPr>
              <w:autoSpaceDE w:val="0"/>
              <w:autoSpaceDN w:val="0"/>
              <w:adjustRightInd w:val="0"/>
              <w:snapToGrid w:val="0"/>
              <w:jc w:val="center"/>
              <w:rPr>
                <w:rFonts w:ascii="宋体" w:hAnsi="宋体"/>
                <w:color w:val="auto"/>
                <w:kern w:val="0"/>
                <w:szCs w:val="21"/>
                <w:highlight w:val="none"/>
              </w:rPr>
            </w:pPr>
          </w:p>
        </w:tc>
        <w:tc>
          <w:tcPr>
            <w:tcW w:w="734" w:type="dxa"/>
          </w:tcPr>
          <w:p w14:paraId="19B42290">
            <w:pPr>
              <w:autoSpaceDE w:val="0"/>
              <w:autoSpaceDN w:val="0"/>
              <w:adjustRightInd w:val="0"/>
              <w:snapToGrid w:val="0"/>
              <w:jc w:val="left"/>
              <w:rPr>
                <w:rFonts w:ascii="宋体" w:hAnsi="宋体"/>
                <w:color w:val="auto"/>
                <w:kern w:val="0"/>
                <w:szCs w:val="21"/>
                <w:highlight w:val="none"/>
              </w:rPr>
            </w:pPr>
          </w:p>
        </w:tc>
        <w:tc>
          <w:tcPr>
            <w:tcW w:w="776" w:type="dxa"/>
          </w:tcPr>
          <w:p w14:paraId="7203E031">
            <w:pPr>
              <w:autoSpaceDE w:val="0"/>
              <w:autoSpaceDN w:val="0"/>
              <w:adjustRightInd w:val="0"/>
              <w:snapToGrid w:val="0"/>
              <w:jc w:val="left"/>
              <w:rPr>
                <w:rFonts w:hint="eastAsia" w:ascii="宋体" w:hAnsi="宋体" w:eastAsia="宋体"/>
                <w:color w:val="auto"/>
                <w:kern w:val="0"/>
                <w:szCs w:val="21"/>
                <w:highlight w:val="none"/>
                <w:lang w:val="en-US" w:eastAsia="zh-CN"/>
              </w:rPr>
            </w:pPr>
          </w:p>
        </w:tc>
        <w:tc>
          <w:tcPr>
            <w:tcW w:w="1274" w:type="dxa"/>
          </w:tcPr>
          <w:p w14:paraId="069DFD7A">
            <w:pPr>
              <w:autoSpaceDE w:val="0"/>
              <w:autoSpaceDN w:val="0"/>
              <w:adjustRightInd w:val="0"/>
              <w:snapToGrid w:val="0"/>
              <w:jc w:val="left"/>
              <w:rPr>
                <w:rFonts w:ascii="宋体" w:hAnsi="宋体"/>
                <w:color w:val="auto"/>
                <w:kern w:val="0"/>
                <w:szCs w:val="21"/>
                <w:highlight w:val="none"/>
              </w:rPr>
            </w:pPr>
          </w:p>
        </w:tc>
        <w:tc>
          <w:tcPr>
            <w:tcW w:w="1105" w:type="dxa"/>
          </w:tcPr>
          <w:p w14:paraId="298235B0">
            <w:pPr>
              <w:autoSpaceDE w:val="0"/>
              <w:autoSpaceDN w:val="0"/>
              <w:adjustRightInd w:val="0"/>
              <w:snapToGrid w:val="0"/>
              <w:jc w:val="left"/>
              <w:rPr>
                <w:rFonts w:ascii="宋体" w:hAnsi="宋体"/>
                <w:color w:val="auto"/>
                <w:kern w:val="0"/>
                <w:szCs w:val="21"/>
                <w:highlight w:val="none"/>
              </w:rPr>
            </w:pPr>
          </w:p>
        </w:tc>
        <w:tc>
          <w:tcPr>
            <w:tcW w:w="1173" w:type="dxa"/>
          </w:tcPr>
          <w:p w14:paraId="15751A6A">
            <w:pPr>
              <w:autoSpaceDE w:val="0"/>
              <w:autoSpaceDN w:val="0"/>
              <w:adjustRightInd w:val="0"/>
              <w:snapToGrid w:val="0"/>
              <w:jc w:val="left"/>
              <w:rPr>
                <w:rFonts w:ascii="宋体" w:hAnsi="宋体"/>
                <w:color w:val="auto"/>
                <w:kern w:val="0"/>
                <w:szCs w:val="21"/>
                <w:highlight w:val="none"/>
              </w:rPr>
            </w:pPr>
          </w:p>
        </w:tc>
        <w:tc>
          <w:tcPr>
            <w:tcW w:w="1254" w:type="dxa"/>
          </w:tcPr>
          <w:p w14:paraId="65DBEB98">
            <w:pPr>
              <w:autoSpaceDE w:val="0"/>
              <w:autoSpaceDN w:val="0"/>
              <w:adjustRightInd w:val="0"/>
              <w:snapToGrid w:val="0"/>
              <w:jc w:val="left"/>
              <w:rPr>
                <w:rFonts w:ascii="宋体" w:hAnsi="宋体"/>
                <w:color w:val="auto"/>
                <w:kern w:val="0"/>
                <w:szCs w:val="21"/>
                <w:highlight w:val="none"/>
              </w:rPr>
            </w:pPr>
          </w:p>
        </w:tc>
        <w:tc>
          <w:tcPr>
            <w:tcW w:w="1414" w:type="dxa"/>
          </w:tcPr>
          <w:p w14:paraId="18054311">
            <w:pPr>
              <w:autoSpaceDE w:val="0"/>
              <w:autoSpaceDN w:val="0"/>
              <w:adjustRightInd w:val="0"/>
              <w:snapToGrid w:val="0"/>
              <w:jc w:val="left"/>
              <w:rPr>
                <w:rFonts w:ascii="宋体" w:hAnsi="宋体"/>
                <w:color w:val="auto"/>
                <w:kern w:val="0"/>
                <w:szCs w:val="21"/>
                <w:highlight w:val="none"/>
              </w:rPr>
            </w:pPr>
          </w:p>
        </w:tc>
        <w:tc>
          <w:tcPr>
            <w:tcW w:w="896" w:type="dxa"/>
          </w:tcPr>
          <w:p w14:paraId="44E0EF6A">
            <w:pPr>
              <w:autoSpaceDE w:val="0"/>
              <w:autoSpaceDN w:val="0"/>
              <w:adjustRightInd w:val="0"/>
              <w:snapToGrid w:val="0"/>
              <w:jc w:val="left"/>
              <w:rPr>
                <w:rFonts w:ascii="宋体" w:hAnsi="宋体"/>
                <w:color w:val="auto"/>
                <w:kern w:val="0"/>
                <w:szCs w:val="21"/>
                <w:highlight w:val="none"/>
              </w:rPr>
            </w:pPr>
          </w:p>
        </w:tc>
      </w:tr>
      <w:tr w14:paraId="4B5D38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7C0F745E">
            <w:pPr>
              <w:autoSpaceDE w:val="0"/>
              <w:autoSpaceDN w:val="0"/>
              <w:adjustRightInd w:val="0"/>
              <w:snapToGrid w:val="0"/>
              <w:jc w:val="center"/>
              <w:rPr>
                <w:rFonts w:ascii="宋体" w:hAnsi="宋体"/>
                <w:color w:val="auto"/>
                <w:kern w:val="0"/>
                <w:szCs w:val="21"/>
                <w:highlight w:val="none"/>
              </w:rPr>
            </w:pPr>
          </w:p>
        </w:tc>
        <w:tc>
          <w:tcPr>
            <w:tcW w:w="734" w:type="dxa"/>
          </w:tcPr>
          <w:p w14:paraId="0ED2054C">
            <w:pPr>
              <w:autoSpaceDE w:val="0"/>
              <w:autoSpaceDN w:val="0"/>
              <w:adjustRightInd w:val="0"/>
              <w:snapToGrid w:val="0"/>
              <w:jc w:val="left"/>
              <w:rPr>
                <w:rFonts w:ascii="宋体" w:hAnsi="宋体"/>
                <w:color w:val="auto"/>
                <w:kern w:val="0"/>
                <w:szCs w:val="21"/>
                <w:highlight w:val="none"/>
              </w:rPr>
            </w:pPr>
          </w:p>
        </w:tc>
        <w:tc>
          <w:tcPr>
            <w:tcW w:w="776" w:type="dxa"/>
          </w:tcPr>
          <w:p w14:paraId="317BFEEF">
            <w:pPr>
              <w:autoSpaceDE w:val="0"/>
              <w:autoSpaceDN w:val="0"/>
              <w:adjustRightInd w:val="0"/>
              <w:snapToGrid w:val="0"/>
              <w:jc w:val="left"/>
              <w:rPr>
                <w:rFonts w:ascii="宋体" w:hAnsi="宋体"/>
                <w:color w:val="auto"/>
                <w:kern w:val="0"/>
                <w:szCs w:val="21"/>
                <w:highlight w:val="none"/>
              </w:rPr>
            </w:pPr>
          </w:p>
        </w:tc>
        <w:tc>
          <w:tcPr>
            <w:tcW w:w="1274" w:type="dxa"/>
          </w:tcPr>
          <w:p w14:paraId="0E6705CA">
            <w:pPr>
              <w:autoSpaceDE w:val="0"/>
              <w:autoSpaceDN w:val="0"/>
              <w:adjustRightInd w:val="0"/>
              <w:snapToGrid w:val="0"/>
              <w:jc w:val="left"/>
              <w:rPr>
                <w:rFonts w:ascii="宋体" w:hAnsi="宋体"/>
                <w:color w:val="auto"/>
                <w:kern w:val="0"/>
                <w:szCs w:val="21"/>
                <w:highlight w:val="none"/>
              </w:rPr>
            </w:pPr>
          </w:p>
        </w:tc>
        <w:tc>
          <w:tcPr>
            <w:tcW w:w="1105" w:type="dxa"/>
          </w:tcPr>
          <w:p w14:paraId="663B030D">
            <w:pPr>
              <w:autoSpaceDE w:val="0"/>
              <w:autoSpaceDN w:val="0"/>
              <w:adjustRightInd w:val="0"/>
              <w:snapToGrid w:val="0"/>
              <w:jc w:val="left"/>
              <w:rPr>
                <w:rFonts w:ascii="宋体" w:hAnsi="宋体"/>
                <w:color w:val="auto"/>
                <w:kern w:val="0"/>
                <w:szCs w:val="21"/>
                <w:highlight w:val="none"/>
              </w:rPr>
            </w:pPr>
          </w:p>
        </w:tc>
        <w:tc>
          <w:tcPr>
            <w:tcW w:w="1173" w:type="dxa"/>
          </w:tcPr>
          <w:p w14:paraId="247DD028">
            <w:pPr>
              <w:autoSpaceDE w:val="0"/>
              <w:autoSpaceDN w:val="0"/>
              <w:adjustRightInd w:val="0"/>
              <w:snapToGrid w:val="0"/>
              <w:jc w:val="left"/>
              <w:rPr>
                <w:rFonts w:ascii="宋体" w:hAnsi="宋体"/>
                <w:color w:val="auto"/>
                <w:kern w:val="0"/>
                <w:szCs w:val="21"/>
                <w:highlight w:val="none"/>
              </w:rPr>
            </w:pPr>
          </w:p>
        </w:tc>
        <w:tc>
          <w:tcPr>
            <w:tcW w:w="1254" w:type="dxa"/>
          </w:tcPr>
          <w:p w14:paraId="42840755">
            <w:pPr>
              <w:autoSpaceDE w:val="0"/>
              <w:autoSpaceDN w:val="0"/>
              <w:adjustRightInd w:val="0"/>
              <w:snapToGrid w:val="0"/>
              <w:jc w:val="left"/>
              <w:rPr>
                <w:rFonts w:ascii="宋体" w:hAnsi="宋体"/>
                <w:color w:val="auto"/>
                <w:kern w:val="0"/>
                <w:szCs w:val="21"/>
                <w:highlight w:val="none"/>
              </w:rPr>
            </w:pPr>
          </w:p>
        </w:tc>
        <w:tc>
          <w:tcPr>
            <w:tcW w:w="1414" w:type="dxa"/>
          </w:tcPr>
          <w:p w14:paraId="28CB90B9">
            <w:pPr>
              <w:autoSpaceDE w:val="0"/>
              <w:autoSpaceDN w:val="0"/>
              <w:adjustRightInd w:val="0"/>
              <w:snapToGrid w:val="0"/>
              <w:jc w:val="left"/>
              <w:rPr>
                <w:rFonts w:ascii="宋体" w:hAnsi="宋体"/>
                <w:color w:val="auto"/>
                <w:kern w:val="0"/>
                <w:szCs w:val="21"/>
                <w:highlight w:val="none"/>
              </w:rPr>
            </w:pPr>
          </w:p>
        </w:tc>
        <w:tc>
          <w:tcPr>
            <w:tcW w:w="896" w:type="dxa"/>
          </w:tcPr>
          <w:p w14:paraId="0EFC4BE7">
            <w:pPr>
              <w:autoSpaceDE w:val="0"/>
              <w:autoSpaceDN w:val="0"/>
              <w:adjustRightInd w:val="0"/>
              <w:snapToGrid w:val="0"/>
              <w:jc w:val="left"/>
              <w:rPr>
                <w:rFonts w:ascii="宋体" w:hAnsi="宋体"/>
                <w:color w:val="auto"/>
                <w:kern w:val="0"/>
                <w:szCs w:val="21"/>
                <w:highlight w:val="none"/>
              </w:rPr>
            </w:pPr>
          </w:p>
        </w:tc>
      </w:tr>
      <w:tr w14:paraId="7A3E51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B60E7EC">
            <w:pPr>
              <w:autoSpaceDE w:val="0"/>
              <w:autoSpaceDN w:val="0"/>
              <w:adjustRightInd w:val="0"/>
              <w:snapToGrid w:val="0"/>
              <w:jc w:val="left"/>
              <w:rPr>
                <w:rFonts w:ascii="宋体" w:hAnsi="宋体"/>
                <w:color w:val="auto"/>
                <w:kern w:val="0"/>
                <w:szCs w:val="21"/>
                <w:highlight w:val="none"/>
              </w:rPr>
            </w:pPr>
          </w:p>
        </w:tc>
        <w:tc>
          <w:tcPr>
            <w:tcW w:w="734" w:type="dxa"/>
          </w:tcPr>
          <w:p w14:paraId="22399BBE">
            <w:pPr>
              <w:autoSpaceDE w:val="0"/>
              <w:autoSpaceDN w:val="0"/>
              <w:adjustRightInd w:val="0"/>
              <w:snapToGrid w:val="0"/>
              <w:jc w:val="left"/>
              <w:rPr>
                <w:rFonts w:ascii="宋体" w:hAnsi="宋体"/>
                <w:color w:val="auto"/>
                <w:kern w:val="0"/>
                <w:szCs w:val="21"/>
                <w:highlight w:val="none"/>
              </w:rPr>
            </w:pPr>
          </w:p>
        </w:tc>
        <w:tc>
          <w:tcPr>
            <w:tcW w:w="776" w:type="dxa"/>
          </w:tcPr>
          <w:p w14:paraId="6F86769F">
            <w:pPr>
              <w:autoSpaceDE w:val="0"/>
              <w:autoSpaceDN w:val="0"/>
              <w:adjustRightInd w:val="0"/>
              <w:snapToGrid w:val="0"/>
              <w:jc w:val="left"/>
              <w:rPr>
                <w:rFonts w:ascii="宋体" w:hAnsi="宋体"/>
                <w:color w:val="auto"/>
                <w:kern w:val="0"/>
                <w:szCs w:val="21"/>
                <w:highlight w:val="none"/>
              </w:rPr>
            </w:pPr>
          </w:p>
        </w:tc>
        <w:tc>
          <w:tcPr>
            <w:tcW w:w="1274" w:type="dxa"/>
          </w:tcPr>
          <w:p w14:paraId="75ECF146">
            <w:pPr>
              <w:autoSpaceDE w:val="0"/>
              <w:autoSpaceDN w:val="0"/>
              <w:adjustRightInd w:val="0"/>
              <w:snapToGrid w:val="0"/>
              <w:jc w:val="left"/>
              <w:rPr>
                <w:rFonts w:ascii="宋体" w:hAnsi="宋体"/>
                <w:color w:val="auto"/>
                <w:kern w:val="0"/>
                <w:szCs w:val="21"/>
                <w:highlight w:val="none"/>
              </w:rPr>
            </w:pPr>
          </w:p>
        </w:tc>
        <w:tc>
          <w:tcPr>
            <w:tcW w:w="1105" w:type="dxa"/>
          </w:tcPr>
          <w:p w14:paraId="23066954">
            <w:pPr>
              <w:autoSpaceDE w:val="0"/>
              <w:autoSpaceDN w:val="0"/>
              <w:adjustRightInd w:val="0"/>
              <w:snapToGrid w:val="0"/>
              <w:jc w:val="left"/>
              <w:rPr>
                <w:rFonts w:ascii="宋体" w:hAnsi="宋体"/>
                <w:color w:val="auto"/>
                <w:kern w:val="0"/>
                <w:szCs w:val="21"/>
                <w:highlight w:val="none"/>
              </w:rPr>
            </w:pPr>
          </w:p>
        </w:tc>
        <w:tc>
          <w:tcPr>
            <w:tcW w:w="1173" w:type="dxa"/>
          </w:tcPr>
          <w:p w14:paraId="1B0C22D7">
            <w:pPr>
              <w:autoSpaceDE w:val="0"/>
              <w:autoSpaceDN w:val="0"/>
              <w:adjustRightInd w:val="0"/>
              <w:snapToGrid w:val="0"/>
              <w:jc w:val="left"/>
              <w:rPr>
                <w:rFonts w:ascii="宋体" w:hAnsi="宋体"/>
                <w:color w:val="auto"/>
                <w:kern w:val="0"/>
                <w:szCs w:val="21"/>
                <w:highlight w:val="none"/>
              </w:rPr>
            </w:pPr>
          </w:p>
        </w:tc>
        <w:tc>
          <w:tcPr>
            <w:tcW w:w="1254" w:type="dxa"/>
          </w:tcPr>
          <w:p w14:paraId="1BB044F5">
            <w:pPr>
              <w:autoSpaceDE w:val="0"/>
              <w:autoSpaceDN w:val="0"/>
              <w:adjustRightInd w:val="0"/>
              <w:snapToGrid w:val="0"/>
              <w:jc w:val="left"/>
              <w:rPr>
                <w:rFonts w:ascii="宋体" w:hAnsi="宋体"/>
                <w:color w:val="auto"/>
                <w:kern w:val="0"/>
                <w:szCs w:val="21"/>
                <w:highlight w:val="none"/>
              </w:rPr>
            </w:pPr>
          </w:p>
        </w:tc>
        <w:tc>
          <w:tcPr>
            <w:tcW w:w="1414" w:type="dxa"/>
          </w:tcPr>
          <w:p w14:paraId="68E81B5A">
            <w:pPr>
              <w:autoSpaceDE w:val="0"/>
              <w:autoSpaceDN w:val="0"/>
              <w:adjustRightInd w:val="0"/>
              <w:snapToGrid w:val="0"/>
              <w:jc w:val="left"/>
              <w:rPr>
                <w:rFonts w:ascii="宋体" w:hAnsi="宋体"/>
                <w:color w:val="auto"/>
                <w:kern w:val="0"/>
                <w:szCs w:val="21"/>
                <w:highlight w:val="none"/>
              </w:rPr>
            </w:pPr>
          </w:p>
        </w:tc>
        <w:tc>
          <w:tcPr>
            <w:tcW w:w="896" w:type="dxa"/>
          </w:tcPr>
          <w:p w14:paraId="49CB49C5">
            <w:pPr>
              <w:autoSpaceDE w:val="0"/>
              <w:autoSpaceDN w:val="0"/>
              <w:adjustRightInd w:val="0"/>
              <w:snapToGrid w:val="0"/>
              <w:jc w:val="left"/>
              <w:rPr>
                <w:rFonts w:ascii="宋体" w:hAnsi="宋体"/>
                <w:color w:val="auto"/>
                <w:kern w:val="0"/>
                <w:szCs w:val="21"/>
                <w:highlight w:val="none"/>
              </w:rPr>
            </w:pPr>
          </w:p>
        </w:tc>
      </w:tr>
      <w:tr w14:paraId="248146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EA6CAEF">
            <w:pPr>
              <w:autoSpaceDE w:val="0"/>
              <w:autoSpaceDN w:val="0"/>
              <w:adjustRightInd w:val="0"/>
              <w:snapToGrid w:val="0"/>
              <w:jc w:val="left"/>
              <w:rPr>
                <w:rFonts w:ascii="宋体" w:hAnsi="宋体"/>
                <w:color w:val="auto"/>
                <w:kern w:val="0"/>
                <w:szCs w:val="21"/>
                <w:highlight w:val="none"/>
              </w:rPr>
            </w:pPr>
          </w:p>
        </w:tc>
        <w:tc>
          <w:tcPr>
            <w:tcW w:w="734" w:type="dxa"/>
          </w:tcPr>
          <w:p w14:paraId="37B41B80">
            <w:pPr>
              <w:autoSpaceDE w:val="0"/>
              <w:autoSpaceDN w:val="0"/>
              <w:adjustRightInd w:val="0"/>
              <w:snapToGrid w:val="0"/>
              <w:jc w:val="left"/>
              <w:rPr>
                <w:rFonts w:ascii="宋体" w:hAnsi="宋体"/>
                <w:color w:val="auto"/>
                <w:kern w:val="0"/>
                <w:szCs w:val="21"/>
                <w:highlight w:val="none"/>
              </w:rPr>
            </w:pPr>
          </w:p>
        </w:tc>
        <w:tc>
          <w:tcPr>
            <w:tcW w:w="776" w:type="dxa"/>
          </w:tcPr>
          <w:p w14:paraId="5E7BCB43">
            <w:pPr>
              <w:autoSpaceDE w:val="0"/>
              <w:autoSpaceDN w:val="0"/>
              <w:adjustRightInd w:val="0"/>
              <w:snapToGrid w:val="0"/>
              <w:jc w:val="left"/>
              <w:rPr>
                <w:rFonts w:ascii="宋体" w:hAnsi="宋体"/>
                <w:color w:val="auto"/>
                <w:kern w:val="0"/>
                <w:szCs w:val="21"/>
                <w:highlight w:val="none"/>
              </w:rPr>
            </w:pPr>
          </w:p>
        </w:tc>
        <w:tc>
          <w:tcPr>
            <w:tcW w:w="1274" w:type="dxa"/>
          </w:tcPr>
          <w:p w14:paraId="1723DF82">
            <w:pPr>
              <w:autoSpaceDE w:val="0"/>
              <w:autoSpaceDN w:val="0"/>
              <w:adjustRightInd w:val="0"/>
              <w:snapToGrid w:val="0"/>
              <w:jc w:val="left"/>
              <w:rPr>
                <w:rFonts w:ascii="宋体" w:hAnsi="宋体"/>
                <w:color w:val="auto"/>
                <w:kern w:val="0"/>
                <w:szCs w:val="21"/>
                <w:highlight w:val="none"/>
              </w:rPr>
            </w:pPr>
          </w:p>
        </w:tc>
        <w:tc>
          <w:tcPr>
            <w:tcW w:w="1105" w:type="dxa"/>
          </w:tcPr>
          <w:p w14:paraId="46A9D3DD">
            <w:pPr>
              <w:autoSpaceDE w:val="0"/>
              <w:autoSpaceDN w:val="0"/>
              <w:adjustRightInd w:val="0"/>
              <w:snapToGrid w:val="0"/>
              <w:jc w:val="left"/>
              <w:rPr>
                <w:rFonts w:ascii="宋体" w:hAnsi="宋体"/>
                <w:color w:val="auto"/>
                <w:kern w:val="0"/>
                <w:szCs w:val="21"/>
                <w:highlight w:val="none"/>
              </w:rPr>
            </w:pPr>
          </w:p>
        </w:tc>
        <w:tc>
          <w:tcPr>
            <w:tcW w:w="1173" w:type="dxa"/>
          </w:tcPr>
          <w:p w14:paraId="79C43990">
            <w:pPr>
              <w:autoSpaceDE w:val="0"/>
              <w:autoSpaceDN w:val="0"/>
              <w:adjustRightInd w:val="0"/>
              <w:snapToGrid w:val="0"/>
              <w:jc w:val="left"/>
              <w:rPr>
                <w:rFonts w:ascii="宋体" w:hAnsi="宋体"/>
                <w:color w:val="auto"/>
                <w:kern w:val="0"/>
                <w:szCs w:val="21"/>
                <w:highlight w:val="none"/>
              </w:rPr>
            </w:pPr>
          </w:p>
        </w:tc>
        <w:tc>
          <w:tcPr>
            <w:tcW w:w="1254" w:type="dxa"/>
          </w:tcPr>
          <w:p w14:paraId="3FCAE91F">
            <w:pPr>
              <w:autoSpaceDE w:val="0"/>
              <w:autoSpaceDN w:val="0"/>
              <w:adjustRightInd w:val="0"/>
              <w:snapToGrid w:val="0"/>
              <w:jc w:val="left"/>
              <w:rPr>
                <w:rFonts w:ascii="宋体" w:hAnsi="宋体"/>
                <w:color w:val="auto"/>
                <w:kern w:val="0"/>
                <w:szCs w:val="21"/>
                <w:highlight w:val="none"/>
              </w:rPr>
            </w:pPr>
          </w:p>
        </w:tc>
        <w:tc>
          <w:tcPr>
            <w:tcW w:w="1414" w:type="dxa"/>
          </w:tcPr>
          <w:p w14:paraId="72C44EFE">
            <w:pPr>
              <w:autoSpaceDE w:val="0"/>
              <w:autoSpaceDN w:val="0"/>
              <w:adjustRightInd w:val="0"/>
              <w:snapToGrid w:val="0"/>
              <w:jc w:val="left"/>
              <w:rPr>
                <w:rFonts w:ascii="宋体" w:hAnsi="宋体"/>
                <w:color w:val="auto"/>
                <w:kern w:val="0"/>
                <w:szCs w:val="21"/>
                <w:highlight w:val="none"/>
              </w:rPr>
            </w:pPr>
          </w:p>
        </w:tc>
        <w:tc>
          <w:tcPr>
            <w:tcW w:w="896" w:type="dxa"/>
          </w:tcPr>
          <w:p w14:paraId="4FDC97C7">
            <w:pPr>
              <w:autoSpaceDE w:val="0"/>
              <w:autoSpaceDN w:val="0"/>
              <w:adjustRightInd w:val="0"/>
              <w:snapToGrid w:val="0"/>
              <w:jc w:val="left"/>
              <w:rPr>
                <w:rFonts w:ascii="宋体" w:hAnsi="宋体"/>
                <w:color w:val="auto"/>
                <w:kern w:val="0"/>
                <w:szCs w:val="21"/>
                <w:highlight w:val="none"/>
              </w:rPr>
            </w:pPr>
          </w:p>
        </w:tc>
      </w:tr>
      <w:tr w14:paraId="6FE576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1DF6A8C">
            <w:pPr>
              <w:autoSpaceDE w:val="0"/>
              <w:autoSpaceDN w:val="0"/>
              <w:adjustRightInd w:val="0"/>
              <w:snapToGrid w:val="0"/>
              <w:jc w:val="left"/>
              <w:rPr>
                <w:rFonts w:ascii="宋体" w:hAnsi="宋体"/>
                <w:color w:val="auto"/>
                <w:kern w:val="0"/>
                <w:szCs w:val="21"/>
                <w:highlight w:val="none"/>
              </w:rPr>
            </w:pPr>
          </w:p>
        </w:tc>
        <w:tc>
          <w:tcPr>
            <w:tcW w:w="734" w:type="dxa"/>
          </w:tcPr>
          <w:p w14:paraId="725BEE88">
            <w:pPr>
              <w:autoSpaceDE w:val="0"/>
              <w:autoSpaceDN w:val="0"/>
              <w:adjustRightInd w:val="0"/>
              <w:snapToGrid w:val="0"/>
              <w:jc w:val="left"/>
              <w:rPr>
                <w:rFonts w:ascii="宋体" w:hAnsi="宋体"/>
                <w:color w:val="auto"/>
                <w:kern w:val="0"/>
                <w:szCs w:val="21"/>
                <w:highlight w:val="none"/>
              </w:rPr>
            </w:pPr>
          </w:p>
        </w:tc>
        <w:tc>
          <w:tcPr>
            <w:tcW w:w="776" w:type="dxa"/>
          </w:tcPr>
          <w:p w14:paraId="62AB9C4D">
            <w:pPr>
              <w:autoSpaceDE w:val="0"/>
              <w:autoSpaceDN w:val="0"/>
              <w:adjustRightInd w:val="0"/>
              <w:snapToGrid w:val="0"/>
              <w:jc w:val="left"/>
              <w:rPr>
                <w:rFonts w:ascii="宋体" w:hAnsi="宋体"/>
                <w:color w:val="auto"/>
                <w:kern w:val="0"/>
                <w:szCs w:val="21"/>
                <w:highlight w:val="none"/>
              </w:rPr>
            </w:pPr>
          </w:p>
        </w:tc>
        <w:tc>
          <w:tcPr>
            <w:tcW w:w="1274" w:type="dxa"/>
          </w:tcPr>
          <w:p w14:paraId="6D9C04EB">
            <w:pPr>
              <w:autoSpaceDE w:val="0"/>
              <w:autoSpaceDN w:val="0"/>
              <w:adjustRightInd w:val="0"/>
              <w:snapToGrid w:val="0"/>
              <w:jc w:val="left"/>
              <w:rPr>
                <w:rFonts w:ascii="宋体" w:hAnsi="宋体"/>
                <w:color w:val="auto"/>
                <w:kern w:val="0"/>
                <w:szCs w:val="21"/>
                <w:highlight w:val="none"/>
              </w:rPr>
            </w:pPr>
          </w:p>
        </w:tc>
        <w:tc>
          <w:tcPr>
            <w:tcW w:w="1105" w:type="dxa"/>
          </w:tcPr>
          <w:p w14:paraId="100127CB">
            <w:pPr>
              <w:autoSpaceDE w:val="0"/>
              <w:autoSpaceDN w:val="0"/>
              <w:adjustRightInd w:val="0"/>
              <w:snapToGrid w:val="0"/>
              <w:jc w:val="left"/>
              <w:rPr>
                <w:rFonts w:ascii="宋体" w:hAnsi="宋体"/>
                <w:color w:val="auto"/>
                <w:kern w:val="0"/>
                <w:szCs w:val="21"/>
                <w:highlight w:val="none"/>
              </w:rPr>
            </w:pPr>
          </w:p>
        </w:tc>
        <w:tc>
          <w:tcPr>
            <w:tcW w:w="1173" w:type="dxa"/>
          </w:tcPr>
          <w:p w14:paraId="4B36EADF">
            <w:pPr>
              <w:autoSpaceDE w:val="0"/>
              <w:autoSpaceDN w:val="0"/>
              <w:adjustRightInd w:val="0"/>
              <w:snapToGrid w:val="0"/>
              <w:jc w:val="left"/>
              <w:rPr>
                <w:rFonts w:ascii="宋体" w:hAnsi="宋体"/>
                <w:color w:val="auto"/>
                <w:kern w:val="0"/>
                <w:szCs w:val="21"/>
                <w:highlight w:val="none"/>
              </w:rPr>
            </w:pPr>
          </w:p>
        </w:tc>
        <w:tc>
          <w:tcPr>
            <w:tcW w:w="1254" w:type="dxa"/>
          </w:tcPr>
          <w:p w14:paraId="5BE0AA72">
            <w:pPr>
              <w:autoSpaceDE w:val="0"/>
              <w:autoSpaceDN w:val="0"/>
              <w:adjustRightInd w:val="0"/>
              <w:snapToGrid w:val="0"/>
              <w:jc w:val="left"/>
              <w:rPr>
                <w:rFonts w:ascii="宋体" w:hAnsi="宋体"/>
                <w:color w:val="auto"/>
                <w:kern w:val="0"/>
                <w:szCs w:val="21"/>
                <w:highlight w:val="none"/>
              </w:rPr>
            </w:pPr>
          </w:p>
        </w:tc>
        <w:tc>
          <w:tcPr>
            <w:tcW w:w="1414" w:type="dxa"/>
          </w:tcPr>
          <w:p w14:paraId="6B1F003B">
            <w:pPr>
              <w:autoSpaceDE w:val="0"/>
              <w:autoSpaceDN w:val="0"/>
              <w:adjustRightInd w:val="0"/>
              <w:snapToGrid w:val="0"/>
              <w:jc w:val="left"/>
              <w:rPr>
                <w:rFonts w:ascii="宋体" w:hAnsi="宋体"/>
                <w:color w:val="auto"/>
                <w:kern w:val="0"/>
                <w:szCs w:val="21"/>
                <w:highlight w:val="none"/>
              </w:rPr>
            </w:pPr>
          </w:p>
        </w:tc>
        <w:tc>
          <w:tcPr>
            <w:tcW w:w="896" w:type="dxa"/>
          </w:tcPr>
          <w:p w14:paraId="69C11198">
            <w:pPr>
              <w:autoSpaceDE w:val="0"/>
              <w:autoSpaceDN w:val="0"/>
              <w:adjustRightInd w:val="0"/>
              <w:snapToGrid w:val="0"/>
              <w:jc w:val="left"/>
              <w:rPr>
                <w:rFonts w:ascii="宋体" w:hAnsi="宋体"/>
                <w:color w:val="auto"/>
                <w:kern w:val="0"/>
                <w:szCs w:val="21"/>
                <w:highlight w:val="none"/>
              </w:rPr>
            </w:pPr>
          </w:p>
        </w:tc>
      </w:tr>
      <w:tr w14:paraId="493B4A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E0E586E">
            <w:pPr>
              <w:autoSpaceDE w:val="0"/>
              <w:autoSpaceDN w:val="0"/>
              <w:adjustRightInd w:val="0"/>
              <w:snapToGrid w:val="0"/>
              <w:jc w:val="left"/>
              <w:rPr>
                <w:rFonts w:ascii="宋体" w:hAnsi="宋体"/>
                <w:color w:val="auto"/>
                <w:kern w:val="0"/>
                <w:szCs w:val="21"/>
                <w:highlight w:val="none"/>
              </w:rPr>
            </w:pPr>
          </w:p>
        </w:tc>
        <w:tc>
          <w:tcPr>
            <w:tcW w:w="734" w:type="dxa"/>
          </w:tcPr>
          <w:p w14:paraId="1873AF57">
            <w:pPr>
              <w:autoSpaceDE w:val="0"/>
              <w:autoSpaceDN w:val="0"/>
              <w:adjustRightInd w:val="0"/>
              <w:snapToGrid w:val="0"/>
              <w:jc w:val="left"/>
              <w:rPr>
                <w:rFonts w:ascii="宋体" w:hAnsi="宋体"/>
                <w:color w:val="auto"/>
                <w:kern w:val="0"/>
                <w:szCs w:val="21"/>
                <w:highlight w:val="none"/>
              </w:rPr>
            </w:pPr>
          </w:p>
        </w:tc>
        <w:tc>
          <w:tcPr>
            <w:tcW w:w="776" w:type="dxa"/>
          </w:tcPr>
          <w:p w14:paraId="731D46A5">
            <w:pPr>
              <w:autoSpaceDE w:val="0"/>
              <w:autoSpaceDN w:val="0"/>
              <w:adjustRightInd w:val="0"/>
              <w:snapToGrid w:val="0"/>
              <w:jc w:val="left"/>
              <w:rPr>
                <w:rFonts w:ascii="宋体" w:hAnsi="宋体"/>
                <w:color w:val="auto"/>
                <w:kern w:val="0"/>
                <w:szCs w:val="21"/>
                <w:highlight w:val="none"/>
              </w:rPr>
            </w:pPr>
          </w:p>
        </w:tc>
        <w:tc>
          <w:tcPr>
            <w:tcW w:w="1274" w:type="dxa"/>
          </w:tcPr>
          <w:p w14:paraId="28B8322B">
            <w:pPr>
              <w:autoSpaceDE w:val="0"/>
              <w:autoSpaceDN w:val="0"/>
              <w:adjustRightInd w:val="0"/>
              <w:snapToGrid w:val="0"/>
              <w:jc w:val="left"/>
              <w:rPr>
                <w:rFonts w:ascii="宋体" w:hAnsi="宋体"/>
                <w:color w:val="auto"/>
                <w:kern w:val="0"/>
                <w:szCs w:val="21"/>
                <w:highlight w:val="none"/>
              </w:rPr>
            </w:pPr>
          </w:p>
        </w:tc>
        <w:tc>
          <w:tcPr>
            <w:tcW w:w="1105" w:type="dxa"/>
          </w:tcPr>
          <w:p w14:paraId="797E6EA7">
            <w:pPr>
              <w:autoSpaceDE w:val="0"/>
              <w:autoSpaceDN w:val="0"/>
              <w:adjustRightInd w:val="0"/>
              <w:snapToGrid w:val="0"/>
              <w:jc w:val="left"/>
              <w:rPr>
                <w:rFonts w:ascii="宋体" w:hAnsi="宋体"/>
                <w:color w:val="auto"/>
                <w:kern w:val="0"/>
                <w:szCs w:val="21"/>
                <w:highlight w:val="none"/>
              </w:rPr>
            </w:pPr>
          </w:p>
        </w:tc>
        <w:tc>
          <w:tcPr>
            <w:tcW w:w="1173" w:type="dxa"/>
          </w:tcPr>
          <w:p w14:paraId="31D826F0">
            <w:pPr>
              <w:autoSpaceDE w:val="0"/>
              <w:autoSpaceDN w:val="0"/>
              <w:adjustRightInd w:val="0"/>
              <w:snapToGrid w:val="0"/>
              <w:jc w:val="left"/>
              <w:rPr>
                <w:rFonts w:ascii="宋体" w:hAnsi="宋体"/>
                <w:color w:val="auto"/>
                <w:kern w:val="0"/>
                <w:szCs w:val="21"/>
                <w:highlight w:val="none"/>
              </w:rPr>
            </w:pPr>
          </w:p>
        </w:tc>
        <w:tc>
          <w:tcPr>
            <w:tcW w:w="1254" w:type="dxa"/>
          </w:tcPr>
          <w:p w14:paraId="654E0BA4">
            <w:pPr>
              <w:autoSpaceDE w:val="0"/>
              <w:autoSpaceDN w:val="0"/>
              <w:adjustRightInd w:val="0"/>
              <w:snapToGrid w:val="0"/>
              <w:jc w:val="left"/>
              <w:rPr>
                <w:rFonts w:ascii="宋体" w:hAnsi="宋体"/>
                <w:color w:val="auto"/>
                <w:kern w:val="0"/>
                <w:szCs w:val="21"/>
                <w:highlight w:val="none"/>
              </w:rPr>
            </w:pPr>
          </w:p>
        </w:tc>
        <w:tc>
          <w:tcPr>
            <w:tcW w:w="1414" w:type="dxa"/>
          </w:tcPr>
          <w:p w14:paraId="17A9E1D1">
            <w:pPr>
              <w:autoSpaceDE w:val="0"/>
              <w:autoSpaceDN w:val="0"/>
              <w:adjustRightInd w:val="0"/>
              <w:snapToGrid w:val="0"/>
              <w:jc w:val="left"/>
              <w:rPr>
                <w:rFonts w:ascii="宋体" w:hAnsi="宋体"/>
                <w:color w:val="auto"/>
                <w:kern w:val="0"/>
                <w:szCs w:val="21"/>
                <w:highlight w:val="none"/>
              </w:rPr>
            </w:pPr>
          </w:p>
        </w:tc>
        <w:tc>
          <w:tcPr>
            <w:tcW w:w="896" w:type="dxa"/>
          </w:tcPr>
          <w:p w14:paraId="7BFD97CF">
            <w:pPr>
              <w:autoSpaceDE w:val="0"/>
              <w:autoSpaceDN w:val="0"/>
              <w:adjustRightInd w:val="0"/>
              <w:snapToGrid w:val="0"/>
              <w:jc w:val="left"/>
              <w:rPr>
                <w:rFonts w:ascii="宋体" w:hAnsi="宋体"/>
                <w:color w:val="auto"/>
                <w:kern w:val="0"/>
                <w:szCs w:val="21"/>
                <w:highlight w:val="none"/>
              </w:rPr>
            </w:pPr>
          </w:p>
        </w:tc>
      </w:tr>
      <w:tr w14:paraId="3093C8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1E4E2BE">
            <w:pPr>
              <w:autoSpaceDE w:val="0"/>
              <w:autoSpaceDN w:val="0"/>
              <w:adjustRightInd w:val="0"/>
              <w:snapToGrid w:val="0"/>
              <w:jc w:val="left"/>
              <w:rPr>
                <w:rFonts w:ascii="宋体" w:hAnsi="宋体"/>
                <w:color w:val="auto"/>
                <w:kern w:val="0"/>
                <w:szCs w:val="21"/>
                <w:highlight w:val="none"/>
              </w:rPr>
            </w:pPr>
          </w:p>
        </w:tc>
        <w:tc>
          <w:tcPr>
            <w:tcW w:w="734" w:type="dxa"/>
          </w:tcPr>
          <w:p w14:paraId="63ECDDEE">
            <w:pPr>
              <w:autoSpaceDE w:val="0"/>
              <w:autoSpaceDN w:val="0"/>
              <w:adjustRightInd w:val="0"/>
              <w:snapToGrid w:val="0"/>
              <w:jc w:val="left"/>
              <w:rPr>
                <w:rFonts w:ascii="宋体" w:hAnsi="宋体"/>
                <w:color w:val="auto"/>
                <w:kern w:val="0"/>
                <w:szCs w:val="21"/>
                <w:highlight w:val="none"/>
              </w:rPr>
            </w:pPr>
          </w:p>
        </w:tc>
        <w:tc>
          <w:tcPr>
            <w:tcW w:w="776" w:type="dxa"/>
          </w:tcPr>
          <w:p w14:paraId="7AEB36BF">
            <w:pPr>
              <w:autoSpaceDE w:val="0"/>
              <w:autoSpaceDN w:val="0"/>
              <w:adjustRightInd w:val="0"/>
              <w:snapToGrid w:val="0"/>
              <w:jc w:val="left"/>
              <w:rPr>
                <w:rFonts w:ascii="宋体" w:hAnsi="宋体"/>
                <w:color w:val="auto"/>
                <w:kern w:val="0"/>
                <w:szCs w:val="21"/>
                <w:highlight w:val="none"/>
              </w:rPr>
            </w:pPr>
          </w:p>
        </w:tc>
        <w:tc>
          <w:tcPr>
            <w:tcW w:w="1274" w:type="dxa"/>
          </w:tcPr>
          <w:p w14:paraId="72209600">
            <w:pPr>
              <w:autoSpaceDE w:val="0"/>
              <w:autoSpaceDN w:val="0"/>
              <w:adjustRightInd w:val="0"/>
              <w:snapToGrid w:val="0"/>
              <w:jc w:val="left"/>
              <w:rPr>
                <w:rFonts w:ascii="宋体" w:hAnsi="宋体"/>
                <w:color w:val="auto"/>
                <w:kern w:val="0"/>
                <w:szCs w:val="21"/>
                <w:highlight w:val="none"/>
              </w:rPr>
            </w:pPr>
          </w:p>
        </w:tc>
        <w:tc>
          <w:tcPr>
            <w:tcW w:w="1105" w:type="dxa"/>
          </w:tcPr>
          <w:p w14:paraId="1D6D348D">
            <w:pPr>
              <w:autoSpaceDE w:val="0"/>
              <w:autoSpaceDN w:val="0"/>
              <w:adjustRightInd w:val="0"/>
              <w:snapToGrid w:val="0"/>
              <w:jc w:val="left"/>
              <w:rPr>
                <w:rFonts w:ascii="宋体" w:hAnsi="宋体"/>
                <w:color w:val="auto"/>
                <w:kern w:val="0"/>
                <w:szCs w:val="21"/>
                <w:highlight w:val="none"/>
              </w:rPr>
            </w:pPr>
          </w:p>
        </w:tc>
        <w:tc>
          <w:tcPr>
            <w:tcW w:w="1173" w:type="dxa"/>
          </w:tcPr>
          <w:p w14:paraId="0CC57DC7">
            <w:pPr>
              <w:autoSpaceDE w:val="0"/>
              <w:autoSpaceDN w:val="0"/>
              <w:adjustRightInd w:val="0"/>
              <w:snapToGrid w:val="0"/>
              <w:jc w:val="left"/>
              <w:rPr>
                <w:rFonts w:ascii="宋体" w:hAnsi="宋体"/>
                <w:color w:val="auto"/>
                <w:kern w:val="0"/>
                <w:szCs w:val="21"/>
                <w:highlight w:val="none"/>
              </w:rPr>
            </w:pPr>
          </w:p>
        </w:tc>
        <w:tc>
          <w:tcPr>
            <w:tcW w:w="1254" w:type="dxa"/>
          </w:tcPr>
          <w:p w14:paraId="295D2D34">
            <w:pPr>
              <w:autoSpaceDE w:val="0"/>
              <w:autoSpaceDN w:val="0"/>
              <w:adjustRightInd w:val="0"/>
              <w:snapToGrid w:val="0"/>
              <w:jc w:val="left"/>
              <w:rPr>
                <w:rFonts w:ascii="宋体" w:hAnsi="宋体"/>
                <w:color w:val="auto"/>
                <w:kern w:val="0"/>
                <w:szCs w:val="21"/>
                <w:highlight w:val="none"/>
              </w:rPr>
            </w:pPr>
          </w:p>
        </w:tc>
        <w:tc>
          <w:tcPr>
            <w:tcW w:w="1414" w:type="dxa"/>
          </w:tcPr>
          <w:p w14:paraId="3FCE498B">
            <w:pPr>
              <w:autoSpaceDE w:val="0"/>
              <w:autoSpaceDN w:val="0"/>
              <w:adjustRightInd w:val="0"/>
              <w:snapToGrid w:val="0"/>
              <w:jc w:val="left"/>
              <w:rPr>
                <w:rFonts w:ascii="宋体" w:hAnsi="宋体"/>
                <w:color w:val="auto"/>
                <w:kern w:val="0"/>
                <w:szCs w:val="21"/>
                <w:highlight w:val="none"/>
              </w:rPr>
            </w:pPr>
          </w:p>
        </w:tc>
        <w:tc>
          <w:tcPr>
            <w:tcW w:w="896" w:type="dxa"/>
          </w:tcPr>
          <w:p w14:paraId="784D4B7E">
            <w:pPr>
              <w:autoSpaceDE w:val="0"/>
              <w:autoSpaceDN w:val="0"/>
              <w:adjustRightInd w:val="0"/>
              <w:snapToGrid w:val="0"/>
              <w:jc w:val="left"/>
              <w:rPr>
                <w:rFonts w:ascii="宋体" w:hAnsi="宋体"/>
                <w:color w:val="auto"/>
                <w:kern w:val="0"/>
                <w:szCs w:val="21"/>
                <w:highlight w:val="none"/>
              </w:rPr>
            </w:pPr>
          </w:p>
        </w:tc>
      </w:tr>
      <w:tr w14:paraId="7D2D43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9A1165A">
            <w:pPr>
              <w:autoSpaceDE w:val="0"/>
              <w:autoSpaceDN w:val="0"/>
              <w:adjustRightInd w:val="0"/>
              <w:snapToGrid w:val="0"/>
              <w:jc w:val="left"/>
              <w:rPr>
                <w:rFonts w:ascii="宋体" w:hAnsi="宋体"/>
                <w:color w:val="auto"/>
                <w:kern w:val="0"/>
                <w:szCs w:val="21"/>
                <w:highlight w:val="none"/>
              </w:rPr>
            </w:pPr>
          </w:p>
        </w:tc>
        <w:tc>
          <w:tcPr>
            <w:tcW w:w="734" w:type="dxa"/>
          </w:tcPr>
          <w:p w14:paraId="322A98CE">
            <w:pPr>
              <w:autoSpaceDE w:val="0"/>
              <w:autoSpaceDN w:val="0"/>
              <w:adjustRightInd w:val="0"/>
              <w:snapToGrid w:val="0"/>
              <w:jc w:val="left"/>
              <w:rPr>
                <w:rFonts w:ascii="宋体" w:hAnsi="宋体"/>
                <w:color w:val="auto"/>
                <w:kern w:val="0"/>
                <w:szCs w:val="21"/>
                <w:highlight w:val="none"/>
              </w:rPr>
            </w:pPr>
          </w:p>
        </w:tc>
        <w:tc>
          <w:tcPr>
            <w:tcW w:w="776" w:type="dxa"/>
          </w:tcPr>
          <w:p w14:paraId="64B6EB5B">
            <w:pPr>
              <w:autoSpaceDE w:val="0"/>
              <w:autoSpaceDN w:val="0"/>
              <w:adjustRightInd w:val="0"/>
              <w:snapToGrid w:val="0"/>
              <w:jc w:val="left"/>
              <w:rPr>
                <w:rFonts w:ascii="宋体" w:hAnsi="宋体"/>
                <w:color w:val="auto"/>
                <w:kern w:val="0"/>
                <w:szCs w:val="21"/>
                <w:highlight w:val="none"/>
              </w:rPr>
            </w:pPr>
          </w:p>
        </w:tc>
        <w:tc>
          <w:tcPr>
            <w:tcW w:w="1274" w:type="dxa"/>
          </w:tcPr>
          <w:p w14:paraId="35FB9EB7">
            <w:pPr>
              <w:autoSpaceDE w:val="0"/>
              <w:autoSpaceDN w:val="0"/>
              <w:adjustRightInd w:val="0"/>
              <w:snapToGrid w:val="0"/>
              <w:jc w:val="left"/>
              <w:rPr>
                <w:rFonts w:ascii="宋体" w:hAnsi="宋体"/>
                <w:color w:val="auto"/>
                <w:kern w:val="0"/>
                <w:szCs w:val="21"/>
                <w:highlight w:val="none"/>
              </w:rPr>
            </w:pPr>
          </w:p>
        </w:tc>
        <w:tc>
          <w:tcPr>
            <w:tcW w:w="1105" w:type="dxa"/>
          </w:tcPr>
          <w:p w14:paraId="765B00CC">
            <w:pPr>
              <w:autoSpaceDE w:val="0"/>
              <w:autoSpaceDN w:val="0"/>
              <w:adjustRightInd w:val="0"/>
              <w:snapToGrid w:val="0"/>
              <w:jc w:val="left"/>
              <w:rPr>
                <w:rFonts w:ascii="宋体" w:hAnsi="宋体"/>
                <w:color w:val="auto"/>
                <w:kern w:val="0"/>
                <w:szCs w:val="21"/>
                <w:highlight w:val="none"/>
              </w:rPr>
            </w:pPr>
          </w:p>
        </w:tc>
        <w:tc>
          <w:tcPr>
            <w:tcW w:w="1173" w:type="dxa"/>
          </w:tcPr>
          <w:p w14:paraId="2427D797">
            <w:pPr>
              <w:autoSpaceDE w:val="0"/>
              <w:autoSpaceDN w:val="0"/>
              <w:adjustRightInd w:val="0"/>
              <w:snapToGrid w:val="0"/>
              <w:jc w:val="left"/>
              <w:rPr>
                <w:rFonts w:ascii="宋体" w:hAnsi="宋体"/>
                <w:color w:val="auto"/>
                <w:kern w:val="0"/>
                <w:szCs w:val="21"/>
                <w:highlight w:val="none"/>
              </w:rPr>
            </w:pPr>
          </w:p>
        </w:tc>
        <w:tc>
          <w:tcPr>
            <w:tcW w:w="1254" w:type="dxa"/>
          </w:tcPr>
          <w:p w14:paraId="267F888F">
            <w:pPr>
              <w:autoSpaceDE w:val="0"/>
              <w:autoSpaceDN w:val="0"/>
              <w:adjustRightInd w:val="0"/>
              <w:snapToGrid w:val="0"/>
              <w:jc w:val="left"/>
              <w:rPr>
                <w:rFonts w:ascii="宋体" w:hAnsi="宋体"/>
                <w:color w:val="auto"/>
                <w:kern w:val="0"/>
                <w:szCs w:val="21"/>
                <w:highlight w:val="none"/>
              </w:rPr>
            </w:pPr>
          </w:p>
        </w:tc>
        <w:tc>
          <w:tcPr>
            <w:tcW w:w="1414" w:type="dxa"/>
          </w:tcPr>
          <w:p w14:paraId="201237D9">
            <w:pPr>
              <w:autoSpaceDE w:val="0"/>
              <w:autoSpaceDN w:val="0"/>
              <w:adjustRightInd w:val="0"/>
              <w:snapToGrid w:val="0"/>
              <w:jc w:val="left"/>
              <w:rPr>
                <w:rFonts w:ascii="宋体" w:hAnsi="宋体"/>
                <w:color w:val="auto"/>
                <w:kern w:val="0"/>
                <w:szCs w:val="21"/>
                <w:highlight w:val="none"/>
              </w:rPr>
            </w:pPr>
          </w:p>
        </w:tc>
        <w:tc>
          <w:tcPr>
            <w:tcW w:w="896" w:type="dxa"/>
          </w:tcPr>
          <w:p w14:paraId="7CBD96C7">
            <w:pPr>
              <w:autoSpaceDE w:val="0"/>
              <w:autoSpaceDN w:val="0"/>
              <w:adjustRightInd w:val="0"/>
              <w:snapToGrid w:val="0"/>
              <w:jc w:val="left"/>
              <w:rPr>
                <w:rFonts w:ascii="宋体" w:hAnsi="宋体"/>
                <w:color w:val="auto"/>
                <w:kern w:val="0"/>
                <w:szCs w:val="21"/>
                <w:highlight w:val="none"/>
              </w:rPr>
            </w:pPr>
          </w:p>
        </w:tc>
      </w:tr>
      <w:tr w14:paraId="16F046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EC69CE5">
            <w:pPr>
              <w:autoSpaceDE w:val="0"/>
              <w:autoSpaceDN w:val="0"/>
              <w:adjustRightInd w:val="0"/>
              <w:snapToGrid w:val="0"/>
              <w:jc w:val="left"/>
              <w:rPr>
                <w:rFonts w:ascii="宋体" w:hAnsi="宋体"/>
                <w:color w:val="auto"/>
                <w:kern w:val="0"/>
                <w:szCs w:val="21"/>
                <w:highlight w:val="none"/>
              </w:rPr>
            </w:pPr>
          </w:p>
        </w:tc>
        <w:tc>
          <w:tcPr>
            <w:tcW w:w="734" w:type="dxa"/>
          </w:tcPr>
          <w:p w14:paraId="6D060C4A">
            <w:pPr>
              <w:autoSpaceDE w:val="0"/>
              <w:autoSpaceDN w:val="0"/>
              <w:adjustRightInd w:val="0"/>
              <w:snapToGrid w:val="0"/>
              <w:jc w:val="left"/>
              <w:rPr>
                <w:rFonts w:ascii="宋体" w:hAnsi="宋体"/>
                <w:color w:val="auto"/>
                <w:kern w:val="0"/>
                <w:szCs w:val="21"/>
                <w:highlight w:val="none"/>
              </w:rPr>
            </w:pPr>
          </w:p>
        </w:tc>
        <w:tc>
          <w:tcPr>
            <w:tcW w:w="776" w:type="dxa"/>
          </w:tcPr>
          <w:p w14:paraId="4B3C2B42">
            <w:pPr>
              <w:autoSpaceDE w:val="0"/>
              <w:autoSpaceDN w:val="0"/>
              <w:adjustRightInd w:val="0"/>
              <w:snapToGrid w:val="0"/>
              <w:jc w:val="left"/>
              <w:rPr>
                <w:rFonts w:ascii="宋体" w:hAnsi="宋体"/>
                <w:color w:val="auto"/>
                <w:kern w:val="0"/>
                <w:szCs w:val="21"/>
                <w:highlight w:val="none"/>
              </w:rPr>
            </w:pPr>
          </w:p>
        </w:tc>
        <w:tc>
          <w:tcPr>
            <w:tcW w:w="1274" w:type="dxa"/>
          </w:tcPr>
          <w:p w14:paraId="4B61FBB6">
            <w:pPr>
              <w:autoSpaceDE w:val="0"/>
              <w:autoSpaceDN w:val="0"/>
              <w:adjustRightInd w:val="0"/>
              <w:snapToGrid w:val="0"/>
              <w:jc w:val="left"/>
              <w:rPr>
                <w:rFonts w:ascii="宋体" w:hAnsi="宋体"/>
                <w:color w:val="auto"/>
                <w:kern w:val="0"/>
                <w:szCs w:val="21"/>
                <w:highlight w:val="none"/>
              </w:rPr>
            </w:pPr>
          </w:p>
        </w:tc>
        <w:tc>
          <w:tcPr>
            <w:tcW w:w="1105" w:type="dxa"/>
          </w:tcPr>
          <w:p w14:paraId="76849F78">
            <w:pPr>
              <w:autoSpaceDE w:val="0"/>
              <w:autoSpaceDN w:val="0"/>
              <w:adjustRightInd w:val="0"/>
              <w:snapToGrid w:val="0"/>
              <w:jc w:val="left"/>
              <w:rPr>
                <w:rFonts w:ascii="宋体" w:hAnsi="宋体"/>
                <w:color w:val="auto"/>
                <w:kern w:val="0"/>
                <w:szCs w:val="21"/>
                <w:highlight w:val="none"/>
              </w:rPr>
            </w:pPr>
          </w:p>
        </w:tc>
        <w:tc>
          <w:tcPr>
            <w:tcW w:w="1173" w:type="dxa"/>
          </w:tcPr>
          <w:p w14:paraId="71AC3D70">
            <w:pPr>
              <w:autoSpaceDE w:val="0"/>
              <w:autoSpaceDN w:val="0"/>
              <w:adjustRightInd w:val="0"/>
              <w:snapToGrid w:val="0"/>
              <w:jc w:val="left"/>
              <w:rPr>
                <w:rFonts w:ascii="宋体" w:hAnsi="宋体"/>
                <w:color w:val="auto"/>
                <w:kern w:val="0"/>
                <w:szCs w:val="21"/>
                <w:highlight w:val="none"/>
              </w:rPr>
            </w:pPr>
          </w:p>
        </w:tc>
        <w:tc>
          <w:tcPr>
            <w:tcW w:w="1254" w:type="dxa"/>
          </w:tcPr>
          <w:p w14:paraId="13EF183B">
            <w:pPr>
              <w:autoSpaceDE w:val="0"/>
              <w:autoSpaceDN w:val="0"/>
              <w:adjustRightInd w:val="0"/>
              <w:snapToGrid w:val="0"/>
              <w:jc w:val="left"/>
              <w:rPr>
                <w:rFonts w:ascii="宋体" w:hAnsi="宋体"/>
                <w:color w:val="auto"/>
                <w:kern w:val="0"/>
                <w:szCs w:val="21"/>
                <w:highlight w:val="none"/>
              </w:rPr>
            </w:pPr>
          </w:p>
        </w:tc>
        <w:tc>
          <w:tcPr>
            <w:tcW w:w="1414" w:type="dxa"/>
          </w:tcPr>
          <w:p w14:paraId="3F19CC4F">
            <w:pPr>
              <w:autoSpaceDE w:val="0"/>
              <w:autoSpaceDN w:val="0"/>
              <w:adjustRightInd w:val="0"/>
              <w:snapToGrid w:val="0"/>
              <w:jc w:val="left"/>
              <w:rPr>
                <w:rFonts w:ascii="宋体" w:hAnsi="宋体"/>
                <w:color w:val="auto"/>
                <w:kern w:val="0"/>
                <w:szCs w:val="21"/>
                <w:highlight w:val="none"/>
              </w:rPr>
            </w:pPr>
          </w:p>
        </w:tc>
        <w:tc>
          <w:tcPr>
            <w:tcW w:w="896" w:type="dxa"/>
          </w:tcPr>
          <w:p w14:paraId="254FDBC2">
            <w:pPr>
              <w:autoSpaceDE w:val="0"/>
              <w:autoSpaceDN w:val="0"/>
              <w:adjustRightInd w:val="0"/>
              <w:snapToGrid w:val="0"/>
              <w:jc w:val="left"/>
              <w:rPr>
                <w:rFonts w:ascii="宋体" w:hAnsi="宋体"/>
                <w:color w:val="auto"/>
                <w:kern w:val="0"/>
                <w:szCs w:val="21"/>
                <w:highlight w:val="none"/>
              </w:rPr>
            </w:pPr>
          </w:p>
        </w:tc>
      </w:tr>
      <w:tr w14:paraId="42886D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E9E7BBB">
            <w:pPr>
              <w:autoSpaceDE w:val="0"/>
              <w:autoSpaceDN w:val="0"/>
              <w:adjustRightInd w:val="0"/>
              <w:snapToGrid w:val="0"/>
              <w:jc w:val="left"/>
              <w:rPr>
                <w:rFonts w:ascii="宋体" w:hAnsi="宋体"/>
                <w:color w:val="auto"/>
                <w:kern w:val="0"/>
                <w:szCs w:val="21"/>
                <w:highlight w:val="none"/>
              </w:rPr>
            </w:pPr>
          </w:p>
        </w:tc>
        <w:tc>
          <w:tcPr>
            <w:tcW w:w="734" w:type="dxa"/>
          </w:tcPr>
          <w:p w14:paraId="245FFDE2">
            <w:pPr>
              <w:autoSpaceDE w:val="0"/>
              <w:autoSpaceDN w:val="0"/>
              <w:adjustRightInd w:val="0"/>
              <w:snapToGrid w:val="0"/>
              <w:jc w:val="left"/>
              <w:rPr>
                <w:rFonts w:ascii="宋体" w:hAnsi="宋体"/>
                <w:color w:val="auto"/>
                <w:kern w:val="0"/>
                <w:szCs w:val="21"/>
                <w:highlight w:val="none"/>
              </w:rPr>
            </w:pPr>
          </w:p>
        </w:tc>
        <w:tc>
          <w:tcPr>
            <w:tcW w:w="776" w:type="dxa"/>
          </w:tcPr>
          <w:p w14:paraId="443A418C">
            <w:pPr>
              <w:autoSpaceDE w:val="0"/>
              <w:autoSpaceDN w:val="0"/>
              <w:adjustRightInd w:val="0"/>
              <w:snapToGrid w:val="0"/>
              <w:jc w:val="left"/>
              <w:rPr>
                <w:rFonts w:ascii="宋体" w:hAnsi="宋体"/>
                <w:color w:val="auto"/>
                <w:kern w:val="0"/>
                <w:szCs w:val="21"/>
                <w:highlight w:val="none"/>
              </w:rPr>
            </w:pPr>
          </w:p>
        </w:tc>
        <w:tc>
          <w:tcPr>
            <w:tcW w:w="1274" w:type="dxa"/>
          </w:tcPr>
          <w:p w14:paraId="6233CB3C">
            <w:pPr>
              <w:autoSpaceDE w:val="0"/>
              <w:autoSpaceDN w:val="0"/>
              <w:adjustRightInd w:val="0"/>
              <w:snapToGrid w:val="0"/>
              <w:jc w:val="left"/>
              <w:rPr>
                <w:rFonts w:ascii="宋体" w:hAnsi="宋体"/>
                <w:color w:val="auto"/>
                <w:kern w:val="0"/>
                <w:szCs w:val="21"/>
                <w:highlight w:val="none"/>
              </w:rPr>
            </w:pPr>
          </w:p>
        </w:tc>
        <w:tc>
          <w:tcPr>
            <w:tcW w:w="1105" w:type="dxa"/>
          </w:tcPr>
          <w:p w14:paraId="616BABF7">
            <w:pPr>
              <w:autoSpaceDE w:val="0"/>
              <w:autoSpaceDN w:val="0"/>
              <w:adjustRightInd w:val="0"/>
              <w:snapToGrid w:val="0"/>
              <w:jc w:val="left"/>
              <w:rPr>
                <w:rFonts w:ascii="宋体" w:hAnsi="宋体"/>
                <w:color w:val="auto"/>
                <w:kern w:val="0"/>
                <w:szCs w:val="21"/>
                <w:highlight w:val="none"/>
              </w:rPr>
            </w:pPr>
          </w:p>
        </w:tc>
        <w:tc>
          <w:tcPr>
            <w:tcW w:w="1173" w:type="dxa"/>
          </w:tcPr>
          <w:p w14:paraId="0B882277">
            <w:pPr>
              <w:autoSpaceDE w:val="0"/>
              <w:autoSpaceDN w:val="0"/>
              <w:adjustRightInd w:val="0"/>
              <w:snapToGrid w:val="0"/>
              <w:jc w:val="left"/>
              <w:rPr>
                <w:rFonts w:ascii="宋体" w:hAnsi="宋体"/>
                <w:color w:val="auto"/>
                <w:kern w:val="0"/>
                <w:szCs w:val="21"/>
                <w:highlight w:val="none"/>
              </w:rPr>
            </w:pPr>
          </w:p>
        </w:tc>
        <w:tc>
          <w:tcPr>
            <w:tcW w:w="1254" w:type="dxa"/>
          </w:tcPr>
          <w:p w14:paraId="125E51F1">
            <w:pPr>
              <w:autoSpaceDE w:val="0"/>
              <w:autoSpaceDN w:val="0"/>
              <w:adjustRightInd w:val="0"/>
              <w:snapToGrid w:val="0"/>
              <w:jc w:val="left"/>
              <w:rPr>
                <w:rFonts w:ascii="宋体" w:hAnsi="宋体"/>
                <w:color w:val="auto"/>
                <w:kern w:val="0"/>
                <w:szCs w:val="21"/>
                <w:highlight w:val="none"/>
              </w:rPr>
            </w:pPr>
          </w:p>
        </w:tc>
        <w:tc>
          <w:tcPr>
            <w:tcW w:w="1414" w:type="dxa"/>
          </w:tcPr>
          <w:p w14:paraId="0CCCFCDF">
            <w:pPr>
              <w:autoSpaceDE w:val="0"/>
              <w:autoSpaceDN w:val="0"/>
              <w:adjustRightInd w:val="0"/>
              <w:snapToGrid w:val="0"/>
              <w:jc w:val="left"/>
              <w:rPr>
                <w:rFonts w:ascii="宋体" w:hAnsi="宋体"/>
                <w:color w:val="auto"/>
                <w:kern w:val="0"/>
                <w:szCs w:val="21"/>
                <w:highlight w:val="none"/>
              </w:rPr>
            </w:pPr>
          </w:p>
        </w:tc>
        <w:tc>
          <w:tcPr>
            <w:tcW w:w="896" w:type="dxa"/>
          </w:tcPr>
          <w:p w14:paraId="06D11090">
            <w:pPr>
              <w:autoSpaceDE w:val="0"/>
              <w:autoSpaceDN w:val="0"/>
              <w:adjustRightInd w:val="0"/>
              <w:snapToGrid w:val="0"/>
              <w:jc w:val="left"/>
              <w:rPr>
                <w:rFonts w:ascii="宋体" w:hAnsi="宋体"/>
                <w:color w:val="auto"/>
                <w:kern w:val="0"/>
                <w:szCs w:val="21"/>
                <w:highlight w:val="none"/>
              </w:rPr>
            </w:pPr>
          </w:p>
        </w:tc>
      </w:tr>
      <w:tr w14:paraId="108F85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E84AA93">
            <w:pPr>
              <w:autoSpaceDE w:val="0"/>
              <w:autoSpaceDN w:val="0"/>
              <w:adjustRightInd w:val="0"/>
              <w:snapToGrid w:val="0"/>
              <w:jc w:val="left"/>
              <w:rPr>
                <w:rFonts w:ascii="宋体" w:hAnsi="宋体"/>
                <w:color w:val="auto"/>
                <w:kern w:val="0"/>
                <w:szCs w:val="21"/>
                <w:highlight w:val="none"/>
              </w:rPr>
            </w:pPr>
          </w:p>
        </w:tc>
        <w:tc>
          <w:tcPr>
            <w:tcW w:w="734" w:type="dxa"/>
          </w:tcPr>
          <w:p w14:paraId="4978CAAB">
            <w:pPr>
              <w:autoSpaceDE w:val="0"/>
              <w:autoSpaceDN w:val="0"/>
              <w:adjustRightInd w:val="0"/>
              <w:snapToGrid w:val="0"/>
              <w:jc w:val="left"/>
              <w:rPr>
                <w:rFonts w:ascii="宋体" w:hAnsi="宋体"/>
                <w:color w:val="auto"/>
                <w:kern w:val="0"/>
                <w:szCs w:val="21"/>
                <w:highlight w:val="none"/>
              </w:rPr>
            </w:pPr>
          </w:p>
        </w:tc>
        <w:tc>
          <w:tcPr>
            <w:tcW w:w="776" w:type="dxa"/>
          </w:tcPr>
          <w:p w14:paraId="0565ED9F">
            <w:pPr>
              <w:autoSpaceDE w:val="0"/>
              <w:autoSpaceDN w:val="0"/>
              <w:adjustRightInd w:val="0"/>
              <w:snapToGrid w:val="0"/>
              <w:jc w:val="left"/>
              <w:rPr>
                <w:rFonts w:ascii="宋体" w:hAnsi="宋体"/>
                <w:color w:val="auto"/>
                <w:kern w:val="0"/>
                <w:szCs w:val="21"/>
                <w:highlight w:val="none"/>
              </w:rPr>
            </w:pPr>
          </w:p>
        </w:tc>
        <w:tc>
          <w:tcPr>
            <w:tcW w:w="1274" w:type="dxa"/>
          </w:tcPr>
          <w:p w14:paraId="61BD520B">
            <w:pPr>
              <w:autoSpaceDE w:val="0"/>
              <w:autoSpaceDN w:val="0"/>
              <w:adjustRightInd w:val="0"/>
              <w:snapToGrid w:val="0"/>
              <w:jc w:val="left"/>
              <w:rPr>
                <w:rFonts w:ascii="宋体" w:hAnsi="宋体"/>
                <w:color w:val="auto"/>
                <w:kern w:val="0"/>
                <w:szCs w:val="21"/>
                <w:highlight w:val="none"/>
              </w:rPr>
            </w:pPr>
          </w:p>
        </w:tc>
        <w:tc>
          <w:tcPr>
            <w:tcW w:w="1105" w:type="dxa"/>
          </w:tcPr>
          <w:p w14:paraId="27848FAF">
            <w:pPr>
              <w:autoSpaceDE w:val="0"/>
              <w:autoSpaceDN w:val="0"/>
              <w:adjustRightInd w:val="0"/>
              <w:snapToGrid w:val="0"/>
              <w:jc w:val="left"/>
              <w:rPr>
                <w:rFonts w:ascii="宋体" w:hAnsi="宋体"/>
                <w:color w:val="auto"/>
                <w:kern w:val="0"/>
                <w:szCs w:val="21"/>
                <w:highlight w:val="none"/>
              </w:rPr>
            </w:pPr>
          </w:p>
        </w:tc>
        <w:tc>
          <w:tcPr>
            <w:tcW w:w="1173" w:type="dxa"/>
          </w:tcPr>
          <w:p w14:paraId="62971C84">
            <w:pPr>
              <w:autoSpaceDE w:val="0"/>
              <w:autoSpaceDN w:val="0"/>
              <w:adjustRightInd w:val="0"/>
              <w:snapToGrid w:val="0"/>
              <w:jc w:val="left"/>
              <w:rPr>
                <w:rFonts w:ascii="宋体" w:hAnsi="宋体"/>
                <w:color w:val="auto"/>
                <w:kern w:val="0"/>
                <w:szCs w:val="21"/>
                <w:highlight w:val="none"/>
              </w:rPr>
            </w:pPr>
          </w:p>
        </w:tc>
        <w:tc>
          <w:tcPr>
            <w:tcW w:w="1254" w:type="dxa"/>
          </w:tcPr>
          <w:p w14:paraId="61155E88">
            <w:pPr>
              <w:autoSpaceDE w:val="0"/>
              <w:autoSpaceDN w:val="0"/>
              <w:adjustRightInd w:val="0"/>
              <w:snapToGrid w:val="0"/>
              <w:jc w:val="left"/>
              <w:rPr>
                <w:rFonts w:ascii="宋体" w:hAnsi="宋体"/>
                <w:color w:val="auto"/>
                <w:kern w:val="0"/>
                <w:szCs w:val="21"/>
                <w:highlight w:val="none"/>
              </w:rPr>
            </w:pPr>
          </w:p>
        </w:tc>
        <w:tc>
          <w:tcPr>
            <w:tcW w:w="1414" w:type="dxa"/>
          </w:tcPr>
          <w:p w14:paraId="07E740F4">
            <w:pPr>
              <w:autoSpaceDE w:val="0"/>
              <w:autoSpaceDN w:val="0"/>
              <w:adjustRightInd w:val="0"/>
              <w:snapToGrid w:val="0"/>
              <w:jc w:val="left"/>
              <w:rPr>
                <w:rFonts w:ascii="宋体" w:hAnsi="宋体"/>
                <w:color w:val="auto"/>
                <w:kern w:val="0"/>
                <w:szCs w:val="21"/>
                <w:highlight w:val="none"/>
              </w:rPr>
            </w:pPr>
          </w:p>
        </w:tc>
        <w:tc>
          <w:tcPr>
            <w:tcW w:w="896" w:type="dxa"/>
          </w:tcPr>
          <w:p w14:paraId="505472E5">
            <w:pPr>
              <w:autoSpaceDE w:val="0"/>
              <w:autoSpaceDN w:val="0"/>
              <w:adjustRightInd w:val="0"/>
              <w:snapToGrid w:val="0"/>
              <w:jc w:val="left"/>
              <w:rPr>
                <w:rFonts w:ascii="宋体" w:hAnsi="宋体"/>
                <w:color w:val="auto"/>
                <w:kern w:val="0"/>
                <w:szCs w:val="21"/>
                <w:highlight w:val="none"/>
              </w:rPr>
            </w:pPr>
          </w:p>
        </w:tc>
      </w:tr>
      <w:tr w14:paraId="7268EC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1B58B4C">
            <w:pPr>
              <w:autoSpaceDE w:val="0"/>
              <w:autoSpaceDN w:val="0"/>
              <w:adjustRightInd w:val="0"/>
              <w:snapToGrid w:val="0"/>
              <w:jc w:val="left"/>
              <w:rPr>
                <w:rFonts w:ascii="宋体" w:hAnsi="宋体"/>
                <w:color w:val="auto"/>
                <w:kern w:val="0"/>
                <w:szCs w:val="21"/>
                <w:highlight w:val="none"/>
              </w:rPr>
            </w:pPr>
          </w:p>
        </w:tc>
        <w:tc>
          <w:tcPr>
            <w:tcW w:w="734" w:type="dxa"/>
          </w:tcPr>
          <w:p w14:paraId="6A3CF572">
            <w:pPr>
              <w:autoSpaceDE w:val="0"/>
              <w:autoSpaceDN w:val="0"/>
              <w:adjustRightInd w:val="0"/>
              <w:snapToGrid w:val="0"/>
              <w:jc w:val="left"/>
              <w:rPr>
                <w:rFonts w:ascii="宋体" w:hAnsi="宋体"/>
                <w:color w:val="auto"/>
                <w:kern w:val="0"/>
                <w:szCs w:val="21"/>
                <w:highlight w:val="none"/>
              </w:rPr>
            </w:pPr>
          </w:p>
        </w:tc>
        <w:tc>
          <w:tcPr>
            <w:tcW w:w="776" w:type="dxa"/>
          </w:tcPr>
          <w:p w14:paraId="06019C27">
            <w:pPr>
              <w:autoSpaceDE w:val="0"/>
              <w:autoSpaceDN w:val="0"/>
              <w:adjustRightInd w:val="0"/>
              <w:snapToGrid w:val="0"/>
              <w:jc w:val="left"/>
              <w:rPr>
                <w:rFonts w:ascii="宋体" w:hAnsi="宋体"/>
                <w:color w:val="auto"/>
                <w:kern w:val="0"/>
                <w:szCs w:val="21"/>
                <w:highlight w:val="none"/>
              </w:rPr>
            </w:pPr>
          </w:p>
        </w:tc>
        <w:tc>
          <w:tcPr>
            <w:tcW w:w="1274" w:type="dxa"/>
          </w:tcPr>
          <w:p w14:paraId="40E66B92">
            <w:pPr>
              <w:autoSpaceDE w:val="0"/>
              <w:autoSpaceDN w:val="0"/>
              <w:adjustRightInd w:val="0"/>
              <w:snapToGrid w:val="0"/>
              <w:jc w:val="left"/>
              <w:rPr>
                <w:rFonts w:ascii="宋体" w:hAnsi="宋体"/>
                <w:color w:val="auto"/>
                <w:kern w:val="0"/>
                <w:szCs w:val="21"/>
                <w:highlight w:val="none"/>
              </w:rPr>
            </w:pPr>
          </w:p>
        </w:tc>
        <w:tc>
          <w:tcPr>
            <w:tcW w:w="1105" w:type="dxa"/>
          </w:tcPr>
          <w:p w14:paraId="7DC5F408">
            <w:pPr>
              <w:autoSpaceDE w:val="0"/>
              <w:autoSpaceDN w:val="0"/>
              <w:adjustRightInd w:val="0"/>
              <w:snapToGrid w:val="0"/>
              <w:jc w:val="left"/>
              <w:rPr>
                <w:rFonts w:ascii="宋体" w:hAnsi="宋体"/>
                <w:color w:val="auto"/>
                <w:kern w:val="0"/>
                <w:szCs w:val="21"/>
                <w:highlight w:val="none"/>
              </w:rPr>
            </w:pPr>
          </w:p>
        </w:tc>
        <w:tc>
          <w:tcPr>
            <w:tcW w:w="1173" w:type="dxa"/>
          </w:tcPr>
          <w:p w14:paraId="3FC57C75">
            <w:pPr>
              <w:autoSpaceDE w:val="0"/>
              <w:autoSpaceDN w:val="0"/>
              <w:adjustRightInd w:val="0"/>
              <w:snapToGrid w:val="0"/>
              <w:jc w:val="left"/>
              <w:rPr>
                <w:rFonts w:ascii="宋体" w:hAnsi="宋体"/>
                <w:color w:val="auto"/>
                <w:kern w:val="0"/>
                <w:szCs w:val="21"/>
                <w:highlight w:val="none"/>
              </w:rPr>
            </w:pPr>
          </w:p>
        </w:tc>
        <w:tc>
          <w:tcPr>
            <w:tcW w:w="1254" w:type="dxa"/>
          </w:tcPr>
          <w:p w14:paraId="23600019">
            <w:pPr>
              <w:autoSpaceDE w:val="0"/>
              <w:autoSpaceDN w:val="0"/>
              <w:adjustRightInd w:val="0"/>
              <w:snapToGrid w:val="0"/>
              <w:jc w:val="left"/>
              <w:rPr>
                <w:rFonts w:ascii="宋体" w:hAnsi="宋体"/>
                <w:color w:val="auto"/>
                <w:kern w:val="0"/>
                <w:szCs w:val="21"/>
                <w:highlight w:val="none"/>
              </w:rPr>
            </w:pPr>
          </w:p>
        </w:tc>
        <w:tc>
          <w:tcPr>
            <w:tcW w:w="1414" w:type="dxa"/>
          </w:tcPr>
          <w:p w14:paraId="4BB2520B">
            <w:pPr>
              <w:autoSpaceDE w:val="0"/>
              <w:autoSpaceDN w:val="0"/>
              <w:adjustRightInd w:val="0"/>
              <w:snapToGrid w:val="0"/>
              <w:jc w:val="left"/>
              <w:rPr>
                <w:rFonts w:ascii="宋体" w:hAnsi="宋体"/>
                <w:color w:val="auto"/>
                <w:kern w:val="0"/>
                <w:szCs w:val="21"/>
                <w:highlight w:val="none"/>
              </w:rPr>
            </w:pPr>
          </w:p>
        </w:tc>
        <w:tc>
          <w:tcPr>
            <w:tcW w:w="896" w:type="dxa"/>
          </w:tcPr>
          <w:p w14:paraId="02BCC74D">
            <w:pPr>
              <w:autoSpaceDE w:val="0"/>
              <w:autoSpaceDN w:val="0"/>
              <w:adjustRightInd w:val="0"/>
              <w:snapToGrid w:val="0"/>
              <w:jc w:val="left"/>
              <w:rPr>
                <w:rFonts w:ascii="宋体" w:hAnsi="宋体"/>
                <w:color w:val="auto"/>
                <w:kern w:val="0"/>
                <w:szCs w:val="21"/>
                <w:highlight w:val="none"/>
              </w:rPr>
            </w:pPr>
          </w:p>
        </w:tc>
      </w:tr>
      <w:tr w14:paraId="0AD55F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C5D118C">
            <w:pPr>
              <w:autoSpaceDE w:val="0"/>
              <w:autoSpaceDN w:val="0"/>
              <w:adjustRightInd w:val="0"/>
              <w:snapToGrid w:val="0"/>
              <w:jc w:val="left"/>
              <w:rPr>
                <w:rFonts w:ascii="宋体" w:hAnsi="宋体"/>
                <w:color w:val="auto"/>
                <w:kern w:val="0"/>
                <w:szCs w:val="21"/>
                <w:highlight w:val="none"/>
              </w:rPr>
            </w:pPr>
          </w:p>
        </w:tc>
        <w:tc>
          <w:tcPr>
            <w:tcW w:w="734" w:type="dxa"/>
          </w:tcPr>
          <w:p w14:paraId="0E294BDA">
            <w:pPr>
              <w:autoSpaceDE w:val="0"/>
              <w:autoSpaceDN w:val="0"/>
              <w:adjustRightInd w:val="0"/>
              <w:snapToGrid w:val="0"/>
              <w:jc w:val="left"/>
              <w:rPr>
                <w:rFonts w:ascii="宋体" w:hAnsi="宋体"/>
                <w:color w:val="auto"/>
                <w:kern w:val="0"/>
                <w:szCs w:val="21"/>
                <w:highlight w:val="none"/>
              </w:rPr>
            </w:pPr>
          </w:p>
        </w:tc>
        <w:tc>
          <w:tcPr>
            <w:tcW w:w="776" w:type="dxa"/>
          </w:tcPr>
          <w:p w14:paraId="0DFA674E">
            <w:pPr>
              <w:autoSpaceDE w:val="0"/>
              <w:autoSpaceDN w:val="0"/>
              <w:adjustRightInd w:val="0"/>
              <w:snapToGrid w:val="0"/>
              <w:jc w:val="left"/>
              <w:rPr>
                <w:rFonts w:ascii="宋体" w:hAnsi="宋体"/>
                <w:color w:val="auto"/>
                <w:kern w:val="0"/>
                <w:szCs w:val="21"/>
                <w:highlight w:val="none"/>
              </w:rPr>
            </w:pPr>
          </w:p>
        </w:tc>
        <w:tc>
          <w:tcPr>
            <w:tcW w:w="1274" w:type="dxa"/>
          </w:tcPr>
          <w:p w14:paraId="313693EE">
            <w:pPr>
              <w:autoSpaceDE w:val="0"/>
              <w:autoSpaceDN w:val="0"/>
              <w:adjustRightInd w:val="0"/>
              <w:snapToGrid w:val="0"/>
              <w:jc w:val="left"/>
              <w:rPr>
                <w:rFonts w:ascii="宋体" w:hAnsi="宋体"/>
                <w:color w:val="auto"/>
                <w:kern w:val="0"/>
                <w:szCs w:val="21"/>
                <w:highlight w:val="none"/>
              </w:rPr>
            </w:pPr>
          </w:p>
        </w:tc>
        <w:tc>
          <w:tcPr>
            <w:tcW w:w="1105" w:type="dxa"/>
          </w:tcPr>
          <w:p w14:paraId="36B8F685">
            <w:pPr>
              <w:autoSpaceDE w:val="0"/>
              <w:autoSpaceDN w:val="0"/>
              <w:adjustRightInd w:val="0"/>
              <w:snapToGrid w:val="0"/>
              <w:jc w:val="left"/>
              <w:rPr>
                <w:rFonts w:ascii="宋体" w:hAnsi="宋体"/>
                <w:color w:val="auto"/>
                <w:kern w:val="0"/>
                <w:szCs w:val="21"/>
                <w:highlight w:val="none"/>
              </w:rPr>
            </w:pPr>
          </w:p>
        </w:tc>
        <w:tc>
          <w:tcPr>
            <w:tcW w:w="1173" w:type="dxa"/>
          </w:tcPr>
          <w:p w14:paraId="3A46717C">
            <w:pPr>
              <w:autoSpaceDE w:val="0"/>
              <w:autoSpaceDN w:val="0"/>
              <w:adjustRightInd w:val="0"/>
              <w:snapToGrid w:val="0"/>
              <w:jc w:val="left"/>
              <w:rPr>
                <w:rFonts w:ascii="宋体" w:hAnsi="宋体"/>
                <w:color w:val="auto"/>
                <w:kern w:val="0"/>
                <w:szCs w:val="21"/>
                <w:highlight w:val="none"/>
              </w:rPr>
            </w:pPr>
          </w:p>
        </w:tc>
        <w:tc>
          <w:tcPr>
            <w:tcW w:w="1254" w:type="dxa"/>
          </w:tcPr>
          <w:p w14:paraId="001F97B3">
            <w:pPr>
              <w:autoSpaceDE w:val="0"/>
              <w:autoSpaceDN w:val="0"/>
              <w:adjustRightInd w:val="0"/>
              <w:snapToGrid w:val="0"/>
              <w:jc w:val="left"/>
              <w:rPr>
                <w:rFonts w:ascii="宋体" w:hAnsi="宋体"/>
                <w:color w:val="auto"/>
                <w:kern w:val="0"/>
                <w:szCs w:val="21"/>
                <w:highlight w:val="none"/>
              </w:rPr>
            </w:pPr>
          </w:p>
        </w:tc>
        <w:tc>
          <w:tcPr>
            <w:tcW w:w="1414" w:type="dxa"/>
          </w:tcPr>
          <w:p w14:paraId="48FE2AE4">
            <w:pPr>
              <w:autoSpaceDE w:val="0"/>
              <w:autoSpaceDN w:val="0"/>
              <w:adjustRightInd w:val="0"/>
              <w:snapToGrid w:val="0"/>
              <w:jc w:val="left"/>
              <w:rPr>
                <w:rFonts w:ascii="宋体" w:hAnsi="宋体"/>
                <w:color w:val="auto"/>
                <w:kern w:val="0"/>
                <w:szCs w:val="21"/>
                <w:highlight w:val="none"/>
              </w:rPr>
            </w:pPr>
          </w:p>
        </w:tc>
        <w:tc>
          <w:tcPr>
            <w:tcW w:w="896" w:type="dxa"/>
          </w:tcPr>
          <w:p w14:paraId="3C31B8CB">
            <w:pPr>
              <w:autoSpaceDE w:val="0"/>
              <w:autoSpaceDN w:val="0"/>
              <w:adjustRightInd w:val="0"/>
              <w:snapToGrid w:val="0"/>
              <w:jc w:val="left"/>
              <w:rPr>
                <w:rFonts w:ascii="宋体" w:hAnsi="宋体"/>
                <w:color w:val="auto"/>
                <w:kern w:val="0"/>
                <w:szCs w:val="21"/>
                <w:highlight w:val="none"/>
              </w:rPr>
            </w:pPr>
          </w:p>
        </w:tc>
      </w:tr>
      <w:tr w14:paraId="67073A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CE9EEFF">
            <w:pPr>
              <w:autoSpaceDE w:val="0"/>
              <w:autoSpaceDN w:val="0"/>
              <w:adjustRightInd w:val="0"/>
              <w:snapToGrid w:val="0"/>
              <w:jc w:val="left"/>
              <w:rPr>
                <w:rFonts w:ascii="宋体" w:hAnsi="宋体"/>
                <w:color w:val="auto"/>
                <w:kern w:val="0"/>
                <w:szCs w:val="21"/>
                <w:highlight w:val="none"/>
              </w:rPr>
            </w:pPr>
          </w:p>
        </w:tc>
        <w:tc>
          <w:tcPr>
            <w:tcW w:w="734" w:type="dxa"/>
          </w:tcPr>
          <w:p w14:paraId="42023E68">
            <w:pPr>
              <w:autoSpaceDE w:val="0"/>
              <w:autoSpaceDN w:val="0"/>
              <w:adjustRightInd w:val="0"/>
              <w:snapToGrid w:val="0"/>
              <w:jc w:val="left"/>
              <w:rPr>
                <w:rFonts w:ascii="宋体" w:hAnsi="宋体"/>
                <w:color w:val="auto"/>
                <w:kern w:val="0"/>
                <w:szCs w:val="21"/>
                <w:highlight w:val="none"/>
              </w:rPr>
            </w:pPr>
          </w:p>
        </w:tc>
        <w:tc>
          <w:tcPr>
            <w:tcW w:w="776" w:type="dxa"/>
          </w:tcPr>
          <w:p w14:paraId="01EA5E57">
            <w:pPr>
              <w:autoSpaceDE w:val="0"/>
              <w:autoSpaceDN w:val="0"/>
              <w:adjustRightInd w:val="0"/>
              <w:snapToGrid w:val="0"/>
              <w:jc w:val="left"/>
              <w:rPr>
                <w:rFonts w:ascii="宋体" w:hAnsi="宋体"/>
                <w:color w:val="auto"/>
                <w:kern w:val="0"/>
                <w:szCs w:val="21"/>
                <w:highlight w:val="none"/>
              </w:rPr>
            </w:pPr>
          </w:p>
        </w:tc>
        <w:tc>
          <w:tcPr>
            <w:tcW w:w="1274" w:type="dxa"/>
          </w:tcPr>
          <w:p w14:paraId="4FCEC6A3">
            <w:pPr>
              <w:autoSpaceDE w:val="0"/>
              <w:autoSpaceDN w:val="0"/>
              <w:adjustRightInd w:val="0"/>
              <w:snapToGrid w:val="0"/>
              <w:jc w:val="left"/>
              <w:rPr>
                <w:rFonts w:ascii="宋体" w:hAnsi="宋体"/>
                <w:color w:val="auto"/>
                <w:kern w:val="0"/>
                <w:szCs w:val="21"/>
                <w:highlight w:val="none"/>
              </w:rPr>
            </w:pPr>
          </w:p>
        </w:tc>
        <w:tc>
          <w:tcPr>
            <w:tcW w:w="1105" w:type="dxa"/>
          </w:tcPr>
          <w:p w14:paraId="34D98544">
            <w:pPr>
              <w:autoSpaceDE w:val="0"/>
              <w:autoSpaceDN w:val="0"/>
              <w:adjustRightInd w:val="0"/>
              <w:snapToGrid w:val="0"/>
              <w:jc w:val="left"/>
              <w:rPr>
                <w:rFonts w:ascii="宋体" w:hAnsi="宋体"/>
                <w:color w:val="auto"/>
                <w:kern w:val="0"/>
                <w:szCs w:val="21"/>
                <w:highlight w:val="none"/>
              </w:rPr>
            </w:pPr>
          </w:p>
        </w:tc>
        <w:tc>
          <w:tcPr>
            <w:tcW w:w="1173" w:type="dxa"/>
          </w:tcPr>
          <w:p w14:paraId="449CE7A9">
            <w:pPr>
              <w:autoSpaceDE w:val="0"/>
              <w:autoSpaceDN w:val="0"/>
              <w:adjustRightInd w:val="0"/>
              <w:snapToGrid w:val="0"/>
              <w:jc w:val="left"/>
              <w:rPr>
                <w:rFonts w:ascii="宋体" w:hAnsi="宋体"/>
                <w:color w:val="auto"/>
                <w:kern w:val="0"/>
                <w:szCs w:val="21"/>
                <w:highlight w:val="none"/>
              </w:rPr>
            </w:pPr>
          </w:p>
        </w:tc>
        <w:tc>
          <w:tcPr>
            <w:tcW w:w="1254" w:type="dxa"/>
          </w:tcPr>
          <w:p w14:paraId="066880D3">
            <w:pPr>
              <w:autoSpaceDE w:val="0"/>
              <w:autoSpaceDN w:val="0"/>
              <w:adjustRightInd w:val="0"/>
              <w:snapToGrid w:val="0"/>
              <w:jc w:val="left"/>
              <w:rPr>
                <w:rFonts w:ascii="宋体" w:hAnsi="宋体"/>
                <w:color w:val="auto"/>
                <w:kern w:val="0"/>
                <w:szCs w:val="21"/>
                <w:highlight w:val="none"/>
              </w:rPr>
            </w:pPr>
          </w:p>
        </w:tc>
        <w:tc>
          <w:tcPr>
            <w:tcW w:w="1414" w:type="dxa"/>
          </w:tcPr>
          <w:p w14:paraId="73E54B39">
            <w:pPr>
              <w:autoSpaceDE w:val="0"/>
              <w:autoSpaceDN w:val="0"/>
              <w:adjustRightInd w:val="0"/>
              <w:snapToGrid w:val="0"/>
              <w:jc w:val="left"/>
              <w:rPr>
                <w:rFonts w:ascii="宋体" w:hAnsi="宋体"/>
                <w:color w:val="auto"/>
                <w:kern w:val="0"/>
                <w:szCs w:val="21"/>
                <w:highlight w:val="none"/>
              </w:rPr>
            </w:pPr>
          </w:p>
        </w:tc>
        <w:tc>
          <w:tcPr>
            <w:tcW w:w="896" w:type="dxa"/>
          </w:tcPr>
          <w:p w14:paraId="4CDF2C8B">
            <w:pPr>
              <w:autoSpaceDE w:val="0"/>
              <w:autoSpaceDN w:val="0"/>
              <w:adjustRightInd w:val="0"/>
              <w:snapToGrid w:val="0"/>
              <w:jc w:val="left"/>
              <w:rPr>
                <w:rFonts w:ascii="宋体" w:hAnsi="宋体"/>
                <w:color w:val="auto"/>
                <w:kern w:val="0"/>
                <w:szCs w:val="21"/>
                <w:highlight w:val="none"/>
              </w:rPr>
            </w:pPr>
          </w:p>
        </w:tc>
      </w:tr>
      <w:tr w14:paraId="0F8486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1F3710B">
            <w:pPr>
              <w:autoSpaceDE w:val="0"/>
              <w:autoSpaceDN w:val="0"/>
              <w:adjustRightInd w:val="0"/>
              <w:snapToGrid w:val="0"/>
              <w:jc w:val="left"/>
              <w:rPr>
                <w:rFonts w:ascii="宋体" w:hAnsi="宋体"/>
                <w:color w:val="auto"/>
                <w:kern w:val="0"/>
                <w:szCs w:val="21"/>
                <w:highlight w:val="none"/>
              </w:rPr>
            </w:pPr>
          </w:p>
        </w:tc>
        <w:tc>
          <w:tcPr>
            <w:tcW w:w="734" w:type="dxa"/>
          </w:tcPr>
          <w:p w14:paraId="15837211">
            <w:pPr>
              <w:autoSpaceDE w:val="0"/>
              <w:autoSpaceDN w:val="0"/>
              <w:adjustRightInd w:val="0"/>
              <w:snapToGrid w:val="0"/>
              <w:jc w:val="left"/>
              <w:rPr>
                <w:rFonts w:ascii="宋体" w:hAnsi="宋体"/>
                <w:color w:val="auto"/>
                <w:kern w:val="0"/>
                <w:szCs w:val="21"/>
                <w:highlight w:val="none"/>
              </w:rPr>
            </w:pPr>
          </w:p>
        </w:tc>
        <w:tc>
          <w:tcPr>
            <w:tcW w:w="776" w:type="dxa"/>
          </w:tcPr>
          <w:p w14:paraId="307B5CF2">
            <w:pPr>
              <w:autoSpaceDE w:val="0"/>
              <w:autoSpaceDN w:val="0"/>
              <w:adjustRightInd w:val="0"/>
              <w:snapToGrid w:val="0"/>
              <w:jc w:val="left"/>
              <w:rPr>
                <w:rFonts w:ascii="宋体" w:hAnsi="宋体"/>
                <w:color w:val="auto"/>
                <w:kern w:val="0"/>
                <w:szCs w:val="21"/>
                <w:highlight w:val="none"/>
              </w:rPr>
            </w:pPr>
          </w:p>
        </w:tc>
        <w:tc>
          <w:tcPr>
            <w:tcW w:w="1274" w:type="dxa"/>
          </w:tcPr>
          <w:p w14:paraId="3F949622">
            <w:pPr>
              <w:autoSpaceDE w:val="0"/>
              <w:autoSpaceDN w:val="0"/>
              <w:adjustRightInd w:val="0"/>
              <w:snapToGrid w:val="0"/>
              <w:jc w:val="left"/>
              <w:rPr>
                <w:rFonts w:ascii="宋体" w:hAnsi="宋体"/>
                <w:color w:val="auto"/>
                <w:kern w:val="0"/>
                <w:szCs w:val="21"/>
                <w:highlight w:val="none"/>
              </w:rPr>
            </w:pPr>
          </w:p>
        </w:tc>
        <w:tc>
          <w:tcPr>
            <w:tcW w:w="1105" w:type="dxa"/>
          </w:tcPr>
          <w:p w14:paraId="36B0FC9C">
            <w:pPr>
              <w:autoSpaceDE w:val="0"/>
              <w:autoSpaceDN w:val="0"/>
              <w:adjustRightInd w:val="0"/>
              <w:snapToGrid w:val="0"/>
              <w:jc w:val="left"/>
              <w:rPr>
                <w:rFonts w:ascii="宋体" w:hAnsi="宋体"/>
                <w:color w:val="auto"/>
                <w:kern w:val="0"/>
                <w:szCs w:val="21"/>
                <w:highlight w:val="none"/>
              </w:rPr>
            </w:pPr>
          </w:p>
        </w:tc>
        <w:tc>
          <w:tcPr>
            <w:tcW w:w="1173" w:type="dxa"/>
          </w:tcPr>
          <w:p w14:paraId="11D1449C">
            <w:pPr>
              <w:autoSpaceDE w:val="0"/>
              <w:autoSpaceDN w:val="0"/>
              <w:adjustRightInd w:val="0"/>
              <w:snapToGrid w:val="0"/>
              <w:jc w:val="left"/>
              <w:rPr>
                <w:rFonts w:ascii="宋体" w:hAnsi="宋体"/>
                <w:color w:val="auto"/>
                <w:kern w:val="0"/>
                <w:szCs w:val="21"/>
                <w:highlight w:val="none"/>
              </w:rPr>
            </w:pPr>
          </w:p>
        </w:tc>
        <w:tc>
          <w:tcPr>
            <w:tcW w:w="1254" w:type="dxa"/>
          </w:tcPr>
          <w:p w14:paraId="4AD4FEB5">
            <w:pPr>
              <w:autoSpaceDE w:val="0"/>
              <w:autoSpaceDN w:val="0"/>
              <w:adjustRightInd w:val="0"/>
              <w:snapToGrid w:val="0"/>
              <w:jc w:val="left"/>
              <w:rPr>
                <w:rFonts w:ascii="宋体" w:hAnsi="宋体"/>
                <w:color w:val="auto"/>
                <w:kern w:val="0"/>
                <w:szCs w:val="21"/>
                <w:highlight w:val="none"/>
              </w:rPr>
            </w:pPr>
          </w:p>
        </w:tc>
        <w:tc>
          <w:tcPr>
            <w:tcW w:w="1414" w:type="dxa"/>
          </w:tcPr>
          <w:p w14:paraId="26A22CB3">
            <w:pPr>
              <w:autoSpaceDE w:val="0"/>
              <w:autoSpaceDN w:val="0"/>
              <w:adjustRightInd w:val="0"/>
              <w:snapToGrid w:val="0"/>
              <w:jc w:val="left"/>
              <w:rPr>
                <w:rFonts w:ascii="宋体" w:hAnsi="宋体"/>
                <w:color w:val="auto"/>
                <w:kern w:val="0"/>
                <w:szCs w:val="21"/>
                <w:highlight w:val="none"/>
              </w:rPr>
            </w:pPr>
          </w:p>
        </w:tc>
        <w:tc>
          <w:tcPr>
            <w:tcW w:w="896" w:type="dxa"/>
          </w:tcPr>
          <w:p w14:paraId="5C7DBCBE">
            <w:pPr>
              <w:autoSpaceDE w:val="0"/>
              <w:autoSpaceDN w:val="0"/>
              <w:adjustRightInd w:val="0"/>
              <w:snapToGrid w:val="0"/>
              <w:jc w:val="left"/>
              <w:rPr>
                <w:rFonts w:ascii="宋体" w:hAnsi="宋体"/>
                <w:color w:val="auto"/>
                <w:kern w:val="0"/>
                <w:szCs w:val="21"/>
                <w:highlight w:val="none"/>
              </w:rPr>
            </w:pPr>
          </w:p>
        </w:tc>
      </w:tr>
      <w:tr w14:paraId="02190A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22563BC">
            <w:pPr>
              <w:autoSpaceDE w:val="0"/>
              <w:autoSpaceDN w:val="0"/>
              <w:adjustRightInd w:val="0"/>
              <w:snapToGrid w:val="0"/>
              <w:jc w:val="left"/>
              <w:rPr>
                <w:rFonts w:ascii="宋体" w:hAnsi="宋体"/>
                <w:color w:val="auto"/>
                <w:kern w:val="0"/>
                <w:szCs w:val="21"/>
                <w:highlight w:val="none"/>
              </w:rPr>
            </w:pPr>
          </w:p>
        </w:tc>
        <w:tc>
          <w:tcPr>
            <w:tcW w:w="734" w:type="dxa"/>
          </w:tcPr>
          <w:p w14:paraId="561311D5">
            <w:pPr>
              <w:autoSpaceDE w:val="0"/>
              <w:autoSpaceDN w:val="0"/>
              <w:adjustRightInd w:val="0"/>
              <w:snapToGrid w:val="0"/>
              <w:jc w:val="left"/>
              <w:rPr>
                <w:rFonts w:ascii="宋体" w:hAnsi="宋体"/>
                <w:color w:val="auto"/>
                <w:kern w:val="0"/>
                <w:szCs w:val="21"/>
                <w:highlight w:val="none"/>
              </w:rPr>
            </w:pPr>
          </w:p>
        </w:tc>
        <w:tc>
          <w:tcPr>
            <w:tcW w:w="776" w:type="dxa"/>
          </w:tcPr>
          <w:p w14:paraId="22208B8A">
            <w:pPr>
              <w:autoSpaceDE w:val="0"/>
              <w:autoSpaceDN w:val="0"/>
              <w:adjustRightInd w:val="0"/>
              <w:snapToGrid w:val="0"/>
              <w:jc w:val="left"/>
              <w:rPr>
                <w:rFonts w:ascii="宋体" w:hAnsi="宋体"/>
                <w:color w:val="auto"/>
                <w:kern w:val="0"/>
                <w:szCs w:val="21"/>
                <w:highlight w:val="none"/>
              </w:rPr>
            </w:pPr>
          </w:p>
        </w:tc>
        <w:tc>
          <w:tcPr>
            <w:tcW w:w="1274" w:type="dxa"/>
          </w:tcPr>
          <w:p w14:paraId="4BAF2A7F">
            <w:pPr>
              <w:autoSpaceDE w:val="0"/>
              <w:autoSpaceDN w:val="0"/>
              <w:adjustRightInd w:val="0"/>
              <w:snapToGrid w:val="0"/>
              <w:jc w:val="left"/>
              <w:rPr>
                <w:rFonts w:ascii="宋体" w:hAnsi="宋体"/>
                <w:color w:val="auto"/>
                <w:kern w:val="0"/>
                <w:szCs w:val="21"/>
                <w:highlight w:val="none"/>
              </w:rPr>
            </w:pPr>
          </w:p>
        </w:tc>
        <w:tc>
          <w:tcPr>
            <w:tcW w:w="1105" w:type="dxa"/>
          </w:tcPr>
          <w:p w14:paraId="1401EDDA">
            <w:pPr>
              <w:autoSpaceDE w:val="0"/>
              <w:autoSpaceDN w:val="0"/>
              <w:adjustRightInd w:val="0"/>
              <w:snapToGrid w:val="0"/>
              <w:jc w:val="left"/>
              <w:rPr>
                <w:rFonts w:ascii="宋体" w:hAnsi="宋体"/>
                <w:color w:val="auto"/>
                <w:kern w:val="0"/>
                <w:szCs w:val="21"/>
                <w:highlight w:val="none"/>
              </w:rPr>
            </w:pPr>
          </w:p>
        </w:tc>
        <w:tc>
          <w:tcPr>
            <w:tcW w:w="1173" w:type="dxa"/>
          </w:tcPr>
          <w:p w14:paraId="21EF7AF9">
            <w:pPr>
              <w:autoSpaceDE w:val="0"/>
              <w:autoSpaceDN w:val="0"/>
              <w:adjustRightInd w:val="0"/>
              <w:snapToGrid w:val="0"/>
              <w:jc w:val="left"/>
              <w:rPr>
                <w:rFonts w:ascii="宋体" w:hAnsi="宋体"/>
                <w:color w:val="auto"/>
                <w:kern w:val="0"/>
                <w:szCs w:val="21"/>
                <w:highlight w:val="none"/>
              </w:rPr>
            </w:pPr>
          </w:p>
        </w:tc>
        <w:tc>
          <w:tcPr>
            <w:tcW w:w="1254" w:type="dxa"/>
          </w:tcPr>
          <w:p w14:paraId="68F27624">
            <w:pPr>
              <w:autoSpaceDE w:val="0"/>
              <w:autoSpaceDN w:val="0"/>
              <w:adjustRightInd w:val="0"/>
              <w:snapToGrid w:val="0"/>
              <w:jc w:val="left"/>
              <w:rPr>
                <w:rFonts w:ascii="宋体" w:hAnsi="宋体"/>
                <w:color w:val="auto"/>
                <w:kern w:val="0"/>
                <w:szCs w:val="21"/>
                <w:highlight w:val="none"/>
              </w:rPr>
            </w:pPr>
          </w:p>
        </w:tc>
        <w:tc>
          <w:tcPr>
            <w:tcW w:w="1414" w:type="dxa"/>
          </w:tcPr>
          <w:p w14:paraId="35DC84C8">
            <w:pPr>
              <w:autoSpaceDE w:val="0"/>
              <w:autoSpaceDN w:val="0"/>
              <w:adjustRightInd w:val="0"/>
              <w:snapToGrid w:val="0"/>
              <w:jc w:val="left"/>
              <w:rPr>
                <w:rFonts w:ascii="宋体" w:hAnsi="宋体"/>
                <w:color w:val="auto"/>
                <w:kern w:val="0"/>
                <w:szCs w:val="21"/>
                <w:highlight w:val="none"/>
              </w:rPr>
            </w:pPr>
          </w:p>
        </w:tc>
        <w:tc>
          <w:tcPr>
            <w:tcW w:w="896" w:type="dxa"/>
          </w:tcPr>
          <w:p w14:paraId="7AF079D4">
            <w:pPr>
              <w:autoSpaceDE w:val="0"/>
              <w:autoSpaceDN w:val="0"/>
              <w:adjustRightInd w:val="0"/>
              <w:snapToGrid w:val="0"/>
              <w:jc w:val="left"/>
              <w:rPr>
                <w:rFonts w:ascii="宋体" w:hAnsi="宋体"/>
                <w:color w:val="auto"/>
                <w:kern w:val="0"/>
                <w:szCs w:val="21"/>
                <w:highlight w:val="none"/>
              </w:rPr>
            </w:pPr>
          </w:p>
        </w:tc>
      </w:tr>
      <w:tr w14:paraId="5C9D4B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68BC6F1">
            <w:pPr>
              <w:autoSpaceDE w:val="0"/>
              <w:autoSpaceDN w:val="0"/>
              <w:adjustRightInd w:val="0"/>
              <w:snapToGrid w:val="0"/>
              <w:jc w:val="left"/>
              <w:rPr>
                <w:rFonts w:ascii="宋体" w:hAnsi="宋体"/>
                <w:color w:val="auto"/>
                <w:kern w:val="0"/>
                <w:szCs w:val="21"/>
                <w:highlight w:val="none"/>
              </w:rPr>
            </w:pPr>
          </w:p>
        </w:tc>
        <w:tc>
          <w:tcPr>
            <w:tcW w:w="734" w:type="dxa"/>
          </w:tcPr>
          <w:p w14:paraId="3BCB1943">
            <w:pPr>
              <w:autoSpaceDE w:val="0"/>
              <w:autoSpaceDN w:val="0"/>
              <w:adjustRightInd w:val="0"/>
              <w:snapToGrid w:val="0"/>
              <w:jc w:val="left"/>
              <w:rPr>
                <w:rFonts w:ascii="宋体" w:hAnsi="宋体"/>
                <w:color w:val="auto"/>
                <w:kern w:val="0"/>
                <w:szCs w:val="21"/>
                <w:highlight w:val="none"/>
              </w:rPr>
            </w:pPr>
          </w:p>
        </w:tc>
        <w:tc>
          <w:tcPr>
            <w:tcW w:w="776" w:type="dxa"/>
          </w:tcPr>
          <w:p w14:paraId="76B93290">
            <w:pPr>
              <w:autoSpaceDE w:val="0"/>
              <w:autoSpaceDN w:val="0"/>
              <w:adjustRightInd w:val="0"/>
              <w:snapToGrid w:val="0"/>
              <w:jc w:val="left"/>
              <w:rPr>
                <w:rFonts w:ascii="宋体" w:hAnsi="宋体"/>
                <w:color w:val="auto"/>
                <w:kern w:val="0"/>
                <w:szCs w:val="21"/>
                <w:highlight w:val="none"/>
              </w:rPr>
            </w:pPr>
          </w:p>
        </w:tc>
        <w:tc>
          <w:tcPr>
            <w:tcW w:w="1274" w:type="dxa"/>
          </w:tcPr>
          <w:p w14:paraId="2AC1E077">
            <w:pPr>
              <w:autoSpaceDE w:val="0"/>
              <w:autoSpaceDN w:val="0"/>
              <w:adjustRightInd w:val="0"/>
              <w:snapToGrid w:val="0"/>
              <w:jc w:val="left"/>
              <w:rPr>
                <w:rFonts w:ascii="宋体" w:hAnsi="宋体"/>
                <w:color w:val="auto"/>
                <w:kern w:val="0"/>
                <w:szCs w:val="21"/>
                <w:highlight w:val="none"/>
              </w:rPr>
            </w:pPr>
          </w:p>
        </w:tc>
        <w:tc>
          <w:tcPr>
            <w:tcW w:w="1105" w:type="dxa"/>
          </w:tcPr>
          <w:p w14:paraId="14821623">
            <w:pPr>
              <w:autoSpaceDE w:val="0"/>
              <w:autoSpaceDN w:val="0"/>
              <w:adjustRightInd w:val="0"/>
              <w:snapToGrid w:val="0"/>
              <w:jc w:val="left"/>
              <w:rPr>
                <w:rFonts w:ascii="宋体" w:hAnsi="宋体"/>
                <w:color w:val="auto"/>
                <w:kern w:val="0"/>
                <w:szCs w:val="21"/>
                <w:highlight w:val="none"/>
              </w:rPr>
            </w:pPr>
          </w:p>
        </w:tc>
        <w:tc>
          <w:tcPr>
            <w:tcW w:w="1173" w:type="dxa"/>
          </w:tcPr>
          <w:p w14:paraId="4A2B9FE6">
            <w:pPr>
              <w:autoSpaceDE w:val="0"/>
              <w:autoSpaceDN w:val="0"/>
              <w:adjustRightInd w:val="0"/>
              <w:snapToGrid w:val="0"/>
              <w:jc w:val="left"/>
              <w:rPr>
                <w:rFonts w:ascii="宋体" w:hAnsi="宋体"/>
                <w:color w:val="auto"/>
                <w:kern w:val="0"/>
                <w:szCs w:val="21"/>
                <w:highlight w:val="none"/>
              </w:rPr>
            </w:pPr>
          </w:p>
        </w:tc>
        <w:tc>
          <w:tcPr>
            <w:tcW w:w="1254" w:type="dxa"/>
          </w:tcPr>
          <w:p w14:paraId="3B88C735">
            <w:pPr>
              <w:autoSpaceDE w:val="0"/>
              <w:autoSpaceDN w:val="0"/>
              <w:adjustRightInd w:val="0"/>
              <w:snapToGrid w:val="0"/>
              <w:jc w:val="left"/>
              <w:rPr>
                <w:rFonts w:ascii="宋体" w:hAnsi="宋体"/>
                <w:color w:val="auto"/>
                <w:kern w:val="0"/>
                <w:szCs w:val="21"/>
                <w:highlight w:val="none"/>
              </w:rPr>
            </w:pPr>
          </w:p>
        </w:tc>
        <w:tc>
          <w:tcPr>
            <w:tcW w:w="1414" w:type="dxa"/>
          </w:tcPr>
          <w:p w14:paraId="581A7762">
            <w:pPr>
              <w:autoSpaceDE w:val="0"/>
              <w:autoSpaceDN w:val="0"/>
              <w:adjustRightInd w:val="0"/>
              <w:snapToGrid w:val="0"/>
              <w:jc w:val="left"/>
              <w:rPr>
                <w:rFonts w:ascii="宋体" w:hAnsi="宋体"/>
                <w:color w:val="auto"/>
                <w:kern w:val="0"/>
                <w:szCs w:val="21"/>
                <w:highlight w:val="none"/>
              </w:rPr>
            </w:pPr>
          </w:p>
        </w:tc>
        <w:tc>
          <w:tcPr>
            <w:tcW w:w="896" w:type="dxa"/>
          </w:tcPr>
          <w:p w14:paraId="14127743">
            <w:pPr>
              <w:autoSpaceDE w:val="0"/>
              <w:autoSpaceDN w:val="0"/>
              <w:adjustRightInd w:val="0"/>
              <w:snapToGrid w:val="0"/>
              <w:jc w:val="left"/>
              <w:rPr>
                <w:rFonts w:ascii="宋体" w:hAnsi="宋体"/>
                <w:color w:val="auto"/>
                <w:kern w:val="0"/>
                <w:szCs w:val="21"/>
                <w:highlight w:val="none"/>
              </w:rPr>
            </w:pPr>
          </w:p>
        </w:tc>
      </w:tr>
      <w:tr w14:paraId="421EBF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E524136">
            <w:pPr>
              <w:autoSpaceDE w:val="0"/>
              <w:autoSpaceDN w:val="0"/>
              <w:adjustRightInd w:val="0"/>
              <w:snapToGrid w:val="0"/>
              <w:jc w:val="left"/>
              <w:rPr>
                <w:rFonts w:ascii="宋体" w:hAnsi="宋体"/>
                <w:color w:val="auto"/>
                <w:kern w:val="0"/>
                <w:szCs w:val="21"/>
                <w:highlight w:val="none"/>
              </w:rPr>
            </w:pPr>
          </w:p>
        </w:tc>
        <w:tc>
          <w:tcPr>
            <w:tcW w:w="734" w:type="dxa"/>
          </w:tcPr>
          <w:p w14:paraId="7EBFF7C0">
            <w:pPr>
              <w:autoSpaceDE w:val="0"/>
              <w:autoSpaceDN w:val="0"/>
              <w:adjustRightInd w:val="0"/>
              <w:snapToGrid w:val="0"/>
              <w:jc w:val="left"/>
              <w:rPr>
                <w:rFonts w:ascii="宋体" w:hAnsi="宋体"/>
                <w:color w:val="auto"/>
                <w:kern w:val="0"/>
                <w:szCs w:val="21"/>
                <w:highlight w:val="none"/>
              </w:rPr>
            </w:pPr>
          </w:p>
        </w:tc>
        <w:tc>
          <w:tcPr>
            <w:tcW w:w="776" w:type="dxa"/>
          </w:tcPr>
          <w:p w14:paraId="6A51785C">
            <w:pPr>
              <w:autoSpaceDE w:val="0"/>
              <w:autoSpaceDN w:val="0"/>
              <w:adjustRightInd w:val="0"/>
              <w:snapToGrid w:val="0"/>
              <w:jc w:val="left"/>
              <w:rPr>
                <w:rFonts w:ascii="宋体" w:hAnsi="宋体"/>
                <w:color w:val="auto"/>
                <w:kern w:val="0"/>
                <w:szCs w:val="21"/>
                <w:highlight w:val="none"/>
              </w:rPr>
            </w:pPr>
          </w:p>
        </w:tc>
        <w:tc>
          <w:tcPr>
            <w:tcW w:w="1274" w:type="dxa"/>
          </w:tcPr>
          <w:p w14:paraId="43EA3DB9">
            <w:pPr>
              <w:autoSpaceDE w:val="0"/>
              <w:autoSpaceDN w:val="0"/>
              <w:adjustRightInd w:val="0"/>
              <w:snapToGrid w:val="0"/>
              <w:jc w:val="left"/>
              <w:rPr>
                <w:rFonts w:ascii="宋体" w:hAnsi="宋体"/>
                <w:color w:val="auto"/>
                <w:kern w:val="0"/>
                <w:szCs w:val="21"/>
                <w:highlight w:val="none"/>
              </w:rPr>
            </w:pPr>
          </w:p>
        </w:tc>
        <w:tc>
          <w:tcPr>
            <w:tcW w:w="1105" w:type="dxa"/>
          </w:tcPr>
          <w:p w14:paraId="7164F6DD">
            <w:pPr>
              <w:autoSpaceDE w:val="0"/>
              <w:autoSpaceDN w:val="0"/>
              <w:adjustRightInd w:val="0"/>
              <w:snapToGrid w:val="0"/>
              <w:jc w:val="left"/>
              <w:rPr>
                <w:rFonts w:ascii="宋体" w:hAnsi="宋体"/>
                <w:color w:val="auto"/>
                <w:kern w:val="0"/>
                <w:szCs w:val="21"/>
                <w:highlight w:val="none"/>
              </w:rPr>
            </w:pPr>
          </w:p>
        </w:tc>
        <w:tc>
          <w:tcPr>
            <w:tcW w:w="1173" w:type="dxa"/>
          </w:tcPr>
          <w:p w14:paraId="0212DB77">
            <w:pPr>
              <w:autoSpaceDE w:val="0"/>
              <w:autoSpaceDN w:val="0"/>
              <w:adjustRightInd w:val="0"/>
              <w:snapToGrid w:val="0"/>
              <w:jc w:val="left"/>
              <w:rPr>
                <w:rFonts w:ascii="宋体" w:hAnsi="宋体"/>
                <w:color w:val="auto"/>
                <w:kern w:val="0"/>
                <w:szCs w:val="21"/>
                <w:highlight w:val="none"/>
              </w:rPr>
            </w:pPr>
          </w:p>
        </w:tc>
        <w:tc>
          <w:tcPr>
            <w:tcW w:w="1254" w:type="dxa"/>
          </w:tcPr>
          <w:p w14:paraId="4D363526">
            <w:pPr>
              <w:autoSpaceDE w:val="0"/>
              <w:autoSpaceDN w:val="0"/>
              <w:adjustRightInd w:val="0"/>
              <w:snapToGrid w:val="0"/>
              <w:jc w:val="left"/>
              <w:rPr>
                <w:rFonts w:ascii="宋体" w:hAnsi="宋体"/>
                <w:color w:val="auto"/>
                <w:kern w:val="0"/>
                <w:szCs w:val="21"/>
                <w:highlight w:val="none"/>
              </w:rPr>
            </w:pPr>
          </w:p>
        </w:tc>
        <w:tc>
          <w:tcPr>
            <w:tcW w:w="1414" w:type="dxa"/>
          </w:tcPr>
          <w:p w14:paraId="50921FF9">
            <w:pPr>
              <w:autoSpaceDE w:val="0"/>
              <w:autoSpaceDN w:val="0"/>
              <w:adjustRightInd w:val="0"/>
              <w:snapToGrid w:val="0"/>
              <w:jc w:val="left"/>
              <w:rPr>
                <w:rFonts w:ascii="宋体" w:hAnsi="宋体"/>
                <w:color w:val="auto"/>
                <w:kern w:val="0"/>
                <w:szCs w:val="21"/>
                <w:highlight w:val="none"/>
              </w:rPr>
            </w:pPr>
          </w:p>
        </w:tc>
        <w:tc>
          <w:tcPr>
            <w:tcW w:w="896" w:type="dxa"/>
          </w:tcPr>
          <w:p w14:paraId="42C7F44D">
            <w:pPr>
              <w:autoSpaceDE w:val="0"/>
              <w:autoSpaceDN w:val="0"/>
              <w:adjustRightInd w:val="0"/>
              <w:snapToGrid w:val="0"/>
              <w:jc w:val="left"/>
              <w:rPr>
                <w:rFonts w:ascii="宋体" w:hAnsi="宋体"/>
                <w:color w:val="auto"/>
                <w:kern w:val="0"/>
                <w:szCs w:val="21"/>
                <w:highlight w:val="none"/>
              </w:rPr>
            </w:pPr>
          </w:p>
        </w:tc>
      </w:tr>
    </w:tbl>
    <w:p w14:paraId="11E337BB">
      <w:pPr>
        <w:spacing w:line="20" w:lineRule="exact"/>
        <w:jc w:val="center"/>
        <w:rPr>
          <w:rFonts w:ascii="宋体" w:hAnsi="宋体"/>
          <w:color w:val="auto"/>
          <w:szCs w:val="21"/>
          <w:highlight w:val="none"/>
        </w:rPr>
      </w:pPr>
    </w:p>
    <w:p w14:paraId="6BE3EA40">
      <w:pPr>
        <w:spacing w:line="360" w:lineRule="auto"/>
        <w:rPr>
          <w:rFonts w:ascii="宋体" w:hAnsi="宋体"/>
          <w:color w:val="auto"/>
          <w:highlight w:val="none"/>
        </w:rPr>
      </w:pPr>
      <w:r>
        <w:rPr>
          <w:rFonts w:ascii="宋体" w:hAnsi="宋体"/>
          <w:color w:val="auto"/>
          <w:sz w:val="32"/>
          <w:szCs w:val="32"/>
          <w:highlight w:val="none"/>
        </w:rPr>
        <w:br w:type="page"/>
      </w:r>
      <w:bookmarkEnd w:id="947"/>
      <w:bookmarkEnd w:id="948"/>
      <w:bookmarkStart w:id="952" w:name="_Toc224103515"/>
    </w:p>
    <w:bookmarkEnd w:id="952"/>
    <w:p w14:paraId="3B8EDC2E">
      <w:pPr>
        <w:pStyle w:val="4"/>
        <w:spacing w:before="0" w:line="240" w:lineRule="auto"/>
        <w:jc w:val="center"/>
        <w:rPr>
          <w:rFonts w:ascii="宋体" w:hAnsi="宋体"/>
          <w:b w:val="0"/>
          <w:color w:val="auto"/>
          <w:highlight w:val="none"/>
        </w:rPr>
      </w:pPr>
      <w:bookmarkStart w:id="953" w:name="_Toc287620835"/>
      <w:bookmarkStart w:id="954" w:name="_Toc534185842"/>
      <w:bookmarkStart w:id="955" w:name="_Toc57905934"/>
      <w:bookmarkStart w:id="956" w:name="_Toc277082661"/>
      <w:bookmarkStart w:id="957" w:name="_Toc430530551"/>
      <w:bookmarkStart w:id="958" w:name="_Toc509218865"/>
      <w:bookmarkStart w:id="959" w:name="_Toc224103516"/>
      <w:bookmarkStart w:id="960" w:name="_Toc287607889"/>
      <w:r>
        <w:rPr>
          <w:rFonts w:ascii="宋体" w:hAnsi="宋体"/>
          <w:b w:val="0"/>
          <w:color w:val="auto"/>
          <w:highlight w:val="none"/>
        </w:rPr>
        <w:t>（</w:t>
      </w:r>
      <w:r>
        <w:rPr>
          <w:rFonts w:hint="eastAsia" w:ascii="宋体" w:hAnsi="宋体"/>
          <w:b w:val="0"/>
          <w:color w:val="auto"/>
          <w:highlight w:val="none"/>
          <w:lang w:val="en-US" w:eastAsia="zh-CN"/>
        </w:rPr>
        <w:t>四</w:t>
      </w:r>
      <w:r>
        <w:rPr>
          <w:rFonts w:ascii="宋体" w:hAnsi="宋体"/>
          <w:b w:val="0"/>
          <w:color w:val="auto"/>
          <w:highlight w:val="none"/>
        </w:rPr>
        <w:t>）类似项目情况表</w:t>
      </w:r>
      <w:bookmarkEnd w:id="953"/>
      <w:bookmarkEnd w:id="954"/>
      <w:bookmarkEnd w:id="955"/>
      <w:bookmarkEnd w:id="956"/>
      <w:bookmarkEnd w:id="957"/>
      <w:bookmarkEnd w:id="958"/>
      <w:bookmarkEnd w:id="959"/>
      <w:bookmarkEnd w:id="960"/>
    </w:p>
    <w:tbl>
      <w:tblPr>
        <w:tblStyle w:val="45"/>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14:paraId="79ADA3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14:paraId="32E4DA39">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项目名称</w:t>
            </w:r>
          </w:p>
        </w:tc>
        <w:tc>
          <w:tcPr>
            <w:tcW w:w="8027" w:type="dxa"/>
            <w:vAlign w:val="center"/>
          </w:tcPr>
          <w:p w14:paraId="3D720CF9">
            <w:pPr>
              <w:autoSpaceDE w:val="0"/>
              <w:autoSpaceDN w:val="0"/>
              <w:adjustRightInd w:val="0"/>
              <w:snapToGrid w:val="0"/>
              <w:jc w:val="center"/>
              <w:rPr>
                <w:rFonts w:ascii="宋体" w:hAnsi="宋体"/>
                <w:color w:val="auto"/>
                <w:kern w:val="0"/>
                <w:szCs w:val="21"/>
                <w:highlight w:val="none"/>
              </w:rPr>
            </w:pPr>
          </w:p>
        </w:tc>
      </w:tr>
      <w:tr w14:paraId="3413E0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14:paraId="67ACCCC7">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项目所在地</w:t>
            </w:r>
          </w:p>
        </w:tc>
        <w:tc>
          <w:tcPr>
            <w:tcW w:w="8027" w:type="dxa"/>
            <w:vAlign w:val="center"/>
          </w:tcPr>
          <w:p w14:paraId="6DB9AA51">
            <w:pPr>
              <w:autoSpaceDE w:val="0"/>
              <w:autoSpaceDN w:val="0"/>
              <w:adjustRightInd w:val="0"/>
              <w:snapToGrid w:val="0"/>
              <w:jc w:val="center"/>
              <w:rPr>
                <w:rFonts w:ascii="宋体" w:hAnsi="宋体"/>
                <w:color w:val="auto"/>
                <w:kern w:val="0"/>
                <w:szCs w:val="21"/>
                <w:highlight w:val="none"/>
              </w:rPr>
            </w:pPr>
          </w:p>
        </w:tc>
      </w:tr>
      <w:tr w14:paraId="7405EA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14:paraId="0B32A6E7">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发包人名称</w:t>
            </w:r>
          </w:p>
        </w:tc>
        <w:tc>
          <w:tcPr>
            <w:tcW w:w="8027" w:type="dxa"/>
            <w:vAlign w:val="center"/>
          </w:tcPr>
          <w:p w14:paraId="630089E6">
            <w:pPr>
              <w:autoSpaceDE w:val="0"/>
              <w:autoSpaceDN w:val="0"/>
              <w:adjustRightInd w:val="0"/>
              <w:snapToGrid w:val="0"/>
              <w:jc w:val="center"/>
              <w:rPr>
                <w:rFonts w:ascii="宋体" w:hAnsi="宋体"/>
                <w:color w:val="auto"/>
                <w:kern w:val="0"/>
                <w:szCs w:val="21"/>
                <w:highlight w:val="none"/>
              </w:rPr>
            </w:pPr>
          </w:p>
        </w:tc>
      </w:tr>
      <w:tr w14:paraId="1650513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14:paraId="30B92E81">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发包人地址</w:t>
            </w:r>
          </w:p>
        </w:tc>
        <w:tc>
          <w:tcPr>
            <w:tcW w:w="8027" w:type="dxa"/>
            <w:vAlign w:val="center"/>
          </w:tcPr>
          <w:p w14:paraId="4B0A4340">
            <w:pPr>
              <w:autoSpaceDE w:val="0"/>
              <w:autoSpaceDN w:val="0"/>
              <w:adjustRightInd w:val="0"/>
              <w:snapToGrid w:val="0"/>
              <w:jc w:val="center"/>
              <w:rPr>
                <w:rFonts w:ascii="宋体" w:hAnsi="宋体"/>
                <w:color w:val="auto"/>
                <w:kern w:val="0"/>
                <w:szCs w:val="21"/>
                <w:highlight w:val="none"/>
              </w:rPr>
            </w:pPr>
          </w:p>
        </w:tc>
      </w:tr>
      <w:tr w14:paraId="18C519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14:paraId="1AAEC64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发包人电话</w:t>
            </w:r>
          </w:p>
        </w:tc>
        <w:tc>
          <w:tcPr>
            <w:tcW w:w="8027" w:type="dxa"/>
            <w:vAlign w:val="center"/>
          </w:tcPr>
          <w:p w14:paraId="3302588B">
            <w:pPr>
              <w:autoSpaceDE w:val="0"/>
              <w:autoSpaceDN w:val="0"/>
              <w:adjustRightInd w:val="0"/>
              <w:snapToGrid w:val="0"/>
              <w:jc w:val="center"/>
              <w:rPr>
                <w:rFonts w:ascii="宋体" w:hAnsi="宋体"/>
                <w:color w:val="auto"/>
                <w:kern w:val="0"/>
                <w:szCs w:val="21"/>
                <w:highlight w:val="none"/>
              </w:rPr>
            </w:pPr>
          </w:p>
        </w:tc>
      </w:tr>
      <w:tr w14:paraId="338DD0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01" w:hRule="exact"/>
          <w:jc w:val="center"/>
        </w:trPr>
        <w:tc>
          <w:tcPr>
            <w:tcW w:w="1456" w:type="dxa"/>
            <w:vAlign w:val="center"/>
          </w:tcPr>
          <w:p w14:paraId="12F9C1A3">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合同价格</w:t>
            </w:r>
          </w:p>
        </w:tc>
        <w:tc>
          <w:tcPr>
            <w:tcW w:w="8027" w:type="dxa"/>
            <w:vAlign w:val="center"/>
          </w:tcPr>
          <w:p w14:paraId="336B9ED6">
            <w:pPr>
              <w:autoSpaceDE w:val="0"/>
              <w:autoSpaceDN w:val="0"/>
              <w:adjustRightInd w:val="0"/>
              <w:snapToGrid w:val="0"/>
              <w:jc w:val="center"/>
              <w:rPr>
                <w:rFonts w:ascii="宋体" w:hAnsi="宋体"/>
                <w:color w:val="auto"/>
                <w:kern w:val="0"/>
                <w:szCs w:val="21"/>
                <w:highlight w:val="none"/>
              </w:rPr>
            </w:pPr>
          </w:p>
        </w:tc>
      </w:tr>
      <w:tr w14:paraId="5E6BBB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0" w:hRule="exact"/>
          <w:jc w:val="center"/>
        </w:trPr>
        <w:tc>
          <w:tcPr>
            <w:tcW w:w="1456" w:type="dxa"/>
            <w:vAlign w:val="center"/>
          </w:tcPr>
          <w:p w14:paraId="2F741023">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开工日期</w:t>
            </w:r>
          </w:p>
        </w:tc>
        <w:tc>
          <w:tcPr>
            <w:tcW w:w="8027" w:type="dxa"/>
            <w:vAlign w:val="center"/>
          </w:tcPr>
          <w:p w14:paraId="6F7633A7">
            <w:pPr>
              <w:autoSpaceDE w:val="0"/>
              <w:autoSpaceDN w:val="0"/>
              <w:adjustRightInd w:val="0"/>
              <w:snapToGrid w:val="0"/>
              <w:jc w:val="center"/>
              <w:rPr>
                <w:rFonts w:ascii="宋体" w:hAnsi="宋体"/>
                <w:color w:val="auto"/>
                <w:kern w:val="0"/>
                <w:szCs w:val="21"/>
                <w:highlight w:val="none"/>
              </w:rPr>
            </w:pPr>
          </w:p>
        </w:tc>
      </w:tr>
      <w:tr w14:paraId="3B8215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49" w:hRule="exact"/>
          <w:jc w:val="center"/>
        </w:trPr>
        <w:tc>
          <w:tcPr>
            <w:tcW w:w="1456" w:type="dxa"/>
            <w:vAlign w:val="center"/>
          </w:tcPr>
          <w:p w14:paraId="255F1C31">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竣工日期</w:t>
            </w:r>
          </w:p>
        </w:tc>
        <w:tc>
          <w:tcPr>
            <w:tcW w:w="8027" w:type="dxa"/>
            <w:vAlign w:val="center"/>
          </w:tcPr>
          <w:p w14:paraId="28A7D2FE">
            <w:pPr>
              <w:autoSpaceDE w:val="0"/>
              <w:autoSpaceDN w:val="0"/>
              <w:adjustRightInd w:val="0"/>
              <w:snapToGrid w:val="0"/>
              <w:jc w:val="center"/>
              <w:rPr>
                <w:rFonts w:ascii="宋体" w:hAnsi="宋体"/>
                <w:color w:val="auto"/>
                <w:kern w:val="0"/>
                <w:szCs w:val="21"/>
                <w:highlight w:val="none"/>
              </w:rPr>
            </w:pPr>
          </w:p>
        </w:tc>
      </w:tr>
      <w:tr w14:paraId="324F38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83" w:hRule="exact"/>
          <w:jc w:val="center"/>
        </w:trPr>
        <w:tc>
          <w:tcPr>
            <w:tcW w:w="1456" w:type="dxa"/>
            <w:vAlign w:val="center"/>
          </w:tcPr>
          <w:p w14:paraId="4638AE35">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承担的工作</w:t>
            </w:r>
          </w:p>
        </w:tc>
        <w:tc>
          <w:tcPr>
            <w:tcW w:w="8027" w:type="dxa"/>
            <w:vAlign w:val="center"/>
          </w:tcPr>
          <w:p w14:paraId="193D1798">
            <w:pPr>
              <w:autoSpaceDE w:val="0"/>
              <w:autoSpaceDN w:val="0"/>
              <w:adjustRightInd w:val="0"/>
              <w:snapToGrid w:val="0"/>
              <w:jc w:val="center"/>
              <w:rPr>
                <w:rFonts w:ascii="宋体" w:hAnsi="宋体"/>
                <w:color w:val="auto"/>
                <w:kern w:val="0"/>
                <w:szCs w:val="21"/>
                <w:highlight w:val="none"/>
              </w:rPr>
            </w:pPr>
          </w:p>
        </w:tc>
      </w:tr>
      <w:tr w14:paraId="7FEC35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52" w:hRule="exact"/>
          <w:jc w:val="center"/>
        </w:trPr>
        <w:tc>
          <w:tcPr>
            <w:tcW w:w="1456" w:type="dxa"/>
            <w:vAlign w:val="center"/>
          </w:tcPr>
          <w:p w14:paraId="3443634E">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工程质量</w:t>
            </w:r>
          </w:p>
        </w:tc>
        <w:tc>
          <w:tcPr>
            <w:tcW w:w="8027" w:type="dxa"/>
            <w:vAlign w:val="center"/>
          </w:tcPr>
          <w:p w14:paraId="65C1C1ED">
            <w:pPr>
              <w:autoSpaceDE w:val="0"/>
              <w:autoSpaceDN w:val="0"/>
              <w:adjustRightInd w:val="0"/>
              <w:snapToGrid w:val="0"/>
              <w:jc w:val="center"/>
              <w:rPr>
                <w:rFonts w:ascii="宋体" w:hAnsi="宋体"/>
                <w:color w:val="auto"/>
                <w:kern w:val="0"/>
                <w:szCs w:val="21"/>
                <w:highlight w:val="none"/>
              </w:rPr>
            </w:pPr>
          </w:p>
        </w:tc>
      </w:tr>
      <w:tr w14:paraId="386343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89" w:hRule="exact"/>
          <w:jc w:val="center"/>
        </w:trPr>
        <w:tc>
          <w:tcPr>
            <w:tcW w:w="1456" w:type="dxa"/>
            <w:vAlign w:val="center"/>
          </w:tcPr>
          <w:p w14:paraId="4E88912D">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项目经理</w:t>
            </w:r>
          </w:p>
        </w:tc>
        <w:tc>
          <w:tcPr>
            <w:tcW w:w="8027" w:type="dxa"/>
            <w:vAlign w:val="center"/>
          </w:tcPr>
          <w:p w14:paraId="45869B76">
            <w:pPr>
              <w:autoSpaceDE w:val="0"/>
              <w:autoSpaceDN w:val="0"/>
              <w:adjustRightInd w:val="0"/>
              <w:snapToGrid w:val="0"/>
              <w:jc w:val="center"/>
              <w:rPr>
                <w:rFonts w:ascii="宋体" w:hAnsi="宋体"/>
                <w:color w:val="auto"/>
                <w:kern w:val="0"/>
                <w:szCs w:val="21"/>
                <w:highlight w:val="none"/>
              </w:rPr>
            </w:pPr>
          </w:p>
        </w:tc>
      </w:tr>
      <w:tr w14:paraId="459E78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30" w:hRule="exact"/>
          <w:jc w:val="center"/>
        </w:trPr>
        <w:tc>
          <w:tcPr>
            <w:tcW w:w="1456" w:type="dxa"/>
            <w:vAlign w:val="center"/>
          </w:tcPr>
          <w:p w14:paraId="43029AD8">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技术负责人</w:t>
            </w:r>
          </w:p>
        </w:tc>
        <w:tc>
          <w:tcPr>
            <w:tcW w:w="8027" w:type="dxa"/>
            <w:vAlign w:val="center"/>
          </w:tcPr>
          <w:p w14:paraId="2DB0F5B6">
            <w:pPr>
              <w:autoSpaceDE w:val="0"/>
              <w:autoSpaceDN w:val="0"/>
              <w:adjustRightInd w:val="0"/>
              <w:snapToGrid w:val="0"/>
              <w:jc w:val="center"/>
              <w:rPr>
                <w:rFonts w:ascii="宋体" w:hAnsi="宋体"/>
                <w:color w:val="auto"/>
                <w:kern w:val="0"/>
                <w:szCs w:val="21"/>
                <w:highlight w:val="none"/>
              </w:rPr>
            </w:pPr>
          </w:p>
        </w:tc>
      </w:tr>
      <w:tr w14:paraId="503348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14:paraId="21EBBA20">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项目描述</w:t>
            </w:r>
          </w:p>
        </w:tc>
        <w:tc>
          <w:tcPr>
            <w:tcW w:w="8027" w:type="dxa"/>
            <w:vAlign w:val="center"/>
          </w:tcPr>
          <w:p w14:paraId="519E52A3">
            <w:pPr>
              <w:autoSpaceDE w:val="0"/>
              <w:autoSpaceDN w:val="0"/>
              <w:adjustRightInd w:val="0"/>
              <w:snapToGrid w:val="0"/>
              <w:jc w:val="center"/>
              <w:rPr>
                <w:rFonts w:ascii="宋体" w:hAnsi="宋体"/>
                <w:color w:val="auto"/>
                <w:kern w:val="0"/>
                <w:szCs w:val="21"/>
                <w:highlight w:val="none"/>
              </w:rPr>
            </w:pPr>
          </w:p>
        </w:tc>
      </w:tr>
      <w:tr w14:paraId="392533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14:paraId="613636F5">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备注</w:t>
            </w:r>
          </w:p>
        </w:tc>
        <w:tc>
          <w:tcPr>
            <w:tcW w:w="8027" w:type="dxa"/>
            <w:vAlign w:val="center"/>
          </w:tcPr>
          <w:p w14:paraId="6B7F362D">
            <w:pPr>
              <w:autoSpaceDE w:val="0"/>
              <w:autoSpaceDN w:val="0"/>
              <w:adjustRightInd w:val="0"/>
              <w:snapToGrid w:val="0"/>
              <w:jc w:val="center"/>
              <w:rPr>
                <w:rFonts w:ascii="宋体" w:hAnsi="宋体"/>
                <w:color w:val="auto"/>
                <w:kern w:val="0"/>
                <w:szCs w:val="21"/>
                <w:highlight w:val="none"/>
              </w:rPr>
            </w:pPr>
          </w:p>
        </w:tc>
      </w:tr>
    </w:tbl>
    <w:p w14:paraId="1F930BFD">
      <w:pPr>
        <w:rPr>
          <w:rFonts w:ascii="宋体" w:hAnsi="宋体"/>
          <w:color w:val="auto"/>
          <w:highlight w:val="none"/>
        </w:rPr>
      </w:pPr>
      <w:bookmarkStart w:id="961" w:name="_Toc287620839"/>
      <w:bookmarkStart w:id="962" w:name="_Toc277082663"/>
      <w:bookmarkStart w:id="963" w:name="_Toc430530552"/>
      <w:bookmarkStart w:id="964" w:name="_Toc287607893"/>
      <w:bookmarkStart w:id="965" w:name="_Toc224103520"/>
      <w:bookmarkStart w:id="966" w:name="_Toc57905935"/>
      <w:bookmarkStart w:id="967" w:name="_Toc509218866"/>
      <w:bookmarkStart w:id="968" w:name="_Toc534185843"/>
      <w:r>
        <w:rPr>
          <w:rFonts w:ascii="宋体" w:hAnsi="宋体"/>
          <w:color w:val="auto"/>
          <w:highlight w:val="none"/>
        </w:rPr>
        <w:br w:type="page"/>
      </w:r>
    </w:p>
    <w:p w14:paraId="5993962A">
      <w:pPr>
        <w:pStyle w:val="4"/>
        <w:spacing w:before="0" w:after="0" w:line="360" w:lineRule="auto"/>
        <w:jc w:val="center"/>
        <w:rPr>
          <w:rFonts w:ascii="宋体" w:hAnsi="宋体"/>
          <w:b w:val="0"/>
          <w:color w:val="auto"/>
          <w:highlight w:val="none"/>
        </w:rPr>
      </w:pPr>
      <w:r>
        <w:rPr>
          <w:rFonts w:ascii="宋体" w:hAnsi="宋体"/>
          <w:b w:val="0"/>
          <w:color w:val="auto"/>
          <w:highlight w:val="none"/>
        </w:rPr>
        <w:t>（</w:t>
      </w:r>
      <w:r>
        <w:rPr>
          <w:rFonts w:hint="eastAsia" w:ascii="宋体" w:hAnsi="宋体"/>
          <w:b w:val="0"/>
          <w:color w:val="auto"/>
          <w:highlight w:val="none"/>
          <w:lang w:val="en-US" w:eastAsia="zh-CN"/>
        </w:rPr>
        <w:t>五</w:t>
      </w:r>
      <w:r>
        <w:rPr>
          <w:rFonts w:ascii="宋体" w:hAnsi="宋体"/>
          <w:b w:val="0"/>
          <w:color w:val="auto"/>
          <w:highlight w:val="none"/>
        </w:rPr>
        <w:t>）</w:t>
      </w:r>
      <w:bookmarkEnd w:id="961"/>
      <w:bookmarkEnd w:id="962"/>
      <w:bookmarkEnd w:id="963"/>
      <w:bookmarkEnd w:id="964"/>
      <w:bookmarkEnd w:id="965"/>
      <w:r>
        <w:rPr>
          <w:rFonts w:hint="eastAsia" w:ascii="宋体" w:hAnsi="宋体"/>
          <w:b w:val="0"/>
          <w:color w:val="auto"/>
          <w:highlight w:val="none"/>
        </w:rPr>
        <w:t>承诺</w:t>
      </w:r>
      <w:bookmarkEnd w:id="966"/>
    </w:p>
    <w:p w14:paraId="0A722643">
      <w:pPr>
        <w:snapToGrid w:val="0"/>
        <w:spacing w:line="380" w:lineRule="exact"/>
        <w:rPr>
          <w:rFonts w:ascii="宋体" w:hAnsi="宋体"/>
          <w:color w:val="auto"/>
          <w:szCs w:val="21"/>
          <w:highlight w:val="none"/>
          <w:u w:val="single"/>
        </w:rPr>
      </w:pPr>
      <w:r>
        <w:rPr>
          <w:rFonts w:hint="eastAsia" w:ascii="宋体" w:hAnsi="宋体"/>
          <w:color w:val="auto"/>
          <w:szCs w:val="21"/>
          <w:highlight w:val="none"/>
          <w:u w:val="single"/>
        </w:rPr>
        <w:t xml:space="preserve">        （招标人名称）</w:t>
      </w:r>
      <w:r>
        <w:rPr>
          <w:rFonts w:hint="eastAsia" w:ascii="宋体" w:hAnsi="宋体"/>
          <w:color w:val="auto"/>
          <w:szCs w:val="21"/>
          <w:highlight w:val="none"/>
        </w:rPr>
        <w:t>：</w:t>
      </w:r>
    </w:p>
    <w:p w14:paraId="79084C1F">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（投标人名称）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14:paraId="6F3F1A1D">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1、我公司投标截止日投标资格情况不存在下列情形之一：</w:t>
      </w:r>
    </w:p>
    <w:p w14:paraId="0751C027">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7531224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1C2A6421">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（3）被列入《重庆市工程建设领域招标投标信用管理暂行办法》规定的黑名单且在记分有效期内；</w:t>
      </w:r>
    </w:p>
    <w:p w14:paraId="6BD4D5C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060D7CA0">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宋体" w:hAnsi="宋体"/>
          <w:color w:val="auto"/>
          <w:szCs w:val="21"/>
          <w:highlight w:val="none"/>
          <w:lang w:eastAsia="zh-CN"/>
        </w:rPr>
        <w:t>市级有关行业</w:t>
      </w:r>
      <w:r>
        <w:rPr>
          <w:rFonts w:hint="eastAsia" w:ascii="宋体" w:hAnsi="宋体"/>
          <w:color w:val="auto"/>
          <w:szCs w:val="21"/>
          <w:highlight w:val="none"/>
        </w:rPr>
        <w:t>主管部门暂停在渝承揽新业务且在暂停期内。</w:t>
      </w:r>
    </w:p>
    <w:p w14:paraId="68832F56">
      <w:pPr>
        <w:numPr>
          <w:ilvl w:val="0"/>
          <w:numId w:val="0"/>
        </w:num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我公司若中标，在签订合同之前，将按照建设行政主管部门的要求组建施工项目部，配置项目管理班子，出具任命文件。任命文件应当明确施工项目部的职责、岗位设置、人员配备，并书面通知</w:t>
      </w:r>
      <w:r>
        <w:rPr>
          <w:rFonts w:hint="eastAsia" w:ascii="宋体" w:hAnsi="宋体"/>
          <w:color w:val="auto"/>
          <w:szCs w:val="21"/>
          <w:highlight w:val="none"/>
          <w:lang w:val="en-US" w:eastAsia="zh-CN"/>
        </w:rPr>
        <w:t>贵单位</w:t>
      </w:r>
      <w:r>
        <w:rPr>
          <w:rFonts w:hint="eastAsia" w:ascii="宋体" w:hAnsi="宋体"/>
          <w:color w:val="auto"/>
          <w:szCs w:val="21"/>
          <w:highlight w:val="none"/>
        </w:rPr>
        <w:t>。相关岗位管理人员应持有建设行政主管部门要求的岗位证书，并提供我公司为其缴纳的养老保险证明材料。中标后不能满足该要求的，取消我公司中标资格，给</w:t>
      </w:r>
      <w:r>
        <w:rPr>
          <w:rFonts w:hint="eastAsia" w:ascii="宋体" w:hAnsi="宋体"/>
          <w:color w:val="auto"/>
          <w:szCs w:val="21"/>
          <w:highlight w:val="none"/>
          <w:lang w:val="en-US" w:eastAsia="zh-CN"/>
        </w:rPr>
        <w:t>贵单位</w:t>
      </w:r>
      <w:r>
        <w:rPr>
          <w:rFonts w:hint="eastAsia" w:ascii="宋体" w:hAnsi="宋体"/>
          <w:color w:val="auto"/>
          <w:szCs w:val="21"/>
          <w:highlight w:val="none"/>
        </w:rPr>
        <w:t>造成损失的，我公司依法承担违约赔偿责任。</w:t>
      </w:r>
    </w:p>
    <w:p w14:paraId="0A7FB8F0">
      <w:pPr>
        <w:numPr>
          <w:ilvl w:val="0"/>
          <w:numId w:val="2"/>
        </w:num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我公司承诺：已标价工程量清单符合第五章“工程量清单”给出的范围及数量，招标文件中规定工程量清单不允许修改的内容不得修改，每项工程量清单综合单价报价不得高于对应工程量清单综合单价最高限价。</w:t>
      </w:r>
      <w:r>
        <w:rPr>
          <w:rFonts w:hint="eastAsia" w:ascii="宋体" w:hAnsi="宋体"/>
          <w:color w:val="auto"/>
          <w:szCs w:val="21"/>
          <w:highlight w:val="none"/>
          <w:lang w:val="en-US" w:eastAsia="zh-CN"/>
        </w:rPr>
        <w:t>贵单位</w:t>
      </w:r>
      <w:r>
        <w:rPr>
          <w:rFonts w:hint="eastAsia" w:ascii="宋体" w:hAnsi="宋体"/>
          <w:color w:val="auto"/>
          <w:szCs w:val="21"/>
          <w:highlight w:val="none"/>
        </w:rPr>
        <w:t>可在合同签订前对我公司已标价工程量清单进行清标。若发现我公司的工程量清单综合单价报价超过招标时给出的工程量清单综合单价最高限价的，在工程结算时</w:t>
      </w:r>
      <w:r>
        <w:rPr>
          <w:rFonts w:hint="eastAsia" w:ascii="宋体" w:hAnsi="宋体"/>
          <w:color w:val="auto"/>
          <w:szCs w:val="21"/>
          <w:highlight w:val="none"/>
          <w:lang w:val="en-US" w:eastAsia="zh-CN"/>
        </w:rPr>
        <w:t>贵单位</w:t>
      </w:r>
      <w:r>
        <w:rPr>
          <w:rFonts w:hint="eastAsia" w:ascii="宋体" w:hAnsi="宋体"/>
          <w:color w:val="auto"/>
          <w:szCs w:val="21"/>
          <w:highlight w:val="none"/>
        </w:rPr>
        <w:t>以发出的工程量清单综合单价最高限价为基础，按照我公司的中标总报价与本工程的总价最高限价的下浮比例进行同比例下调，我公司无条件接受，否则按我公司违约处理。</w:t>
      </w:r>
    </w:p>
    <w:p w14:paraId="1F9000A0">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、我公司在资格审查部分中提供的相关证明材料真实有效，不存在弄虚作假情形。</w:t>
      </w:r>
      <w:r>
        <w:rPr>
          <w:rFonts w:hint="eastAsia" w:ascii="宋体" w:hAnsi="宋体"/>
          <w:color w:val="auto"/>
          <w:szCs w:val="21"/>
          <w:highlight w:val="none"/>
          <w:u w:val="single"/>
          <w:lang w:val="en-US" w:eastAsia="zh-CN"/>
        </w:rPr>
        <w:t>贵单位</w:t>
      </w:r>
      <w:r>
        <w:rPr>
          <w:rFonts w:hint="eastAsia" w:ascii="宋体" w:hAnsi="宋体"/>
          <w:color w:val="auto"/>
          <w:szCs w:val="21"/>
          <w:highlight w:val="none"/>
          <w:u w:val="single"/>
        </w:rPr>
        <w:t>在合同签订前均有权对我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司提供的资料进行核实，若发现弄虚作假，</w:t>
      </w:r>
      <w:r>
        <w:rPr>
          <w:rFonts w:hint="eastAsia" w:ascii="宋体" w:hAnsi="宋体"/>
          <w:color w:val="auto"/>
          <w:szCs w:val="21"/>
          <w:highlight w:val="none"/>
          <w:u w:val="single"/>
          <w:lang w:val="en-US" w:eastAsia="zh-CN"/>
        </w:rPr>
        <w:t>按相关规定</w:t>
      </w:r>
      <w:r>
        <w:rPr>
          <w:rFonts w:hint="eastAsia" w:ascii="宋体" w:hAnsi="宋体"/>
          <w:color w:val="auto"/>
          <w:szCs w:val="21"/>
          <w:highlight w:val="none"/>
          <w:u w:val="single"/>
        </w:rPr>
        <w:t>取消</w:t>
      </w:r>
      <w:r>
        <w:rPr>
          <w:rFonts w:hint="eastAsia" w:ascii="宋体" w:hAnsi="宋体"/>
          <w:color w:val="auto"/>
          <w:szCs w:val="21"/>
          <w:highlight w:val="none"/>
          <w:u w:val="single"/>
          <w:lang w:val="en-US" w:eastAsia="zh-CN"/>
        </w:rPr>
        <w:t>我公司</w:t>
      </w:r>
      <w:r>
        <w:rPr>
          <w:rFonts w:hint="eastAsia" w:ascii="宋体" w:hAnsi="宋体"/>
          <w:color w:val="auto"/>
          <w:szCs w:val="21"/>
          <w:highlight w:val="none"/>
          <w:u w:val="single"/>
        </w:rPr>
        <w:t>中标资格，并按相关法律法规报招标投标监督部门，投标保证金不予退还，我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司自愿承担因此造成的相关责任并赔偿相应损失</w:t>
      </w:r>
      <w:r>
        <w:rPr>
          <w:rFonts w:hint="eastAsia" w:ascii="宋体" w:hAnsi="宋体"/>
          <w:color w:val="auto"/>
          <w:szCs w:val="21"/>
          <w:highlight w:val="none"/>
        </w:rPr>
        <w:t>。</w:t>
      </w:r>
    </w:p>
    <w:p w14:paraId="3BA0D5B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、我公司不存在第二章 投标人须知第 1.4.3 项规定的任何一种情形。</w:t>
      </w:r>
    </w:p>
    <w:p w14:paraId="4A4864E5">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、我公司的投标文件符合第二章 投标人须知第 1.3.1 项的规定。</w:t>
      </w:r>
    </w:p>
    <w:p w14:paraId="29A1ACDE">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、我公司的投标文件符合第四章 合同条款及格式规定，投标文件中没有</w:t>
      </w:r>
      <w:r>
        <w:rPr>
          <w:rFonts w:hint="eastAsia" w:ascii="宋体" w:hAnsi="宋体"/>
          <w:color w:val="auto"/>
          <w:szCs w:val="21"/>
          <w:highlight w:val="none"/>
          <w:lang w:val="en-US" w:eastAsia="zh-CN"/>
        </w:rPr>
        <w:t>贵单位</w:t>
      </w:r>
      <w:r>
        <w:rPr>
          <w:rFonts w:hint="eastAsia" w:ascii="宋体" w:hAnsi="宋体"/>
          <w:color w:val="auto"/>
          <w:szCs w:val="21"/>
          <w:highlight w:val="none"/>
        </w:rPr>
        <w:t>不能接受的条件。</w:t>
      </w:r>
    </w:p>
    <w:p w14:paraId="5B582EAA">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、我公司的</w:t>
      </w:r>
      <w:r>
        <w:rPr>
          <w:rFonts w:hint="eastAsia" w:ascii="宋体" w:hAnsi="宋体" w:eastAsia="宋体" w:cs="Times New Roman"/>
          <w:color w:val="auto"/>
          <w:szCs w:val="21"/>
          <w:highlight w:val="none"/>
        </w:rPr>
        <w:t>投标文件符合第七章 技术标准和要求（如有）。</w:t>
      </w:r>
    </w:p>
    <w:p w14:paraId="2761CA5C">
      <w:pPr>
        <w:keepNext w:val="0"/>
        <w:keepLines w:val="0"/>
        <w:pageBreakBefore w:val="0"/>
        <w:widowControl w:val="0"/>
        <w:kinsoku/>
        <w:wordWrap/>
        <w:overflowPunct/>
        <w:topLinePunct w:val="0"/>
        <w:bidi w:val="0"/>
        <w:snapToGrid w:val="0"/>
        <w:spacing w:line="380" w:lineRule="exact"/>
        <w:ind w:firstLine="420" w:firstLineChars="200"/>
        <w:textAlignment w:val="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9、我公司接受招标文件中关于“不允许负数报价”的相关要求（如有）。</w:t>
      </w:r>
    </w:p>
    <w:p w14:paraId="319D61AA">
      <w:pPr>
        <w:keepNext w:val="0"/>
        <w:keepLines w:val="0"/>
        <w:pageBreakBefore w:val="0"/>
        <w:widowControl w:val="0"/>
        <w:kinsoku/>
        <w:wordWrap/>
        <w:overflowPunct/>
        <w:topLinePunct w:val="0"/>
        <w:bidi w:val="0"/>
        <w:snapToGrid w:val="0"/>
        <w:spacing w:line="380" w:lineRule="exact"/>
        <w:ind w:firstLine="420" w:firstLineChars="200"/>
        <w:textAlignment w:val="auto"/>
        <w:rPr>
          <w:rFonts w:ascii="宋体" w:hAnsi="宋体"/>
          <w:color w:val="auto"/>
          <w:kern w:val="0"/>
          <w:szCs w:val="21"/>
          <w:highlight w:val="none"/>
        </w:rPr>
      </w:pPr>
      <w:r>
        <w:rPr>
          <w:rFonts w:hint="eastAsia" w:ascii="宋体" w:hAnsi="宋体" w:eastAsia="宋体" w:cs="Times New Roman"/>
          <w:color w:val="auto"/>
          <w:szCs w:val="21"/>
          <w:highlight w:val="none"/>
          <w:lang w:val="en-US" w:eastAsia="zh-CN"/>
        </w:rPr>
        <w:t>10、我公司</w:t>
      </w:r>
      <w:r>
        <w:rPr>
          <w:rFonts w:hint="eastAsia" w:ascii="宋体" w:hAnsi="宋体" w:eastAsia="宋体" w:cs="Times New Roman"/>
          <w:color w:val="auto"/>
          <w:szCs w:val="21"/>
          <w:highlight w:val="none"/>
        </w:rPr>
        <w:t>承诺：中标后，拟派的高空作业人员到本项目任职</w:t>
      </w:r>
      <w:r>
        <w:rPr>
          <w:rFonts w:hint="eastAsia" w:ascii="宋体" w:hAnsi="宋体" w:eastAsia="宋体" w:cs="Times New Roman"/>
          <w:color w:val="auto"/>
          <w:szCs w:val="21"/>
          <w:highlight w:val="none"/>
          <w:lang w:eastAsia="zh-CN"/>
        </w:rPr>
        <w:t>。</w:t>
      </w:r>
      <w:bookmarkEnd w:id="967"/>
      <w:bookmarkEnd w:id="968"/>
    </w:p>
    <w:p w14:paraId="54B25252">
      <w:pPr>
        <w:tabs>
          <w:tab w:val="left" w:pos="4200"/>
          <w:tab w:val="left" w:pos="4620"/>
        </w:tabs>
        <w:autoSpaceDE w:val="0"/>
        <w:autoSpaceDN w:val="0"/>
        <w:adjustRightInd w:val="0"/>
        <w:snapToGrid w:val="0"/>
        <w:spacing w:line="360" w:lineRule="auto"/>
        <w:jc w:val="left"/>
        <w:rPr>
          <w:rFonts w:ascii="宋体" w:hAnsi="宋体"/>
          <w:color w:val="auto"/>
          <w:kern w:val="0"/>
          <w:szCs w:val="21"/>
          <w:highlight w:val="none"/>
        </w:rPr>
      </w:pPr>
    </w:p>
    <w:p w14:paraId="77A854EC">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7C0C4B8A">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4FE7F064">
      <w:pPr>
        <w:tabs>
          <w:tab w:val="left" w:pos="6300"/>
        </w:tabs>
        <w:autoSpaceDE w:val="0"/>
        <w:autoSpaceDN w:val="0"/>
        <w:adjustRightInd w:val="0"/>
        <w:snapToGrid w:val="0"/>
        <w:ind w:firstLine="420" w:firstLineChars="200"/>
        <w:jc w:val="right"/>
        <w:rPr>
          <w:rFonts w:ascii="宋体" w:hAnsi="宋体"/>
          <w:b/>
          <w:color w:val="auto"/>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日</w:t>
      </w:r>
    </w:p>
    <w:p w14:paraId="570DC8AD">
      <w:pPr>
        <w:rPr>
          <w:color w:val="auto"/>
          <w:highlight w:val="none"/>
        </w:rPr>
      </w:pPr>
      <w:r>
        <w:rPr>
          <w:color w:val="auto"/>
          <w:highlight w:val="none"/>
        </w:rPr>
        <w:br w:type="page"/>
      </w:r>
    </w:p>
    <w:p w14:paraId="6DF6E9C6">
      <w:pPr>
        <w:pStyle w:val="4"/>
        <w:spacing w:before="0" w:line="360" w:lineRule="auto"/>
        <w:jc w:val="center"/>
        <w:rPr>
          <w:rFonts w:ascii="宋体" w:hAnsi="宋体"/>
          <w:b w:val="0"/>
          <w:color w:val="auto"/>
          <w:highlight w:val="none"/>
        </w:rPr>
      </w:pPr>
      <w:bookmarkStart w:id="969" w:name="_Toc57905936"/>
      <w:r>
        <w:rPr>
          <w:rFonts w:hint="eastAsia" w:ascii="宋体" w:hAnsi="宋体"/>
          <w:b w:val="0"/>
          <w:color w:val="auto"/>
          <w:highlight w:val="none"/>
        </w:rPr>
        <w:t>（</w:t>
      </w:r>
      <w:r>
        <w:rPr>
          <w:rFonts w:hint="eastAsia" w:ascii="宋体" w:hAnsi="宋体"/>
          <w:b w:val="0"/>
          <w:color w:val="auto"/>
          <w:highlight w:val="none"/>
          <w:lang w:val="en-US" w:eastAsia="zh-CN"/>
        </w:rPr>
        <w:t>六</w:t>
      </w:r>
      <w:r>
        <w:rPr>
          <w:rFonts w:hint="eastAsia" w:ascii="宋体" w:hAnsi="宋体"/>
          <w:b w:val="0"/>
          <w:color w:val="auto"/>
          <w:highlight w:val="none"/>
        </w:rPr>
        <w:t>）其他资料</w:t>
      </w:r>
      <w:bookmarkEnd w:id="969"/>
    </w:p>
    <w:bookmarkEnd w:id="667"/>
    <w:bookmarkEnd w:id="668"/>
    <w:bookmarkEnd w:id="669"/>
    <w:p w14:paraId="24D9731E">
      <w:pPr>
        <w:rPr>
          <w:rFonts w:ascii="宋体" w:hAnsi="宋体"/>
          <w:b/>
          <w:color w:val="auto"/>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haracter">
                  <wp:posOffset>3884295</wp:posOffset>
                </wp:positionH>
                <wp:positionV relativeFrom="line">
                  <wp:posOffset>9352915</wp:posOffset>
                </wp:positionV>
                <wp:extent cx="419735" cy="198120"/>
                <wp:effectExtent l="0" t="0" r="0" b="0"/>
                <wp:wrapNone/>
                <wp:docPr id="116"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14:paraId="1F434EE1">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矩形 114" o:spid="_x0000_s1026" o:spt="1" style="position:absolute;left:0pt;margin-left:305.85pt;margin-top:736.45pt;height:15.6pt;width:33.05pt;mso-position-horizontal-relative:char;mso-position-vertical-relative:line;mso-wrap-style:none;rotation:-2883584f;z-index:251659264;mso-width-relative:page;mso-height-relative:page;" filled="f" stroked="f" coordsize="21600,21600" o:gfxdata="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hgYZNkAAAANAQAADwAAAAAAAAABACAAAAAiAAAAZHJzL2Rvd25yZXYueG1sUEsBAhQAFAAA&#10;AAgAh07iQF7svvbuAQAAwAMAAA4AAAAAAAAAAQAgAAAAKAEAAGRycy9lMm9Eb2MueG1sUEsFBgAA&#10;AAAGAAYAWQEAAIgFAAAAAA==&#10;">
                <v:fill on="f" focussize="0,0"/>
                <v:stroke on="f"/>
                <v:imagedata o:title=""/>
                <o:lock v:ext="edit" aspectratio="f"/>
                <v:textbox inset="0mm,0mm,0mm,0mm" style="mso-fit-shape-to-text:t;">
                  <w:txbxContent>
                    <w:p w14:paraId="1F434EE1">
                      <w:pPr>
                        <w:rPr>
                          <w:sz w:val="20"/>
                        </w:rPr>
                      </w:pPr>
                      <w:r>
                        <w:rPr>
                          <w:rFonts w:hint="eastAsia" w:ascii="宋体" w:cs="宋体"/>
                          <w:bCs/>
                          <w:color w:val="000000"/>
                          <w:sz w:val="22"/>
                        </w:rPr>
                        <w:t>密封线</w:t>
                      </w:r>
                    </w:p>
                  </w:txbxContent>
                </v:textbox>
              </v:rect>
            </w:pict>
          </mc:Fallback>
        </mc:AlternateContent>
      </w:r>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script"/>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方正仿宋简体">
    <w:altName w:val="微软雅黑"/>
    <w:panose1 w:val="00000000000000000000"/>
    <w:charset w:val="86"/>
    <w:family w:val="auto"/>
    <w:pitch w:val="default"/>
    <w:sig w:usb0="00000000" w:usb1="00000000" w:usb2="00000012" w:usb3="00000000" w:csb0="00040001" w:csb1="00000000"/>
  </w:font>
  <w:font w:name="方正小标宋简体">
    <w:altName w:val="黑体"/>
    <w:panose1 w:val="02010600010101010101"/>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crosoft Sans Serif">
    <w:panose1 w:val="020B0604020202020204"/>
    <w:charset w:val="00"/>
    <w:family w:val="swiss"/>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245D4">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12A96">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- 3 -</w:t>
    </w:r>
    <w:r>
      <w:fldChar w:fldCharType="end"/>
    </w:r>
  </w:p>
  <w:p w14:paraId="48E5ED5C">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79E09">
    <w:pPr>
      <w:pStyle w:val="29"/>
      <w:jc w:val="center"/>
    </w:pPr>
    <w:r>
      <w:t xml:space="preserve">- </w:t>
    </w:r>
    <w:r>
      <w:fldChar w:fldCharType="begin"/>
    </w:r>
    <w:r>
      <w:instrText xml:space="preserve"> PAGE </w:instrText>
    </w:r>
    <w:r>
      <w:fldChar w:fldCharType="separate"/>
    </w:r>
    <w:r>
      <w:t>243</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D5267">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264</w:t>
    </w:r>
    <w:r>
      <w:fldChar w:fldCharType="end"/>
    </w:r>
  </w:p>
  <w:p w14:paraId="63EF538B">
    <w:pPr>
      <w:pStyle w:val="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3ADF2E7">
      <w:pPr>
        <w:pStyle w:val="34"/>
        <w:ind w:firstLine="360" w:firstLineChars="200"/>
        <w:rPr>
          <w:rFonts w:ascii="Times New Roman" w:hAnsi="Times New Roman" w:cs="Times New Roman"/>
          <w:lang w:eastAsia="zh-CN"/>
        </w:rPr>
      </w:pPr>
      <w:r>
        <w:rPr>
          <w:rStyle w:val="55"/>
        </w:rPr>
        <w:footnoteRef/>
      </w:r>
      <w:r>
        <w:rPr>
          <w:rFonts w:ascii="Times New Roman" w:hAnsi="Times New Roman" w:cs="Times New Roman"/>
          <w:lang w:eastAsia="zh-CN"/>
        </w:rPr>
        <w:t>“</w:t>
      </w:r>
      <w:r>
        <w:rPr>
          <w:rFonts w:ascii="Times New Roman" w:cs="Times New Roman"/>
          <w:lang w:eastAsia="zh-CN"/>
        </w:rPr>
        <w:t>总价</w:t>
      </w:r>
      <w:r>
        <w:rPr>
          <w:rFonts w:ascii="Times New Roman" w:hAnsi="Times New Roman" w:cs="Times New Roman"/>
          <w:lang w:eastAsia="zh-CN"/>
        </w:rPr>
        <w:t>”</w:t>
      </w:r>
      <w:r>
        <w:rPr>
          <w:rFonts w:ascii="Times New Roman" w:cs="Times New Roman"/>
          <w:lang w:eastAsia="zh-CN"/>
        </w:rPr>
        <w:t>是指</w:t>
      </w:r>
      <w:r>
        <w:rPr>
          <w:rFonts w:ascii="Times New Roman" w:hAnsi="Times New Roman" w:cs="Times New Roman"/>
          <w:lang w:eastAsia="zh-CN"/>
        </w:rPr>
        <w:t>在工程量清单中以“项”或“总额”为计量单位、以总价计价的子目，一般用于不能按照约定的工程量计算规则确定数量的子目。总价子目一般按照分期、完成合同价的百分比或完成进度计划的形象进度节点等方式予以分解支付。总价子目的计量方法由发包人在专用合同条款12.3.1中明</w:t>
      </w:r>
      <w:r>
        <w:rPr>
          <w:rFonts w:ascii="Times New Roman" w:cs="Times New Roman"/>
          <w:lang w:eastAsia="zh-CN"/>
        </w:rPr>
        <w:t>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63A45">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B7D411"/>
    <w:multiLevelType w:val="singleLevel"/>
    <w:tmpl w:val="CFB7D411"/>
    <w:lvl w:ilvl="0" w:tentative="0">
      <w:start w:val="7"/>
      <w:numFmt w:val="decimal"/>
      <w:suff w:val="space"/>
      <w:lvlText w:val="%1."/>
      <w:lvlJc w:val="left"/>
    </w:lvl>
  </w:abstractNum>
  <w:abstractNum w:abstractNumId="1">
    <w:nsid w:val="5F471D00"/>
    <w:multiLevelType w:val="singleLevel"/>
    <w:tmpl w:val="5F471D00"/>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1OGI3Y2Q2MWFiNzg3ZTFhODM4M2NjNWI1ODgyM2YifQ=="/>
  </w:docVars>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30A6"/>
    <w:rsid w:val="003059F4"/>
    <w:rsid w:val="0030689E"/>
    <w:rsid w:val="003068D7"/>
    <w:rsid w:val="00306CC7"/>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6B9E"/>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3F4369"/>
    <w:rsid w:val="021240CF"/>
    <w:rsid w:val="02197498"/>
    <w:rsid w:val="029B6737"/>
    <w:rsid w:val="029E16D8"/>
    <w:rsid w:val="02D3433D"/>
    <w:rsid w:val="02E7478A"/>
    <w:rsid w:val="03000A08"/>
    <w:rsid w:val="03454DED"/>
    <w:rsid w:val="03C545D6"/>
    <w:rsid w:val="04625545"/>
    <w:rsid w:val="046D5737"/>
    <w:rsid w:val="04717E20"/>
    <w:rsid w:val="04957B11"/>
    <w:rsid w:val="05AB059E"/>
    <w:rsid w:val="05DC71B6"/>
    <w:rsid w:val="06665122"/>
    <w:rsid w:val="06C3127B"/>
    <w:rsid w:val="06C43DE0"/>
    <w:rsid w:val="06C64491"/>
    <w:rsid w:val="073B6DEB"/>
    <w:rsid w:val="074A1FE5"/>
    <w:rsid w:val="077305E3"/>
    <w:rsid w:val="078132CC"/>
    <w:rsid w:val="080A52B6"/>
    <w:rsid w:val="08191001"/>
    <w:rsid w:val="09945539"/>
    <w:rsid w:val="0A93506B"/>
    <w:rsid w:val="0B4B60CB"/>
    <w:rsid w:val="0B9E48FD"/>
    <w:rsid w:val="0BB622A7"/>
    <w:rsid w:val="0C3E42BE"/>
    <w:rsid w:val="0D4806BF"/>
    <w:rsid w:val="0D4B008E"/>
    <w:rsid w:val="0E024D74"/>
    <w:rsid w:val="0E0B0A7A"/>
    <w:rsid w:val="0E484301"/>
    <w:rsid w:val="0E5F1249"/>
    <w:rsid w:val="102B5AE8"/>
    <w:rsid w:val="10611A0A"/>
    <w:rsid w:val="10AC5059"/>
    <w:rsid w:val="113464A3"/>
    <w:rsid w:val="116D0F4A"/>
    <w:rsid w:val="12315FBE"/>
    <w:rsid w:val="127A292F"/>
    <w:rsid w:val="1282121E"/>
    <w:rsid w:val="13012641"/>
    <w:rsid w:val="13640BDF"/>
    <w:rsid w:val="13F26291"/>
    <w:rsid w:val="13FD7A4B"/>
    <w:rsid w:val="146E3E3D"/>
    <w:rsid w:val="14DC6FEA"/>
    <w:rsid w:val="152F2422"/>
    <w:rsid w:val="15F36B10"/>
    <w:rsid w:val="15F67B8F"/>
    <w:rsid w:val="15F86E50"/>
    <w:rsid w:val="15F873A5"/>
    <w:rsid w:val="16CD33F4"/>
    <w:rsid w:val="16E1457B"/>
    <w:rsid w:val="16F26FDC"/>
    <w:rsid w:val="17721137"/>
    <w:rsid w:val="17E75995"/>
    <w:rsid w:val="19450E59"/>
    <w:rsid w:val="19483FD9"/>
    <w:rsid w:val="19813FB0"/>
    <w:rsid w:val="1A3D4C07"/>
    <w:rsid w:val="1B5A4D98"/>
    <w:rsid w:val="1B610368"/>
    <w:rsid w:val="1BA96B88"/>
    <w:rsid w:val="1C6A496F"/>
    <w:rsid w:val="1DD063A3"/>
    <w:rsid w:val="1E957958"/>
    <w:rsid w:val="1F100C2A"/>
    <w:rsid w:val="1F125176"/>
    <w:rsid w:val="1F374DC3"/>
    <w:rsid w:val="1FFE6BEE"/>
    <w:rsid w:val="204F166B"/>
    <w:rsid w:val="20BA340F"/>
    <w:rsid w:val="20FE602D"/>
    <w:rsid w:val="210E1A59"/>
    <w:rsid w:val="216F7993"/>
    <w:rsid w:val="21825E03"/>
    <w:rsid w:val="21BB220E"/>
    <w:rsid w:val="221D5633"/>
    <w:rsid w:val="2383474E"/>
    <w:rsid w:val="24A10DF8"/>
    <w:rsid w:val="26C171CB"/>
    <w:rsid w:val="27F43460"/>
    <w:rsid w:val="2805374C"/>
    <w:rsid w:val="28054429"/>
    <w:rsid w:val="285A1251"/>
    <w:rsid w:val="286E52FC"/>
    <w:rsid w:val="29570097"/>
    <w:rsid w:val="29BE3637"/>
    <w:rsid w:val="2AB94FB6"/>
    <w:rsid w:val="2ABB7DF2"/>
    <w:rsid w:val="2ADE448E"/>
    <w:rsid w:val="2BD902EC"/>
    <w:rsid w:val="2D0C6C82"/>
    <w:rsid w:val="2E135BB8"/>
    <w:rsid w:val="2E386092"/>
    <w:rsid w:val="2EE737A0"/>
    <w:rsid w:val="2EF21CAB"/>
    <w:rsid w:val="2F3841ED"/>
    <w:rsid w:val="2F58187C"/>
    <w:rsid w:val="2FEA7353"/>
    <w:rsid w:val="30B1408E"/>
    <w:rsid w:val="30CE71F9"/>
    <w:rsid w:val="30EF67E5"/>
    <w:rsid w:val="310311E3"/>
    <w:rsid w:val="31F4722E"/>
    <w:rsid w:val="320B7848"/>
    <w:rsid w:val="328D7DE2"/>
    <w:rsid w:val="32BA571C"/>
    <w:rsid w:val="32EE6C13"/>
    <w:rsid w:val="33C53375"/>
    <w:rsid w:val="344D3544"/>
    <w:rsid w:val="34562CDE"/>
    <w:rsid w:val="35DB1C68"/>
    <w:rsid w:val="35EC697A"/>
    <w:rsid w:val="36F4767F"/>
    <w:rsid w:val="378418A7"/>
    <w:rsid w:val="380C094F"/>
    <w:rsid w:val="383C102E"/>
    <w:rsid w:val="386709AA"/>
    <w:rsid w:val="387D642F"/>
    <w:rsid w:val="38D86C09"/>
    <w:rsid w:val="3919772A"/>
    <w:rsid w:val="39211F43"/>
    <w:rsid w:val="39432B7F"/>
    <w:rsid w:val="3A310809"/>
    <w:rsid w:val="3A7645E5"/>
    <w:rsid w:val="3AA01AB2"/>
    <w:rsid w:val="3AC705C2"/>
    <w:rsid w:val="3B3339E2"/>
    <w:rsid w:val="3B4130B9"/>
    <w:rsid w:val="3BBF0327"/>
    <w:rsid w:val="3D4027C3"/>
    <w:rsid w:val="3D7502B8"/>
    <w:rsid w:val="3DB46376"/>
    <w:rsid w:val="3DFB39FD"/>
    <w:rsid w:val="3E287CA5"/>
    <w:rsid w:val="3E971150"/>
    <w:rsid w:val="3ED16F9F"/>
    <w:rsid w:val="3ED95EA9"/>
    <w:rsid w:val="3EFE309E"/>
    <w:rsid w:val="3F512870"/>
    <w:rsid w:val="3F6236D0"/>
    <w:rsid w:val="3F94702A"/>
    <w:rsid w:val="3FE06D3B"/>
    <w:rsid w:val="3FE2521F"/>
    <w:rsid w:val="405C4927"/>
    <w:rsid w:val="40D309FB"/>
    <w:rsid w:val="41D71CA1"/>
    <w:rsid w:val="4233454F"/>
    <w:rsid w:val="42A77BCB"/>
    <w:rsid w:val="43527DA5"/>
    <w:rsid w:val="446454B9"/>
    <w:rsid w:val="45093CD4"/>
    <w:rsid w:val="454D7023"/>
    <w:rsid w:val="45E0295F"/>
    <w:rsid w:val="46F07AD6"/>
    <w:rsid w:val="47364D74"/>
    <w:rsid w:val="48826C2D"/>
    <w:rsid w:val="489573EB"/>
    <w:rsid w:val="49375FAE"/>
    <w:rsid w:val="49CF100D"/>
    <w:rsid w:val="4AF83480"/>
    <w:rsid w:val="4B85051F"/>
    <w:rsid w:val="4BBF36E3"/>
    <w:rsid w:val="4C806421"/>
    <w:rsid w:val="4CA0475B"/>
    <w:rsid w:val="4CA9593B"/>
    <w:rsid w:val="4CDF4A30"/>
    <w:rsid w:val="4D0E1A0D"/>
    <w:rsid w:val="4D295EA4"/>
    <w:rsid w:val="4D450A84"/>
    <w:rsid w:val="4DFB11F6"/>
    <w:rsid w:val="4E774DAA"/>
    <w:rsid w:val="4E8C5DAC"/>
    <w:rsid w:val="4EF13B48"/>
    <w:rsid w:val="4FB76013"/>
    <w:rsid w:val="50EB36A6"/>
    <w:rsid w:val="51663C9A"/>
    <w:rsid w:val="52D80BEE"/>
    <w:rsid w:val="538928D5"/>
    <w:rsid w:val="546B6E19"/>
    <w:rsid w:val="548254F0"/>
    <w:rsid w:val="5485514F"/>
    <w:rsid w:val="548D558B"/>
    <w:rsid w:val="549A6C2B"/>
    <w:rsid w:val="54C36344"/>
    <w:rsid w:val="55082A65"/>
    <w:rsid w:val="559C4691"/>
    <w:rsid w:val="55C53EA6"/>
    <w:rsid w:val="565B7FD3"/>
    <w:rsid w:val="569772D3"/>
    <w:rsid w:val="57D4668D"/>
    <w:rsid w:val="59016536"/>
    <w:rsid w:val="590C29FE"/>
    <w:rsid w:val="59382F53"/>
    <w:rsid w:val="59A537CB"/>
    <w:rsid w:val="59F26FCA"/>
    <w:rsid w:val="5A2B7E5E"/>
    <w:rsid w:val="5AA07F40"/>
    <w:rsid w:val="5B071AB3"/>
    <w:rsid w:val="5B650D9F"/>
    <w:rsid w:val="5B7C4A30"/>
    <w:rsid w:val="5B8A26BD"/>
    <w:rsid w:val="5BDE0537"/>
    <w:rsid w:val="5BED4D57"/>
    <w:rsid w:val="5C17051D"/>
    <w:rsid w:val="5D0E6CE6"/>
    <w:rsid w:val="5D4D387D"/>
    <w:rsid w:val="5D6851F5"/>
    <w:rsid w:val="5E531B97"/>
    <w:rsid w:val="5F144DEA"/>
    <w:rsid w:val="5F7E3018"/>
    <w:rsid w:val="602962CE"/>
    <w:rsid w:val="60F1388E"/>
    <w:rsid w:val="611A4C01"/>
    <w:rsid w:val="61A77079"/>
    <w:rsid w:val="62D6732E"/>
    <w:rsid w:val="638279B4"/>
    <w:rsid w:val="639C64A0"/>
    <w:rsid w:val="642372D3"/>
    <w:rsid w:val="651708B8"/>
    <w:rsid w:val="65454382"/>
    <w:rsid w:val="655D7FBE"/>
    <w:rsid w:val="65FF1E91"/>
    <w:rsid w:val="66427110"/>
    <w:rsid w:val="68BB4E93"/>
    <w:rsid w:val="69E1278B"/>
    <w:rsid w:val="6A82754B"/>
    <w:rsid w:val="6ABD617F"/>
    <w:rsid w:val="6AC25622"/>
    <w:rsid w:val="6AEC3960"/>
    <w:rsid w:val="6B57195A"/>
    <w:rsid w:val="6B8320C0"/>
    <w:rsid w:val="6BD154CC"/>
    <w:rsid w:val="6C9A59BC"/>
    <w:rsid w:val="6CC92D08"/>
    <w:rsid w:val="6E071562"/>
    <w:rsid w:val="6F083740"/>
    <w:rsid w:val="6FBA0F1E"/>
    <w:rsid w:val="70904B27"/>
    <w:rsid w:val="70C31D6B"/>
    <w:rsid w:val="70F74CDB"/>
    <w:rsid w:val="71904B0C"/>
    <w:rsid w:val="71C73801"/>
    <w:rsid w:val="71F321AF"/>
    <w:rsid w:val="7233601F"/>
    <w:rsid w:val="74533F62"/>
    <w:rsid w:val="74891E24"/>
    <w:rsid w:val="76C667BC"/>
    <w:rsid w:val="77646FC0"/>
    <w:rsid w:val="776F0CF3"/>
    <w:rsid w:val="78DB67FF"/>
    <w:rsid w:val="79FE79DA"/>
    <w:rsid w:val="7A735C17"/>
    <w:rsid w:val="7A887546"/>
    <w:rsid w:val="7AA71D7C"/>
    <w:rsid w:val="7AAD5FEE"/>
    <w:rsid w:val="7BD03397"/>
    <w:rsid w:val="7BF9402F"/>
    <w:rsid w:val="7CF312BE"/>
    <w:rsid w:val="7D9120E2"/>
    <w:rsid w:val="7E695E0F"/>
    <w:rsid w:val="7E82658B"/>
    <w:rsid w:val="7E910D86"/>
    <w:rsid w:val="7EAD4DFF"/>
    <w:rsid w:val="7F0D4166"/>
    <w:rsid w:val="7FF9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4"/>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193"/>
    <w:qFormat/>
    <w:uiPriority w:val="0"/>
    <w:pPr>
      <w:keepNext/>
      <w:keepLines/>
      <w:spacing w:before="260" w:after="260" w:line="416" w:lineRule="auto"/>
      <w:outlineLvl w:val="2"/>
    </w:pPr>
    <w:rPr>
      <w:b/>
      <w:bCs/>
      <w:sz w:val="32"/>
      <w:szCs w:val="32"/>
    </w:rPr>
  </w:style>
  <w:style w:type="paragraph" w:styleId="5">
    <w:name w:val="heading 4"/>
    <w:basedOn w:val="1"/>
    <w:next w:val="1"/>
    <w:link w:val="179"/>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next w:val="1"/>
    <w:link w:val="292"/>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8"/>
    <w:next w:val="1"/>
    <w:link w:val="195"/>
    <w:qFormat/>
    <w:uiPriority w:val="0"/>
    <w:pPr>
      <w:keepNext/>
      <w:keepLines/>
      <w:ind w:firstLine="200" w:firstLineChars="200"/>
      <w:outlineLvl w:val="5"/>
    </w:pPr>
    <w:rPr>
      <w:rFonts w:hAnsi="Arial"/>
    </w:rPr>
  </w:style>
  <w:style w:type="paragraph" w:styleId="9">
    <w:name w:val="heading 7"/>
    <w:basedOn w:val="1"/>
    <w:next w:val="1"/>
    <w:link w:val="272"/>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267"/>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198"/>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styleId="8">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qFormat/>
    <w:uiPriority w:val="39"/>
    <w:pPr>
      <w:ind w:left="1260"/>
      <w:jc w:val="left"/>
    </w:pPr>
    <w:rPr>
      <w:sz w:val="18"/>
      <w:szCs w:val="18"/>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204"/>
    <w:qFormat/>
    <w:uiPriority w:val="0"/>
    <w:pPr>
      <w:shd w:val="clear" w:color="auto" w:fill="000080"/>
    </w:pPr>
  </w:style>
  <w:style w:type="paragraph" w:styleId="15">
    <w:name w:val="annotation text"/>
    <w:basedOn w:val="1"/>
    <w:link w:val="289"/>
    <w:qFormat/>
    <w:uiPriority w:val="99"/>
    <w:pPr>
      <w:jc w:val="left"/>
    </w:pPr>
  </w:style>
  <w:style w:type="paragraph" w:styleId="16">
    <w:name w:val="Body Text 3"/>
    <w:basedOn w:val="1"/>
    <w:link w:val="307"/>
    <w:qFormat/>
    <w:uiPriority w:val="0"/>
    <w:pPr>
      <w:spacing w:after="120"/>
    </w:pPr>
    <w:rPr>
      <w:sz w:val="16"/>
      <w:szCs w:val="16"/>
    </w:rPr>
  </w:style>
  <w:style w:type="paragraph" w:styleId="17">
    <w:name w:val="Body Text"/>
    <w:basedOn w:val="1"/>
    <w:next w:val="1"/>
    <w:link w:val="214"/>
    <w:qFormat/>
    <w:uiPriority w:val="0"/>
    <w:pPr>
      <w:spacing w:after="120"/>
    </w:pPr>
  </w:style>
  <w:style w:type="paragraph" w:styleId="18">
    <w:name w:val="Body Text Indent"/>
    <w:basedOn w:val="1"/>
    <w:link w:val="269"/>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4"/>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303"/>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57"/>
    <w:qFormat/>
    <w:uiPriority w:val="0"/>
    <w:pPr>
      <w:ind w:left="100" w:leftChars="2500"/>
    </w:pPr>
  </w:style>
  <w:style w:type="paragraph" w:styleId="26">
    <w:name w:val="Body Text Indent 2"/>
    <w:basedOn w:val="1"/>
    <w:link w:val="271"/>
    <w:qFormat/>
    <w:uiPriority w:val="0"/>
    <w:pPr>
      <w:widowControl/>
      <w:spacing w:line="480" w:lineRule="auto"/>
      <w:ind w:firstLine="560"/>
      <w:jc w:val="left"/>
    </w:pPr>
    <w:rPr>
      <w:kern w:val="0"/>
      <w:sz w:val="28"/>
    </w:rPr>
  </w:style>
  <w:style w:type="paragraph" w:styleId="27">
    <w:name w:val="endnote text"/>
    <w:basedOn w:val="1"/>
    <w:link w:val="181"/>
    <w:qFormat/>
    <w:uiPriority w:val="0"/>
    <w:pPr>
      <w:widowControl/>
      <w:snapToGrid w:val="0"/>
      <w:jc w:val="left"/>
    </w:pPr>
    <w:rPr>
      <w:rFonts w:ascii="Arial" w:hAnsi="Arial" w:cs="Arial"/>
      <w:kern w:val="0"/>
      <w:sz w:val="20"/>
      <w:lang w:eastAsia="en-US"/>
    </w:rPr>
  </w:style>
  <w:style w:type="paragraph" w:styleId="28">
    <w:name w:val="Balloon Text"/>
    <w:basedOn w:val="1"/>
    <w:link w:val="208"/>
    <w:qFormat/>
    <w:uiPriority w:val="0"/>
    <w:rPr>
      <w:sz w:val="18"/>
      <w:szCs w:val="18"/>
    </w:rPr>
  </w:style>
  <w:style w:type="paragraph" w:styleId="29">
    <w:name w:val="footer"/>
    <w:basedOn w:val="1"/>
    <w:link w:val="196"/>
    <w:qFormat/>
    <w:uiPriority w:val="0"/>
    <w:pPr>
      <w:tabs>
        <w:tab w:val="center" w:pos="4153"/>
        <w:tab w:val="right" w:pos="8306"/>
      </w:tabs>
      <w:snapToGrid w:val="0"/>
      <w:jc w:val="left"/>
    </w:pPr>
    <w:rPr>
      <w:sz w:val="18"/>
      <w:szCs w:val="18"/>
    </w:rPr>
  </w:style>
  <w:style w:type="paragraph" w:styleId="30">
    <w:name w:val="header"/>
    <w:basedOn w:val="1"/>
    <w:link w:val="236"/>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2"/>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5"/>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0"/>
    <w:qFormat/>
    <w:uiPriority w:val="0"/>
    <w:pPr>
      <w:widowControl/>
      <w:jc w:val="center"/>
    </w:pPr>
    <w:rPr>
      <w:kern w:val="0"/>
      <w:sz w:val="20"/>
      <w:u w:val="single"/>
      <w:lang w:eastAsia="en-US"/>
    </w:rPr>
  </w:style>
  <w:style w:type="paragraph" w:styleId="34">
    <w:name w:val="footnote text"/>
    <w:basedOn w:val="1"/>
    <w:link w:val="216"/>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68"/>
    <w:qFormat/>
    <w:uiPriority w:val="0"/>
    <w:pPr>
      <w:spacing w:line="360" w:lineRule="auto"/>
      <w:ind w:firstLine="280" w:firstLineChars="100"/>
    </w:pPr>
    <w:rPr>
      <w:rFonts w:ascii="宋体" w:hAnsi="宋体"/>
      <w:sz w:val="28"/>
      <w:szCs w:val="28"/>
    </w:rPr>
  </w:style>
  <w:style w:type="paragraph" w:styleId="37">
    <w:name w:val="toc 2"/>
    <w:basedOn w:val="3"/>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64"/>
    <w:qFormat/>
    <w:uiPriority w:val="0"/>
    <w:rPr>
      <w:i/>
      <w:iCs/>
      <w:sz w:val="26"/>
    </w:rPr>
  </w:style>
  <w:style w:type="paragraph" w:styleId="40">
    <w:name w:val="HTML Preformatted"/>
    <w:basedOn w:val="1"/>
    <w:link w:val="16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11"/>
    <w:qFormat/>
    <w:uiPriority w:val="0"/>
    <w:pPr>
      <w:widowControl/>
      <w:jc w:val="center"/>
    </w:pPr>
    <w:rPr>
      <w:kern w:val="0"/>
      <w:sz w:val="20"/>
      <w:u w:val="single"/>
      <w:lang w:eastAsia="en-US"/>
    </w:rPr>
  </w:style>
  <w:style w:type="paragraph" w:styleId="44">
    <w:name w:val="annotation subject"/>
    <w:basedOn w:val="15"/>
    <w:next w:val="15"/>
    <w:link w:val="263"/>
    <w:qFormat/>
    <w:uiPriority w:val="0"/>
    <w:rPr>
      <w:b/>
      <w:bCs/>
    </w:rPr>
  </w:style>
  <w:style w:type="table" w:styleId="46">
    <w:name w:val="Table Grid"/>
    <w:basedOn w:val="45"/>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styleId="55">
    <w:name w:val="footnote reference"/>
    <w:qFormat/>
    <w:uiPriority w:val="0"/>
    <w:rPr>
      <w:vertAlign w:val="superscript"/>
    </w:rPr>
  </w:style>
  <w:style w:type="character" w:customStyle="1" w:styleId="56">
    <w:name w:val="标题 1 字符"/>
    <w:link w:val="2"/>
    <w:qFormat/>
    <w:uiPriority w:val="0"/>
    <w:rPr>
      <w:rFonts w:eastAsia="宋体"/>
      <w:b/>
      <w:bCs/>
      <w:kern w:val="44"/>
      <w:sz w:val="44"/>
      <w:szCs w:val="44"/>
      <w:lang w:val="en-US" w:eastAsia="zh-CN" w:bidi="ar-SA"/>
    </w:rPr>
  </w:style>
  <w:style w:type="paragraph" w:customStyle="1" w:styleId="57">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58">
    <w:name w:val="_Style 101"/>
    <w:basedOn w:val="1"/>
    <w:qFormat/>
    <w:uiPriority w:val="99"/>
    <w:pPr>
      <w:ind w:firstLine="420" w:firstLineChars="200"/>
    </w:pPr>
    <w:rPr>
      <w:sz w:val="28"/>
      <w:szCs w:val="28"/>
    </w:rPr>
  </w:style>
  <w:style w:type="paragraph" w:customStyle="1" w:styleId="59">
    <w:name w:val="表格标题"/>
    <w:basedOn w:val="60"/>
    <w:qFormat/>
    <w:uiPriority w:val="0"/>
  </w:style>
  <w:style w:type="paragraph" w:customStyle="1" w:styleId="60">
    <w:name w:val="表格内容"/>
    <w:basedOn w:val="1"/>
    <w:qFormat/>
    <w:uiPriority w:val="0"/>
    <w:pPr>
      <w:suppressLineNumbers/>
      <w:suppressAutoHyphens/>
    </w:pPr>
  </w:style>
  <w:style w:type="paragraph" w:customStyle="1" w:styleId="6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2">
    <w:name w:val="修订1"/>
    <w:qFormat/>
    <w:uiPriority w:val="0"/>
    <w:rPr>
      <w:rFonts w:ascii="Times New Roman" w:hAnsi="Times New Roman" w:eastAsia="宋体" w:cs="Times New Roman"/>
      <w:kern w:val="2"/>
      <w:sz w:val="21"/>
      <w:szCs w:val="24"/>
      <w:lang w:val="en-US" w:eastAsia="zh-CN" w:bidi="ar-SA"/>
    </w:rPr>
  </w:style>
  <w:style w:type="paragraph" w:customStyle="1" w:styleId="63">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64">
    <w:name w:val="标准样式1"/>
    <w:basedOn w:val="1"/>
    <w:qFormat/>
    <w:uiPriority w:val="0"/>
    <w:pPr>
      <w:spacing w:line="600" w:lineRule="exact"/>
      <w:ind w:firstLine="567"/>
    </w:pPr>
    <w:rPr>
      <w:rFonts w:ascii="Calibri" w:hAnsi="Calibri"/>
      <w:sz w:val="28"/>
    </w:rPr>
  </w:style>
  <w:style w:type="paragraph" w:customStyle="1" w:styleId="65">
    <w:name w:val="列出段落11"/>
    <w:basedOn w:val="1"/>
    <w:qFormat/>
    <w:uiPriority w:val="0"/>
    <w:pPr>
      <w:ind w:firstLine="420" w:firstLineChars="200"/>
    </w:pPr>
    <w:rPr>
      <w:sz w:val="28"/>
      <w:szCs w:val="28"/>
    </w:rPr>
  </w:style>
  <w:style w:type="paragraph" w:customStyle="1" w:styleId="6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67">
    <w:name w:val="WW-表格标题"/>
    <w:basedOn w:val="68"/>
    <w:qFormat/>
    <w:uiPriority w:val="0"/>
  </w:style>
  <w:style w:type="paragraph" w:customStyle="1" w:styleId="68">
    <w:name w:val="WW-表格内容"/>
    <w:basedOn w:val="1"/>
    <w:qFormat/>
    <w:uiPriority w:val="0"/>
    <w:pPr>
      <w:suppressLineNumbers/>
      <w:suppressAutoHyphens/>
    </w:pPr>
  </w:style>
  <w:style w:type="paragraph" w:customStyle="1" w:styleId="69">
    <w:name w:val="引用2"/>
    <w:basedOn w:val="1"/>
    <w:next w:val="1"/>
    <w:link w:val="299"/>
    <w:qFormat/>
    <w:uiPriority w:val="0"/>
    <w:rPr>
      <w:i/>
      <w:iCs/>
      <w:color w:val="000000"/>
    </w:rPr>
  </w:style>
  <w:style w:type="paragraph" w:customStyle="1" w:styleId="70">
    <w:name w:val="Char Char Char Char Char Char Char Char Char Char"/>
    <w:basedOn w:val="14"/>
    <w:qFormat/>
    <w:uiPriority w:val="0"/>
    <w:pPr>
      <w:spacing w:line="360" w:lineRule="auto"/>
      <w:ind w:firstLine="200" w:firstLineChars="200"/>
    </w:pPr>
    <w:rPr>
      <w:rFonts w:ascii="Tahoma" w:hAnsi="Tahoma"/>
      <w:sz w:val="24"/>
    </w:rPr>
  </w:style>
  <w:style w:type="paragraph" w:customStyle="1" w:styleId="7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Char Char Char Char"/>
    <w:basedOn w:val="14"/>
    <w:qFormat/>
    <w:uiPriority w:val="0"/>
    <w:pPr>
      <w:spacing w:line="360" w:lineRule="auto"/>
      <w:ind w:firstLine="200" w:firstLineChars="200"/>
    </w:pPr>
    <w:rPr>
      <w:rFonts w:ascii="Tahoma" w:hAnsi="Tahoma"/>
      <w:sz w:val="24"/>
    </w:rPr>
  </w:style>
  <w:style w:type="paragraph" w:customStyle="1" w:styleId="73">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4">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5">
    <w:name w:val="p16"/>
    <w:basedOn w:val="1"/>
    <w:qFormat/>
    <w:uiPriority w:val="0"/>
    <w:pPr>
      <w:widowControl/>
    </w:pPr>
    <w:rPr>
      <w:rFonts w:ascii="Calibri" w:hAnsi="Calibri" w:cs="宋体"/>
      <w:kern w:val="0"/>
      <w:szCs w:val="21"/>
    </w:rPr>
  </w:style>
  <w:style w:type="paragraph" w:customStyle="1" w:styleId="76">
    <w:name w:val="列出段落1"/>
    <w:basedOn w:val="1"/>
    <w:qFormat/>
    <w:uiPriority w:val="0"/>
    <w:pPr>
      <w:ind w:firstLine="420" w:firstLineChars="200"/>
    </w:pPr>
    <w:rPr>
      <w:sz w:val="28"/>
      <w:szCs w:val="28"/>
    </w:rPr>
  </w:style>
  <w:style w:type="paragraph" w:customStyle="1" w:styleId="77">
    <w:name w:val="样式1"/>
    <w:basedOn w:val="1"/>
    <w:next w:val="5"/>
    <w:qFormat/>
    <w:uiPriority w:val="0"/>
    <w:pPr>
      <w:spacing w:line="360" w:lineRule="auto"/>
      <w:ind w:firstLine="420" w:firstLineChars="200"/>
    </w:pPr>
    <w:rPr>
      <w:rFonts w:ascii="宋体" w:hAnsi="宋体"/>
      <w:szCs w:val="21"/>
    </w:rPr>
  </w:style>
  <w:style w:type="paragraph" w:customStyle="1" w:styleId="78">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79">
    <w:name w:val="Char9 Char Char Char Char Char Char"/>
    <w:basedOn w:val="14"/>
    <w:qFormat/>
    <w:uiPriority w:val="0"/>
    <w:pPr>
      <w:spacing w:line="360" w:lineRule="auto"/>
      <w:ind w:firstLine="200" w:firstLineChars="200"/>
    </w:pPr>
    <w:rPr>
      <w:rFonts w:ascii="Tahoma" w:hAnsi="Tahoma"/>
      <w:sz w:val="24"/>
    </w:rPr>
  </w:style>
  <w:style w:type="paragraph" w:customStyle="1" w:styleId="80">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1">
    <w:name w:val="引用1"/>
    <w:basedOn w:val="1"/>
    <w:next w:val="1"/>
    <w:link w:val="150"/>
    <w:qFormat/>
    <w:uiPriority w:val="29"/>
    <w:rPr>
      <w:i/>
      <w:iCs/>
      <w:color w:val="000000"/>
      <w:szCs w:val="20"/>
    </w:rPr>
  </w:style>
  <w:style w:type="paragraph" w:customStyle="1" w:styleId="82">
    <w:name w:val="表格文字"/>
    <w:basedOn w:val="1"/>
    <w:qFormat/>
    <w:uiPriority w:val="0"/>
    <w:pPr>
      <w:adjustRightInd w:val="0"/>
      <w:spacing w:line="420" w:lineRule="atLeast"/>
      <w:jc w:val="left"/>
      <w:textAlignment w:val="baseline"/>
    </w:pPr>
    <w:rPr>
      <w:kern w:val="0"/>
      <w:szCs w:val="20"/>
    </w:rPr>
  </w:style>
  <w:style w:type="paragraph" w:customStyle="1" w:styleId="83">
    <w:name w:val="_Style 96"/>
    <w:semiHidden/>
    <w:qFormat/>
    <w:uiPriority w:val="99"/>
    <w:rPr>
      <w:rFonts w:ascii="Calibri" w:hAnsi="Calibri" w:eastAsia="宋体" w:cs="Times New Roman"/>
      <w:kern w:val="2"/>
      <w:sz w:val="21"/>
      <w:szCs w:val="24"/>
      <w:lang w:val="en-US" w:eastAsia="zh-CN" w:bidi="ar-SA"/>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5">
    <w:name w:val="_Style 105"/>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6">
    <w:name w:val="正  文"/>
    <w:basedOn w:val="1"/>
    <w:qFormat/>
    <w:uiPriority w:val="0"/>
    <w:pPr>
      <w:spacing w:line="360" w:lineRule="auto"/>
      <w:ind w:firstLine="200" w:firstLineChars="200"/>
    </w:pPr>
    <w:rPr>
      <w:rFonts w:ascii="宋体" w:hAnsi="Calibri"/>
      <w:sz w:val="24"/>
    </w:rPr>
  </w:style>
  <w:style w:type="paragraph" w:customStyle="1" w:styleId="87">
    <w:name w:val="标题4"/>
    <w:basedOn w:val="3"/>
    <w:next w:val="20"/>
    <w:link w:val="243"/>
    <w:qFormat/>
    <w:uiPriority w:val="0"/>
    <w:pPr>
      <w:spacing w:line="413" w:lineRule="auto"/>
    </w:pPr>
    <w:rPr>
      <w:rFonts w:ascii="Arial" w:hAnsi="Arial"/>
      <w:kern w:val="0"/>
      <w:sz w:val="24"/>
    </w:rPr>
  </w:style>
  <w:style w:type="paragraph" w:customStyle="1" w:styleId="88">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2">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3">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5">
    <w:name w:val="1 Char"/>
    <w:basedOn w:val="1"/>
    <w:qFormat/>
    <w:uiPriority w:val="0"/>
    <w:pPr>
      <w:widowControl/>
      <w:spacing w:after="160" w:line="240" w:lineRule="exact"/>
      <w:jc w:val="left"/>
    </w:pPr>
    <w:rPr>
      <w:rFonts w:ascii="Calibri" w:hAnsi="Calibri"/>
      <w:szCs w:val="20"/>
    </w:rPr>
  </w:style>
  <w:style w:type="paragraph" w:customStyle="1" w:styleId="96">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7">
    <w:name w:val="pa-34"/>
    <w:basedOn w:val="1"/>
    <w:qFormat/>
    <w:uiPriority w:val="0"/>
    <w:pPr>
      <w:widowControl/>
      <w:spacing w:line="360" w:lineRule="atLeast"/>
      <w:ind w:firstLine="420"/>
      <w:jc w:val="left"/>
    </w:pPr>
    <w:rPr>
      <w:rFonts w:ascii="宋体" w:hAnsi="宋体" w:cs="宋体"/>
      <w:kern w:val="0"/>
      <w:sz w:val="24"/>
    </w:rPr>
  </w:style>
  <w:style w:type="paragraph" w:customStyle="1" w:styleId="98">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9">
    <w:name w:val="p15"/>
    <w:basedOn w:val="1"/>
    <w:qFormat/>
    <w:uiPriority w:val="0"/>
    <w:pPr>
      <w:widowControl/>
      <w:spacing w:after="120"/>
    </w:pPr>
    <w:rPr>
      <w:kern w:val="0"/>
      <w:szCs w:val="21"/>
    </w:rPr>
  </w:style>
  <w:style w:type="paragraph" w:customStyle="1" w:styleId="10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Char Char Char Char Char Char Char Char Char Char Char Char Char"/>
    <w:basedOn w:val="14"/>
    <w:qFormat/>
    <w:uiPriority w:val="0"/>
    <w:pPr>
      <w:spacing w:line="360" w:lineRule="auto"/>
      <w:ind w:firstLine="200" w:firstLineChars="200"/>
    </w:pPr>
    <w:rPr>
      <w:rFonts w:ascii="Tahoma" w:hAnsi="Tahoma"/>
      <w:sz w:val="24"/>
    </w:rPr>
  </w:style>
  <w:style w:type="paragraph" w:customStyle="1" w:styleId="102">
    <w:name w:val="_Style 124"/>
    <w:basedOn w:val="1"/>
    <w:next w:val="1"/>
    <w:link w:val="197"/>
    <w:qFormat/>
    <w:uiPriority w:val="0"/>
    <w:rPr>
      <w:i/>
      <w:iCs/>
      <w:color w:val="000000"/>
      <w:szCs w:val="22"/>
    </w:rPr>
  </w:style>
  <w:style w:type="paragraph" w:customStyle="1" w:styleId="10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5">
    <w:name w:val="Char Char"/>
    <w:basedOn w:val="1"/>
    <w:qFormat/>
    <w:uiPriority w:val="0"/>
    <w:pPr>
      <w:widowControl/>
      <w:jc w:val="left"/>
    </w:pPr>
    <w:rPr>
      <w:rFonts w:ascii="Verdana" w:hAnsi="Verdana" w:eastAsia="Times New Roman"/>
      <w:kern w:val="0"/>
      <w:sz w:val="16"/>
      <w:szCs w:val="20"/>
      <w:lang w:eastAsia="en-US"/>
    </w:rPr>
  </w:style>
  <w:style w:type="paragraph" w:customStyle="1" w:styleId="106">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07">
    <w:name w:val="pa-27"/>
    <w:basedOn w:val="1"/>
    <w:qFormat/>
    <w:uiPriority w:val="0"/>
    <w:pPr>
      <w:widowControl/>
      <w:spacing w:line="360" w:lineRule="atLeast"/>
      <w:ind w:firstLine="420"/>
    </w:pPr>
    <w:rPr>
      <w:rFonts w:ascii="宋体" w:hAnsi="宋体" w:cs="宋体"/>
      <w:kern w:val="0"/>
      <w:sz w:val="24"/>
    </w:rPr>
  </w:style>
  <w:style w:type="paragraph" w:customStyle="1" w:styleId="10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明显引用1"/>
    <w:basedOn w:val="1"/>
    <w:next w:val="1"/>
    <w:link w:val="297"/>
    <w:qFormat/>
    <w:uiPriority w:val="30"/>
    <w:pPr>
      <w:pBdr>
        <w:bottom w:val="single" w:color="4F81BD" w:sz="4" w:space="4"/>
      </w:pBdr>
      <w:spacing w:before="200" w:after="280"/>
      <w:ind w:left="936" w:right="936"/>
    </w:pPr>
    <w:rPr>
      <w:b/>
      <w:bCs/>
      <w:i/>
      <w:iCs/>
      <w:color w:val="4F81BD"/>
      <w:szCs w:val="20"/>
    </w:rPr>
  </w:style>
  <w:style w:type="paragraph" w:customStyle="1" w:styleId="112">
    <w:name w:val="样式15"/>
    <w:basedOn w:val="4"/>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3">
    <w:name w:val="TOC 标题2"/>
    <w:basedOn w:val="2"/>
    <w:next w:val="1"/>
    <w:unhideWhenUsed/>
    <w:qFormat/>
    <w:uiPriority w:val="0"/>
    <w:pPr>
      <w:outlineLvl w:val="9"/>
    </w:pPr>
    <w:rPr>
      <w:rFonts w:ascii="Calibri" w:hAnsi="Calibri"/>
    </w:rPr>
  </w:style>
  <w:style w:type="paragraph" w:customStyle="1" w:styleId="114">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15">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标题5"/>
    <w:basedOn w:val="4"/>
    <w:link w:val="165"/>
    <w:qFormat/>
    <w:uiPriority w:val="0"/>
    <w:pPr>
      <w:spacing w:line="413" w:lineRule="auto"/>
    </w:pPr>
    <w:rPr>
      <w:rFonts w:ascii="Arial" w:hAnsi="Arial"/>
      <w:kern w:val="0"/>
      <w:sz w:val="24"/>
    </w:rPr>
  </w:style>
  <w:style w:type="paragraph" w:customStyle="1" w:styleId="11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8">
    <w:name w:val="_Style 64"/>
    <w:basedOn w:val="1"/>
    <w:next w:val="1"/>
    <w:link w:val="296"/>
    <w:qFormat/>
    <w:uiPriority w:val="0"/>
    <w:pPr>
      <w:pBdr>
        <w:bottom w:val="single" w:color="4F81BD" w:sz="4" w:space="4"/>
      </w:pBdr>
      <w:spacing w:before="200" w:after="280"/>
      <w:ind w:left="936" w:right="936"/>
    </w:pPr>
    <w:rPr>
      <w:b/>
      <w:bCs/>
      <w:i/>
      <w:iCs/>
      <w:color w:val="4F81BD"/>
      <w:szCs w:val="22"/>
    </w:rPr>
  </w:style>
  <w:style w:type="paragraph" w:customStyle="1" w:styleId="119">
    <w:name w:val="_Style 128"/>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0">
    <w:name w:val="Char2"/>
    <w:basedOn w:val="1"/>
    <w:qFormat/>
    <w:uiPriority w:val="0"/>
    <w:rPr>
      <w:rFonts w:ascii="Calibri" w:hAnsi="Calibri"/>
    </w:rPr>
  </w:style>
  <w:style w:type="paragraph" w:customStyle="1" w:styleId="121">
    <w:name w:val="_Style 87"/>
    <w:basedOn w:val="1"/>
    <w:qFormat/>
    <w:uiPriority w:val="99"/>
    <w:pPr>
      <w:ind w:firstLine="420" w:firstLineChars="200"/>
    </w:pPr>
    <w:rPr>
      <w:rFonts w:ascii="Calibri" w:hAnsi="Calibri"/>
      <w:sz w:val="28"/>
      <w:szCs w:val="28"/>
    </w:rPr>
  </w:style>
  <w:style w:type="paragraph" w:customStyle="1" w:styleId="122">
    <w:name w:val="自定样式1"/>
    <w:basedOn w:val="1"/>
    <w:qFormat/>
    <w:uiPriority w:val="0"/>
    <w:pPr>
      <w:suppressAutoHyphens/>
      <w:jc w:val="center"/>
    </w:pPr>
    <w:rPr>
      <w:rFonts w:ascii="宋体" w:hAnsi="宋体"/>
      <w:color w:val="000000"/>
      <w:sz w:val="18"/>
    </w:rPr>
  </w:style>
  <w:style w:type="paragraph" w:customStyle="1" w:styleId="123">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Char"/>
    <w:basedOn w:val="1"/>
    <w:qFormat/>
    <w:uiPriority w:val="0"/>
  </w:style>
  <w:style w:type="paragraph" w:customStyle="1" w:styleId="125">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列表段落1"/>
    <w:basedOn w:val="1"/>
    <w:qFormat/>
    <w:uiPriority w:val="34"/>
    <w:pPr>
      <w:ind w:firstLine="420" w:firstLineChars="200"/>
    </w:pPr>
    <w:rPr>
      <w:rFonts w:ascii="Calibri" w:hAnsi="Calibri"/>
    </w:rPr>
  </w:style>
  <w:style w:type="paragraph" w:customStyle="1" w:styleId="127">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8">
    <w:name w:val="表体"/>
    <w:basedOn w:val="1"/>
    <w:next w:val="1"/>
    <w:qFormat/>
    <w:uiPriority w:val="0"/>
    <w:pPr>
      <w:spacing w:line="0" w:lineRule="atLeast"/>
    </w:pPr>
    <w:rPr>
      <w:rFonts w:ascii="Calibri" w:hAnsi="Calibri"/>
      <w:b/>
      <w:snapToGrid w:val="0"/>
      <w:szCs w:val="20"/>
    </w:rPr>
  </w:style>
  <w:style w:type="paragraph" w:customStyle="1" w:styleId="129">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1">
    <w:name w:val="Char Char1 Char Char"/>
    <w:basedOn w:val="14"/>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2">
    <w:name w:val="Char11"/>
    <w:basedOn w:val="1"/>
    <w:qFormat/>
    <w:uiPriority w:val="0"/>
  </w:style>
  <w:style w:type="paragraph" w:customStyle="1" w:styleId="133">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34">
    <w:name w:val="样式 标题 3 + (中文) 黑体 小四 非加粗 段前: 7.8 磅 段后: 0 磅 行距: 固定值 20 磅"/>
    <w:basedOn w:val="4"/>
    <w:next w:val="1"/>
    <w:qFormat/>
    <w:uiPriority w:val="0"/>
    <w:pPr>
      <w:spacing w:before="0" w:after="0" w:line="400" w:lineRule="exact"/>
    </w:pPr>
    <w:rPr>
      <w:rFonts w:eastAsia="黑体" w:cs="宋体"/>
      <w:b w:val="0"/>
      <w:bCs w:val="0"/>
      <w:sz w:val="24"/>
      <w:szCs w:val="20"/>
    </w:rPr>
  </w:style>
  <w:style w:type="paragraph" w:customStyle="1" w:styleId="135">
    <w:name w:val="_Style 86"/>
    <w:qFormat/>
    <w:uiPriority w:val="0"/>
    <w:rPr>
      <w:rFonts w:ascii="Times New Roman" w:hAnsi="Times New Roman" w:eastAsia="宋体" w:cs="Times New Roman"/>
      <w:kern w:val="2"/>
      <w:sz w:val="21"/>
      <w:szCs w:val="24"/>
      <w:lang w:val="en-US" w:eastAsia="zh-CN" w:bidi="ar-SA"/>
    </w:rPr>
  </w:style>
  <w:style w:type="paragraph" w:customStyle="1" w:styleId="136">
    <w:name w:val="Char1"/>
    <w:basedOn w:val="1"/>
    <w:qFormat/>
    <w:uiPriority w:val="0"/>
  </w:style>
  <w:style w:type="paragraph" w:customStyle="1" w:styleId="137">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8">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2">
    <w:name w:val="正文文本 Char2"/>
    <w:qFormat/>
    <w:uiPriority w:val="99"/>
    <w:rPr>
      <w:kern w:val="2"/>
      <w:sz w:val="21"/>
      <w:szCs w:val="24"/>
    </w:rPr>
  </w:style>
  <w:style w:type="character" w:customStyle="1" w:styleId="143">
    <w:name w:val="尾注文本 Char1"/>
    <w:qFormat/>
    <w:uiPriority w:val="0"/>
    <w:rPr>
      <w:rFonts w:ascii="Arial" w:hAnsi="Arial" w:cs="Arial"/>
      <w:szCs w:val="24"/>
      <w:lang w:eastAsia="en-US"/>
    </w:rPr>
  </w:style>
  <w:style w:type="character" w:customStyle="1" w:styleId="144">
    <w:name w:val="脚注文本 Char"/>
    <w:qFormat/>
    <w:uiPriority w:val="0"/>
    <w:rPr>
      <w:rFonts w:ascii="Arial" w:hAnsi="Arial" w:eastAsia="宋体" w:cs="Arial"/>
      <w:sz w:val="18"/>
      <w:szCs w:val="18"/>
      <w:lang w:eastAsia="en-US"/>
    </w:rPr>
  </w:style>
  <w:style w:type="character" w:customStyle="1" w:styleId="145">
    <w:name w:val="Char Char17"/>
    <w:qFormat/>
    <w:uiPriority w:val="0"/>
    <w:rPr>
      <w:kern w:val="2"/>
      <w:sz w:val="26"/>
      <w:szCs w:val="24"/>
    </w:rPr>
  </w:style>
  <w:style w:type="character" w:customStyle="1" w:styleId="146">
    <w:name w:val="副标题 Char1"/>
    <w:qFormat/>
    <w:uiPriority w:val="0"/>
    <w:rPr>
      <w:szCs w:val="24"/>
      <w:u w:val="single"/>
      <w:lang w:eastAsia="en-US"/>
    </w:rPr>
  </w:style>
  <w:style w:type="character" w:customStyle="1" w:styleId="147">
    <w:name w:val="标题 Char1"/>
    <w:qFormat/>
    <w:uiPriority w:val="10"/>
    <w:rPr>
      <w:szCs w:val="24"/>
      <w:u w:val="single"/>
      <w:lang w:eastAsia="en-US"/>
    </w:rPr>
  </w:style>
  <w:style w:type="character" w:customStyle="1" w:styleId="148">
    <w:name w:val="Char Char24"/>
    <w:qFormat/>
    <w:uiPriority w:val="0"/>
    <w:rPr>
      <w:b/>
      <w:bCs/>
      <w:kern w:val="44"/>
      <w:sz w:val="44"/>
      <w:szCs w:val="44"/>
    </w:rPr>
  </w:style>
  <w:style w:type="character" w:customStyle="1" w:styleId="149">
    <w:name w:val="批注主题 Char"/>
    <w:qFormat/>
    <w:uiPriority w:val="0"/>
    <w:rPr>
      <w:rFonts w:ascii="宋体" w:hAnsi="宋体" w:eastAsia="宋体"/>
      <w:kern w:val="2"/>
      <w:sz w:val="24"/>
      <w:szCs w:val="28"/>
      <w:lang w:val="en-US" w:eastAsia="zh-CN" w:bidi="ar-SA"/>
    </w:rPr>
  </w:style>
  <w:style w:type="character" w:customStyle="1" w:styleId="150">
    <w:name w:val="引用 Char1"/>
    <w:link w:val="81"/>
    <w:qFormat/>
    <w:uiPriority w:val="29"/>
    <w:rPr>
      <w:i/>
      <w:iCs/>
      <w:color w:val="000000"/>
      <w:kern w:val="2"/>
      <w:sz w:val="21"/>
    </w:rPr>
  </w:style>
  <w:style w:type="character" w:customStyle="1" w:styleId="151">
    <w:name w:val="Char Char23"/>
    <w:qFormat/>
    <w:uiPriority w:val="0"/>
    <w:rPr>
      <w:rFonts w:ascii="Cambria" w:hAnsi="Cambria" w:eastAsia="宋体" w:cs="Times New Roman"/>
      <w:b/>
      <w:bCs/>
      <w:kern w:val="2"/>
      <w:sz w:val="32"/>
      <w:szCs w:val="32"/>
    </w:rPr>
  </w:style>
  <w:style w:type="character" w:customStyle="1" w:styleId="152">
    <w:name w:val="ITTHEADER2 Char"/>
    <w:qFormat/>
    <w:uiPriority w:val="0"/>
    <w:rPr>
      <w:rFonts w:ascii="仿宋_GB2312" w:eastAsia="仿宋_GB2312" w:cs="MingLiU"/>
      <w:b/>
      <w:spacing w:val="1"/>
      <w:w w:val="99"/>
      <w:sz w:val="28"/>
      <w:szCs w:val="32"/>
      <w:lang w:val="en-US" w:eastAsia="zh-CN" w:bidi="ar-SA"/>
    </w:rPr>
  </w:style>
  <w:style w:type="character" w:customStyle="1" w:styleId="153">
    <w:name w:val="标题 9 Char1"/>
    <w:qFormat/>
    <w:uiPriority w:val="0"/>
    <w:rPr>
      <w:rFonts w:ascii="Times New Roman" w:hAnsi="Times New Roman" w:eastAsia="仿宋_GB2312" w:cs="Times New Roman"/>
      <w:sz w:val="30"/>
      <w:szCs w:val="20"/>
    </w:rPr>
  </w:style>
  <w:style w:type="character" w:customStyle="1" w:styleId="154">
    <w:name w:val="正文文本 Char1"/>
    <w:qFormat/>
    <w:uiPriority w:val="0"/>
    <w:rPr>
      <w:kern w:val="2"/>
      <w:sz w:val="21"/>
      <w:szCs w:val="22"/>
    </w:rPr>
  </w:style>
  <w:style w:type="character" w:customStyle="1" w:styleId="155">
    <w:name w:val="引用 Char2"/>
    <w:qFormat/>
    <w:uiPriority w:val="99"/>
    <w:rPr>
      <w:i/>
      <w:iCs/>
      <w:color w:val="000000"/>
      <w:kern w:val="2"/>
      <w:sz w:val="21"/>
      <w:szCs w:val="24"/>
    </w:rPr>
  </w:style>
  <w:style w:type="character" w:customStyle="1" w:styleId="156">
    <w:name w:val="正文文本 Char3"/>
    <w:semiHidden/>
    <w:qFormat/>
    <w:uiPriority w:val="99"/>
    <w:rPr>
      <w:rFonts w:ascii="Calibri" w:hAnsi="Calibri" w:eastAsia="宋体" w:cs="Times New Roman"/>
      <w:szCs w:val="24"/>
    </w:rPr>
  </w:style>
  <w:style w:type="character" w:customStyle="1" w:styleId="157">
    <w:name w:val="日期 字符"/>
    <w:link w:val="25"/>
    <w:qFormat/>
    <w:uiPriority w:val="0"/>
    <w:rPr>
      <w:rFonts w:eastAsia="宋体"/>
      <w:kern w:val="2"/>
      <w:sz w:val="21"/>
      <w:szCs w:val="24"/>
      <w:lang w:val="en-US" w:eastAsia="zh-CN" w:bidi="ar-SA"/>
    </w:rPr>
  </w:style>
  <w:style w:type="character" w:customStyle="1" w:styleId="158">
    <w:name w:val="标题 2 Char"/>
    <w:qFormat/>
    <w:uiPriority w:val="0"/>
    <w:rPr>
      <w:rFonts w:ascii="仿宋_GB2312" w:hAnsi="Calibri" w:eastAsia="仿宋_GB2312" w:cs="Times New Roman"/>
      <w:b/>
      <w:spacing w:val="1"/>
      <w:w w:val="99"/>
      <w:kern w:val="0"/>
      <w:sz w:val="28"/>
      <w:szCs w:val="32"/>
    </w:rPr>
  </w:style>
  <w:style w:type="character" w:customStyle="1" w:styleId="159">
    <w:name w:val="标题 7 Char"/>
    <w:qFormat/>
    <w:uiPriority w:val="0"/>
    <w:rPr>
      <w:rFonts w:ascii="Calibri" w:hAnsi="Calibri" w:eastAsia="宋体" w:cs="Times New Roman"/>
      <w:b/>
      <w:bCs/>
      <w:sz w:val="24"/>
      <w:szCs w:val="24"/>
    </w:rPr>
  </w:style>
  <w:style w:type="character" w:customStyle="1" w:styleId="160">
    <w:name w:val="批注框文本 Char1"/>
    <w:qFormat/>
    <w:uiPriority w:val="0"/>
    <w:rPr>
      <w:kern w:val="2"/>
      <w:sz w:val="18"/>
      <w:szCs w:val="18"/>
    </w:rPr>
  </w:style>
  <w:style w:type="character" w:customStyle="1" w:styleId="161">
    <w:name w:val="日期 Char1"/>
    <w:qFormat/>
    <w:uiPriority w:val="0"/>
    <w:rPr>
      <w:kern w:val="2"/>
      <w:sz w:val="21"/>
      <w:szCs w:val="22"/>
    </w:rPr>
  </w:style>
  <w:style w:type="character" w:customStyle="1" w:styleId="162">
    <w:name w:val="_Style 171"/>
    <w:qFormat/>
    <w:uiPriority w:val="0"/>
    <w:rPr>
      <w:b/>
      <w:bCs/>
      <w:i/>
      <w:iCs/>
      <w:color w:val="4F81BD"/>
    </w:rPr>
  </w:style>
  <w:style w:type="character" w:customStyle="1" w:styleId="163">
    <w:name w:val="Char Char22"/>
    <w:qFormat/>
    <w:uiPriority w:val="0"/>
    <w:rPr>
      <w:b/>
      <w:bCs/>
      <w:kern w:val="2"/>
      <w:sz w:val="32"/>
      <w:szCs w:val="32"/>
    </w:rPr>
  </w:style>
  <w:style w:type="character" w:customStyle="1" w:styleId="164">
    <w:name w:val="标题 6 Char1"/>
    <w:qFormat/>
    <w:uiPriority w:val="0"/>
    <w:rPr>
      <w:rFonts w:ascii="Times New Roman" w:hAnsi="Arial" w:eastAsia="仿宋_GB2312" w:cs="Times New Roman"/>
      <w:sz w:val="30"/>
      <w:szCs w:val="20"/>
    </w:rPr>
  </w:style>
  <w:style w:type="character" w:customStyle="1" w:styleId="165">
    <w:name w:val="标题5 Char Char"/>
    <w:link w:val="116"/>
    <w:qFormat/>
    <w:uiPriority w:val="0"/>
    <w:rPr>
      <w:rFonts w:ascii="Arial" w:hAnsi="Arial"/>
      <w:b/>
      <w:bCs/>
      <w:sz w:val="24"/>
      <w:szCs w:val="32"/>
      <w:lang w:bidi="ar-SA"/>
    </w:rPr>
  </w:style>
  <w:style w:type="character" w:customStyle="1" w:styleId="166">
    <w:name w:val="正文文本缩进 Char1"/>
    <w:qFormat/>
    <w:uiPriority w:val="0"/>
    <w:rPr>
      <w:kern w:val="2"/>
      <w:sz w:val="21"/>
      <w:szCs w:val="24"/>
    </w:rPr>
  </w:style>
  <w:style w:type="character" w:customStyle="1" w:styleId="167">
    <w:name w:val="标题 4 Char1"/>
    <w:qFormat/>
    <w:uiPriority w:val="0"/>
    <w:rPr>
      <w:rFonts w:ascii="宋体" w:hAnsi="宋体" w:eastAsia="宋体" w:cs="宋体"/>
      <w:b/>
      <w:bCs/>
      <w:sz w:val="24"/>
      <w:szCs w:val="24"/>
    </w:rPr>
  </w:style>
  <w:style w:type="character" w:customStyle="1" w:styleId="168">
    <w:name w:val="尾注文本 Char"/>
    <w:qFormat/>
    <w:uiPriority w:val="0"/>
    <w:rPr>
      <w:kern w:val="2"/>
      <w:sz w:val="21"/>
      <w:szCs w:val="24"/>
    </w:rPr>
  </w:style>
  <w:style w:type="character" w:customStyle="1" w:styleId="169">
    <w:name w:val="HTML 预设格式 字符"/>
    <w:link w:val="40"/>
    <w:qFormat/>
    <w:uiPriority w:val="0"/>
    <w:rPr>
      <w:rFonts w:ascii="宋体" w:hAnsi="宋体" w:eastAsia="宋体" w:cs="宋体"/>
      <w:color w:val="000000"/>
      <w:sz w:val="24"/>
      <w:szCs w:val="24"/>
      <w:lang w:val="en-US" w:eastAsia="zh-CN" w:bidi="ar-SA"/>
    </w:rPr>
  </w:style>
  <w:style w:type="character" w:customStyle="1" w:styleId="170">
    <w:name w:val="尾注文本 Char2"/>
    <w:semiHidden/>
    <w:qFormat/>
    <w:uiPriority w:val="99"/>
    <w:rPr>
      <w:rFonts w:ascii="Calibri" w:hAnsi="Calibri" w:eastAsia="宋体" w:cs="Times New Roman"/>
      <w:szCs w:val="24"/>
    </w:rPr>
  </w:style>
  <w:style w:type="character" w:customStyle="1" w:styleId="171">
    <w:name w:val="明显强调1"/>
    <w:qFormat/>
    <w:uiPriority w:val="0"/>
    <w:rPr>
      <w:b/>
      <w:bCs/>
      <w:i/>
      <w:iCs/>
      <w:color w:val="4F81BD"/>
    </w:rPr>
  </w:style>
  <w:style w:type="character" w:customStyle="1" w:styleId="172">
    <w:name w:val="正文文本 Char"/>
    <w:qFormat/>
    <w:uiPriority w:val="0"/>
    <w:rPr>
      <w:sz w:val="26"/>
      <w:szCs w:val="24"/>
    </w:rPr>
  </w:style>
  <w:style w:type="character" w:customStyle="1" w:styleId="173">
    <w:name w:val="脚注文本 Char2"/>
    <w:semiHidden/>
    <w:qFormat/>
    <w:uiPriority w:val="99"/>
    <w:rPr>
      <w:rFonts w:ascii="Calibri" w:hAnsi="Calibri" w:eastAsia="宋体" w:cs="Times New Roman"/>
      <w:sz w:val="18"/>
      <w:szCs w:val="18"/>
    </w:rPr>
  </w:style>
  <w:style w:type="character" w:customStyle="1" w:styleId="174">
    <w:name w:val="正文文本 2 Char1"/>
    <w:semiHidden/>
    <w:qFormat/>
    <w:uiPriority w:val="99"/>
    <w:rPr>
      <w:rFonts w:ascii="Calibri" w:hAnsi="Calibri" w:eastAsia="宋体" w:cs="Times New Roman"/>
      <w:szCs w:val="24"/>
    </w:rPr>
  </w:style>
  <w:style w:type="character" w:customStyle="1" w:styleId="175">
    <w:name w:val="_Style 248"/>
    <w:qFormat/>
    <w:uiPriority w:val="0"/>
    <w:rPr>
      <w:b/>
      <w:bCs/>
      <w:smallCaps/>
      <w:spacing w:val="5"/>
    </w:rPr>
  </w:style>
  <w:style w:type="character" w:customStyle="1" w:styleId="176">
    <w:name w:val="明显引用 Char3"/>
    <w:qFormat/>
    <w:uiPriority w:val="30"/>
    <w:rPr>
      <w:rFonts w:ascii="Calibri" w:hAnsi="Calibri" w:eastAsia="宋体" w:cs="Times New Roman"/>
      <w:b/>
      <w:bCs/>
      <w:i/>
      <w:iCs/>
      <w:color w:val="4F81BD"/>
      <w:szCs w:val="24"/>
    </w:rPr>
  </w:style>
  <w:style w:type="character" w:customStyle="1" w:styleId="177">
    <w:name w:val="_Style 254"/>
    <w:qFormat/>
    <w:uiPriority w:val="0"/>
    <w:rPr>
      <w:b/>
      <w:bCs/>
      <w:smallCaps/>
      <w:color w:val="C0504D"/>
      <w:spacing w:val="5"/>
      <w:u w:val="single"/>
    </w:rPr>
  </w:style>
  <w:style w:type="character" w:customStyle="1" w:styleId="178">
    <w:name w:val="正文文本缩进 Char2"/>
    <w:semiHidden/>
    <w:qFormat/>
    <w:uiPriority w:val="99"/>
    <w:rPr>
      <w:rFonts w:ascii="Calibri" w:hAnsi="Calibri" w:eastAsia="宋体" w:cs="Times New Roman"/>
      <w:szCs w:val="24"/>
    </w:rPr>
  </w:style>
  <w:style w:type="character" w:customStyle="1" w:styleId="179">
    <w:name w:val="标题 4 字符"/>
    <w:link w:val="5"/>
    <w:qFormat/>
    <w:uiPriority w:val="0"/>
    <w:rPr>
      <w:rFonts w:ascii="宋体" w:hAnsi="宋体" w:eastAsia="宋体" w:cs="宋体"/>
      <w:b/>
      <w:bCs/>
      <w:sz w:val="24"/>
      <w:szCs w:val="24"/>
      <w:lang w:val="en-US" w:eastAsia="zh-CN" w:bidi="ar-SA"/>
    </w:rPr>
  </w:style>
  <w:style w:type="character" w:customStyle="1" w:styleId="180">
    <w:name w:val="正文文本缩进 3 Char"/>
    <w:qFormat/>
    <w:uiPriority w:val="0"/>
    <w:rPr>
      <w:kern w:val="2"/>
      <w:sz w:val="16"/>
      <w:szCs w:val="16"/>
    </w:rPr>
  </w:style>
  <w:style w:type="character" w:customStyle="1" w:styleId="181">
    <w:name w:val="尾注文本 字符"/>
    <w:link w:val="27"/>
    <w:qFormat/>
    <w:uiPriority w:val="0"/>
    <w:rPr>
      <w:rFonts w:ascii="Arial" w:hAnsi="Arial" w:eastAsia="宋体" w:cs="Arial"/>
      <w:szCs w:val="24"/>
      <w:lang w:val="en-US" w:eastAsia="en-US" w:bidi="ar-SA"/>
    </w:rPr>
  </w:style>
  <w:style w:type="character" w:customStyle="1" w:styleId="182">
    <w:name w:val="引用 Char3"/>
    <w:qFormat/>
    <w:uiPriority w:val="29"/>
    <w:rPr>
      <w:rFonts w:ascii="Calibri" w:hAnsi="Calibri" w:eastAsia="宋体" w:cs="Times New Roman"/>
      <w:i/>
      <w:iCs/>
      <w:color w:val="000000"/>
      <w:szCs w:val="24"/>
    </w:rPr>
  </w:style>
  <w:style w:type="character" w:customStyle="1" w:styleId="183">
    <w:name w:val="Char Char32"/>
    <w:qFormat/>
    <w:uiPriority w:val="0"/>
    <w:rPr>
      <w:rFonts w:ascii="仿宋_GB2312" w:eastAsia="仿宋_GB2312" w:cs="MingLiU"/>
      <w:b/>
      <w:spacing w:val="1"/>
      <w:w w:val="99"/>
      <w:sz w:val="28"/>
      <w:szCs w:val="32"/>
    </w:rPr>
  </w:style>
  <w:style w:type="character" w:customStyle="1" w:styleId="184">
    <w:name w:val="日期 Char"/>
    <w:qFormat/>
    <w:uiPriority w:val="0"/>
    <w:rPr>
      <w:rFonts w:eastAsia="宋体"/>
      <w:szCs w:val="24"/>
    </w:rPr>
  </w:style>
  <w:style w:type="character" w:customStyle="1" w:styleId="185">
    <w:name w:val="页脚 Char"/>
    <w:qFormat/>
    <w:uiPriority w:val="0"/>
    <w:rPr>
      <w:sz w:val="18"/>
      <w:szCs w:val="18"/>
    </w:rPr>
  </w:style>
  <w:style w:type="character" w:customStyle="1" w:styleId="186">
    <w:name w:val="style121"/>
    <w:qFormat/>
    <w:uiPriority w:val="0"/>
    <w:rPr>
      <w:rFonts w:hint="eastAsia" w:ascii="宋体" w:hAnsi="宋体" w:eastAsia="宋体"/>
      <w:sz w:val="18"/>
      <w:szCs w:val="18"/>
    </w:rPr>
  </w:style>
  <w:style w:type="character" w:customStyle="1" w:styleId="187">
    <w:name w:val="ss16"/>
    <w:qFormat/>
    <w:uiPriority w:val="0"/>
    <w:rPr>
      <w:rFonts w:hint="eastAsia" w:ascii="宋体" w:hAnsi="宋体" w:eastAsia="宋体"/>
      <w:color w:val="000000"/>
      <w:sz w:val="9"/>
      <w:szCs w:val="9"/>
    </w:rPr>
  </w:style>
  <w:style w:type="character" w:customStyle="1" w:styleId="188">
    <w:name w:val="textcontents"/>
    <w:qFormat/>
    <w:uiPriority w:val="0"/>
    <w:rPr>
      <w:rFonts w:cs="Times New Roman"/>
    </w:rPr>
  </w:style>
  <w:style w:type="character" w:customStyle="1" w:styleId="189">
    <w:name w:val="14t1"/>
    <w:qFormat/>
    <w:uiPriority w:val="0"/>
    <w:rPr>
      <w:rFonts w:hint="eastAsia" w:ascii="宋体" w:hAnsi="宋体" w:eastAsia="宋体"/>
      <w:sz w:val="11"/>
      <w:szCs w:val="11"/>
    </w:rPr>
  </w:style>
  <w:style w:type="character" w:customStyle="1" w:styleId="190">
    <w:name w:val="不明显参考1"/>
    <w:qFormat/>
    <w:uiPriority w:val="0"/>
    <w:rPr>
      <w:smallCaps/>
      <w:color w:val="C0504D"/>
      <w:u w:val="single"/>
    </w:rPr>
  </w:style>
  <w:style w:type="character" w:customStyle="1" w:styleId="191">
    <w:name w:val="unnamed1"/>
    <w:basedOn w:val="47"/>
    <w:qFormat/>
    <w:uiPriority w:val="0"/>
  </w:style>
  <w:style w:type="character" w:customStyle="1" w:styleId="192">
    <w:name w:val="批注主题 Char3"/>
    <w:semiHidden/>
    <w:qFormat/>
    <w:uiPriority w:val="99"/>
    <w:rPr>
      <w:rFonts w:ascii="Calibri" w:hAnsi="Calibri" w:eastAsia="宋体" w:cs="Times New Roman"/>
      <w:b/>
      <w:bCs/>
      <w:szCs w:val="24"/>
    </w:rPr>
  </w:style>
  <w:style w:type="character" w:customStyle="1" w:styleId="193">
    <w:name w:val="标题 3 字符"/>
    <w:link w:val="4"/>
    <w:qFormat/>
    <w:uiPriority w:val="0"/>
    <w:rPr>
      <w:rFonts w:eastAsia="宋体"/>
      <w:b/>
      <w:bCs/>
      <w:kern w:val="2"/>
      <w:sz w:val="32"/>
      <w:szCs w:val="32"/>
      <w:lang w:val="en-US" w:eastAsia="zh-CN" w:bidi="ar-SA"/>
    </w:rPr>
  </w:style>
  <w:style w:type="character" w:customStyle="1" w:styleId="194">
    <w:name w:val="标题 2 字符"/>
    <w:link w:val="3"/>
    <w:qFormat/>
    <w:uiPriority w:val="0"/>
    <w:rPr>
      <w:rFonts w:ascii="Cambria" w:hAnsi="Cambria" w:eastAsia="宋体"/>
      <w:b/>
      <w:bCs/>
      <w:kern w:val="2"/>
      <w:sz w:val="32"/>
      <w:szCs w:val="32"/>
      <w:lang w:val="en-US" w:eastAsia="zh-CN" w:bidi="ar-SA"/>
    </w:rPr>
  </w:style>
  <w:style w:type="character" w:customStyle="1" w:styleId="195">
    <w:name w:val="标题 6 字符"/>
    <w:link w:val="7"/>
    <w:qFormat/>
    <w:uiPriority w:val="0"/>
    <w:rPr>
      <w:rFonts w:hAnsi="Arial" w:eastAsia="仿宋_GB2312"/>
      <w:sz w:val="30"/>
      <w:lang w:val="en-US" w:eastAsia="zh-CN" w:bidi="ar-SA"/>
    </w:rPr>
  </w:style>
  <w:style w:type="character" w:customStyle="1" w:styleId="196">
    <w:name w:val="页脚 字符"/>
    <w:link w:val="29"/>
    <w:qFormat/>
    <w:uiPriority w:val="0"/>
    <w:rPr>
      <w:rFonts w:eastAsia="宋体"/>
      <w:kern w:val="2"/>
      <w:sz w:val="18"/>
      <w:szCs w:val="18"/>
      <w:lang w:val="en-US" w:eastAsia="zh-CN" w:bidi="ar-SA"/>
    </w:rPr>
  </w:style>
  <w:style w:type="character" w:customStyle="1" w:styleId="197">
    <w:name w:val="引用 Char4"/>
    <w:link w:val="102"/>
    <w:qFormat/>
    <w:uiPriority w:val="0"/>
    <w:rPr>
      <w:i/>
      <w:iCs/>
      <w:color w:val="000000"/>
      <w:kern w:val="2"/>
      <w:sz w:val="21"/>
      <w:szCs w:val="22"/>
      <w:lang w:bidi="ar-SA"/>
    </w:rPr>
  </w:style>
  <w:style w:type="character" w:customStyle="1" w:styleId="198">
    <w:name w:val="标题 9 字符"/>
    <w:link w:val="11"/>
    <w:qFormat/>
    <w:uiPriority w:val="0"/>
    <w:rPr>
      <w:rFonts w:eastAsia="仿宋_GB2312"/>
      <w:sz w:val="30"/>
      <w:lang w:val="en-US" w:eastAsia="zh-CN" w:bidi="ar-SA"/>
    </w:rPr>
  </w:style>
  <w:style w:type="character" w:customStyle="1" w:styleId="199">
    <w:name w:val="标题 3 Char"/>
    <w:qFormat/>
    <w:uiPriority w:val="0"/>
    <w:rPr>
      <w:rFonts w:ascii="仿宋_GB2312" w:hAnsi="Calibri" w:eastAsia="仿宋_GB2312" w:cs="Times New Roman"/>
      <w:b/>
      <w:kern w:val="0"/>
      <w:sz w:val="24"/>
      <w:szCs w:val="28"/>
    </w:rPr>
  </w:style>
  <w:style w:type="character" w:customStyle="1" w:styleId="200">
    <w:name w:val="批注文字 Char2"/>
    <w:qFormat/>
    <w:uiPriority w:val="0"/>
    <w:rPr>
      <w:rFonts w:ascii="Calibri" w:hAnsi="Calibri" w:eastAsia="宋体" w:cs="Times New Roman"/>
      <w:szCs w:val="24"/>
    </w:rPr>
  </w:style>
  <w:style w:type="character" w:customStyle="1" w:styleId="201">
    <w:name w:val="normaltext1"/>
    <w:qFormat/>
    <w:uiPriority w:val="0"/>
    <w:rPr>
      <w:rFonts w:hint="default" w:ascii="ˎ̥" w:hAnsi="ˎ̥"/>
      <w:sz w:val="9"/>
      <w:szCs w:val="9"/>
    </w:rPr>
  </w:style>
  <w:style w:type="character" w:customStyle="1" w:styleId="202">
    <w:name w:val="ca-141"/>
    <w:qFormat/>
    <w:uiPriority w:val="0"/>
    <w:rPr>
      <w:rFonts w:hint="eastAsia" w:ascii="仿宋_GB2312" w:eastAsia="仿宋_GB2312"/>
      <w:sz w:val="21"/>
      <w:szCs w:val="21"/>
    </w:rPr>
  </w:style>
  <w:style w:type="character" w:customStyle="1" w:styleId="203">
    <w:name w:val="main_tdbg_7601"/>
    <w:qFormat/>
    <w:uiPriority w:val="0"/>
    <w:rPr>
      <w:sz w:val="14"/>
      <w:szCs w:val="14"/>
    </w:rPr>
  </w:style>
  <w:style w:type="character" w:customStyle="1" w:styleId="204">
    <w:name w:val="文档结构图 字符"/>
    <w:link w:val="14"/>
    <w:qFormat/>
    <w:uiPriority w:val="0"/>
    <w:rPr>
      <w:rFonts w:eastAsia="宋体"/>
      <w:kern w:val="2"/>
      <w:sz w:val="21"/>
      <w:szCs w:val="24"/>
      <w:lang w:val="en-US" w:eastAsia="zh-CN" w:bidi="ar-SA"/>
    </w:rPr>
  </w:style>
  <w:style w:type="character" w:customStyle="1" w:styleId="205">
    <w:name w:val="批注框文本 Char3"/>
    <w:semiHidden/>
    <w:qFormat/>
    <w:uiPriority w:val="99"/>
    <w:rPr>
      <w:rFonts w:ascii="Calibri" w:hAnsi="Calibri" w:eastAsia="宋体" w:cs="Times New Roman"/>
      <w:sz w:val="18"/>
      <w:szCs w:val="18"/>
    </w:rPr>
  </w:style>
  <w:style w:type="character" w:customStyle="1" w:styleId="206">
    <w:name w:val="Char Char9"/>
    <w:qFormat/>
    <w:locked/>
    <w:uiPriority w:val="0"/>
    <w:rPr>
      <w:rFonts w:ascii="仿宋_GB2312" w:eastAsia="仿宋_GB2312" w:cs="MingLiU"/>
      <w:b/>
      <w:sz w:val="24"/>
      <w:szCs w:val="28"/>
      <w:lang w:val="en-US" w:eastAsia="zh-CN" w:bidi="ar-SA"/>
    </w:rPr>
  </w:style>
  <w:style w:type="character" w:customStyle="1" w:styleId="207">
    <w:name w:val="title11"/>
    <w:qFormat/>
    <w:uiPriority w:val="0"/>
    <w:rPr>
      <w:b/>
      <w:bCs/>
      <w:color w:val="FFFFFF"/>
      <w:sz w:val="11"/>
      <w:szCs w:val="11"/>
    </w:rPr>
  </w:style>
  <w:style w:type="character" w:customStyle="1" w:styleId="208">
    <w:name w:val="批注框文本 字符"/>
    <w:link w:val="28"/>
    <w:qFormat/>
    <w:uiPriority w:val="0"/>
    <w:rPr>
      <w:rFonts w:eastAsia="宋体"/>
      <w:kern w:val="2"/>
      <w:sz w:val="18"/>
      <w:szCs w:val="18"/>
      <w:lang w:val="en-US" w:eastAsia="zh-CN" w:bidi="ar-SA"/>
    </w:rPr>
  </w:style>
  <w:style w:type="character" w:customStyle="1" w:styleId="209">
    <w:name w:val="标题 8 Char1"/>
    <w:qFormat/>
    <w:uiPriority w:val="0"/>
    <w:rPr>
      <w:rFonts w:ascii="Times New Roman" w:hAnsi="Arial" w:eastAsia="仿宋_GB2312" w:cs="Times New Roman"/>
      <w:sz w:val="30"/>
      <w:szCs w:val="20"/>
    </w:rPr>
  </w:style>
  <w:style w:type="character" w:customStyle="1" w:styleId="210">
    <w:name w:val="标题 Char2"/>
    <w:qFormat/>
    <w:uiPriority w:val="10"/>
    <w:rPr>
      <w:rFonts w:ascii="Cambria" w:hAnsi="Cambria" w:eastAsia="宋体" w:cs="Times New Roman"/>
      <w:b/>
      <w:bCs/>
      <w:sz w:val="32"/>
      <w:szCs w:val="32"/>
    </w:rPr>
  </w:style>
  <w:style w:type="character" w:customStyle="1" w:styleId="211">
    <w:name w:val="标题 字符"/>
    <w:link w:val="43"/>
    <w:qFormat/>
    <w:uiPriority w:val="0"/>
    <w:rPr>
      <w:rFonts w:eastAsia="宋体"/>
      <w:szCs w:val="24"/>
      <w:u w:val="single"/>
      <w:lang w:val="en-US" w:eastAsia="en-US" w:bidi="ar-SA"/>
    </w:rPr>
  </w:style>
  <w:style w:type="character" w:customStyle="1" w:styleId="212">
    <w:name w:val="批注主题 Char1"/>
    <w:qFormat/>
    <w:uiPriority w:val="0"/>
    <w:rPr>
      <w:b/>
      <w:bCs/>
      <w:kern w:val="2"/>
      <w:sz w:val="21"/>
      <w:szCs w:val="22"/>
    </w:rPr>
  </w:style>
  <w:style w:type="character" w:customStyle="1" w:styleId="213">
    <w:name w:val="副标题 Char"/>
    <w:qFormat/>
    <w:uiPriority w:val="0"/>
    <w:rPr>
      <w:rFonts w:ascii="Cambria" w:hAnsi="Cambria" w:eastAsia="宋体" w:cs="Times New Roman"/>
      <w:b/>
      <w:bCs/>
      <w:kern w:val="28"/>
      <w:sz w:val="32"/>
      <w:szCs w:val="32"/>
    </w:rPr>
  </w:style>
  <w:style w:type="character" w:customStyle="1" w:styleId="214">
    <w:name w:val="正文文本 字符"/>
    <w:link w:val="17"/>
    <w:qFormat/>
    <w:uiPriority w:val="0"/>
    <w:rPr>
      <w:rFonts w:eastAsia="宋体"/>
      <w:kern w:val="2"/>
      <w:sz w:val="21"/>
      <w:szCs w:val="24"/>
      <w:lang w:val="en-US" w:eastAsia="zh-CN" w:bidi="ar-SA"/>
    </w:rPr>
  </w:style>
  <w:style w:type="character" w:customStyle="1" w:styleId="215">
    <w:name w:val="纯文本 Char1"/>
    <w:qFormat/>
    <w:uiPriority w:val="0"/>
    <w:rPr>
      <w:rFonts w:ascii="宋体" w:hAnsi="Courier New" w:cs="Courier New"/>
      <w:kern w:val="2"/>
      <w:sz w:val="21"/>
      <w:szCs w:val="21"/>
    </w:rPr>
  </w:style>
  <w:style w:type="character" w:customStyle="1" w:styleId="216">
    <w:name w:val="脚注文本 字符"/>
    <w:link w:val="34"/>
    <w:qFormat/>
    <w:uiPriority w:val="0"/>
    <w:rPr>
      <w:rFonts w:ascii="Arial" w:hAnsi="Arial" w:eastAsia="宋体" w:cs="Arial"/>
      <w:sz w:val="18"/>
      <w:szCs w:val="18"/>
      <w:lang w:val="en-US" w:eastAsia="en-US" w:bidi="ar-SA"/>
    </w:rPr>
  </w:style>
  <w:style w:type="character" w:customStyle="1" w:styleId="217">
    <w:name w:val="标题 2 Char1"/>
    <w:qFormat/>
    <w:uiPriority w:val="0"/>
    <w:rPr>
      <w:rFonts w:ascii="Cambria" w:hAnsi="Cambria" w:eastAsia="宋体" w:cs="Times New Roman"/>
      <w:b/>
      <w:bCs/>
      <w:kern w:val="2"/>
      <w:sz w:val="32"/>
      <w:szCs w:val="32"/>
    </w:rPr>
  </w:style>
  <w:style w:type="character" w:customStyle="1" w:styleId="218">
    <w:name w:val="脚注文本 Char1"/>
    <w:qFormat/>
    <w:uiPriority w:val="0"/>
    <w:rPr>
      <w:rFonts w:ascii="Arial" w:hAnsi="Arial" w:cs="Arial"/>
      <w:sz w:val="18"/>
      <w:szCs w:val="18"/>
      <w:lang w:eastAsia="en-US"/>
    </w:rPr>
  </w:style>
  <w:style w:type="character" w:customStyle="1" w:styleId="219">
    <w:name w:val="HTML 预设格式 Char2"/>
    <w:semiHidden/>
    <w:qFormat/>
    <w:uiPriority w:val="99"/>
    <w:rPr>
      <w:rFonts w:ascii="Courier New" w:hAnsi="Courier New" w:eastAsia="宋体" w:cs="Courier New"/>
      <w:sz w:val="20"/>
      <w:szCs w:val="20"/>
    </w:rPr>
  </w:style>
  <w:style w:type="character" w:customStyle="1" w:styleId="220">
    <w:name w:val="标题 8 Char"/>
    <w:qFormat/>
    <w:uiPriority w:val="0"/>
    <w:rPr>
      <w:rFonts w:ascii="Arial" w:hAnsi="Arial" w:eastAsia="黑体" w:cs="Times New Roman"/>
      <w:sz w:val="24"/>
      <w:szCs w:val="24"/>
    </w:rPr>
  </w:style>
  <w:style w:type="character" w:customStyle="1" w:styleId="221">
    <w:name w:val="s3"/>
    <w:qFormat/>
    <w:uiPriority w:val="0"/>
  </w:style>
  <w:style w:type="character" w:customStyle="1" w:styleId="222">
    <w:name w:val="标题 4 Char"/>
    <w:qFormat/>
    <w:uiPriority w:val="0"/>
    <w:rPr>
      <w:rFonts w:ascii="仿宋_GB2312" w:hAnsi="Calibri" w:eastAsia="仿宋_GB2312" w:cs="Times New Roman"/>
      <w:b/>
      <w:kern w:val="0"/>
      <w:sz w:val="24"/>
      <w:szCs w:val="28"/>
    </w:rPr>
  </w:style>
  <w:style w:type="character" w:customStyle="1" w:styleId="223">
    <w:name w:val="正文文本缩进 2 Char"/>
    <w:qFormat/>
    <w:uiPriority w:val="0"/>
    <w:rPr>
      <w:kern w:val="2"/>
      <w:sz w:val="21"/>
      <w:szCs w:val="24"/>
    </w:rPr>
  </w:style>
  <w:style w:type="character" w:customStyle="1" w:styleId="224">
    <w:name w:val="style21"/>
    <w:qFormat/>
    <w:uiPriority w:val="0"/>
    <w:rPr>
      <w:b/>
      <w:bCs/>
      <w:sz w:val="28"/>
      <w:szCs w:val="28"/>
    </w:rPr>
  </w:style>
  <w:style w:type="character" w:customStyle="1" w:styleId="225">
    <w:name w:val="正文文本缩进 2 Char2"/>
    <w:semiHidden/>
    <w:qFormat/>
    <w:uiPriority w:val="99"/>
    <w:rPr>
      <w:rFonts w:ascii="Calibri" w:hAnsi="Calibri" w:eastAsia="宋体" w:cs="Times New Roman"/>
      <w:szCs w:val="24"/>
    </w:rPr>
  </w:style>
  <w:style w:type="character" w:customStyle="1" w:styleId="226">
    <w:name w:val="ht1"/>
    <w:qFormat/>
    <w:uiPriority w:val="0"/>
    <w:rPr>
      <w:rFonts w:ascii="黑体" w:eastAsia="黑体"/>
      <w:b/>
      <w:bCs/>
    </w:rPr>
  </w:style>
  <w:style w:type="character" w:customStyle="1" w:styleId="227">
    <w:name w:val="文档结构图 Char3"/>
    <w:semiHidden/>
    <w:qFormat/>
    <w:uiPriority w:val="99"/>
    <w:rPr>
      <w:rFonts w:ascii="宋体" w:hAnsi="Calibri" w:eastAsia="宋体" w:cs="Times New Roman"/>
      <w:sz w:val="18"/>
      <w:szCs w:val="18"/>
    </w:rPr>
  </w:style>
  <w:style w:type="character" w:customStyle="1" w:styleId="228">
    <w:name w:val="书籍标题1"/>
    <w:qFormat/>
    <w:uiPriority w:val="0"/>
    <w:rPr>
      <w:b/>
      <w:bCs/>
      <w:smallCaps/>
      <w:spacing w:val="5"/>
    </w:rPr>
  </w:style>
  <w:style w:type="character" w:customStyle="1" w:styleId="229">
    <w:name w:val="标题 7 Char1"/>
    <w:qFormat/>
    <w:uiPriority w:val="0"/>
    <w:rPr>
      <w:rFonts w:ascii="Times New Roman" w:hAnsi="Times New Roman" w:eastAsia="仿宋_GB2312" w:cs="Times New Roman"/>
      <w:sz w:val="30"/>
      <w:szCs w:val="20"/>
    </w:rPr>
  </w:style>
  <w:style w:type="character" w:customStyle="1" w:styleId="230">
    <w:name w:val="明显引用 Char2"/>
    <w:qFormat/>
    <w:uiPriority w:val="99"/>
    <w:rPr>
      <w:b/>
      <w:bCs/>
      <w:i/>
      <w:iCs/>
      <w:color w:val="4F81BD"/>
      <w:kern w:val="2"/>
      <w:sz w:val="21"/>
      <w:szCs w:val="24"/>
    </w:rPr>
  </w:style>
  <w:style w:type="character" w:customStyle="1" w:styleId="231">
    <w:name w:val="不明显强调1"/>
    <w:qFormat/>
    <w:uiPriority w:val="0"/>
    <w:rPr>
      <w:i/>
      <w:iCs/>
      <w:color w:val="808080"/>
    </w:rPr>
  </w:style>
  <w:style w:type="character" w:customStyle="1" w:styleId="232">
    <w:name w:val="普通文字 Char Char2"/>
    <w:qFormat/>
    <w:uiPriority w:val="0"/>
    <w:rPr>
      <w:rFonts w:ascii="宋体" w:hAnsi="Courier New"/>
      <w:kern w:val="2"/>
      <w:sz w:val="28"/>
      <w:szCs w:val="28"/>
    </w:rPr>
  </w:style>
  <w:style w:type="character" w:customStyle="1" w:styleId="233">
    <w:name w:val="标题 6 Char"/>
    <w:qFormat/>
    <w:uiPriority w:val="0"/>
    <w:rPr>
      <w:rFonts w:ascii="Arial" w:hAnsi="Arial" w:eastAsia="黑体" w:cs="Times New Roman"/>
      <w:b/>
      <w:bCs/>
      <w:sz w:val="24"/>
      <w:szCs w:val="24"/>
    </w:rPr>
  </w:style>
  <w:style w:type="character" w:customStyle="1" w:styleId="234">
    <w:name w:val="l1"/>
    <w:basedOn w:val="47"/>
    <w:qFormat/>
    <w:uiPriority w:val="0"/>
  </w:style>
  <w:style w:type="character" w:customStyle="1" w:styleId="235">
    <w:name w:val="未处理的提及1"/>
    <w:unhideWhenUsed/>
    <w:qFormat/>
    <w:uiPriority w:val="99"/>
    <w:rPr>
      <w:color w:val="808080"/>
      <w:shd w:val="clear" w:color="auto" w:fill="E6E6E6"/>
    </w:rPr>
  </w:style>
  <w:style w:type="character" w:customStyle="1" w:styleId="236">
    <w:name w:val="页眉 字符"/>
    <w:link w:val="30"/>
    <w:qFormat/>
    <w:uiPriority w:val="0"/>
    <w:rPr>
      <w:rFonts w:eastAsia="宋体"/>
      <w:kern w:val="2"/>
      <w:sz w:val="18"/>
      <w:szCs w:val="18"/>
      <w:lang w:val="en-US" w:eastAsia="zh-CN" w:bidi="ar-SA"/>
    </w:rPr>
  </w:style>
  <w:style w:type="character" w:customStyle="1" w:styleId="237">
    <w:name w:val="Char Char35"/>
    <w:qFormat/>
    <w:uiPriority w:val="0"/>
    <w:rPr>
      <w:rFonts w:ascii="仿宋_GB2312" w:eastAsia="仿宋_GB2312" w:cs="MingLiU"/>
      <w:b/>
      <w:sz w:val="24"/>
      <w:szCs w:val="28"/>
    </w:rPr>
  </w:style>
  <w:style w:type="character" w:customStyle="1" w:styleId="238">
    <w:name w:val="Char Char11"/>
    <w:qFormat/>
    <w:locked/>
    <w:uiPriority w:val="0"/>
    <w:rPr>
      <w:rFonts w:eastAsia="黑体"/>
      <w:kern w:val="2"/>
      <w:sz w:val="44"/>
      <w:szCs w:val="44"/>
      <w:lang w:val="en-US" w:eastAsia="zh-CN" w:bidi="ar-SA"/>
    </w:rPr>
  </w:style>
  <w:style w:type="character" w:customStyle="1" w:styleId="239">
    <w:name w:val="style31"/>
    <w:qFormat/>
    <w:uiPriority w:val="0"/>
    <w:rPr>
      <w:sz w:val="10"/>
      <w:szCs w:val="10"/>
    </w:rPr>
  </w:style>
  <w:style w:type="character" w:customStyle="1" w:styleId="240">
    <w:name w:val="0d1471"/>
    <w:qFormat/>
    <w:uiPriority w:val="0"/>
    <w:rPr>
      <w:color w:val="000000"/>
      <w:sz w:val="11"/>
      <w:szCs w:val="11"/>
      <w:u w:val="none"/>
    </w:rPr>
  </w:style>
  <w:style w:type="character" w:customStyle="1" w:styleId="241">
    <w:name w:val="标题 9 Char"/>
    <w:qFormat/>
    <w:uiPriority w:val="0"/>
    <w:rPr>
      <w:rFonts w:ascii="Arial" w:hAnsi="Arial" w:eastAsia="黑体" w:cs="Times New Roman"/>
      <w:szCs w:val="21"/>
    </w:rPr>
  </w:style>
  <w:style w:type="character" w:customStyle="1" w:styleId="242">
    <w:name w:val="标题 3 Char1"/>
    <w:qFormat/>
    <w:uiPriority w:val="0"/>
    <w:rPr>
      <w:rFonts w:ascii="Times New Roman" w:hAnsi="Times New Roman" w:eastAsia="宋体" w:cs="Times New Roman"/>
      <w:b/>
      <w:bCs/>
      <w:kern w:val="2"/>
      <w:sz w:val="32"/>
      <w:szCs w:val="32"/>
    </w:rPr>
  </w:style>
  <w:style w:type="character" w:customStyle="1" w:styleId="243">
    <w:name w:val="标题4 Char Char"/>
    <w:link w:val="87"/>
    <w:qFormat/>
    <w:uiPriority w:val="0"/>
    <w:rPr>
      <w:rFonts w:ascii="Arial" w:hAnsi="Arial"/>
      <w:b/>
      <w:bCs/>
      <w:sz w:val="24"/>
      <w:szCs w:val="32"/>
      <w:lang w:bidi="ar-SA"/>
    </w:rPr>
  </w:style>
  <w:style w:type="character" w:customStyle="1" w:styleId="244">
    <w:name w:val="标题 5 Char1"/>
    <w:qFormat/>
    <w:uiPriority w:val="0"/>
    <w:rPr>
      <w:rFonts w:ascii="宋体" w:hAnsi="宋体" w:eastAsia="宋体" w:cs="宋体"/>
      <w:b/>
      <w:bCs/>
      <w:sz w:val="20"/>
      <w:szCs w:val="20"/>
    </w:rPr>
  </w:style>
  <w:style w:type="character" w:customStyle="1" w:styleId="245">
    <w:name w:val="正文文本缩进 3 Char1"/>
    <w:qFormat/>
    <w:uiPriority w:val="0"/>
    <w:rPr>
      <w:rFonts w:ascii="宋体" w:hAnsi="宋体"/>
      <w:kern w:val="2"/>
      <w:sz w:val="28"/>
      <w:szCs w:val="28"/>
    </w:rPr>
  </w:style>
  <w:style w:type="character" w:customStyle="1" w:styleId="246">
    <w:name w:val="Char Char33"/>
    <w:qFormat/>
    <w:uiPriority w:val="0"/>
    <w:rPr>
      <w:rFonts w:ascii="仿宋_GB2312" w:eastAsia="仿宋_GB2312" w:cs="MingLiU"/>
      <w:b/>
      <w:sz w:val="24"/>
      <w:szCs w:val="28"/>
    </w:rPr>
  </w:style>
  <w:style w:type="character" w:customStyle="1" w:styleId="247">
    <w:name w:val="批注文字 Char1"/>
    <w:qFormat/>
    <w:uiPriority w:val="99"/>
    <w:rPr>
      <w:rFonts w:ascii="Times New Roman" w:hAnsi="Times New Roman" w:eastAsia="宋体" w:cs="Times New Roman"/>
      <w:szCs w:val="24"/>
    </w:rPr>
  </w:style>
  <w:style w:type="character" w:customStyle="1" w:styleId="248">
    <w:name w:val="正文文本 3 Char1"/>
    <w:qFormat/>
    <w:uiPriority w:val="0"/>
    <w:rPr>
      <w:kern w:val="2"/>
      <w:sz w:val="16"/>
      <w:szCs w:val="16"/>
    </w:rPr>
  </w:style>
  <w:style w:type="character" w:customStyle="1" w:styleId="249">
    <w:name w:val="页眉 Char"/>
    <w:qFormat/>
    <w:uiPriority w:val="0"/>
    <w:rPr>
      <w:sz w:val="18"/>
      <w:szCs w:val="18"/>
    </w:rPr>
  </w:style>
  <w:style w:type="character" w:customStyle="1" w:styleId="250">
    <w:name w:val="明显引用 Char"/>
    <w:qFormat/>
    <w:uiPriority w:val="0"/>
    <w:rPr>
      <w:rFonts w:ascii="Times New Roman" w:hAnsi="Times New Roman" w:eastAsia="宋体" w:cs="Times New Roman"/>
      <w:b/>
      <w:bCs/>
      <w:i/>
      <w:iCs/>
      <w:color w:val="4F81BD"/>
      <w:kern w:val="2"/>
      <w:sz w:val="21"/>
      <w:szCs w:val="24"/>
    </w:rPr>
  </w:style>
  <w:style w:type="character" w:customStyle="1" w:styleId="251">
    <w:name w:val="color_red1"/>
    <w:qFormat/>
    <w:uiPriority w:val="0"/>
    <w:rPr>
      <w:color w:val="FA0004"/>
    </w:rPr>
  </w:style>
  <w:style w:type="character" w:customStyle="1" w:styleId="252">
    <w:name w:val="批注主题 Char2"/>
    <w:qFormat/>
    <w:uiPriority w:val="99"/>
    <w:rPr>
      <w:b/>
      <w:bCs/>
      <w:kern w:val="2"/>
      <w:sz w:val="21"/>
      <w:szCs w:val="24"/>
    </w:rPr>
  </w:style>
  <w:style w:type="character" w:customStyle="1" w:styleId="253">
    <w:name w:val="Char Char34"/>
    <w:qFormat/>
    <w:uiPriority w:val="0"/>
    <w:rPr>
      <w:rFonts w:ascii="仿宋_GB2312" w:eastAsia="仿宋_GB2312" w:cs="MingLiU"/>
      <w:b/>
      <w:spacing w:val="1"/>
      <w:w w:val="99"/>
      <w:sz w:val="28"/>
      <w:szCs w:val="32"/>
    </w:rPr>
  </w:style>
  <w:style w:type="character" w:customStyle="1" w:styleId="254">
    <w:name w:val="标题 1 Char"/>
    <w:qFormat/>
    <w:uiPriority w:val="0"/>
    <w:rPr>
      <w:rFonts w:ascii="Times New Roman" w:hAnsi="Times New Roman" w:eastAsia="宋体" w:cs="Times New Roman"/>
      <w:b/>
      <w:bCs/>
      <w:kern w:val="44"/>
      <w:sz w:val="44"/>
      <w:szCs w:val="44"/>
    </w:rPr>
  </w:style>
  <w:style w:type="character" w:customStyle="1" w:styleId="255">
    <w:name w:val="docpro"/>
    <w:basedOn w:val="47"/>
    <w:qFormat/>
    <w:uiPriority w:val="0"/>
  </w:style>
  <w:style w:type="character" w:customStyle="1" w:styleId="256">
    <w:name w:val="正文文本 3 Char"/>
    <w:qFormat/>
    <w:uiPriority w:val="0"/>
    <w:rPr>
      <w:kern w:val="2"/>
      <w:sz w:val="16"/>
      <w:szCs w:val="16"/>
    </w:rPr>
  </w:style>
  <w:style w:type="character" w:customStyle="1" w:styleId="257">
    <w:name w:val="标题 5 Char"/>
    <w:qFormat/>
    <w:uiPriority w:val="0"/>
    <w:rPr>
      <w:rFonts w:ascii="Calibri" w:hAnsi="Calibri" w:eastAsia="宋体" w:cs="Times New Roman"/>
      <w:b/>
      <w:bCs/>
      <w:sz w:val="28"/>
      <w:szCs w:val="28"/>
    </w:rPr>
  </w:style>
  <w:style w:type="character" w:customStyle="1" w:styleId="258">
    <w:name w:val="style161"/>
    <w:qFormat/>
    <w:uiPriority w:val="0"/>
    <w:rPr>
      <w:b/>
      <w:bCs/>
      <w:color w:val="333333"/>
    </w:rPr>
  </w:style>
  <w:style w:type="character" w:customStyle="1" w:styleId="259">
    <w:name w:val="文档结构图 Char2"/>
    <w:qFormat/>
    <w:uiPriority w:val="99"/>
    <w:rPr>
      <w:kern w:val="2"/>
      <w:sz w:val="21"/>
      <w:szCs w:val="24"/>
      <w:shd w:val="clear" w:color="auto" w:fill="000080"/>
    </w:rPr>
  </w:style>
  <w:style w:type="character" w:customStyle="1" w:styleId="260">
    <w:name w:val="页脚 Char1"/>
    <w:semiHidden/>
    <w:qFormat/>
    <w:uiPriority w:val="99"/>
    <w:rPr>
      <w:kern w:val="2"/>
      <w:sz w:val="18"/>
      <w:szCs w:val="18"/>
    </w:rPr>
  </w:style>
  <w:style w:type="character" w:customStyle="1" w:styleId="261">
    <w:name w:val="日期 Char2"/>
    <w:qFormat/>
    <w:uiPriority w:val="99"/>
    <w:rPr>
      <w:kern w:val="2"/>
      <w:sz w:val="21"/>
      <w:szCs w:val="24"/>
    </w:rPr>
  </w:style>
  <w:style w:type="character" w:customStyle="1" w:styleId="262">
    <w:name w:val="HTML 预设格式 Char"/>
    <w:qFormat/>
    <w:uiPriority w:val="0"/>
    <w:rPr>
      <w:rFonts w:ascii="宋体" w:hAnsi="宋体" w:eastAsia="宋体" w:cs="宋体"/>
      <w:color w:val="000000"/>
      <w:sz w:val="24"/>
      <w:szCs w:val="24"/>
    </w:rPr>
  </w:style>
  <w:style w:type="character" w:customStyle="1" w:styleId="263">
    <w:name w:val="批注主题 字符"/>
    <w:link w:val="44"/>
    <w:qFormat/>
    <w:uiPriority w:val="0"/>
    <w:rPr>
      <w:rFonts w:eastAsia="宋体"/>
      <w:b/>
      <w:bCs/>
      <w:kern w:val="2"/>
      <w:sz w:val="21"/>
      <w:szCs w:val="24"/>
      <w:lang w:val="en-US" w:eastAsia="zh-CN" w:bidi="ar-SA"/>
    </w:rPr>
  </w:style>
  <w:style w:type="character" w:customStyle="1" w:styleId="264">
    <w:name w:val="正文文本 2 字符"/>
    <w:link w:val="39"/>
    <w:qFormat/>
    <w:uiPriority w:val="0"/>
    <w:rPr>
      <w:i/>
      <w:iCs/>
      <w:kern w:val="2"/>
      <w:sz w:val="26"/>
      <w:szCs w:val="24"/>
    </w:rPr>
  </w:style>
  <w:style w:type="character" w:customStyle="1" w:styleId="265">
    <w:name w:val="批注框文本 Char"/>
    <w:qFormat/>
    <w:uiPriority w:val="0"/>
    <w:rPr>
      <w:sz w:val="18"/>
      <w:szCs w:val="18"/>
    </w:rPr>
  </w:style>
  <w:style w:type="character" w:customStyle="1" w:styleId="266">
    <w:name w:val="文档结构图 Char"/>
    <w:qFormat/>
    <w:uiPriority w:val="0"/>
    <w:rPr>
      <w:rFonts w:ascii="宋体"/>
      <w:kern w:val="2"/>
      <w:sz w:val="18"/>
      <w:szCs w:val="18"/>
    </w:rPr>
  </w:style>
  <w:style w:type="character" w:customStyle="1" w:styleId="267">
    <w:name w:val="标题 8 字符"/>
    <w:link w:val="10"/>
    <w:qFormat/>
    <w:uiPriority w:val="0"/>
    <w:rPr>
      <w:rFonts w:hAnsi="Arial" w:eastAsia="仿宋_GB2312"/>
      <w:sz w:val="30"/>
      <w:lang w:val="en-US" w:eastAsia="zh-CN" w:bidi="ar-SA"/>
    </w:rPr>
  </w:style>
  <w:style w:type="character" w:customStyle="1" w:styleId="268">
    <w:name w:val="正文文本缩进 3 字符"/>
    <w:link w:val="36"/>
    <w:qFormat/>
    <w:uiPriority w:val="0"/>
    <w:rPr>
      <w:rFonts w:ascii="宋体" w:hAnsi="宋体" w:eastAsia="宋体"/>
      <w:kern w:val="2"/>
      <w:sz w:val="28"/>
      <w:szCs w:val="28"/>
      <w:lang w:val="en-US" w:eastAsia="zh-CN" w:bidi="ar-SA"/>
    </w:rPr>
  </w:style>
  <w:style w:type="character" w:customStyle="1" w:styleId="269">
    <w:name w:val="正文文本缩进 字符"/>
    <w:link w:val="18"/>
    <w:qFormat/>
    <w:uiPriority w:val="0"/>
    <w:rPr>
      <w:rFonts w:eastAsia="宋体"/>
      <w:kern w:val="2"/>
      <w:sz w:val="21"/>
      <w:szCs w:val="24"/>
      <w:lang w:val="en-US" w:eastAsia="zh-CN" w:bidi="ar-SA"/>
    </w:rPr>
  </w:style>
  <w:style w:type="character" w:customStyle="1" w:styleId="270">
    <w:name w:val="_Style 196"/>
    <w:qFormat/>
    <w:uiPriority w:val="0"/>
    <w:rPr>
      <w:i/>
      <w:iCs/>
      <w:color w:val="808080"/>
    </w:rPr>
  </w:style>
  <w:style w:type="character" w:customStyle="1" w:styleId="271">
    <w:name w:val="正文文本缩进 2 字符"/>
    <w:link w:val="26"/>
    <w:qFormat/>
    <w:uiPriority w:val="0"/>
    <w:rPr>
      <w:rFonts w:eastAsia="宋体"/>
      <w:sz w:val="28"/>
      <w:szCs w:val="24"/>
      <w:lang w:val="en-US" w:eastAsia="zh-CN" w:bidi="ar-SA"/>
    </w:rPr>
  </w:style>
  <w:style w:type="character" w:customStyle="1" w:styleId="272">
    <w:name w:val="标题 7 字符"/>
    <w:link w:val="9"/>
    <w:qFormat/>
    <w:uiPriority w:val="0"/>
    <w:rPr>
      <w:rFonts w:eastAsia="仿宋_GB2312"/>
      <w:sz w:val="30"/>
      <w:lang w:val="en-US" w:eastAsia="zh-CN" w:bidi="ar-SA"/>
    </w:rPr>
  </w:style>
  <w:style w:type="character" w:customStyle="1" w:styleId="273">
    <w:name w:val="Char Char13"/>
    <w:qFormat/>
    <w:uiPriority w:val="0"/>
    <w:rPr>
      <w:kern w:val="2"/>
      <w:sz w:val="18"/>
      <w:szCs w:val="18"/>
    </w:rPr>
  </w:style>
  <w:style w:type="character" w:customStyle="1" w:styleId="274">
    <w:name w:val="正文文本缩进 2 Char1"/>
    <w:qFormat/>
    <w:uiPriority w:val="0"/>
    <w:rPr>
      <w:sz w:val="28"/>
      <w:szCs w:val="24"/>
    </w:rPr>
  </w:style>
  <w:style w:type="character" w:customStyle="1" w:styleId="275">
    <w:name w:val="Char Char21"/>
    <w:qFormat/>
    <w:uiPriority w:val="0"/>
    <w:rPr>
      <w:rFonts w:ascii="宋体" w:hAnsi="宋体" w:cs="宋体"/>
      <w:b/>
      <w:bCs/>
      <w:sz w:val="24"/>
      <w:szCs w:val="24"/>
    </w:rPr>
  </w:style>
  <w:style w:type="character" w:customStyle="1" w:styleId="276">
    <w:name w:val="文档结构图 Char1"/>
    <w:qFormat/>
    <w:uiPriority w:val="0"/>
    <w:rPr>
      <w:rFonts w:ascii="宋体"/>
      <w:kern w:val="2"/>
      <w:sz w:val="18"/>
      <w:szCs w:val="18"/>
    </w:rPr>
  </w:style>
  <w:style w:type="character" w:customStyle="1" w:styleId="277">
    <w:name w:val="标题 Char"/>
    <w:qFormat/>
    <w:uiPriority w:val="0"/>
    <w:rPr>
      <w:rFonts w:ascii="Cambria" w:hAnsi="Cambria" w:eastAsia="宋体" w:cs="Times New Roman"/>
      <w:b/>
      <w:bCs/>
      <w:kern w:val="2"/>
      <w:sz w:val="32"/>
      <w:szCs w:val="32"/>
    </w:rPr>
  </w:style>
  <w:style w:type="character" w:customStyle="1" w:styleId="278">
    <w:name w:val="_Style 275"/>
    <w:qFormat/>
    <w:uiPriority w:val="0"/>
    <w:rPr>
      <w:smallCaps/>
      <w:color w:val="C0504D"/>
      <w:u w:val="single"/>
    </w:rPr>
  </w:style>
  <w:style w:type="character" w:customStyle="1" w:styleId="279">
    <w:name w:val="Char Char12"/>
    <w:qFormat/>
    <w:uiPriority w:val="0"/>
    <w:rPr>
      <w:rFonts w:eastAsia="黑体"/>
      <w:kern w:val="2"/>
      <w:sz w:val="44"/>
      <w:szCs w:val="44"/>
      <w:lang w:val="en-US" w:eastAsia="zh-CN" w:bidi="ar-SA"/>
    </w:rPr>
  </w:style>
  <w:style w:type="character" w:customStyle="1" w:styleId="280">
    <w:name w:val="明显参考1"/>
    <w:qFormat/>
    <w:uiPriority w:val="0"/>
    <w:rPr>
      <w:b/>
      <w:bCs/>
      <w:smallCaps/>
      <w:color w:val="C0504D"/>
      <w:spacing w:val="5"/>
      <w:u w:val="single"/>
    </w:rPr>
  </w:style>
  <w:style w:type="character" w:customStyle="1" w:styleId="281">
    <w:name w:val="Char Char36"/>
    <w:qFormat/>
    <w:uiPriority w:val="0"/>
    <w:rPr>
      <w:rFonts w:ascii="仿宋_GB2312" w:eastAsia="仿宋_GB2312" w:cs="MingLiU"/>
      <w:b/>
      <w:sz w:val="24"/>
      <w:szCs w:val="28"/>
    </w:rPr>
  </w:style>
  <w:style w:type="character" w:customStyle="1" w:styleId="282">
    <w:name w:val="批注框文本 Char2"/>
    <w:qFormat/>
    <w:uiPriority w:val="99"/>
    <w:rPr>
      <w:kern w:val="2"/>
      <w:sz w:val="18"/>
      <w:szCs w:val="18"/>
    </w:rPr>
  </w:style>
  <w:style w:type="character" w:customStyle="1" w:styleId="283">
    <w:name w:val="subhead1"/>
    <w:qFormat/>
    <w:uiPriority w:val="0"/>
    <w:rPr>
      <w:rFonts w:hint="default" w:ascii="Tahoma" w:hAnsi="Tahoma" w:cs="Tahoma"/>
      <w:color w:val="000000"/>
      <w:sz w:val="18"/>
      <w:szCs w:val="18"/>
      <w:u w:val="none"/>
      <w:shd w:val="clear" w:color="auto" w:fill="FFFFFF"/>
    </w:rPr>
  </w:style>
  <w:style w:type="character" w:customStyle="1" w:styleId="284">
    <w:name w:val="正文文本缩进 3 Char2"/>
    <w:semiHidden/>
    <w:qFormat/>
    <w:uiPriority w:val="99"/>
    <w:rPr>
      <w:rFonts w:ascii="Calibri" w:hAnsi="Calibri" w:eastAsia="宋体" w:cs="Times New Roman"/>
      <w:sz w:val="16"/>
      <w:szCs w:val="16"/>
    </w:rPr>
  </w:style>
  <w:style w:type="character" w:customStyle="1" w:styleId="285">
    <w:name w:val="纯文本 Char"/>
    <w:qFormat/>
    <w:uiPriority w:val="0"/>
    <w:rPr>
      <w:rFonts w:ascii="宋体" w:hAnsi="Courier New"/>
      <w:sz w:val="28"/>
      <w:szCs w:val="28"/>
    </w:rPr>
  </w:style>
  <w:style w:type="character" w:customStyle="1" w:styleId="286">
    <w:name w:val="纯文本 Char2"/>
    <w:semiHidden/>
    <w:qFormat/>
    <w:uiPriority w:val="99"/>
    <w:rPr>
      <w:rFonts w:ascii="宋体" w:hAnsi="Courier New" w:eastAsia="宋体" w:cs="Courier New"/>
      <w:szCs w:val="21"/>
    </w:rPr>
  </w:style>
  <w:style w:type="character" w:customStyle="1" w:styleId="287">
    <w:name w:val="页眉 Char1"/>
    <w:semiHidden/>
    <w:qFormat/>
    <w:uiPriority w:val="99"/>
    <w:rPr>
      <w:kern w:val="2"/>
      <w:sz w:val="18"/>
      <w:szCs w:val="18"/>
    </w:rPr>
  </w:style>
  <w:style w:type="character" w:customStyle="1" w:styleId="288">
    <w:name w:val="Char Char14"/>
    <w:qFormat/>
    <w:uiPriority w:val="0"/>
    <w:rPr>
      <w:kern w:val="2"/>
      <w:sz w:val="18"/>
      <w:szCs w:val="18"/>
    </w:rPr>
  </w:style>
  <w:style w:type="character" w:customStyle="1" w:styleId="289">
    <w:name w:val="批注文字 字符"/>
    <w:link w:val="15"/>
    <w:qFormat/>
    <w:uiPriority w:val="99"/>
    <w:rPr>
      <w:rFonts w:eastAsia="宋体"/>
      <w:kern w:val="2"/>
      <w:sz w:val="21"/>
      <w:szCs w:val="24"/>
      <w:lang w:val="en-US" w:eastAsia="zh-CN" w:bidi="ar-SA"/>
    </w:rPr>
  </w:style>
  <w:style w:type="character" w:customStyle="1" w:styleId="290">
    <w:name w:val="批注文字 Char Char"/>
    <w:qFormat/>
    <w:uiPriority w:val="0"/>
    <w:rPr>
      <w:rFonts w:ascii="宋体" w:hAnsi="Times New Roman" w:eastAsia="宋体" w:cs="Times New Roman"/>
      <w:sz w:val="28"/>
      <w:szCs w:val="20"/>
    </w:rPr>
  </w:style>
  <w:style w:type="character" w:customStyle="1" w:styleId="291">
    <w:name w:val="标题 1 Char1"/>
    <w:qFormat/>
    <w:uiPriority w:val="0"/>
    <w:rPr>
      <w:rFonts w:ascii="Times New Roman" w:hAnsi="Times New Roman" w:eastAsia="宋体" w:cs="Times New Roman"/>
      <w:b/>
      <w:bCs/>
      <w:kern w:val="44"/>
      <w:sz w:val="44"/>
      <w:szCs w:val="44"/>
    </w:rPr>
  </w:style>
  <w:style w:type="character" w:customStyle="1" w:styleId="292">
    <w:name w:val="标题 5 字符"/>
    <w:link w:val="6"/>
    <w:qFormat/>
    <w:uiPriority w:val="0"/>
    <w:rPr>
      <w:rFonts w:ascii="宋体" w:hAnsi="宋体" w:eastAsia="宋体" w:cs="宋体"/>
      <w:b/>
      <w:bCs/>
      <w:lang w:val="en-US" w:eastAsia="zh-CN" w:bidi="ar-SA"/>
    </w:rPr>
  </w:style>
  <w:style w:type="character" w:customStyle="1" w:styleId="293">
    <w:name w:val="手改 Char Char"/>
    <w:qFormat/>
    <w:uiPriority w:val="0"/>
    <w:rPr>
      <w:kern w:val="2"/>
      <w:sz w:val="21"/>
      <w:szCs w:val="24"/>
    </w:rPr>
  </w:style>
  <w:style w:type="character" w:customStyle="1" w:styleId="294">
    <w:name w:val="intel3"/>
    <w:basedOn w:val="47"/>
    <w:qFormat/>
    <w:uiPriority w:val="0"/>
  </w:style>
  <w:style w:type="character" w:customStyle="1" w:styleId="295">
    <w:name w:val="副标题 Char2"/>
    <w:qFormat/>
    <w:uiPriority w:val="11"/>
    <w:rPr>
      <w:rFonts w:ascii="Cambria" w:hAnsi="Cambria" w:eastAsia="宋体" w:cs="Times New Roman"/>
      <w:b/>
      <w:bCs/>
      <w:kern w:val="28"/>
      <w:sz w:val="32"/>
      <w:szCs w:val="32"/>
    </w:rPr>
  </w:style>
  <w:style w:type="character" w:customStyle="1" w:styleId="296">
    <w:name w:val="明显引用 Char4"/>
    <w:link w:val="118"/>
    <w:qFormat/>
    <w:uiPriority w:val="0"/>
    <w:rPr>
      <w:b/>
      <w:bCs/>
      <w:i/>
      <w:iCs/>
      <w:color w:val="4F81BD"/>
      <w:kern w:val="2"/>
      <w:sz w:val="21"/>
      <w:szCs w:val="22"/>
      <w:lang w:bidi="ar-SA"/>
    </w:rPr>
  </w:style>
  <w:style w:type="character" w:customStyle="1" w:styleId="297">
    <w:name w:val="明显引用 Char1"/>
    <w:link w:val="111"/>
    <w:qFormat/>
    <w:uiPriority w:val="30"/>
    <w:rPr>
      <w:b/>
      <w:bCs/>
      <w:i/>
      <w:iCs/>
      <w:color w:val="4F81BD"/>
      <w:kern w:val="2"/>
      <w:sz w:val="21"/>
    </w:rPr>
  </w:style>
  <w:style w:type="character" w:customStyle="1" w:styleId="298">
    <w:name w:val="HTML 预设格式 Char1"/>
    <w:qFormat/>
    <w:uiPriority w:val="0"/>
    <w:rPr>
      <w:rFonts w:ascii="宋体" w:hAnsi="宋体" w:cs="宋体"/>
      <w:color w:val="000000"/>
      <w:sz w:val="24"/>
      <w:szCs w:val="24"/>
    </w:rPr>
  </w:style>
  <w:style w:type="character" w:customStyle="1" w:styleId="299">
    <w:name w:val="引用 Char"/>
    <w:link w:val="69"/>
    <w:qFormat/>
    <w:uiPriority w:val="0"/>
    <w:rPr>
      <w:rFonts w:ascii="Times New Roman" w:hAnsi="Times New Roman" w:eastAsia="宋体" w:cs="Times New Roman"/>
      <w:i/>
      <w:iCs/>
      <w:color w:val="000000"/>
      <w:kern w:val="2"/>
      <w:sz w:val="21"/>
      <w:szCs w:val="24"/>
    </w:rPr>
  </w:style>
  <w:style w:type="character" w:customStyle="1" w:styleId="300">
    <w:name w:val="副标题 字符"/>
    <w:link w:val="33"/>
    <w:qFormat/>
    <w:uiPriority w:val="0"/>
    <w:rPr>
      <w:rFonts w:eastAsia="宋体"/>
      <w:szCs w:val="24"/>
      <w:u w:val="single"/>
      <w:lang w:val="en-US" w:eastAsia="en-US" w:bidi="ar-SA"/>
    </w:rPr>
  </w:style>
  <w:style w:type="character" w:customStyle="1" w:styleId="301">
    <w:name w:val="ITTHEADER1 Char"/>
    <w:qFormat/>
    <w:uiPriority w:val="0"/>
    <w:rPr>
      <w:rFonts w:eastAsia="黑体"/>
      <w:kern w:val="2"/>
      <w:sz w:val="44"/>
      <w:szCs w:val="44"/>
      <w:lang w:val="en-US" w:eastAsia="zh-CN" w:bidi="ar-SA"/>
    </w:rPr>
  </w:style>
  <w:style w:type="character" w:customStyle="1" w:styleId="302">
    <w:name w:val="日期 Char3"/>
    <w:semiHidden/>
    <w:qFormat/>
    <w:uiPriority w:val="99"/>
    <w:rPr>
      <w:rFonts w:ascii="Calibri" w:hAnsi="Calibri" w:eastAsia="宋体" w:cs="Times New Roman"/>
      <w:szCs w:val="24"/>
    </w:rPr>
  </w:style>
  <w:style w:type="character" w:customStyle="1" w:styleId="303">
    <w:name w:val="纯文本 字符"/>
    <w:link w:val="23"/>
    <w:qFormat/>
    <w:uiPriority w:val="0"/>
    <w:rPr>
      <w:rFonts w:ascii="宋体" w:hAnsi="Courier New" w:eastAsia="宋体" w:cs="Courier New"/>
      <w:kern w:val="2"/>
      <w:sz w:val="21"/>
      <w:szCs w:val="21"/>
      <w:lang w:val="en-US" w:eastAsia="zh-CN" w:bidi="ar-SA"/>
    </w:rPr>
  </w:style>
  <w:style w:type="character" w:customStyle="1" w:styleId="304">
    <w:name w:val="批注文字 Char"/>
    <w:qFormat/>
    <w:uiPriority w:val="0"/>
    <w:rPr>
      <w:rFonts w:ascii="Times New Roman" w:hAnsi="Times New Roman" w:eastAsia="宋体" w:cs="Times New Roman"/>
      <w:kern w:val="2"/>
      <w:sz w:val="21"/>
      <w:szCs w:val="24"/>
    </w:rPr>
  </w:style>
  <w:style w:type="character" w:customStyle="1" w:styleId="305">
    <w:name w:val="Section Char"/>
    <w:qFormat/>
    <w:uiPriority w:val="0"/>
    <w:rPr>
      <w:rFonts w:ascii="仿宋_GB2312" w:eastAsia="仿宋_GB2312" w:cs="MingLiU"/>
      <w:b/>
      <w:sz w:val="24"/>
      <w:szCs w:val="28"/>
      <w:lang w:val="en-US" w:eastAsia="zh-CN" w:bidi="ar-SA"/>
    </w:rPr>
  </w:style>
  <w:style w:type="character" w:customStyle="1" w:styleId="306">
    <w:name w:val="正文文本 3 Char2"/>
    <w:semiHidden/>
    <w:qFormat/>
    <w:uiPriority w:val="99"/>
    <w:rPr>
      <w:rFonts w:ascii="Calibri" w:hAnsi="Calibri" w:eastAsia="宋体" w:cs="Times New Roman"/>
      <w:sz w:val="16"/>
      <w:szCs w:val="16"/>
    </w:rPr>
  </w:style>
  <w:style w:type="character" w:customStyle="1" w:styleId="307">
    <w:name w:val="正文文本 3 字符"/>
    <w:link w:val="16"/>
    <w:qFormat/>
    <w:uiPriority w:val="0"/>
    <w:rPr>
      <w:rFonts w:eastAsia="宋体"/>
      <w:kern w:val="2"/>
      <w:sz w:val="16"/>
      <w:szCs w:val="16"/>
      <w:lang w:val="en-US" w:eastAsia="zh-CN" w:bidi="ar-SA"/>
    </w:rPr>
  </w:style>
  <w:style w:type="character" w:customStyle="1" w:styleId="308">
    <w:name w:val="普通文字 Char Char1"/>
    <w:qFormat/>
    <w:uiPriority w:val="0"/>
    <w:rPr>
      <w:rFonts w:ascii="宋体" w:hAnsi="Courier New"/>
      <w:kern w:val="2"/>
      <w:sz w:val="28"/>
      <w:szCs w:val="28"/>
    </w:rPr>
  </w:style>
  <w:style w:type="character" w:customStyle="1" w:styleId="309">
    <w:name w:val="正文文本缩进 Char"/>
    <w:qFormat/>
    <w:uiPriority w:val="0"/>
    <w:rPr>
      <w:rFonts w:ascii="黑体" w:hAnsi="宋体" w:eastAsia="黑体"/>
      <w:color w:val="000000"/>
      <w:sz w:val="28"/>
      <w:szCs w:val="32"/>
    </w:rPr>
  </w:style>
  <w:style w:type="character" w:customStyle="1" w:styleId="310">
    <w:name w:val="font161"/>
    <w:qFormat/>
    <w:uiPriority w:val="0"/>
    <w:rPr>
      <w:b/>
      <w:bCs/>
      <w:sz w:val="32"/>
      <w:szCs w:val="32"/>
    </w:rPr>
  </w:style>
  <w:style w:type="paragraph" w:customStyle="1" w:styleId="311">
    <w:name w:val="List Paragraph"/>
    <w:basedOn w:val="1"/>
    <w:qFormat/>
    <w:uiPriority w:val="99"/>
    <w:pPr>
      <w:ind w:firstLine="420" w:firstLineChars="200"/>
    </w:pPr>
    <w:rPr>
      <w:sz w:val="28"/>
      <w:szCs w:val="28"/>
    </w:rPr>
  </w:style>
  <w:style w:type="paragraph" w:customStyle="1" w:styleId="312">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313">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97</Pages>
  <Words>8995</Words>
  <Characters>9714</Characters>
  <Lines>1335</Lines>
  <Paragraphs>376</Paragraphs>
  <TotalTime>19</TotalTime>
  <ScaleCrop>false</ScaleCrop>
  <LinksUpToDate>false</LinksUpToDate>
  <CharactersWithSpaces>9987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修改者</cp:lastModifiedBy>
  <cp:lastPrinted>2020-08-27T03:13:00Z</cp:lastPrinted>
  <dcterms:modified xsi:type="dcterms:W3CDTF">2025-07-24T10:07:48Z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6649E3E599BE48DBB25414D296B0CDF7_13</vt:lpwstr>
  </property>
  <property fmtid="{D5CDD505-2E9C-101B-9397-08002B2CF9AE}" pid="4" name="KSOTemplateDocerSaveRecord">
    <vt:lpwstr>eyJoZGlkIjoiNThmNTQ4YjkxNWE5M2IwNjZjNWM0MjE5YTBjMzM3M2UiLCJ1c2VySWQiOiIxMDIwODE1NTgzIn0=</vt:lpwstr>
  </property>
</Properties>
</file>