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2C5D">
      <w:pPr>
        <w:pStyle w:val="4"/>
        <w:bidi w:val="0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bookmarkStart w:id="34" w:name="_GoBack"/>
      <w:bookmarkStart w:id="0" w:name="_Toc340225277"/>
      <w:bookmarkStart w:id="1" w:name="_Toc467058761"/>
      <w:bookmarkStart w:id="2" w:name="_Toc19494"/>
      <w:bookmarkStart w:id="3" w:name="_Toc12582"/>
      <w:r>
        <w:rPr>
          <w:rFonts w:hint="eastAsia"/>
          <w:sz w:val="36"/>
          <w:szCs w:val="36"/>
          <w:lang w:val="en-US" w:eastAsia="zh-CN"/>
        </w:rPr>
        <w:t>报价邀请</w:t>
      </w:r>
      <w:bookmarkEnd w:id="0"/>
      <w:r>
        <w:rPr>
          <w:rFonts w:hint="eastAsia"/>
          <w:sz w:val="36"/>
          <w:szCs w:val="36"/>
          <w:lang w:val="en-US" w:eastAsia="zh-CN"/>
        </w:rPr>
        <w:t>函</w:t>
      </w:r>
      <w:bookmarkEnd w:id="1"/>
      <w:bookmarkEnd w:id="2"/>
      <w:bookmarkEnd w:id="3"/>
    </w:p>
    <w:bookmarkEnd w:id="34"/>
    <w:p w14:paraId="6C7780CB">
      <w:pPr>
        <w:snapToGrid w:val="0"/>
        <w:spacing w:line="400" w:lineRule="atLeas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4" w:name="_Toc340225278"/>
      <w:bookmarkStart w:id="5" w:name="_Toc46705876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广东张大建信项目管理有限公司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（以下简称：采购代理机构）受重庆市开州区疾病预防控制中心（以下简称：采购人）的委托，对其所需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健康教育广告印刷服务采购项目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询价采购，欢迎有资格的供应商前来参与报价。</w:t>
      </w:r>
    </w:p>
    <w:bookmarkEnd w:id="4"/>
    <w:bookmarkEnd w:id="5"/>
    <w:p w14:paraId="0AE6A127">
      <w:pPr>
        <w:pStyle w:val="3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6" w:name="_Toc27466"/>
      <w:bookmarkStart w:id="7" w:name="_Toc3164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一、采购项目内容</w:t>
      </w:r>
      <w:bookmarkEnd w:id="6"/>
      <w:bookmarkEnd w:id="7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1470"/>
        <w:gridCol w:w="1570"/>
        <w:gridCol w:w="1419"/>
        <w:gridCol w:w="956"/>
      </w:tblGrid>
      <w:tr w14:paraId="1533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8DC6A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AA75B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最高限价</w:t>
            </w:r>
          </w:p>
          <w:p w14:paraId="26E48EF4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A93E0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报价保证金</w:t>
            </w:r>
          </w:p>
          <w:p w14:paraId="296BF2CC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64792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成交数量（名）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5A09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418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FAE80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bookmarkStart w:id="8" w:name="_Hlk344477914"/>
            <w:r>
              <w:rPr>
                <w:rFonts w:hint="eastAsia" w:ascii="宋体" w:hAnsi="宋体" w:cs="宋体"/>
                <w:sz w:val="24"/>
                <w:lang w:eastAsia="zh-CN"/>
              </w:rPr>
              <w:t>健康教育广告印刷服务采购项目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FCBE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370981.00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F52E7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3000.00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953E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40ED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</w:tr>
      <w:bookmarkEnd w:id="8"/>
    </w:tbl>
    <w:p w14:paraId="43401B4E">
      <w:pPr>
        <w:pStyle w:val="3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9" w:name="_Toc23303"/>
      <w:bookmarkStart w:id="10" w:name="_Toc467058763"/>
      <w:bookmarkStart w:id="11" w:name="_Toc340225279"/>
      <w:bookmarkStart w:id="12" w:name="_Toc2671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二、资金来源</w:t>
      </w:r>
      <w:bookmarkEnd w:id="9"/>
      <w:bookmarkEnd w:id="10"/>
      <w:bookmarkEnd w:id="11"/>
      <w:bookmarkEnd w:id="12"/>
    </w:p>
    <w:p w14:paraId="2C9BCD97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13" w:name="_Toc467058764"/>
      <w:bookmarkStart w:id="14" w:name="_Toc340225280"/>
      <w:r>
        <w:rPr>
          <w:rFonts w:hint="eastAsia" w:ascii="宋体" w:hAnsi="宋体" w:cs="宋体"/>
          <w:color w:val="auto"/>
          <w:sz w:val="24"/>
          <w:szCs w:val="24"/>
          <w:u w:val="none"/>
        </w:rPr>
        <w:t>财政性资金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1231B744">
      <w:pPr>
        <w:pStyle w:val="3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15" w:name="_Toc10603"/>
      <w:bookmarkStart w:id="16" w:name="_Toc2951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三、报价供应商资格要求</w:t>
      </w:r>
      <w:bookmarkEnd w:id="13"/>
      <w:bookmarkEnd w:id="14"/>
      <w:bookmarkEnd w:id="15"/>
      <w:bookmarkEnd w:id="16"/>
    </w:p>
    <w:p w14:paraId="08D4C39C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合格报价供应商应首先符合政府采购法第二十二条规定的基本条件，同时符合根据该项目特点设置的特定资格条件。</w:t>
      </w:r>
    </w:p>
    <w:p w14:paraId="4728CF78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（一）基本资格条件</w:t>
      </w:r>
    </w:p>
    <w:p w14:paraId="20AAE789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1.具有独立承担民事责任的能力；</w:t>
      </w:r>
    </w:p>
    <w:p w14:paraId="186F2E18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2.具有良好的商业信誉和健全的财务会计制度；</w:t>
      </w:r>
    </w:p>
    <w:p w14:paraId="363DF076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3.具有履行合同所必需的设备和专业技术能力；</w:t>
      </w:r>
    </w:p>
    <w:p w14:paraId="0FB1BF8B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4.有依法缴纳税收和社会保障资金的良好记录；</w:t>
      </w:r>
    </w:p>
    <w:p w14:paraId="4B96408E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5.参加政府采购活动近三年内，在经营活动中没有重大违法记录。</w:t>
      </w:r>
    </w:p>
    <w:p w14:paraId="48BC447A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6.法律、行政法规规定的其他条件。</w:t>
      </w:r>
    </w:p>
    <w:p w14:paraId="25084BB0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17" w:name="_Toc28233"/>
      <w:bookmarkStart w:id="18" w:name="_Toc340225281"/>
      <w:bookmarkStart w:id="19" w:name="_Toc467058765"/>
      <w:bookmarkStart w:id="20" w:name="_Toc983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（二）特定资格条件</w:t>
      </w:r>
    </w:p>
    <w:p w14:paraId="426AD176">
      <w:pPr>
        <w:pStyle w:val="2"/>
        <w:ind w:firstLine="48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报价供应商具备广告设计、制作，图文设计制作相关资格。</w:t>
      </w:r>
    </w:p>
    <w:p w14:paraId="7307BED2">
      <w:pPr>
        <w:pStyle w:val="3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四、报价、开标有关说明</w:t>
      </w:r>
      <w:bookmarkEnd w:id="17"/>
      <w:bookmarkEnd w:id="18"/>
      <w:bookmarkEnd w:id="19"/>
      <w:bookmarkEnd w:id="20"/>
    </w:p>
    <w:p w14:paraId="3F6B3400">
      <w:pPr>
        <w:widowControl/>
        <w:spacing w:line="360" w:lineRule="exact"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21" w:name="_Toc340225282"/>
      <w:bookmarkStart w:id="22" w:name="_Toc340225283"/>
      <w:bookmarkStart w:id="23" w:name="_Toc467058767"/>
      <w:bookmarkStart w:id="24" w:name="_Toc32098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1.询价文件的获取及时间：凡有意参加询价的供应商，请于公告发布之日起自行在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广东张大项目管理有限公司开州区分公司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办公室报名并获取开标前公布的所有项目资料,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报名时需携带单位营业执照复印件加盖鲜章、法定代表人身份证明复印件盖鲜章、授权委托书原件、委托人身份证原件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1CCE0900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2.文件购买费：人民币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00元/份（售后不退）</w:t>
      </w:r>
    </w:p>
    <w:p w14:paraId="11726156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3.报名时间：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26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日9：00至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28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0。</w:t>
      </w:r>
    </w:p>
    <w:p w14:paraId="33E43B1D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.响应文件现场递交时间：</w:t>
      </w:r>
      <w:bookmarkStart w:id="25" w:name="OLE_LINK4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北京时间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:</w:t>
      </w:r>
      <w:bookmarkEnd w:id="2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0～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0（以北京时间为准，逾期不予受理）。</w:t>
      </w:r>
    </w:p>
    <w:p w14:paraId="490968E8">
      <w:pPr>
        <w:pStyle w:val="9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.开标时间：北京时间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0。</w:t>
      </w:r>
    </w:p>
    <w:p w14:paraId="3F9FBD23">
      <w:pPr>
        <w:pStyle w:val="9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广东张大项目管理有限公司开州区分公司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会议室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（重庆市开州区百成街南一路32号）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  <w:bookmarkEnd w:id="21"/>
      <w:bookmarkStart w:id="26" w:name="_Toc467058766"/>
    </w:p>
    <w:p w14:paraId="6AAA9C34">
      <w:pPr>
        <w:snapToGrid w:val="0"/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.供应商须满足以下要件，其响应文件才被接受：</w:t>
      </w:r>
    </w:p>
    <w:p w14:paraId="1752B646">
      <w:pPr>
        <w:snapToGrid w:val="0"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bookmarkStart w:id="27" w:name="_Toc870"/>
      <w:bookmarkStart w:id="28" w:name="_Toc11495"/>
      <w:r>
        <w:rPr>
          <w:rFonts w:hint="eastAsia" w:ascii="宋体" w:hAnsi="宋体" w:cs="宋体"/>
          <w:color w:val="auto"/>
          <w:sz w:val="24"/>
          <w:szCs w:val="24"/>
        </w:rPr>
        <w:t>（1）在规定时间内报名。</w:t>
      </w:r>
    </w:p>
    <w:p w14:paraId="197CA38A">
      <w:pPr>
        <w:pStyle w:val="2"/>
        <w:ind w:firstLine="480" w:firstLineChars="200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本项目采取线下的方式进行投标报价，投标供应商须在规定时间内现场纸质响应文件的提交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68B51763">
      <w:pPr>
        <w:pStyle w:val="3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五、报价保证金</w:t>
      </w:r>
      <w:bookmarkEnd w:id="26"/>
      <w:bookmarkEnd w:id="27"/>
      <w:bookmarkEnd w:id="28"/>
    </w:p>
    <w:p w14:paraId="17084D52">
      <w:pPr>
        <w:widowControl/>
        <w:snapToGrid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保证金的金额：本项目报价保证金：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3000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元（人民币大写：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叁仟元整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 w14:paraId="5AB3C498">
      <w:pPr>
        <w:widowControl/>
        <w:snapToGrid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保证金缴纳的方式：报价供应商请在报价开始前现场缴纳给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广东张大建信项目管理有限公司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5F7C4E3A">
      <w:pPr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保证金的退还：开标结束后三个工作日退还未成交供应商的保证金，成交供应商在公示期结束并签订合同后退还投标保证金，公示期结束若未在约定时间内签订合同投标保证金不予退还。</w:t>
      </w:r>
    </w:p>
    <w:p w14:paraId="3CD0580D">
      <w:pPr>
        <w:pStyle w:val="3"/>
        <w:spacing w:line="240" w:lineRule="auto"/>
        <w:ind w:firstLine="482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29" w:name="_Toc9826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六、报价有关规定</w:t>
      </w:r>
      <w:bookmarkEnd w:id="22"/>
      <w:bookmarkEnd w:id="23"/>
      <w:bookmarkEnd w:id="24"/>
      <w:bookmarkEnd w:id="29"/>
    </w:p>
    <w:p w14:paraId="59F1C1ED">
      <w:pPr>
        <w:snapToGrid w:val="0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30" w:name="_Toc340225284"/>
      <w:bookmarkStart w:id="31" w:name="_Toc467058768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1.单位负责人为同一人或者存在直接控股、管理关系的不同供应商，不得参加同一合同项（分包）下的政府采购活动。</w:t>
      </w:r>
    </w:p>
    <w:p w14:paraId="15AD1C80">
      <w:pPr>
        <w:snapToGrid w:val="0"/>
        <w:ind w:firstLine="480" w:firstLineChars="200"/>
        <w:rPr>
          <w:rFonts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2.为采购项目提供整体设计、规范编制或者项目管理、检测等服务的供应商，不得再参加该采购项目的其他采购活动。          </w:t>
      </w:r>
    </w:p>
    <w:p w14:paraId="732926CF">
      <w:pPr>
        <w:snapToGrid w:val="0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本项目若有补遗文件，一律在</w:t>
      </w:r>
      <w:r>
        <w:rPr>
          <w:rFonts w:hint="eastAsia" w:ascii="宋体" w:hAnsi="宋体" w:cs="宋体"/>
          <w:sz w:val="24"/>
          <w:szCs w:val="24"/>
        </w:rPr>
        <w:t>“行采家”平台（http://www.gec123.com）</w:t>
      </w:r>
      <w:r>
        <w:rPr>
          <w:rFonts w:hint="eastAsia" w:ascii="宋体" w:hAnsi="宋体"/>
          <w:sz w:val="24"/>
          <w:szCs w:val="24"/>
        </w:rPr>
        <w:t>上发布，请各报价供应商注意下载；无论下载与否，均视为已知晓本项目补遗文件的内容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81F7163"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4.有下列情形之一的，代理公司拒绝接收其报价文件。</w:t>
      </w:r>
    </w:p>
    <w:p w14:paraId="21DD7536">
      <w:pPr>
        <w:widowControl/>
        <w:ind w:left="602" w:leftChars="215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①超过报名及报价文件、相关原件递交截止时间递交的。</w:t>
      </w:r>
    </w:p>
    <w:p w14:paraId="223EF3C3">
      <w:pPr>
        <w:widowControl/>
        <w:ind w:left="602" w:leftChars="215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②未按规定要求提供相关原件的。</w:t>
      </w:r>
    </w:p>
    <w:p w14:paraId="0DF556F6">
      <w:pPr>
        <w:widowControl/>
        <w:ind w:left="602" w:leftChars="215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③未按规定缴纳保证金或工本费的。</w:t>
      </w:r>
    </w:p>
    <w:p w14:paraId="1798C1E7">
      <w:pPr>
        <w:widowControl/>
        <w:ind w:left="602" w:leftChars="215"/>
        <w:jc w:val="left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④报价文件未按采购文件规定要求密封的。</w:t>
      </w:r>
    </w:p>
    <w:p w14:paraId="5BBF3EF9">
      <w:pPr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5.本项目不接受联合体投标，不允许转包、违法分包。</w:t>
      </w:r>
    </w:p>
    <w:p w14:paraId="0241E7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2" w:firstLineChars="200"/>
        <w:textAlignment w:val="auto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bookmarkStart w:id="32" w:name="_Toc17130"/>
      <w:bookmarkStart w:id="33" w:name="_Toc1648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七、联系方式</w:t>
      </w:r>
      <w:bookmarkEnd w:id="30"/>
      <w:bookmarkEnd w:id="31"/>
      <w:bookmarkEnd w:id="32"/>
      <w:bookmarkEnd w:id="33"/>
    </w:p>
    <w:p w14:paraId="1B73421F">
      <w:pPr>
        <w:ind w:firstLine="480" w:firstLineChars="2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（一）采购人：重庆市开州区疾病预防控制中心</w:t>
      </w:r>
    </w:p>
    <w:p w14:paraId="491095BB">
      <w:pPr>
        <w:ind w:firstLine="1200" w:firstLineChars="5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  址：重庆市开州区文峰街道开州大道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972号</w:t>
      </w:r>
    </w:p>
    <w:p w14:paraId="31EE5695">
      <w:pPr>
        <w:ind w:firstLine="1200" w:firstLineChars="500"/>
        <w:rPr>
          <w:rFonts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：丁老师</w:t>
      </w:r>
    </w:p>
    <w:p w14:paraId="59EB3E21">
      <w:pPr>
        <w:snapToGrid w:val="0"/>
        <w:ind w:firstLine="1200" w:firstLineChars="5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联系电话：023-52227358</w:t>
      </w:r>
    </w:p>
    <w:p w14:paraId="06696B54">
      <w:pPr>
        <w:snapToGrid w:val="0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（二）采购代理机构：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广东张大建信项目管理有限公司</w:t>
      </w:r>
    </w:p>
    <w:p w14:paraId="43E65CA7">
      <w:pPr>
        <w:snapToGrid w:val="0"/>
        <w:ind w:firstLine="1200" w:firstLineChars="5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  址：重庆市开州区云枫街道关子社区巴渠街387号</w:t>
      </w:r>
    </w:p>
    <w:p w14:paraId="74DCC8B2">
      <w:pPr>
        <w:snapToGrid w:val="0"/>
        <w:spacing w:line="360" w:lineRule="exact"/>
        <w:ind w:firstLine="1200" w:firstLineChars="5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联系人：刘老师</w:t>
      </w:r>
    </w:p>
    <w:p w14:paraId="0ADE73BA">
      <w:pPr>
        <w:snapToGrid w:val="0"/>
        <w:spacing w:line="360" w:lineRule="exact"/>
        <w:ind w:firstLine="1200" w:firstLineChars="500"/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  话：19012165653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6499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4CF3C"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AWM8gBAACZ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99S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pgFj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84CF3C">
                    <w:pPr>
                      <w:pStyle w:val="5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7098"/>
    <w:rsid w:val="09B23C11"/>
    <w:rsid w:val="1D76522A"/>
    <w:rsid w:val="20793F96"/>
    <w:rsid w:val="248A7098"/>
    <w:rsid w:val="304B42F4"/>
    <w:rsid w:val="393234F6"/>
    <w:rsid w:val="39912B88"/>
    <w:rsid w:val="399E5818"/>
    <w:rsid w:val="495D77D3"/>
    <w:rsid w:val="4B3D6AD7"/>
    <w:rsid w:val="533A5BFF"/>
    <w:rsid w:val="59E074F3"/>
    <w:rsid w:val="5BF01D90"/>
    <w:rsid w:val="5D415FB3"/>
    <w:rsid w:val="69474951"/>
    <w:rsid w:val="715E242A"/>
    <w:rsid w:val="795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1341</Words>
  <Characters>1460</Characters>
  <Lines>0</Lines>
  <Paragraphs>0</Paragraphs>
  <TotalTime>5</TotalTime>
  <ScaleCrop>false</ScaleCrop>
  <LinksUpToDate>false</LinksUpToDate>
  <CharactersWithSpaces>1500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2025-11-25T02:18:00Z</dcterms:created>
  <dc:creator>怡怡</dc:creator>
  <cp:lastModifiedBy>怡怡</cp:lastModifiedBy>
  <dcterms:modified xsi:type="dcterms:W3CDTF">2025-11-25T02:32:21Z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4F5B36280C1B427CBED36A72C248B88B_11</vt:lpwstr>
  </property>
  <property fmtid="{D5CDD505-2E9C-101B-9397-08002B2CF9AE}" pid="4" name="KSOTemplateDocerSaveRecord">
    <vt:lpwstr>eyJoZGlkIjoiYzVkZDMzZjVjNmYxZDMxMTkxYTBmODA1NTkyNGFlMGUiLCJ1c2VySWQiOiI1NDMwMjQwODgifQ==</vt:lpwstr>
  </property>
</Properties>
</file>