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600" w:lineRule="exact"/>
        <w:outlineLvl w:val="0"/>
        <w:rPr>
          <w:rFonts w:ascii="仿宋" w:hAnsi="仿宋" w:eastAsia="仿宋"/>
          <w:b/>
          <w:sz w:val="100"/>
        </w:rPr>
      </w:pPr>
      <w:r>
        <w:rPr>
          <w:rFonts w:hint="eastAsia" w:ascii="仿宋" w:hAnsi="仿宋" w:eastAsia="仿宋"/>
          <w:b/>
          <w:sz w:val="100"/>
        </w:rPr>
        <w:t xml:space="preserve"> </w:t>
      </w:r>
    </w:p>
    <w:p>
      <w:pPr>
        <w:pStyle w:val="15"/>
      </w:pPr>
    </w:p>
    <w:p>
      <w:pPr>
        <w:spacing w:line="1600" w:lineRule="exact"/>
        <w:jc w:val="center"/>
        <w:outlineLvl w:val="0"/>
        <w:rPr>
          <w:rFonts w:ascii="仿宋" w:hAnsi="仿宋" w:eastAsia="仿宋"/>
          <w:sz w:val="120"/>
          <w:szCs w:val="120"/>
        </w:rPr>
      </w:pPr>
      <w:bookmarkStart w:id="0" w:name="OLE_LINK1"/>
      <w:r>
        <w:rPr>
          <w:rFonts w:hint="eastAsia" w:ascii="仿宋" w:hAnsi="仿宋" w:eastAsia="仿宋"/>
          <w:b/>
          <w:sz w:val="120"/>
          <w:szCs w:val="120"/>
        </w:rPr>
        <w:t>网上竞采文件</w:t>
      </w:r>
    </w:p>
    <w:bookmarkEnd w:id="0"/>
    <w:p>
      <w:pPr>
        <w:pStyle w:val="24"/>
        <w:spacing w:line="500" w:lineRule="exact"/>
        <w:ind w:left="0"/>
        <w:jc w:val="center"/>
        <w:rPr>
          <w:rFonts w:ascii="仿宋" w:hAnsi="仿宋" w:eastAsia="仿宋"/>
          <w:sz w:val="32"/>
        </w:rPr>
      </w:pPr>
    </w:p>
    <w:p>
      <w:pPr>
        <w:pStyle w:val="24"/>
        <w:spacing w:line="500" w:lineRule="exact"/>
        <w:ind w:left="0"/>
        <w:jc w:val="center"/>
        <w:rPr>
          <w:rFonts w:ascii="仿宋" w:hAnsi="仿宋" w:eastAsia="仿宋"/>
          <w:b/>
          <w:bCs/>
          <w:sz w:val="32"/>
        </w:rPr>
      </w:pPr>
    </w:p>
    <w:p>
      <w:pPr>
        <w:pStyle w:val="24"/>
        <w:spacing w:line="500" w:lineRule="exact"/>
        <w:ind w:left="0"/>
        <w:rPr>
          <w:rFonts w:ascii="仿宋" w:hAnsi="仿宋" w:eastAsia="仿宋"/>
          <w:sz w:val="32"/>
        </w:rPr>
      </w:pPr>
    </w:p>
    <w:p>
      <w:pPr>
        <w:pStyle w:val="24"/>
        <w:spacing w:line="500" w:lineRule="exact"/>
        <w:ind w:left="0"/>
        <w:rPr>
          <w:rFonts w:ascii="仿宋" w:hAnsi="仿宋" w:eastAsia="仿宋"/>
          <w:sz w:val="32"/>
        </w:rPr>
      </w:pPr>
    </w:p>
    <w:p>
      <w:pPr>
        <w:pStyle w:val="24"/>
        <w:spacing w:line="500" w:lineRule="exact"/>
        <w:ind w:left="0"/>
        <w:rPr>
          <w:rFonts w:ascii="仿宋" w:hAnsi="仿宋" w:eastAsia="仿宋"/>
          <w:sz w:val="32"/>
        </w:rPr>
      </w:pPr>
    </w:p>
    <w:p>
      <w:pPr>
        <w:pStyle w:val="24"/>
        <w:spacing w:line="500" w:lineRule="exact"/>
        <w:ind w:left="0"/>
        <w:rPr>
          <w:rFonts w:ascii="仿宋" w:hAnsi="仿宋" w:eastAsia="仿宋"/>
          <w:sz w:val="32"/>
        </w:rPr>
      </w:pPr>
    </w:p>
    <w:p>
      <w:pPr>
        <w:pStyle w:val="24"/>
        <w:spacing w:line="500" w:lineRule="exact"/>
        <w:ind w:left="0"/>
        <w:jc w:val="center"/>
        <w:rPr>
          <w:rFonts w:ascii="仿宋" w:hAnsi="仿宋" w:eastAsia="仿宋"/>
          <w:sz w:val="32"/>
        </w:rPr>
      </w:pPr>
    </w:p>
    <w:p>
      <w:pPr>
        <w:spacing w:line="500" w:lineRule="exact"/>
        <w:ind w:left="543" w:leftChars="194" w:firstLine="960" w:firstLineChars="300"/>
        <w:outlineLvl w:val="0"/>
        <w:rPr>
          <w:rFonts w:hint="default" w:ascii="仿宋" w:hAnsi="仿宋" w:eastAsia="仿宋"/>
          <w:sz w:val="32"/>
          <w:lang w:val="en-US"/>
        </w:rPr>
      </w:pPr>
      <w:r>
        <w:rPr>
          <w:rFonts w:hint="eastAsia" w:ascii="方正黑体_GBK" w:hAnsi="方正黑体_GBK" w:eastAsia="方正黑体_GBK" w:cs="方正黑体_GBK"/>
          <w:sz w:val="32"/>
        </w:rPr>
        <w:t>项目名称：</w:t>
      </w:r>
      <w:r>
        <w:rPr>
          <w:rFonts w:hint="eastAsia" w:ascii="仿宋" w:hAnsi="仿宋" w:eastAsia="仿宋"/>
          <w:sz w:val="32"/>
          <w:lang w:val="en-US" w:eastAsia="zh-CN"/>
        </w:rPr>
        <w:t>煎药机</w:t>
      </w:r>
    </w:p>
    <w:p>
      <w:pPr>
        <w:pStyle w:val="24"/>
        <w:spacing w:line="500" w:lineRule="exact"/>
        <w:ind w:left="0"/>
        <w:jc w:val="center"/>
        <w:rPr>
          <w:rFonts w:ascii="仿宋" w:hAnsi="仿宋" w:eastAsia="仿宋"/>
          <w:sz w:val="32"/>
        </w:rPr>
      </w:pPr>
    </w:p>
    <w:p/>
    <w:p/>
    <w:p>
      <w:pPr>
        <w:pStyle w:val="15"/>
      </w:pPr>
    </w:p>
    <w:p>
      <w:pPr>
        <w:pStyle w:val="22"/>
      </w:pPr>
    </w:p>
    <w:p>
      <w:pPr>
        <w:pStyle w:val="73"/>
        <w:rPr>
          <w:color w:val="auto"/>
        </w:rPr>
      </w:pPr>
    </w:p>
    <w:p>
      <w:pPr>
        <w:spacing w:line="500" w:lineRule="exact"/>
        <w:ind w:firstLine="1500" w:firstLineChars="500"/>
        <w:outlineLvl w:val="0"/>
        <w:rPr>
          <w:rFonts w:hint="eastAsia" w:ascii="仿宋" w:hAnsi="仿宋" w:eastAsia="仿宋"/>
          <w:sz w:val="32"/>
          <w:lang w:eastAsia="zh-CN"/>
        </w:rPr>
      </w:pPr>
      <w:r>
        <w:rPr>
          <w:rFonts w:hint="eastAsia" w:ascii="方正黑体_GBK" w:hAnsi="方正黑体_GBK" w:eastAsia="方正黑体_GBK" w:cs="方正黑体_GBK"/>
          <w:sz w:val="30"/>
          <w:szCs w:val="30"/>
        </w:rPr>
        <w:t>采购人：</w:t>
      </w:r>
      <w:r>
        <w:rPr>
          <w:rFonts w:hint="eastAsia" w:ascii="仿宋" w:hAnsi="仿宋" w:eastAsia="仿宋"/>
          <w:sz w:val="32"/>
          <w:lang w:val="en-US" w:eastAsia="zh-CN"/>
        </w:rPr>
        <w:t>沙坪坝区土主社区卫生服务中心</w:t>
      </w:r>
    </w:p>
    <w:p>
      <w:pPr>
        <w:pStyle w:val="3"/>
      </w:pPr>
    </w:p>
    <w:p>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六</w:t>
      </w:r>
      <w:r>
        <w:rPr>
          <w:rFonts w:hint="eastAsia" w:ascii="仿宋" w:hAnsi="仿宋" w:eastAsia="仿宋"/>
          <w:sz w:val="32"/>
          <w:szCs w:val="32"/>
        </w:rPr>
        <w:t>月</w:t>
      </w:r>
    </w:p>
    <w:p>
      <w:pPr>
        <w:spacing w:line="480" w:lineRule="exact"/>
        <w:jc w:val="center"/>
        <w:outlineLvl w:val="0"/>
        <w:rPr>
          <w:rFonts w:ascii="仿宋" w:hAnsi="仿宋" w:eastAsia="仿宋"/>
          <w:sz w:val="44"/>
          <w:szCs w:val="28"/>
        </w:rPr>
      </w:pPr>
    </w:p>
    <w:p>
      <w:pPr>
        <w:pStyle w:val="15"/>
        <w:ind w:left="0" w:leftChars="0" w:firstLine="0" w:firstLineChars="0"/>
      </w:pPr>
    </w:p>
    <w:p>
      <w:pPr>
        <w:pStyle w:val="15"/>
        <w:ind w:left="0" w:leftChars="0" w:firstLine="0" w:firstLineChars="0"/>
      </w:pPr>
    </w:p>
    <w:p>
      <w:pPr>
        <w:pStyle w:val="15"/>
        <w:ind w:left="0" w:leftChars="0" w:firstLine="0" w:firstLineChars="0"/>
      </w:pPr>
    </w:p>
    <w:p>
      <w:pPr>
        <w:pStyle w:val="15"/>
        <w:ind w:left="0" w:leftChars="0" w:firstLine="0" w:firstLineChars="0"/>
      </w:pPr>
    </w:p>
    <w:p>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pPr>
        <w:pStyle w:val="47"/>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w:t>
      </w:r>
      <w:r>
        <w:rPr>
          <w:rFonts w:hint="eastAsia" w:ascii="仿宋" w:hAnsi="仿宋" w:eastAsia="仿宋"/>
          <w:szCs w:val="24"/>
          <w:lang w:eastAsia="zh-CN"/>
        </w:rPr>
        <w:t>.</w:t>
      </w:r>
      <w:r>
        <w:rPr>
          <w:rFonts w:hint="eastAsia" w:ascii="仿宋" w:hAnsi="仿宋" w:eastAsia="仿宋"/>
          <w:szCs w:val="24"/>
        </w:rPr>
        <w:t>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w:t>
      </w:r>
      <w:r>
        <w:rPr>
          <w:rFonts w:hint="eastAsia" w:ascii="仿宋" w:hAnsi="仿宋" w:eastAsia="仿宋"/>
          <w:szCs w:val="24"/>
          <w:lang w:eastAsia="zh-CN"/>
        </w:rPr>
        <w:t>.其他</w:t>
      </w:r>
      <w:r>
        <w:rPr>
          <w:rFonts w:hint="eastAsia" w:ascii="仿宋" w:hAnsi="仿宋" w:eastAsia="仿宋"/>
          <w:szCs w:val="24"/>
        </w:rPr>
        <w:t>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w:t>
      </w:r>
      <w:r>
        <w:rPr>
          <w:rFonts w:hint="eastAsia" w:ascii="仿宋" w:hAnsi="仿宋" w:eastAsia="仿宋"/>
          <w:szCs w:val="24"/>
          <w:lang w:eastAsia="zh-CN"/>
        </w:rPr>
        <w:t>.</w:t>
      </w:r>
      <w:r>
        <w:rPr>
          <w:rFonts w:hint="eastAsia" w:ascii="仿宋" w:hAnsi="仿宋" w:eastAsia="仿宋"/>
          <w:szCs w:val="24"/>
        </w:rPr>
        <w:t>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交货</w:t>
      </w:r>
      <w:r>
        <w:rPr>
          <w:rFonts w:hint="eastAsia" w:ascii="仿宋" w:hAnsi="仿宋" w:eastAsia="仿宋"/>
          <w:szCs w:val="24"/>
        </w:rPr>
        <w:t>时间</w:t>
      </w:r>
      <w:r>
        <w:rPr>
          <w:rFonts w:hint="eastAsia" w:ascii="仿宋" w:hAnsi="仿宋" w:eastAsia="仿宋"/>
          <w:szCs w:val="24"/>
          <w:lang w:eastAsia="zh-CN"/>
        </w:rPr>
        <w:t>.</w:t>
      </w:r>
      <w:r>
        <w:rPr>
          <w:rFonts w:hint="eastAsia" w:ascii="仿宋" w:hAnsi="仿宋" w:eastAsia="仿宋"/>
          <w:szCs w:val="24"/>
        </w:rPr>
        <w:t>地点</w:t>
      </w:r>
      <w:r>
        <w:rPr>
          <w:rFonts w:hint="eastAsia" w:ascii="仿宋" w:hAnsi="仿宋" w:eastAsia="仿宋"/>
          <w:szCs w:val="24"/>
          <w:lang w:eastAsia="zh-CN"/>
        </w:rPr>
        <w:t>.</w:t>
      </w:r>
      <w:r>
        <w:rPr>
          <w:rFonts w:hint="eastAsia" w:ascii="仿宋" w:hAnsi="仿宋" w:eastAsia="仿宋"/>
          <w:szCs w:val="24"/>
        </w:rPr>
        <w:t>验收方式及报价方式</w:t>
      </w:r>
      <w:r>
        <w:tab/>
      </w:r>
      <w:r>
        <w:fldChar w:fldCharType="begin"/>
      </w:r>
      <w:r>
        <w:instrText xml:space="preserve"> PAGEREF _Toc7640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付款方式</w:t>
      </w:r>
      <w:r>
        <w:tab/>
      </w:r>
      <w:r>
        <w:fldChar w:fldCharType="begin"/>
      </w:r>
      <w:r>
        <w:instrText xml:space="preserve"> PAGEREF _Toc30148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w:t>
      </w:r>
      <w:r>
        <w:rPr>
          <w:rFonts w:hint="eastAsia" w:ascii="仿宋" w:hAnsi="仿宋" w:eastAsia="仿宋" w:cs="Times New Roman"/>
          <w:szCs w:val="24"/>
          <w:lang w:eastAsia="zh-CN"/>
        </w:rPr>
        <w:t>.</w:t>
      </w:r>
      <w:r>
        <w:rPr>
          <w:rFonts w:hint="eastAsia" w:ascii="仿宋" w:hAnsi="仿宋" w:eastAsia="仿宋" w:cs="Times New Roman"/>
          <w:szCs w:val="24"/>
        </w:rPr>
        <w:t>知识产权</w:t>
      </w:r>
      <w:r>
        <w:tab/>
      </w:r>
      <w:r>
        <w:fldChar w:fldCharType="begin"/>
      </w:r>
      <w:r>
        <w:instrText xml:space="preserve"> PAGEREF _Toc549 \h </w:instrText>
      </w:r>
      <w:r>
        <w:fldChar w:fldCharType="separate"/>
      </w:r>
      <w:r>
        <w:t>- 5 -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其他</w:t>
      </w:r>
      <w:r>
        <w:tab/>
      </w:r>
      <w:r>
        <w:fldChar w:fldCharType="begin"/>
      </w:r>
      <w:r>
        <w:instrText xml:space="preserve"> PAGEREF _Toc390 \h </w:instrText>
      </w:r>
      <w:r>
        <w:fldChar w:fldCharType="separate"/>
      </w:r>
      <w:r>
        <w:t>- 6 -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- 7 -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- 7 -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w:t>
      </w:r>
      <w:r>
        <w:rPr>
          <w:rFonts w:hint="eastAsia" w:ascii="仿宋" w:hAnsi="仿宋" w:eastAsia="仿宋" w:cs="Times New Roman"/>
          <w:szCs w:val="24"/>
          <w:lang w:eastAsia="zh-CN"/>
        </w:rPr>
        <w:t>.</w:t>
      </w:r>
      <w:r>
        <w:rPr>
          <w:rFonts w:hint="eastAsia" w:ascii="仿宋" w:hAnsi="仿宋" w:eastAsia="仿宋" w:cs="Times New Roman"/>
          <w:szCs w:val="24"/>
        </w:rPr>
        <w:t>响应无效</w:t>
      </w:r>
      <w:r>
        <w:tab/>
      </w:r>
      <w:r>
        <w:fldChar w:fldCharType="begin"/>
      </w:r>
      <w:r>
        <w:instrText xml:space="preserve"> PAGEREF _Toc8893 \h </w:instrText>
      </w:r>
      <w:r>
        <w:fldChar w:fldCharType="separate"/>
      </w:r>
      <w:r>
        <w:t>- 8 -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采购终止</w:t>
      </w:r>
      <w:r>
        <w:tab/>
      </w:r>
      <w:r>
        <w:fldChar w:fldCharType="begin"/>
      </w:r>
      <w:r>
        <w:instrText xml:space="preserve"> PAGEREF _Toc24810 \h </w:instrText>
      </w:r>
      <w:r>
        <w:fldChar w:fldCharType="separate"/>
      </w:r>
      <w:r>
        <w:t>- 9 -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eastAsia="zh-CN"/>
        </w:rPr>
        <w:t>.</w:t>
      </w:r>
      <w:r>
        <w:rPr>
          <w:rFonts w:hint="eastAsia" w:ascii="仿宋" w:hAnsi="仿宋" w:eastAsia="仿宋"/>
          <w:szCs w:val="24"/>
        </w:rPr>
        <w:t>网上竞采费用</w:t>
      </w:r>
      <w:r>
        <w:tab/>
      </w:r>
      <w:r>
        <w:fldChar w:fldCharType="begin"/>
      </w:r>
      <w:r>
        <w:instrText xml:space="preserve"> PAGEREF _Toc22156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w:t>
      </w:r>
      <w:r>
        <w:rPr>
          <w:rFonts w:hint="eastAsia" w:ascii="仿宋" w:hAnsi="仿宋" w:eastAsia="仿宋"/>
          <w:szCs w:val="24"/>
          <w:lang w:eastAsia="zh-CN"/>
        </w:rPr>
        <w:t>.</w:t>
      </w:r>
      <w:r>
        <w:rPr>
          <w:rFonts w:hint="eastAsia" w:ascii="仿宋" w:hAnsi="仿宋" w:eastAsia="仿宋"/>
          <w:szCs w:val="24"/>
        </w:rPr>
        <w:t>网上竞采文件</w:t>
      </w:r>
      <w:r>
        <w:tab/>
      </w:r>
      <w:r>
        <w:fldChar w:fldCharType="begin"/>
      </w:r>
      <w:r>
        <w:instrText xml:space="preserve"> PAGEREF _Toc23428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w:t>
      </w:r>
      <w:r>
        <w:rPr>
          <w:rFonts w:hint="eastAsia" w:ascii="仿宋" w:hAnsi="仿宋" w:eastAsia="仿宋"/>
          <w:szCs w:val="24"/>
          <w:lang w:eastAsia="zh-CN"/>
        </w:rPr>
        <w:t>.</w:t>
      </w:r>
      <w:r>
        <w:rPr>
          <w:rFonts w:hint="eastAsia" w:ascii="仿宋" w:hAnsi="仿宋" w:eastAsia="仿宋"/>
          <w:szCs w:val="24"/>
        </w:rPr>
        <w:t>网上竞采要求</w:t>
      </w:r>
      <w:r>
        <w:tab/>
      </w:r>
      <w:r>
        <w:fldChar w:fldCharType="begin"/>
      </w:r>
      <w:r>
        <w:instrText xml:space="preserve"> PAGEREF _Toc1734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w:t>
      </w:r>
      <w:r>
        <w:rPr>
          <w:rFonts w:hint="eastAsia" w:ascii="仿宋" w:hAnsi="仿宋" w:eastAsia="仿宋"/>
          <w:szCs w:val="24"/>
          <w:lang w:eastAsia="zh-CN"/>
        </w:rPr>
        <w:t>.</w:t>
      </w:r>
      <w:r>
        <w:rPr>
          <w:rFonts w:hint="eastAsia" w:ascii="仿宋" w:hAnsi="仿宋" w:eastAsia="仿宋"/>
          <w:szCs w:val="24"/>
        </w:rPr>
        <w:t>成交供应商的确认和变更</w:t>
      </w:r>
      <w:r>
        <w:tab/>
      </w:r>
      <w:r>
        <w:fldChar w:fldCharType="begin"/>
      </w:r>
      <w:r>
        <w:instrText xml:space="preserve"> PAGEREF _Toc25011 \h </w:instrText>
      </w:r>
      <w:r>
        <w:fldChar w:fldCharType="separate"/>
      </w:r>
      <w:r>
        <w:t>- 10 -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w:t>
      </w:r>
      <w:r>
        <w:rPr>
          <w:rFonts w:hint="eastAsia" w:ascii="仿宋" w:hAnsi="仿宋" w:eastAsia="仿宋"/>
          <w:szCs w:val="24"/>
          <w:lang w:eastAsia="zh-CN"/>
        </w:rPr>
        <w:t>.</w:t>
      </w:r>
      <w:r>
        <w:rPr>
          <w:rFonts w:hint="eastAsia" w:ascii="仿宋" w:hAnsi="仿宋" w:eastAsia="仿宋"/>
          <w:szCs w:val="24"/>
        </w:rPr>
        <w:t>成交通知</w:t>
      </w:r>
      <w:r>
        <w:tab/>
      </w:r>
      <w:r>
        <w:fldChar w:fldCharType="begin"/>
      </w:r>
      <w:r>
        <w:instrText xml:space="preserve"> PAGEREF _Toc22845 \h </w:instrText>
      </w:r>
      <w:r>
        <w:fldChar w:fldCharType="separate"/>
      </w:r>
      <w:r>
        <w:t>- 11 -</w:t>
      </w:r>
      <w:r>
        <w:fldChar w:fldCharType="end"/>
      </w:r>
      <w:r>
        <w:rPr>
          <w:rFonts w:hint="eastAsia" w:ascii="仿宋" w:hAnsi="仿宋" w:eastAsia="仿宋"/>
          <w:szCs w:val="24"/>
        </w:rPr>
        <w:fldChar w:fldCharType="end"/>
      </w:r>
    </w:p>
    <w:p>
      <w:pPr>
        <w:pStyle w:val="31"/>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六</w:t>
      </w:r>
      <w:r>
        <w:rPr>
          <w:rFonts w:hint="eastAsia" w:ascii="仿宋" w:hAnsi="仿宋" w:eastAsia="仿宋"/>
          <w:szCs w:val="24"/>
          <w:lang w:eastAsia="zh-CN"/>
        </w:rPr>
        <w:t>.</w:t>
      </w:r>
      <w:r>
        <w:rPr>
          <w:rFonts w:hint="eastAsia" w:ascii="仿宋" w:hAnsi="仿宋" w:eastAsia="仿宋"/>
          <w:szCs w:val="24"/>
        </w:rPr>
        <w:t>签订合同</w:t>
      </w:r>
      <w:r>
        <w:tab/>
      </w:r>
      <w:r>
        <w:fldChar w:fldCharType="begin"/>
      </w:r>
      <w:r>
        <w:instrText xml:space="preserve"> PAGEREF _Toc15806 \h </w:instrText>
      </w:r>
      <w:r>
        <w:fldChar w:fldCharType="separate"/>
      </w:r>
      <w:r>
        <w:t>- 11 -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- 11 -</w:t>
      </w:r>
      <w:r>
        <w:fldChar w:fldCharType="end"/>
      </w:r>
      <w:r>
        <w:rPr>
          <w:rFonts w:hint="eastAsia" w:ascii="仿宋" w:hAnsi="仿宋" w:eastAsia="仿宋"/>
          <w:szCs w:val="24"/>
        </w:rPr>
        <w:fldChar w:fldCharType="end"/>
      </w:r>
    </w:p>
    <w:p>
      <w:pPr>
        <w:pStyle w:val="47"/>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- 16 -</w:t>
      </w:r>
      <w:r>
        <w:fldChar w:fldCharType="end"/>
      </w:r>
      <w:r>
        <w:rPr>
          <w:rFonts w:hint="eastAsia" w:ascii="仿宋" w:hAnsi="仿宋" w:eastAsia="仿宋"/>
          <w:szCs w:val="24"/>
        </w:rPr>
        <w:fldChar w:fldCharType="end"/>
      </w:r>
    </w:p>
    <w:p>
      <w:pPr>
        <w:pStyle w:val="47"/>
        <w:tabs>
          <w:tab w:val="right" w:leader="dot" w:pos="9402"/>
        </w:tabs>
        <w:spacing w:line="480" w:lineRule="exact"/>
        <w:ind w:left="560"/>
        <w:jc w:val="center"/>
        <w:rPr>
          <w:rFonts w:ascii="仿宋" w:hAnsi="仿宋" w:eastAsia="仿宋"/>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szCs w:val="24"/>
        </w:rPr>
        <w:fldChar w:fldCharType="end"/>
      </w:r>
      <w:bookmarkStart w:id="1" w:name="_Toc12789052"/>
      <w:bookmarkStart w:id="2" w:name="_Toc11641050"/>
    </w:p>
    <w:bookmarkEnd w:id="1"/>
    <w:bookmarkEnd w:id="2"/>
    <w:p>
      <w:pPr>
        <w:pStyle w:val="3"/>
        <w:spacing w:before="0" w:after="0" w:line="360" w:lineRule="auto"/>
        <w:jc w:val="center"/>
        <w:rPr>
          <w:rFonts w:ascii="仿宋" w:hAnsi="仿宋" w:eastAsia="仿宋"/>
          <w:sz w:val="24"/>
          <w:szCs w:val="24"/>
        </w:rPr>
      </w:pPr>
      <w:bookmarkStart w:id="3" w:name="_Toc16094"/>
      <w:bookmarkStart w:id="4" w:name="_Toc876"/>
      <w:r>
        <w:rPr>
          <w:rFonts w:hint="eastAsia" w:ascii="仿宋" w:hAnsi="仿宋" w:eastAsia="仿宋"/>
          <w:b/>
          <w:bCs/>
          <w:sz w:val="36"/>
          <w:szCs w:val="30"/>
        </w:rPr>
        <w:t>第一篇 采购</w:t>
      </w:r>
      <w:bookmarkEnd w:id="3"/>
      <w:r>
        <w:rPr>
          <w:rFonts w:hint="eastAsia" w:ascii="仿宋" w:hAnsi="仿宋" w:eastAsia="仿宋"/>
          <w:b/>
          <w:bCs/>
          <w:sz w:val="36"/>
          <w:szCs w:val="30"/>
          <w:lang w:val="en-US" w:eastAsia="zh-CN"/>
        </w:rPr>
        <w:t>公告</w:t>
      </w:r>
      <w:bookmarkEnd w:id="4"/>
    </w:p>
    <w:p>
      <w:pPr>
        <w:pStyle w:val="4"/>
        <w:spacing w:before="0" w:after="0" w:line="360" w:lineRule="auto"/>
        <w:rPr>
          <w:rFonts w:ascii="仿宋" w:hAnsi="仿宋" w:eastAsia="仿宋"/>
          <w:sz w:val="24"/>
          <w:szCs w:val="24"/>
        </w:rPr>
      </w:pPr>
      <w:bookmarkStart w:id="5" w:name="_Toc30071"/>
      <w:bookmarkStart w:id="6" w:name="_Toc313893526"/>
      <w:bookmarkStart w:id="7" w:name="_Toc22851"/>
      <w:bookmarkStart w:id="8" w:name="_Toc317775175"/>
      <w:r>
        <w:rPr>
          <w:rFonts w:hint="eastAsia" w:ascii="仿宋" w:hAnsi="仿宋" w:eastAsia="仿宋"/>
          <w:sz w:val="24"/>
          <w:szCs w:val="24"/>
          <w:lang w:eastAsia="zh-CN"/>
        </w:rPr>
        <w:t>一、</w:t>
      </w:r>
      <w:r>
        <w:rPr>
          <w:rFonts w:hint="eastAsia" w:ascii="仿宋" w:hAnsi="仿宋" w:eastAsia="仿宋"/>
          <w:sz w:val="24"/>
          <w:szCs w:val="24"/>
          <w:lang w:val="en-US" w:eastAsia="zh-CN"/>
        </w:rPr>
        <w:t>项目概况</w:t>
      </w:r>
      <w:bookmarkEnd w:id="5"/>
      <w:bookmarkEnd w:id="6"/>
      <w:bookmarkEnd w:id="7"/>
      <w:bookmarkEnd w:id="8"/>
    </w:p>
    <w:tbl>
      <w:tblPr>
        <w:tblStyle w:val="60"/>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362"/>
        <w:gridCol w:w="815"/>
        <w:gridCol w:w="1309"/>
        <w:gridCol w:w="1405"/>
        <w:gridCol w:w="1282"/>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66" w:type="dxa"/>
            <w:tcBorders>
              <w:top w:val="single" w:color="auto" w:sz="4" w:space="0"/>
              <w:left w:val="single" w:color="auto" w:sz="4" w:space="0"/>
              <w:right w:val="single" w:color="auto" w:sz="4" w:space="0"/>
            </w:tcBorders>
            <w:vAlign w:val="center"/>
          </w:tcPr>
          <w:p>
            <w:pPr>
              <w:widowControl/>
              <w:spacing w:line="360" w:lineRule="auto"/>
              <w:jc w:val="center"/>
              <w:rPr>
                <w:rFonts w:ascii="仿宋" w:eastAsia="仿宋" w:cs="宋体"/>
                <w:b/>
                <w:bCs/>
                <w:kern w:val="0"/>
                <w:sz w:val="24"/>
                <w:szCs w:val="24"/>
              </w:rPr>
            </w:pPr>
            <w:bookmarkStart w:id="9" w:name="_Toc373860293"/>
            <w:bookmarkStart w:id="10" w:name="_Toc317775178"/>
            <w:r>
              <w:rPr>
                <w:rFonts w:hint="eastAsia" w:ascii="仿宋" w:eastAsia="仿宋" w:cs="宋体"/>
                <w:b/>
                <w:bCs/>
                <w:kern w:val="0"/>
                <w:sz w:val="24"/>
                <w:szCs w:val="24"/>
              </w:rPr>
              <w:t>序号</w:t>
            </w:r>
          </w:p>
        </w:tc>
        <w:tc>
          <w:tcPr>
            <w:tcW w:w="3362"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项目名称</w:t>
            </w:r>
          </w:p>
        </w:tc>
        <w:tc>
          <w:tcPr>
            <w:tcW w:w="815" w:type="dxa"/>
            <w:tcBorders>
              <w:top w:val="single" w:color="auto" w:sz="4" w:space="0"/>
              <w:left w:val="single" w:color="auto" w:sz="4" w:space="0"/>
              <w:right w:val="single" w:color="auto" w:sz="4" w:space="0"/>
            </w:tcBorders>
            <w:vAlign w:val="center"/>
          </w:tcPr>
          <w:p>
            <w:pPr>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数量</w:t>
            </w:r>
          </w:p>
        </w:tc>
        <w:tc>
          <w:tcPr>
            <w:tcW w:w="1309" w:type="dxa"/>
            <w:tcBorders>
              <w:top w:val="single" w:color="auto" w:sz="4" w:space="0"/>
              <w:left w:val="single" w:color="auto" w:sz="4" w:space="0"/>
              <w:right w:val="single" w:color="auto" w:sz="4" w:space="0"/>
            </w:tcBorders>
            <w:vAlign w:val="center"/>
          </w:tcPr>
          <w:p>
            <w:pPr>
              <w:spacing w:line="360" w:lineRule="auto"/>
              <w:jc w:val="center"/>
              <w:rPr>
                <w:rFonts w:hint="default" w:ascii="仿宋" w:eastAsia="仿宋" w:cs="宋体"/>
                <w:b/>
                <w:bCs/>
                <w:kern w:val="0"/>
                <w:sz w:val="24"/>
                <w:szCs w:val="24"/>
                <w:lang w:val="en-US" w:eastAsia="zh-CN"/>
              </w:rPr>
            </w:pPr>
            <w:r>
              <w:rPr>
                <w:rFonts w:hint="eastAsia" w:ascii="仿宋" w:eastAsia="仿宋" w:cs="宋体"/>
                <w:b/>
                <w:bCs/>
                <w:kern w:val="0"/>
                <w:sz w:val="24"/>
                <w:szCs w:val="24"/>
                <w:lang w:val="en-US" w:eastAsia="zh-CN"/>
              </w:rPr>
              <w:t>最高单价</w:t>
            </w:r>
            <w:r>
              <w:rPr>
                <w:rFonts w:hint="eastAsia" w:ascii="仿宋" w:eastAsia="仿宋" w:cs="宋体"/>
                <w:b/>
                <w:bCs/>
                <w:kern w:val="0"/>
                <w:sz w:val="24"/>
                <w:szCs w:val="24"/>
              </w:rPr>
              <w:t>（万元）</w:t>
            </w:r>
          </w:p>
        </w:tc>
        <w:tc>
          <w:tcPr>
            <w:tcW w:w="1405"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最高</w:t>
            </w:r>
            <w:r>
              <w:rPr>
                <w:rFonts w:hint="eastAsia" w:ascii="仿宋" w:eastAsia="仿宋" w:cs="宋体"/>
                <w:b/>
                <w:bCs/>
                <w:kern w:val="0"/>
                <w:sz w:val="24"/>
                <w:szCs w:val="24"/>
                <w:lang w:val="en-US" w:eastAsia="zh-CN"/>
              </w:rPr>
              <w:t>总</w:t>
            </w:r>
            <w:r>
              <w:rPr>
                <w:rFonts w:hint="eastAsia" w:ascii="仿宋" w:eastAsia="仿宋" w:cs="宋体"/>
                <w:b/>
                <w:bCs/>
                <w:kern w:val="0"/>
                <w:sz w:val="24"/>
                <w:szCs w:val="24"/>
              </w:rPr>
              <w:t>价</w:t>
            </w:r>
          </w:p>
          <w:p>
            <w:pPr>
              <w:spacing w:line="360" w:lineRule="auto"/>
              <w:jc w:val="center"/>
              <w:rPr>
                <w:rFonts w:ascii="仿宋" w:eastAsia="微软雅黑" w:cs="宋体"/>
                <w:b/>
                <w:bCs/>
                <w:kern w:val="0"/>
                <w:sz w:val="24"/>
                <w:szCs w:val="24"/>
              </w:rPr>
            </w:pPr>
            <w:r>
              <w:rPr>
                <w:rFonts w:hint="eastAsia" w:ascii="仿宋" w:eastAsia="仿宋" w:cs="宋体"/>
                <w:b/>
                <w:bCs/>
                <w:kern w:val="0"/>
                <w:sz w:val="24"/>
                <w:szCs w:val="24"/>
              </w:rPr>
              <w:t>（万元）</w:t>
            </w:r>
          </w:p>
        </w:tc>
        <w:tc>
          <w:tcPr>
            <w:tcW w:w="1282"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成交供应商数量（名）</w:t>
            </w:r>
          </w:p>
        </w:tc>
        <w:tc>
          <w:tcPr>
            <w:tcW w:w="1297" w:type="dxa"/>
            <w:tcBorders>
              <w:top w:val="single" w:color="auto" w:sz="4" w:space="0"/>
              <w:left w:val="single" w:color="auto" w:sz="4" w:space="0"/>
              <w:right w:val="single" w:color="auto" w:sz="4" w:space="0"/>
            </w:tcBorders>
            <w:vAlign w:val="center"/>
          </w:tcPr>
          <w:p>
            <w:pPr>
              <w:spacing w:line="360" w:lineRule="auto"/>
              <w:jc w:val="center"/>
              <w:rPr>
                <w:rFonts w:ascii="仿宋" w:eastAsia="仿宋" w:cs="宋体"/>
                <w:b/>
                <w:bCs/>
                <w:kern w:val="0"/>
                <w:sz w:val="24"/>
                <w:szCs w:val="24"/>
              </w:rPr>
            </w:pPr>
            <w:r>
              <w:rPr>
                <w:rFonts w:hint="eastAsia" w:ascii="仿宋" w:eastAsia="仿宋"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eastAsia="仿宋"/>
                <w:sz w:val="24"/>
                <w:szCs w:val="24"/>
              </w:rPr>
            </w:pPr>
            <w:bookmarkStart w:id="11" w:name="_Hlk344477914"/>
            <w:r>
              <w:rPr>
                <w:rFonts w:hint="eastAsia" w:ascii="仿宋" w:eastAsia="仿宋"/>
                <w:sz w:val="24"/>
                <w:szCs w:val="24"/>
              </w:rPr>
              <w:t>1</w:t>
            </w:r>
          </w:p>
        </w:tc>
        <w:tc>
          <w:tcPr>
            <w:tcW w:w="3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eastAsia="仿宋"/>
                <w:sz w:val="24"/>
                <w:szCs w:val="24"/>
                <w:lang w:val="en-US" w:eastAsia="zh-CN"/>
              </w:rPr>
            </w:pPr>
            <w:r>
              <w:rPr>
                <w:rFonts w:hint="eastAsia" w:ascii="仿宋" w:hAnsi="仿宋" w:eastAsia="仿宋"/>
                <w:sz w:val="24"/>
                <w:szCs w:val="24"/>
                <w:lang w:val="en-US" w:eastAsia="zh-CN"/>
              </w:rPr>
              <w:t>煎药机</w:t>
            </w:r>
          </w:p>
        </w:tc>
        <w:tc>
          <w:tcPr>
            <w:tcW w:w="815" w:type="dxa"/>
            <w:tcBorders>
              <w:top w:val="single" w:color="auto" w:sz="4" w:space="0"/>
              <w:left w:val="single" w:color="auto" w:sz="4" w:space="0"/>
              <w:right w:val="single" w:color="auto" w:sz="4" w:space="0"/>
            </w:tcBorders>
            <w:vAlign w:val="center"/>
          </w:tcPr>
          <w:p>
            <w:pPr>
              <w:spacing w:line="240" w:lineRule="auto"/>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1</w:t>
            </w:r>
          </w:p>
        </w:tc>
        <w:tc>
          <w:tcPr>
            <w:tcW w:w="1309" w:type="dxa"/>
            <w:tcBorders>
              <w:top w:val="single" w:color="auto" w:sz="4" w:space="0"/>
              <w:left w:val="single" w:color="auto" w:sz="4" w:space="0"/>
              <w:right w:val="single" w:color="auto" w:sz="4" w:space="0"/>
            </w:tcBorders>
            <w:vAlign w:val="center"/>
          </w:tcPr>
          <w:p>
            <w:pPr>
              <w:spacing w:line="240" w:lineRule="auto"/>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1405" w:type="dxa"/>
            <w:tcBorders>
              <w:top w:val="single" w:color="auto" w:sz="4" w:space="0"/>
              <w:left w:val="single" w:color="auto" w:sz="4" w:space="0"/>
              <w:right w:val="single" w:color="auto" w:sz="4" w:space="0"/>
            </w:tcBorders>
            <w:vAlign w:val="center"/>
          </w:tcPr>
          <w:p>
            <w:pPr>
              <w:spacing w:line="240" w:lineRule="auto"/>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0.48</w:t>
            </w:r>
          </w:p>
        </w:tc>
        <w:tc>
          <w:tcPr>
            <w:tcW w:w="1282" w:type="dxa"/>
            <w:tcBorders>
              <w:top w:val="single" w:color="auto" w:sz="4" w:space="0"/>
              <w:left w:val="single" w:color="auto" w:sz="4" w:space="0"/>
              <w:right w:val="single" w:color="auto" w:sz="4" w:space="0"/>
            </w:tcBorders>
            <w:vAlign w:val="center"/>
          </w:tcPr>
          <w:p>
            <w:pPr>
              <w:spacing w:line="240" w:lineRule="auto"/>
              <w:jc w:val="center"/>
              <w:rPr>
                <w:rFonts w:ascii="仿宋" w:eastAsia="仿宋"/>
                <w:sz w:val="24"/>
                <w:szCs w:val="24"/>
              </w:rPr>
            </w:pPr>
            <w:r>
              <w:rPr>
                <w:rFonts w:hint="eastAsia" w:ascii="仿宋" w:eastAsia="仿宋"/>
                <w:sz w:val="24"/>
                <w:szCs w:val="24"/>
              </w:rPr>
              <w:t>1</w:t>
            </w:r>
          </w:p>
        </w:tc>
        <w:tc>
          <w:tcPr>
            <w:tcW w:w="1297" w:type="dxa"/>
            <w:tcBorders>
              <w:top w:val="single" w:color="auto" w:sz="4" w:space="0"/>
              <w:left w:val="single" w:color="auto" w:sz="4" w:space="0"/>
              <w:right w:val="single" w:color="auto" w:sz="4" w:space="0"/>
            </w:tcBorders>
            <w:vAlign w:val="center"/>
          </w:tcPr>
          <w:p>
            <w:pPr>
              <w:spacing w:line="400" w:lineRule="exact"/>
              <w:jc w:val="center"/>
              <w:rPr>
                <w:rFonts w:hint="default" w:ascii="仿宋" w:eastAsia="仿宋"/>
                <w:sz w:val="24"/>
                <w:szCs w:val="24"/>
                <w:lang w:val="en-US" w:eastAsia="zh-CN"/>
              </w:rPr>
            </w:pPr>
            <w:r>
              <w:rPr>
                <w:rFonts w:hint="eastAsia" w:ascii="仿宋" w:eastAsia="仿宋"/>
                <w:sz w:val="24"/>
                <w:szCs w:val="24"/>
                <w:lang w:val="en-US" w:eastAsia="zh-CN"/>
              </w:rPr>
              <w:t>国产设备</w:t>
            </w:r>
          </w:p>
        </w:tc>
      </w:tr>
      <w:bookmarkEnd w:id="11"/>
    </w:tbl>
    <w:p>
      <w:pPr>
        <w:pStyle w:val="4"/>
        <w:spacing w:before="0" w:after="0" w:line="360" w:lineRule="auto"/>
        <w:rPr>
          <w:rFonts w:ascii="仿宋" w:hAnsi="仿宋" w:eastAsia="仿宋"/>
          <w:sz w:val="24"/>
          <w:szCs w:val="24"/>
        </w:rPr>
      </w:pPr>
      <w:bookmarkStart w:id="12" w:name="_Toc8690"/>
      <w:bookmarkStart w:id="13" w:name="_Toc28115"/>
      <w:r>
        <w:rPr>
          <w:rFonts w:hint="eastAsia" w:ascii="仿宋" w:hAnsi="仿宋" w:eastAsia="仿宋"/>
          <w:sz w:val="24"/>
          <w:szCs w:val="24"/>
          <w:lang w:eastAsia="zh-CN"/>
        </w:rPr>
        <w:t>二、</w:t>
      </w:r>
      <w:r>
        <w:rPr>
          <w:rFonts w:hint="eastAsia" w:ascii="仿宋" w:hAnsi="仿宋" w:eastAsia="仿宋"/>
          <w:sz w:val="24"/>
          <w:szCs w:val="24"/>
        </w:rPr>
        <w:t>资金来源</w:t>
      </w:r>
      <w:bookmarkEnd w:id="12"/>
      <w:bookmarkEnd w:id="13"/>
    </w:p>
    <w:p>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pPr>
        <w:pStyle w:val="4"/>
        <w:spacing w:before="0" w:after="0" w:line="360" w:lineRule="auto"/>
        <w:rPr>
          <w:rFonts w:ascii="仿宋" w:hAnsi="仿宋" w:eastAsia="仿宋"/>
          <w:sz w:val="24"/>
          <w:szCs w:val="24"/>
        </w:rPr>
      </w:pPr>
      <w:bookmarkStart w:id="14" w:name="_Toc15957"/>
      <w:bookmarkStart w:id="15" w:name="_Toc29922"/>
      <w:r>
        <w:rPr>
          <w:rFonts w:hint="eastAsia" w:ascii="仿宋" w:hAnsi="仿宋" w:eastAsia="仿宋"/>
          <w:sz w:val="24"/>
          <w:szCs w:val="24"/>
          <w:lang w:eastAsia="zh-CN"/>
        </w:rPr>
        <w:t>三、</w:t>
      </w:r>
      <w:r>
        <w:rPr>
          <w:rFonts w:hint="eastAsia" w:ascii="仿宋" w:hAnsi="仿宋" w:eastAsia="仿宋"/>
          <w:sz w:val="24"/>
          <w:szCs w:val="24"/>
        </w:rPr>
        <w:t>供应商资格条件</w:t>
      </w:r>
      <w:bookmarkEnd w:id="14"/>
      <w:bookmarkEnd w:id="15"/>
    </w:p>
    <w:p>
      <w:pPr>
        <w:spacing w:line="360" w:lineRule="auto"/>
        <w:ind w:firstLine="480" w:firstLineChars="200"/>
        <w:rPr>
          <w:rFonts w:ascii="仿宋" w:hAnsi="仿宋" w:eastAsia="仿宋"/>
          <w:sz w:val="24"/>
          <w:szCs w:val="24"/>
        </w:rPr>
      </w:pPr>
      <w:bookmarkStart w:id="16" w:name="_Toc13803"/>
      <w:r>
        <w:rPr>
          <w:rFonts w:hint="eastAsia" w:ascii="仿宋" w:hAnsi="仿宋" w:eastAsia="仿宋"/>
          <w:sz w:val="24"/>
          <w:szCs w:val="24"/>
        </w:rPr>
        <w:t>（一）满足《中华人民共和国政府采购法》第二十二条规定。</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独立承担民事责任的能力；</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良好的商业信誉和健全的财务会计制度；</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w:t>
      </w:r>
      <w:r>
        <w:rPr>
          <w:rFonts w:hint="eastAsia" w:ascii="仿宋" w:hAnsi="仿宋" w:eastAsia="仿宋" w:cs="Times New Roman"/>
          <w:sz w:val="24"/>
          <w:szCs w:val="24"/>
          <w:lang w:val="en-US" w:eastAsia="zh-CN"/>
        </w:rPr>
        <w:t>备</w:t>
      </w:r>
      <w:r>
        <w:rPr>
          <w:rFonts w:hint="eastAsia" w:ascii="仿宋" w:hAnsi="仿宋" w:eastAsia="仿宋" w:cs="Times New Roman"/>
          <w:sz w:val="24"/>
          <w:szCs w:val="24"/>
        </w:rPr>
        <w:t>履行合同所必需的设备和专业技术能力；</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rPr>
        <w:t>5.近3年无重大违法记录及行业不良记录</w:t>
      </w:r>
      <w:r>
        <w:rPr>
          <w:rFonts w:hint="eastAsia" w:ascii="仿宋" w:hAnsi="仿宋" w:eastAsia="仿宋" w:cs="Times New Roman"/>
          <w:sz w:val="24"/>
          <w:szCs w:val="24"/>
          <w:lang w:eastAsia="zh-CN"/>
        </w:rPr>
        <w:t>；</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w:t>
      </w:r>
      <w:r>
        <w:rPr>
          <w:rFonts w:hint="eastAsia" w:ascii="仿宋" w:hAnsi="仿宋" w:eastAsia="仿宋" w:cs="Times New Roman"/>
          <w:sz w:val="24"/>
          <w:szCs w:val="24"/>
          <w:lang w:eastAsia="zh-CN"/>
        </w:rPr>
        <w:t>、</w:t>
      </w:r>
      <w:r>
        <w:rPr>
          <w:rFonts w:hint="eastAsia" w:ascii="仿宋" w:hAnsi="仿宋" w:eastAsia="仿宋" w:cs="Times New Roman"/>
          <w:sz w:val="24"/>
          <w:szCs w:val="24"/>
        </w:rPr>
        <w:t>行政法规规定的其他条件。</w:t>
      </w:r>
    </w:p>
    <w:p>
      <w:pPr>
        <w:spacing w:line="480" w:lineRule="exact"/>
        <w:ind w:firstLine="480" w:firstLineChars="200"/>
        <w:jc w:val="left"/>
        <w:rPr>
          <w:rFonts w:hint="eastAsia" w:ascii="仿宋" w:hAnsi="仿宋" w:eastAsia="仿宋"/>
          <w:sz w:val="24"/>
          <w:szCs w:val="24"/>
          <w:lang w:eastAsia="zh-CN"/>
        </w:rPr>
      </w:pPr>
      <w:r>
        <w:rPr>
          <w:rFonts w:hint="eastAsia" w:ascii="仿宋" w:hAnsi="仿宋" w:eastAsia="仿宋"/>
          <w:sz w:val="24"/>
          <w:szCs w:val="24"/>
        </w:rPr>
        <w:t>（二）本项目的特定资格要求：</w:t>
      </w:r>
      <w:r>
        <w:rPr>
          <w:rFonts w:hint="eastAsia" w:ascii="仿宋" w:hAnsi="仿宋" w:eastAsia="仿宋"/>
          <w:sz w:val="24"/>
          <w:szCs w:val="24"/>
          <w:lang w:eastAsia="zh-CN"/>
        </w:rPr>
        <w:t>（</w:t>
      </w:r>
      <w:r>
        <w:rPr>
          <w:rFonts w:hint="eastAsia" w:ascii="仿宋" w:hAnsi="仿宋" w:eastAsia="仿宋"/>
          <w:sz w:val="24"/>
          <w:szCs w:val="24"/>
          <w:lang w:val="en-US" w:eastAsia="zh-CN"/>
        </w:rPr>
        <w:t>如设备为医疗设备</w:t>
      </w:r>
      <w:r>
        <w:rPr>
          <w:rFonts w:hint="eastAsia" w:ascii="仿宋" w:hAnsi="仿宋" w:eastAsia="仿宋"/>
          <w:sz w:val="24"/>
          <w:szCs w:val="24"/>
          <w:lang w:eastAsia="zh-CN"/>
        </w:rPr>
        <w:t>）</w:t>
      </w:r>
    </w:p>
    <w:p>
      <w:pPr>
        <w:spacing w:line="480" w:lineRule="exact"/>
        <w:ind w:firstLine="480" w:firstLineChars="200"/>
        <w:jc w:val="left"/>
        <w:rPr>
          <w:rFonts w:hint="eastAsia" w:ascii="仿宋" w:hAnsi="仿宋" w:eastAsia="仿宋" w:cs="仿宋"/>
          <w:color w:val="auto"/>
          <w:sz w:val="24"/>
          <w:szCs w:val="24"/>
        </w:rPr>
      </w:pPr>
      <w:bookmarkStart w:id="17" w:name="_Toc4702"/>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销售商应具</w:t>
      </w:r>
      <w:r>
        <w:rPr>
          <w:rFonts w:hint="eastAsia" w:ascii="仿宋" w:hAnsi="仿宋" w:eastAsia="仿宋" w:cs="仿宋"/>
          <w:color w:val="auto"/>
          <w:sz w:val="24"/>
          <w:szCs w:val="24"/>
          <w:lang w:val="en-US" w:eastAsia="zh-CN"/>
        </w:rPr>
        <w:t>备</w:t>
      </w:r>
      <w:r>
        <w:rPr>
          <w:rFonts w:hint="eastAsia" w:ascii="仿宋" w:hAnsi="仿宋" w:eastAsia="仿宋" w:cs="仿宋"/>
          <w:color w:val="auto"/>
          <w:sz w:val="24"/>
          <w:szCs w:val="24"/>
        </w:rPr>
        <w:t>有效的《医疗器械经营许可证》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所投产品属二类医疗器械的，响应供应商须具备有效的《第二类医疗器械经营备案凭证》。</w:t>
      </w:r>
    </w:p>
    <w:p>
      <w:pPr>
        <w:spacing w:line="48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响应产品生产厂家有效期内的《营业执照》《医疗器械生产许可证》或《医疗器械生产备案凭证》，且本采购项目属于其经营或生产范围。</w:t>
      </w:r>
    </w:p>
    <w:p>
      <w:pPr>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有效的《医疗器械注册证》若注册证有附件的，还须提供附件《医疗器械产品注册登记表》。</w:t>
      </w:r>
    </w:p>
    <w:p>
      <w:pPr>
        <w:snapToGri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有效的法定医疗器械产品质量监督部门的准产注册检验报告。</w:t>
      </w:r>
    </w:p>
    <w:p>
      <w:pPr>
        <w:pStyle w:val="35"/>
        <w:spacing w:line="360" w:lineRule="auto"/>
        <w:ind w:firstLine="480" w:firstLineChars="200"/>
        <w:rPr>
          <w:rFonts w:hint="eastAsia" w:ascii="仿宋" w:hAnsi="仿宋" w:eastAsia="仿宋" w:cs="仿宋"/>
          <w:color w:val="auto"/>
          <w:sz w:val="24"/>
          <w:szCs w:val="24"/>
        </w:rPr>
      </w:pPr>
      <w:r>
        <w:rPr>
          <w:rFonts w:hint="eastAsia" w:ascii="仿宋" w:eastAsia="仿宋" w:cs="Times New Roman"/>
          <w:sz w:val="24"/>
          <w:szCs w:val="24"/>
          <w:lang w:val="en-US" w:eastAsia="zh-CN"/>
        </w:rPr>
        <w:t>5.</w:t>
      </w:r>
      <w:r>
        <w:rPr>
          <w:rFonts w:hint="eastAsia" w:ascii="仿宋" w:eastAsia="仿宋" w:cs="Times New Roman"/>
          <w:sz w:val="24"/>
          <w:szCs w:val="24"/>
        </w:rPr>
        <w:t>为保证本项目商品售后服务质量，投标人须提供原厂售后服务承诺函，原件加盖</w:t>
      </w:r>
      <w:r>
        <w:rPr>
          <w:rFonts w:hint="eastAsia" w:ascii="仿宋" w:eastAsia="仿宋" w:cs="Times New Roman"/>
          <w:sz w:val="24"/>
          <w:szCs w:val="24"/>
          <w:lang w:val="en-US" w:eastAsia="zh-CN"/>
        </w:rPr>
        <w:t>制造商及</w:t>
      </w:r>
      <w:r>
        <w:rPr>
          <w:rFonts w:hint="eastAsia" w:ascii="仿宋" w:eastAsia="仿宋" w:cs="Times New Roman"/>
          <w:sz w:val="24"/>
          <w:szCs w:val="24"/>
        </w:rPr>
        <w:t>投标人公章。</w:t>
      </w:r>
    </w:p>
    <w:p>
      <w:pPr>
        <w:pStyle w:val="4"/>
        <w:spacing w:before="0" w:after="0" w:line="360" w:lineRule="auto"/>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采购有关说明</w:t>
      </w:r>
      <w:bookmarkEnd w:id="9"/>
      <w:bookmarkEnd w:id="16"/>
      <w:bookmarkEnd w:id="17"/>
    </w:p>
    <w:p>
      <w:pPr>
        <w:spacing w:line="360" w:lineRule="auto"/>
        <w:ind w:firstLine="480" w:firstLineChars="200"/>
        <w:rPr>
          <w:rFonts w:ascii="仿宋" w:hAnsi="仿宋" w:eastAsia="仿宋"/>
          <w:sz w:val="24"/>
          <w:szCs w:val="24"/>
        </w:rPr>
      </w:pPr>
      <w:bookmarkStart w:id="18" w:name="_Toc373860294"/>
      <w:r>
        <w:rPr>
          <w:rFonts w:hint="eastAsia" w:ascii="仿宋" w:hAnsi="仿宋" w:eastAsia="仿宋"/>
          <w:sz w:val="24"/>
          <w:szCs w:val="24"/>
        </w:rPr>
        <w:t>（</w:t>
      </w:r>
      <w:r>
        <w:rPr>
          <w:rFonts w:hint="eastAsia" w:ascii="仿宋" w:hAnsi="仿宋" w:eastAsia="仿宋" w:cs="仿宋"/>
          <w:sz w:val="24"/>
          <w:szCs w:val="24"/>
        </w:rPr>
        <w:t>一）供应商应通过重庆市政府采购网（</w:t>
      </w:r>
      <w:r>
        <w:rPr>
          <w:rFonts w:hint="eastAsia"/>
        </w:rPr>
        <w:fldChar w:fldCharType="begin"/>
      </w:r>
      <w:r>
        <w:instrText xml:space="preserve"> HYPERLINK "http://www.cqgp.gov.cn" </w:instrText>
      </w:r>
      <w:r>
        <w:rPr>
          <w:rFonts w:hint="eastAsia"/>
        </w:rPr>
        <w:fldChar w:fldCharType="separate"/>
      </w:r>
      <w:r>
        <w:rPr>
          <w:rFonts w:hint="eastAsia" w:ascii="仿宋" w:hAnsi="仿宋" w:eastAsia="仿宋" w:cs="仿宋"/>
          <w:sz w:val="24"/>
          <w:szCs w:val="24"/>
        </w:rPr>
        <w:t>www.ccgp-chongqing.gov.cn</w:t>
      </w:r>
      <w:r>
        <w:rPr>
          <w:rFonts w:hint="eastAsia" w:ascii="仿宋" w:hAnsi="仿宋" w:eastAsia="仿宋" w:cs="仿宋"/>
          <w:sz w:val="24"/>
          <w:szCs w:val="24"/>
        </w:rPr>
        <w:fldChar w:fldCharType="end"/>
      </w:r>
      <w:r>
        <w:rPr>
          <w:rFonts w:hint="eastAsia" w:ascii="仿宋" w:hAnsi="仿宋" w:eastAsia="仿宋" w:cs="仿宋"/>
          <w:sz w:val="24"/>
          <w:szCs w:val="24"/>
        </w:rPr>
        <w:t>）登记加入“重庆市政府采购供应商库”。</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（二）凡有意参加采购的供应商，请在网上下载本项目网上竞采文件以及补遗等所有项目资料，无论供应商下载与否，均视为已知晓所有采购实质性要求内容。</w:t>
      </w:r>
    </w:p>
    <w:p>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（三）</w:t>
      </w:r>
      <w:r>
        <w:rPr>
          <w:rFonts w:hint="eastAsia" w:ascii="仿宋" w:hAnsi="仿宋" w:eastAsia="仿宋" w:cs="仿宋_GB2312"/>
          <w:bCs/>
          <w:sz w:val="24"/>
          <w:szCs w:val="24"/>
          <w:lang w:val="en-US" w:eastAsia="zh-CN"/>
        </w:rPr>
        <w:t>采购</w:t>
      </w:r>
      <w:r>
        <w:rPr>
          <w:rFonts w:hint="eastAsia" w:ascii="仿宋" w:hAnsi="仿宋" w:eastAsia="仿宋" w:cs="仿宋_GB2312"/>
          <w:bCs/>
          <w:sz w:val="24"/>
          <w:szCs w:val="24"/>
        </w:rPr>
        <w:t>文件公告期限：自公告发布之日起三个工作日。</w:t>
      </w:r>
    </w:p>
    <w:p>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（四）</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线上</w:t>
      </w:r>
      <w:r>
        <w:rPr>
          <w:rFonts w:hint="eastAsia" w:ascii="仿宋" w:hAnsi="仿宋" w:eastAsia="仿宋"/>
          <w:sz w:val="24"/>
          <w:szCs w:val="24"/>
          <w:lang w:val="en-US" w:eastAsia="zh-CN"/>
        </w:rPr>
        <w:t>报价</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进行网上报价，并上传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本项目采用线上</w:t>
      </w:r>
      <w:r>
        <w:rPr>
          <w:rFonts w:hint="eastAsia" w:ascii="仿宋" w:hAnsi="仿宋" w:eastAsia="仿宋"/>
          <w:sz w:val="24"/>
          <w:szCs w:val="24"/>
          <w:lang w:val="en-US" w:eastAsia="zh-CN"/>
        </w:rPr>
        <w:t>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w:t>
      </w:r>
      <w:r>
        <w:rPr>
          <w:rFonts w:hint="eastAsia" w:ascii="仿宋" w:hAnsi="仿宋" w:eastAsia="仿宋"/>
          <w:sz w:val="24"/>
          <w:szCs w:val="24"/>
          <w:lang w:eastAsia="zh-CN"/>
        </w:rPr>
        <w:t>、</w:t>
      </w:r>
      <w:r>
        <w:rPr>
          <w:rFonts w:hint="eastAsia" w:ascii="仿宋" w:hAnsi="仿宋" w:eastAsia="仿宋"/>
          <w:sz w:val="24"/>
          <w:szCs w:val="24"/>
        </w:rPr>
        <w:t>无涂改，若因文件内容模糊导致无法进行评审，由此造成的后果由供应商自行承担。</w:t>
      </w:r>
    </w:p>
    <w:p>
      <w:pPr>
        <w:pStyle w:val="4"/>
        <w:spacing w:before="0" w:after="0" w:line="360" w:lineRule="auto"/>
        <w:rPr>
          <w:rFonts w:ascii="仿宋" w:hAnsi="仿宋" w:eastAsia="仿宋"/>
          <w:sz w:val="24"/>
          <w:szCs w:val="24"/>
        </w:rPr>
      </w:pPr>
      <w:bookmarkStart w:id="19" w:name="_Toc22706"/>
      <w:bookmarkStart w:id="20" w:name="_Toc6341"/>
      <w:r>
        <w:rPr>
          <w:rFonts w:hint="eastAsia" w:ascii="仿宋" w:hAnsi="仿宋" w:eastAsia="仿宋"/>
          <w:sz w:val="24"/>
          <w:szCs w:val="24"/>
          <w:lang w:eastAsia="zh-CN"/>
        </w:rPr>
        <w:t>五、</w:t>
      </w:r>
      <w:r>
        <w:rPr>
          <w:rFonts w:hint="eastAsia" w:ascii="仿宋" w:hAnsi="仿宋" w:eastAsia="仿宋"/>
          <w:sz w:val="24"/>
          <w:szCs w:val="24"/>
        </w:rPr>
        <w:t>保证金</w:t>
      </w:r>
      <w:bookmarkEnd w:id="18"/>
      <w:bookmarkEnd w:id="19"/>
      <w:bookmarkEnd w:id="20"/>
    </w:p>
    <w:p>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0"/>
    <w:p>
      <w:pPr>
        <w:pStyle w:val="4"/>
        <w:spacing w:before="0" w:after="0" w:line="360" w:lineRule="auto"/>
        <w:rPr>
          <w:rFonts w:ascii="仿宋" w:hAnsi="仿宋" w:eastAsia="仿宋"/>
          <w:sz w:val="24"/>
          <w:szCs w:val="24"/>
        </w:rPr>
      </w:pPr>
      <w:bookmarkStart w:id="21" w:name="_Toc17481"/>
      <w:bookmarkStart w:id="22" w:name="_Toc480466699"/>
      <w:bookmarkStart w:id="23" w:name="_Toc17560"/>
      <w:r>
        <w:rPr>
          <w:rFonts w:hint="eastAsia" w:ascii="仿宋" w:hAnsi="仿宋" w:eastAsia="仿宋"/>
          <w:sz w:val="24"/>
          <w:szCs w:val="24"/>
          <w:lang w:eastAsia="zh-CN"/>
        </w:rPr>
        <w:t>六、其他</w:t>
      </w:r>
      <w:r>
        <w:rPr>
          <w:rFonts w:hint="eastAsia" w:ascii="仿宋" w:hAnsi="仿宋" w:eastAsia="仿宋"/>
          <w:sz w:val="24"/>
          <w:szCs w:val="24"/>
        </w:rPr>
        <w:t>有关规定</w:t>
      </w:r>
      <w:bookmarkEnd w:id="21"/>
      <w:bookmarkEnd w:id="22"/>
      <w:bookmarkEnd w:id="23"/>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w:t>
      </w:r>
      <w:r>
        <w:rPr>
          <w:rFonts w:hint="eastAsia" w:ascii="仿宋" w:hAnsi="仿宋" w:eastAsia="仿宋"/>
          <w:sz w:val="24"/>
          <w:szCs w:val="24"/>
          <w:lang w:eastAsia="zh-CN"/>
        </w:rPr>
        <w:t>、</w:t>
      </w:r>
      <w:r>
        <w:rPr>
          <w:rFonts w:hint="eastAsia" w:ascii="仿宋" w:hAnsi="仿宋" w:eastAsia="仿宋"/>
          <w:sz w:val="24"/>
          <w:szCs w:val="24"/>
        </w:rPr>
        <w:t>管理关系的不同供应商，</w:t>
      </w:r>
      <w:r>
        <w:rPr>
          <w:rFonts w:ascii="仿宋" w:hAnsi="仿宋" w:eastAsia="仿宋"/>
          <w:sz w:val="24"/>
          <w:szCs w:val="24"/>
        </w:rPr>
        <w:t>不得参加同一合同</w:t>
      </w:r>
      <w:r>
        <w:rPr>
          <w:rFonts w:hint="eastAsia" w:ascii="仿宋" w:hAnsi="仿宋" w:eastAsia="仿宋"/>
          <w:sz w:val="24"/>
          <w:szCs w:val="24"/>
          <w:lang w:eastAsia="zh-CN"/>
        </w:rPr>
        <w:t>项目</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w:t>
      </w:r>
      <w:r>
        <w:rPr>
          <w:rFonts w:hint="eastAsia" w:ascii="仿宋" w:hAnsi="仿宋" w:eastAsia="仿宋"/>
          <w:sz w:val="24"/>
          <w:szCs w:val="24"/>
          <w:lang w:eastAsia="zh-CN"/>
        </w:rPr>
        <w:t>、</w:t>
      </w:r>
      <w:r>
        <w:rPr>
          <w:rFonts w:hint="eastAsia" w:ascii="仿宋" w:hAnsi="仿宋" w:eastAsia="仿宋"/>
          <w:sz w:val="24"/>
          <w:szCs w:val="24"/>
        </w:rPr>
        <w:t>规范编制或者项目管理</w:t>
      </w:r>
      <w:r>
        <w:rPr>
          <w:rFonts w:hint="eastAsia" w:ascii="仿宋" w:hAnsi="仿宋" w:eastAsia="仿宋"/>
          <w:sz w:val="24"/>
          <w:szCs w:val="24"/>
          <w:lang w:eastAsia="zh-CN"/>
        </w:rPr>
        <w:t>、</w:t>
      </w:r>
      <w:r>
        <w:rPr>
          <w:rFonts w:hint="eastAsia" w:ascii="仿宋" w:hAnsi="仿宋" w:eastAsia="仿宋"/>
          <w:sz w:val="24"/>
          <w:szCs w:val="24"/>
        </w:rPr>
        <w:t>监理</w:t>
      </w:r>
      <w:r>
        <w:rPr>
          <w:rFonts w:hint="eastAsia" w:ascii="仿宋" w:hAnsi="仿宋" w:eastAsia="仿宋"/>
          <w:sz w:val="24"/>
          <w:szCs w:val="24"/>
          <w:lang w:eastAsia="zh-CN"/>
        </w:rPr>
        <w:t>、</w:t>
      </w:r>
      <w:r>
        <w:rPr>
          <w:rFonts w:hint="eastAsia" w:ascii="仿宋" w:hAnsi="仿宋" w:eastAsia="仿宋"/>
          <w:sz w:val="24"/>
          <w:szCs w:val="24"/>
        </w:rPr>
        <w:t>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）本项目的补遗文件（如果有）一律在网上竞采中心上发布，请各供应商注意下载；无论供应商下载与否，均视同供应商已知晓本项目补遗文件（如果有）的内容。</w:t>
      </w:r>
    </w:p>
    <w:p>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）网上竞采费用：无论网上竞采结果如何，供应商参与本项目网上竞采的所有费用</w:t>
      </w:r>
      <w:r>
        <w:rPr>
          <w:rFonts w:hint="eastAsia" w:ascii="仿宋" w:hAnsi="仿宋" w:eastAsia="仿宋"/>
          <w:b w:val="0"/>
          <w:bCs w:val="0"/>
          <w:sz w:val="24"/>
          <w:szCs w:val="24"/>
        </w:rPr>
        <w:t>均应由供应商自行承担。</w:t>
      </w:r>
    </w:p>
    <w:p>
      <w:pPr>
        <w:snapToGrid w:val="0"/>
        <w:spacing w:line="360" w:lineRule="auto"/>
        <w:ind w:firstLine="360" w:firstLineChars="150"/>
        <w:rPr>
          <w:rFonts w:ascii="仿宋" w:hAnsi="仿宋" w:eastAsia="仿宋"/>
          <w:b w:val="0"/>
          <w:bCs w:val="0"/>
          <w:sz w:val="24"/>
          <w:szCs w:val="24"/>
        </w:rPr>
      </w:pPr>
      <w:bookmarkStart w:id="24"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w:t>
      </w:r>
      <w:r>
        <w:rPr>
          <w:rFonts w:hint="eastAsia" w:ascii="仿宋" w:hAnsi="仿宋" w:eastAsia="仿宋"/>
          <w:sz w:val="24"/>
          <w:szCs w:val="24"/>
          <w:lang w:eastAsia="zh-CN"/>
        </w:rPr>
        <w:t>、</w:t>
      </w:r>
      <w:r>
        <w:rPr>
          <w:rFonts w:hint="eastAsia" w:ascii="仿宋" w:hAnsi="仿宋" w:eastAsia="仿宋"/>
          <w:sz w:val="24"/>
          <w:szCs w:val="24"/>
        </w:rPr>
        <w:t>重大税收违法案件当事人名单</w:t>
      </w:r>
      <w:r>
        <w:rPr>
          <w:rFonts w:hint="eastAsia" w:ascii="仿宋" w:hAnsi="仿宋" w:eastAsia="仿宋"/>
          <w:sz w:val="24"/>
          <w:szCs w:val="24"/>
          <w:lang w:eastAsia="zh-CN"/>
        </w:rPr>
        <w:t>、</w:t>
      </w:r>
      <w:r>
        <w:rPr>
          <w:rFonts w:hint="eastAsia" w:ascii="仿宋" w:hAnsi="仿宋" w:eastAsia="仿宋"/>
          <w:sz w:val="24"/>
          <w:szCs w:val="24"/>
        </w:rPr>
        <w:t>政府采购严重违法失信行为记录名单及其他不符合《中华人民共和国政府采购法》第二十二条规定条件的供应商，将拒绝其参与政府采购活动。</w:t>
      </w:r>
    </w:p>
    <w:p>
      <w:pPr>
        <w:pStyle w:val="4"/>
        <w:spacing w:before="0" w:after="0" w:line="360" w:lineRule="auto"/>
        <w:rPr>
          <w:rFonts w:ascii="仿宋" w:hAnsi="仿宋" w:eastAsia="仿宋"/>
          <w:sz w:val="24"/>
          <w:szCs w:val="24"/>
        </w:rPr>
      </w:pPr>
      <w:bookmarkStart w:id="25" w:name="_Toc28780"/>
      <w:bookmarkStart w:id="26" w:name="_Toc13565"/>
      <w:r>
        <w:rPr>
          <w:rFonts w:hint="eastAsia" w:ascii="仿宋" w:hAnsi="仿宋" w:eastAsia="仿宋"/>
          <w:sz w:val="24"/>
          <w:szCs w:val="24"/>
          <w:lang w:eastAsia="zh-CN"/>
        </w:rPr>
        <w:t>七、</w:t>
      </w:r>
      <w:r>
        <w:rPr>
          <w:rFonts w:hint="eastAsia" w:ascii="仿宋" w:hAnsi="仿宋" w:eastAsia="仿宋"/>
          <w:sz w:val="24"/>
          <w:szCs w:val="24"/>
        </w:rPr>
        <w:t>联系方式</w:t>
      </w:r>
      <w:bookmarkEnd w:id="24"/>
      <w:bookmarkEnd w:id="25"/>
      <w:bookmarkEnd w:id="26"/>
    </w:p>
    <w:p>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（一）采购人：沙坪坝区土主社区卫生服务中心</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李</w:t>
      </w:r>
      <w:r>
        <w:rPr>
          <w:rFonts w:hint="eastAsia" w:ascii="仿宋" w:hAnsi="仿宋" w:eastAsia="仿宋"/>
          <w:sz w:val="24"/>
          <w:szCs w:val="24"/>
        </w:rPr>
        <w:t>老师</w:t>
      </w:r>
    </w:p>
    <w:p>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电话：1</w:t>
      </w:r>
      <w:r>
        <w:rPr>
          <w:rFonts w:hint="eastAsia" w:ascii="仿宋" w:hAnsi="仿宋" w:eastAsia="仿宋"/>
          <w:sz w:val="24"/>
          <w:szCs w:val="24"/>
          <w:lang w:val="en-US" w:eastAsia="zh-CN"/>
        </w:rPr>
        <w:t>7723169643</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地址：重庆市沙坪坝区土主社区卫生服务中心    </w:t>
      </w:r>
      <w:r>
        <w:rPr>
          <w:rFonts w:ascii="仿宋" w:hAnsi="仿宋" w:eastAsia="仿宋"/>
          <w:sz w:val="24"/>
          <w:szCs w:val="24"/>
        </w:rPr>
        <w:t xml:space="preserve">                </w:t>
      </w:r>
    </w:p>
    <w:p>
      <w:pPr>
        <w:pStyle w:val="3"/>
        <w:spacing w:before="0" w:after="0" w:line="360" w:lineRule="auto"/>
        <w:jc w:val="center"/>
        <w:rPr>
          <w:rFonts w:ascii="仿宋" w:hAnsi="仿宋" w:eastAsia="仿宋"/>
          <w:b/>
          <w:bCs/>
          <w:sz w:val="30"/>
          <w:szCs w:val="30"/>
        </w:rPr>
      </w:pPr>
      <w:bookmarkStart w:id="27" w:name="_Toc15077"/>
      <w:bookmarkStart w:id="28" w:name="_Toc6581"/>
      <w:r>
        <w:rPr>
          <w:rFonts w:hint="eastAsia" w:ascii="仿宋" w:hAnsi="仿宋" w:eastAsia="仿宋"/>
          <w:b/>
          <w:bCs/>
          <w:sz w:val="36"/>
          <w:szCs w:val="30"/>
        </w:rPr>
        <w:t>第二篇 采购项目技术需求</w:t>
      </w:r>
      <w:bookmarkEnd w:id="27"/>
      <w:bookmarkEnd w:id="28"/>
    </w:p>
    <w:p>
      <w:pPr>
        <w:pStyle w:val="4"/>
        <w:spacing w:before="0" w:after="0" w:line="360" w:lineRule="auto"/>
        <w:rPr>
          <w:rFonts w:hint="default" w:ascii="仿宋" w:hAnsi="仿宋" w:eastAsia="仿宋" w:cs="Times New Roman"/>
          <w:sz w:val="24"/>
          <w:szCs w:val="24"/>
          <w:lang w:val="en-US"/>
        </w:rPr>
      </w:pPr>
      <w:bookmarkStart w:id="29" w:name="_Toc10113"/>
      <w:bookmarkStart w:id="30" w:name="_Toc22047738"/>
      <w:bookmarkStart w:id="31" w:name="_Toc2517"/>
      <w:bookmarkStart w:id="32" w:name="_Toc12789058"/>
      <w:r>
        <w:rPr>
          <w:rFonts w:hint="eastAsia" w:ascii="仿宋" w:hAnsi="仿宋" w:eastAsia="仿宋" w:cs="Times New Roman"/>
          <w:sz w:val="24"/>
          <w:szCs w:val="24"/>
          <w:lang w:eastAsia="zh-CN"/>
        </w:rPr>
        <w:t>一、</w:t>
      </w:r>
      <w:bookmarkEnd w:id="29"/>
      <w:bookmarkEnd w:id="30"/>
      <w:r>
        <w:rPr>
          <w:rFonts w:hint="eastAsia" w:ascii="仿宋" w:hAnsi="仿宋" w:eastAsia="仿宋" w:cs="Times New Roman"/>
          <w:sz w:val="24"/>
          <w:szCs w:val="24"/>
          <w:lang w:val="en-US" w:eastAsia="zh-CN"/>
        </w:rPr>
        <w:t>采购设备技术参数要求及清单</w:t>
      </w:r>
      <w:bookmarkEnd w:id="31"/>
    </w:p>
    <w:p>
      <w:pPr>
        <w:spacing w:line="360" w:lineRule="auto"/>
        <w:rPr>
          <w:rFonts w:hint="eastAsia" w:ascii="仿宋" w:eastAsia="仿宋"/>
          <w:sz w:val="24"/>
          <w:szCs w:val="24"/>
          <w:lang w:val="en-US" w:eastAsia="zh-CN"/>
        </w:rPr>
      </w:pPr>
      <w:bookmarkStart w:id="33" w:name="_Toc344475116"/>
      <w:bookmarkStart w:id="34" w:name="_Toc29018"/>
      <w:bookmarkStart w:id="35" w:name="_Toc313536013"/>
      <w:bookmarkStart w:id="36" w:name="_Toc3669"/>
      <w:bookmarkStart w:id="37" w:name="_Toc530144826"/>
      <w:bookmarkStart w:id="38" w:name="_Toc9863"/>
      <w:bookmarkStart w:id="39" w:name="_Toc31288"/>
      <w:r>
        <w:rPr>
          <w:rFonts w:hint="eastAsia" w:ascii="仿宋" w:eastAsia="仿宋"/>
          <w:sz w:val="24"/>
          <w:szCs w:val="24"/>
          <w:lang w:val="en-US" w:eastAsia="zh-CN"/>
        </w:rPr>
        <w:t xml:space="preserve">    单锅煎药机参数</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1.额定电压:220V</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2.武火加热功率:1000W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3.热合功率:800W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4.制袋容量:50-250ml</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5.包装能力:8袋/min</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6.整机重量:55kg</w:t>
      </w:r>
    </w:p>
    <w:p>
      <w:pPr>
        <w:spacing w:line="360" w:lineRule="auto"/>
        <w:rPr>
          <w:rFonts w:hint="default" w:ascii="仿宋" w:eastAsia="仿宋"/>
          <w:sz w:val="24"/>
          <w:szCs w:val="24"/>
          <w:lang w:val="en-US" w:eastAsia="zh-CN"/>
        </w:rPr>
      </w:pPr>
      <w:r>
        <w:rPr>
          <w:rFonts w:hint="eastAsia" w:ascii="仿宋" w:eastAsia="仿宋"/>
          <w:sz w:val="24"/>
          <w:szCs w:val="24"/>
          <w:lang w:val="en-US" w:eastAsia="zh-CN"/>
        </w:rPr>
        <w:t xml:space="preserve">7.外型尺寸:长x宽x高640x530x1120mm </w:t>
      </w:r>
      <w:r>
        <w:rPr>
          <w:rFonts w:hint="eastAsia" w:ascii="仿宋" w:eastAsia="仿宋"/>
          <w:color w:val="C0504D" w:themeColor="accent2"/>
          <w:sz w:val="24"/>
          <w:szCs w:val="24"/>
          <w:lang w:val="en-US" w:eastAsia="zh-CN"/>
          <w14:textFill>
            <w14:solidFill>
              <w14:schemeClr w14:val="accent2"/>
            </w14:solidFill>
          </w14:textFill>
        </w:rPr>
        <w:t xml:space="preserve"> </w:t>
      </w:r>
      <w:r>
        <w:rPr>
          <w:rFonts w:hint="eastAsia" w:ascii="仿宋" w:eastAsia="仿宋"/>
          <w:color w:val="000000" w:themeColor="text1"/>
          <w:sz w:val="24"/>
          <w:szCs w:val="24"/>
          <w:highlight w:val="green"/>
          <w:lang w:val="en-US" w:eastAsia="zh-CN"/>
          <w14:textFill>
            <w14:solidFill>
              <w14:schemeClr w14:val="tx1"/>
            </w14:solidFill>
          </w14:textFill>
        </w:rPr>
        <w:t>注：因受场地所限，如超出尺寸设备将无法满足安装需求，即设备所涉及各种支架外壳长、宽必须小于700</w:t>
      </w:r>
      <w:r>
        <w:rPr>
          <w:rFonts w:hint="eastAsia" w:ascii="仿宋" w:eastAsia="仿宋"/>
          <w:sz w:val="24"/>
          <w:szCs w:val="24"/>
          <w:highlight w:val="green"/>
          <w:lang w:val="en-US" w:eastAsia="zh-CN"/>
        </w:rPr>
        <w:t>mm</w:t>
      </w:r>
      <w:r>
        <w:rPr>
          <w:rFonts w:hint="eastAsia" w:ascii="仿宋" w:eastAsia="仿宋"/>
          <w:color w:val="000000" w:themeColor="text1"/>
          <w:sz w:val="24"/>
          <w:szCs w:val="24"/>
          <w:highlight w:val="green"/>
          <w:lang w:val="en-US" w:eastAsia="zh-CN"/>
          <w14:textFill>
            <w14:solidFill>
              <w14:schemeClr w14:val="tx1"/>
            </w14:solidFill>
          </w14:textFill>
        </w:rPr>
        <w:t>。</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8.文火加热功率:600W</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9.煎药锅容量:20000m</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10.制袋尺寸:95-180mm</w:t>
      </w:r>
    </w:p>
    <w:p>
      <w:pPr>
        <w:spacing w:line="360" w:lineRule="auto"/>
        <w:rPr>
          <w:rFonts w:hint="eastAsia" w:ascii="仿宋" w:eastAsia="仿宋"/>
          <w:sz w:val="24"/>
          <w:szCs w:val="24"/>
          <w:lang w:val="en-US" w:eastAsia="zh-CN"/>
        </w:rPr>
      </w:pPr>
      <w:r>
        <w:rPr>
          <w:rFonts w:hint="eastAsia" w:ascii="仿宋" w:eastAsia="仿宋"/>
          <w:sz w:val="24"/>
          <w:szCs w:val="24"/>
          <w:lang w:val="en-US" w:eastAsia="zh-CN"/>
        </w:rPr>
        <w:t>11.一次煎煮量:3-15付</w:t>
      </w:r>
      <w:bookmarkStart w:id="129" w:name="_GoBack"/>
      <w:bookmarkEnd w:id="129"/>
    </w:p>
    <w:p>
      <w:pPr>
        <w:spacing w:line="360" w:lineRule="auto"/>
        <w:rPr>
          <w:rFonts w:hint="default" w:ascii="仿宋" w:eastAsia="仿宋"/>
          <w:sz w:val="24"/>
          <w:szCs w:val="24"/>
          <w:lang w:val="en-US" w:eastAsia="zh-CN"/>
        </w:rPr>
      </w:pPr>
      <w:r>
        <w:rPr>
          <w:rFonts w:hint="eastAsia" w:ascii="仿宋" w:eastAsia="仿宋"/>
          <w:sz w:val="24"/>
          <w:szCs w:val="24"/>
          <w:lang w:val="en-US" w:eastAsia="zh-CN"/>
        </w:rPr>
        <w:t>12.总功率:2400W</w:t>
      </w:r>
    </w:p>
    <w:bookmarkEnd w:id="33"/>
    <w:bookmarkEnd w:id="34"/>
    <w:bookmarkEnd w:id="35"/>
    <w:bookmarkEnd w:id="36"/>
    <w:bookmarkEnd w:id="37"/>
    <w:bookmarkEnd w:id="38"/>
    <w:bookmarkEnd w:id="39"/>
    <w:p>
      <w:pPr>
        <w:pStyle w:val="35"/>
        <w:spacing w:line="360" w:lineRule="auto"/>
        <w:ind w:left="0" w:leftChars="0" w:firstLine="0" w:firstLineChars="0"/>
        <w:rPr>
          <w:rFonts w:hint="default" w:ascii="仿宋" w:eastAsia="仿宋" w:cs="Times New Roman"/>
          <w:sz w:val="24"/>
          <w:szCs w:val="24"/>
          <w:lang w:val="en-US" w:eastAsia="zh-CN"/>
        </w:rPr>
      </w:pPr>
      <w:bookmarkStart w:id="40" w:name="_Toc12675"/>
      <w:r>
        <w:rPr>
          <w:rFonts w:hint="eastAsia" w:ascii="仿宋" w:eastAsia="仿宋" w:cs="Times New Roman"/>
          <w:sz w:val="24"/>
          <w:szCs w:val="24"/>
          <w:lang w:val="en-US" w:eastAsia="zh-CN"/>
        </w:rPr>
        <w:t>二、其他要求</w:t>
      </w:r>
    </w:p>
    <w:p>
      <w:pPr>
        <w:pStyle w:val="35"/>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1.投标人应在响应文件中提供相应技术参数的证明文件，并加盖投标人公章。投标</w:t>
      </w:r>
      <w:r>
        <w:rPr>
          <w:rFonts w:hint="eastAsia" w:ascii="仿宋" w:eastAsia="仿宋" w:cs="Times New Roman"/>
          <w:sz w:val="24"/>
          <w:szCs w:val="24"/>
        </w:rPr>
        <w:t>若不满足将按照评标因素中相关规定处理。</w:t>
      </w:r>
    </w:p>
    <w:p>
      <w:pPr>
        <w:pStyle w:val="35"/>
        <w:spacing w:line="360" w:lineRule="auto"/>
        <w:ind w:firstLine="480" w:firstLineChars="200"/>
        <w:rPr>
          <w:rFonts w:hint="eastAsia" w:ascii="仿宋" w:eastAsia="仿宋" w:cs="Times New Roman"/>
          <w:sz w:val="24"/>
          <w:szCs w:val="24"/>
        </w:rPr>
      </w:pPr>
      <w:r>
        <w:rPr>
          <w:rFonts w:hint="eastAsia" w:ascii="微软雅黑" w:hAnsi="微软雅黑" w:eastAsia="微软雅黑" w:cs="微软雅黑"/>
          <w:sz w:val="24"/>
          <w:szCs w:val="24"/>
          <w:lang w:val="en-US" w:eastAsia="zh-CN"/>
        </w:rPr>
        <w:t>2</w:t>
      </w:r>
      <w:r>
        <w:rPr>
          <w:rFonts w:hint="eastAsia" w:ascii="仿宋" w:eastAsia="仿宋" w:cs="Times New Roman"/>
          <w:sz w:val="24"/>
          <w:szCs w:val="24"/>
          <w:lang w:eastAsia="zh-CN"/>
        </w:rPr>
        <w:t>.</w:t>
      </w:r>
      <w:r>
        <w:rPr>
          <w:rFonts w:hint="eastAsia" w:ascii="仿宋" w:eastAsia="仿宋" w:cs="Times New Roman"/>
          <w:sz w:val="24"/>
          <w:szCs w:val="24"/>
        </w:rPr>
        <w:t>为保证本项目商品售后服务质量，投标人须提供原厂售后服务承诺函，原件加盖</w:t>
      </w:r>
      <w:r>
        <w:rPr>
          <w:rFonts w:hint="eastAsia" w:ascii="仿宋" w:eastAsia="仿宋" w:cs="Times New Roman"/>
          <w:sz w:val="24"/>
          <w:szCs w:val="24"/>
          <w:lang w:val="en-US" w:eastAsia="zh-CN"/>
        </w:rPr>
        <w:t>制造商及</w:t>
      </w:r>
      <w:r>
        <w:rPr>
          <w:rFonts w:hint="eastAsia" w:ascii="仿宋" w:eastAsia="仿宋" w:cs="Times New Roman"/>
          <w:sz w:val="24"/>
          <w:szCs w:val="24"/>
        </w:rPr>
        <w:t>投标人公章。</w:t>
      </w:r>
    </w:p>
    <w:p>
      <w:pPr>
        <w:pStyle w:val="35"/>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3</w:t>
      </w:r>
      <w:r>
        <w:rPr>
          <w:rFonts w:hint="eastAsia" w:ascii="仿宋" w:eastAsia="仿宋" w:cs="Times New Roman"/>
          <w:sz w:val="24"/>
          <w:szCs w:val="24"/>
          <w:lang w:eastAsia="zh-CN"/>
        </w:rPr>
        <w:t>.</w:t>
      </w:r>
      <w:r>
        <w:rPr>
          <w:rFonts w:hint="eastAsia" w:ascii="仿宋" w:eastAsia="仿宋" w:cs="Times New Roman"/>
          <w:sz w:val="24"/>
          <w:szCs w:val="24"/>
        </w:rPr>
        <w:t>所投产品必须为原厂全新整机，不接受定制产品。</w:t>
      </w:r>
    </w:p>
    <w:p>
      <w:pPr>
        <w:pStyle w:val="35"/>
        <w:spacing w:line="360" w:lineRule="auto"/>
        <w:ind w:firstLine="480" w:firstLineChars="200"/>
        <w:rPr>
          <w:rFonts w:hint="eastAsia" w:ascii="仿宋" w:eastAsia="仿宋" w:cs="Times New Roman"/>
          <w:sz w:val="24"/>
          <w:szCs w:val="24"/>
          <w:lang w:val="en-US" w:eastAsia="zh-CN"/>
        </w:rPr>
      </w:pPr>
      <w:r>
        <w:rPr>
          <w:rFonts w:hint="eastAsia" w:ascii="微软雅黑" w:hAnsi="微软雅黑" w:eastAsia="微软雅黑" w:cs="微软雅黑"/>
          <w:sz w:val="24"/>
          <w:szCs w:val="24"/>
          <w:lang w:val="en-US" w:eastAsia="zh-CN"/>
        </w:rPr>
        <w:t>4</w:t>
      </w:r>
      <w:r>
        <w:rPr>
          <w:rFonts w:hint="eastAsia" w:ascii="仿宋" w:eastAsia="仿宋" w:cs="Times New Roman"/>
          <w:sz w:val="24"/>
          <w:szCs w:val="24"/>
          <w:lang w:val="en-US" w:eastAsia="zh-CN"/>
        </w:rPr>
        <w:t>.本项目为总价包干，成交价（签约合同价）即达到项目验收合格标准所需的所有费用，包括但不限于安装费、主材费、辅材费、调试费、运输费、二次转运费等所有费用。</w:t>
      </w:r>
    </w:p>
    <w:p>
      <w:pPr>
        <w:pStyle w:val="35"/>
        <w:spacing w:line="360" w:lineRule="auto"/>
        <w:ind w:firstLine="480" w:firstLineChars="200"/>
        <w:rPr>
          <w:rFonts w:hint="default" w:ascii="仿宋" w:eastAsia="仿宋" w:cs="Times New Roman"/>
          <w:sz w:val="24"/>
          <w:szCs w:val="24"/>
          <w:lang w:val="en-US" w:eastAsia="zh-CN"/>
        </w:rPr>
      </w:pPr>
      <w:r>
        <w:rPr>
          <w:rFonts w:hint="eastAsia" w:ascii="仿宋" w:eastAsia="仿宋" w:cs="Times New Roman"/>
          <w:sz w:val="24"/>
          <w:szCs w:val="24"/>
          <w:lang w:val="en-US" w:eastAsia="zh-CN"/>
        </w:rPr>
        <w:t>5、设备质保期≧2年。</w:t>
      </w:r>
    </w:p>
    <w:p>
      <w:pPr>
        <w:pStyle w:val="3"/>
        <w:spacing w:before="0" w:after="0" w:line="360" w:lineRule="auto"/>
        <w:jc w:val="center"/>
        <w:rPr>
          <w:rFonts w:ascii="仿宋" w:hAnsi="仿宋" w:eastAsia="仿宋"/>
          <w:b/>
          <w:bCs/>
          <w:sz w:val="36"/>
          <w:szCs w:val="30"/>
        </w:rPr>
      </w:pPr>
      <w:bookmarkStart w:id="41" w:name="_Toc251"/>
      <w:r>
        <w:rPr>
          <w:rFonts w:hint="eastAsia" w:ascii="仿宋" w:hAnsi="仿宋" w:eastAsia="仿宋"/>
          <w:b/>
          <w:bCs/>
          <w:sz w:val="36"/>
          <w:szCs w:val="30"/>
        </w:rPr>
        <w:t>第三篇</w:t>
      </w:r>
      <w:bookmarkEnd w:id="32"/>
      <w:r>
        <w:rPr>
          <w:rFonts w:hint="eastAsia" w:ascii="仿宋" w:hAnsi="仿宋" w:eastAsia="仿宋"/>
          <w:b/>
          <w:bCs/>
          <w:sz w:val="36"/>
          <w:szCs w:val="30"/>
        </w:rPr>
        <w:t xml:space="preserve"> 采购项目商务需求</w:t>
      </w:r>
      <w:bookmarkEnd w:id="40"/>
      <w:bookmarkEnd w:id="41"/>
    </w:p>
    <w:p>
      <w:pPr>
        <w:pStyle w:val="4"/>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42" w:name="_Toc13038"/>
      <w:bookmarkStart w:id="43" w:name="_Toc7640"/>
      <w:bookmarkStart w:id="44" w:name="_Toc19343"/>
      <w:r>
        <w:rPr>
          <w:rFonts w:hint="eastAsia" w:ascii="仿宋" w:hAnsi="仿宋" w:eastAsia="仿宋"/>
          <w:sz w:val="24"/>
          <w:szCs w:val="24"/>
          <w:lang w:eastAsia="zh-CN"/>
        </w:rPr>
        <w:t>一、</w:t>
      </w:r>
      <w:r>
        <w:rPr>
          <w:rFonts w:hint="eastAsia" w:ascii="仿宋" w:hAnsi="仿宋" w:eastAsia="仿宋"/>
          <w:sz w:val="24"/>
          <w:szCs w:val="24"/>
          <w:lang w:val="en-US" w:eastAsia="zh-CN"/>
        </w:rPr>
        <w:t>交货</w:t>
      </w:r>
      <w:r>
        <w:rPr>
          <w:rFonts w:hint="eastAsia" w:ascii="仿宋" w:hAnsi="仿宋" w:eastAsia="仿宋"/>
          <w:sz w:val="24"/>
          <w:szCs w:val="24"/>
        </w:rPr>
        <w:t>时间</w:t>
      </w:r>
      <w:r>
        <w:rPr>
          <w:rFonts w:hint="eastAsia" w:ascii="仿宋" w:hAnsi="仿宋" w:eastAsia="仿宋"/>
          <w:sz w:val="24"/>
          <w:szCs w:val="24"/>
          <w:lang w:eastAsia="zh-CN"/>
        </w:rPr>
        <w:t>、</w:t>
      </w:r>
      <w:r>
        <w:rPr>
          <w:rFonts w:hint="eastAsia" w:ascii="仿宋" w:hAnsi="仿宋" w:eastAsia="仿宋"/>
          <w:sz w:val="24"/>
          <w:szCs w:val="24"/>
        </w:rPr>
        <w:t>地点</w:t>
      </w:r>
      <w:r>
        <w:rPr>
          <w:rFonts w:hint="eastAsia" w:ascii="仿宋" w:hAnsi="仿宋" w:eastAsia="仿宋"/>
          <w:sz w:val="24"/>
          <w:szCs w:val="24"/>
          <w:lang w:eastAsia="zh-CN"/>
        </w:rPr>
        <w:t>、</w:t>
      </w:r>
      <w:r>
        <w:rPr>
          <w:rFonts w:hint="eastAsia" w:ascii="仿宋" w:hAnsi="仿宋" w:eastAsia="仿宋"/>
          <w:sz w:val="24"/>
          <w:szCs w:val="24"/>
        </w:rPr>
        <w:t>验收方式及报价方式</w:t>
      </w:r>
      <w:bookmarkEnd w:id="42"/>
      <w:bookmarkEnd w:id="43"/>
      <w:bookmarkEnd w:id="44"/>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bookmarkStart w:id="45" w:name="_Toc30218"/>
      <w:bookmarkStart w:id="46" w:name="_Toc506192852"/>
      <w:bookmarkStart w:id="47" w:name="_Toc24209"/>
      <w:r>
        <w:rPr>
          <w:rFonts w:hint="eastAsia" w:ascii="仿宋" w:eastAsia="仿宋"/>
          <w:sz w:val="24"/>
          <w:szCs w:val="24"/>
        </w:rPr>
        <w:t>（一）</w:t>
      </w:r>
      <w:r>
        <w:rPr>
          <w:rFonts w:hint="eastAsia" w:ascii="仿宋" w:eastAsia="仿宋"/>
          <w:sz w:val="24"/>
          <w:szCs w:val="24"/>
          <w:lang w:val="en-US" w:eastAsia="zh-CN"/>
        </w:rPr>
        <w:t>交货</w:t>
      </w:r>
      <w:r>
        <w:rPr>
          <w:rFonts w:hint="eastAsia" w:ascii="仿宋" w:eastAsia="仿宋"/>
          <w:sz w:val="24"/>
          <w:szCs w:val="24"/>
        </w:rPr>
        <w:t>时间</w:t>
      </w:r>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r>
        <w:rPr>
          <w:rFonts w:hint="eastAsia" w:ascii="仿宋" w:eastAsia="仿宋"/>
          <w:sz w:val="24"/>
          <w:szCs w:val="24"/>
          <w:lang w:val="en-US" w:eastAsia="zh-CN"/>
        </w:rPr>
        <w:t>交货</w:t>
      </w:r>
      <w:r>
        <w:rPr>
          <w:rFonts w:hint="eastAsia" w:ascii="仿宋" w:eastAsia="仿宋"/>
          <w:sz w:val="24"/>
          <w:szCs w:val="24"/>
        </w:rPr>
        <w:t>时间：</w:t>
      </w:r>
      <w:r>
        <w:rPr>
          <w:rFonts w:hint="eastAsia" w:ascii="仿宋" w:eastAsia="仿宋"/>
          <w:sz w:val="24"/>
          <w:szCs w:val="24"/>
          <w:lang w:val="en-US" w:eastAsia="zh-CN"/>
        </w:rPr>
        <w:t>签订合同10个工作日</w:t>
      </w:r>
      <w:r>
        <w:rPr>
          <w:rFonts w:hint="eastAsia" w:ascii="仿宋" w:eastAsia="仿宋"/>
          <w:sz w:val="24"/>
          <w:szCs w:val="24"/>
        </w:rPr>
        <w:t>。</w:t>
      </w:r>
    </w:p>
    <w:p>
      <w:pPr>
        <w:pStyle w:val="35"/>
        <w:pageBreakBefore w:val="0"/>
        <w:widowControl w:val="0"/>
        <w:numPr>
          <w:ilvl w:val="0"/>
          <w:numId w:val="14"/>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交货及安装</w:t>
      </w:r>
      <w:r>
        <w:rPr>
          <w:rFonts w:hint="eastAsia" w:ascii="仿宋" w:hAnsi="仿宋" w:eastAsia="仿宋"/>
          <w:sz w:val="24"/>
          <w:szCs w:val="24"/>
        </w:rPr>
        <w:t>地点</w:t>
      </w:r>
    </w:p>
    <w:p>
      <w:pPr>
        <w:pStyle w:val="35"/>
        <w:pageBreakBefore w:val="0"/>
        <w:widowControl w:val="0"/>
        <w:numPr>
          <w:ilvl w:val="0"/>
          <w:numId w:val="0"/>
        </w:numPr>
        <w:kinsoku/>
        <w:wordWrap/>
        <w:overflowPunct/>
        <w:topLinePunct w:val="0"/>
        <w:autoSpaceDE/>
        <w:autoSpaceDN/>
        <w:bidi w:val="0"/>
        <w:adjustRightIn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采购人指定地点</w:t>
      </w:r>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（三）验收方式</w:t>
      </w:r>
    </w:p>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采购人组织验收，成交供应商予以协助。</w:t>
      </w:r>
    </w:p>
    <w:p>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（四）报价方式</w:t>
      </w:r>
      <w:bookmarkStart w:id="48" w:name="_Toc530694353"/>
    </w:p>
    <w:bookmarkEnd w:id="48"/>
    <w:p>
      <w:pPr>
        <w:pStyle w:val="35"/>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bookmarkStart w:id="49" w:name="_Toc24284"/>
      <w:bookmarkStart w:id="50" w:name="_Toc32652"/>
      <w:bookmarkStart w:id="51" w:name="_Toc11730"/>
      <w:bookmarkStart w:id="52" w:name="_Toc4713"/>
      <w:r>
        <w:rPr>
          <w:rFonts w:hint="eastAsia" w:ascii="仿宋" w:hAnsi="仿宋" w:eastAsia="仿宋" w:cs="仿宋"/>
          <w:sz w:val="24"/>
          <w:szCs w:val="24"/>
        </w:rPr>
        <w:t>本次报价为人民币报价，</w:t>
      </w:r>
      <w:r>
        <w:rPr>
          <w:rFonts w:hint="eastAsia" w:ascii="仿宋" w:hAnsi="仿宋" w:eastAsia="仿宋" w:cs="仿宋"/>
          <w:sz w:val="24"/>
          <w:szCs w:val="24"/>
          <w:lang w:val="en-US" w:eastAsia="zh-CN"/>
        </w:rPr>
        <w:t>总价包干，投标</w:t>
      </w:r>
      <w:r>
        <w:rPr>
          <w:rFonts w:hint="eastAsia" w:ascii="仿宋" w:hAnsi="仿宋" w:eastAsia="仿宋" w:cs="仿宋"/>
          <w:sz w:val="24"/>
          <w:szCs w:val="24"/>
        </w:rPr>
        <w:t>报价</w:t>
      </w:r>
      <w:bookmarkEnd w:id="49"/>
      <w:bookmarkEnd w:id="50"/>
      <w:bookmarkEnd w:id="51"/>
      <w:bookmarkEnd w:id="52"/>
      <w:bookmarkStart w:id="53" w:name="_Toc8644"/>
      <w:r>
        <w:rPr>
          <w:rFonts w:hint="eastAsia" w:ascii="仿宋" w:hAnsi="仿宋" w:eastAsia="仿宋" w:cs="仿宋"/>
          <w:sz w:val="24"/>
          <w:szCs w:val="24"/>
          <w:lang w:eastAsia="zh-CN"/>
        </w:rPr>
        <w:t>即</w:t>
      </w:r>
      <w:r>
        <w:rPr>
          <w:rFonts w:hint="eastAsia" w:ascii="仿宋" w:eastAsia="仿宋" w:cs="Times New Roman"/>
          <w:sz w:val="24"/>
          <w:szCs w:val="24"/>
          <w:lang w:val="en-US" w:eastAsia="zh-CN"/>
        </w:rPr>
        <w:t>达到项目验收合格标准所需的所有费用，包括但不限于安装费、主材费、辅材费、调试费、运输费、二次转运费等所有费用。</w:t>
      </w:r>
    </w:p>
    <w:p>
      <w:pPr>
        <w:pStyle w:val="4"/>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54" w:name="_Toc30148"/>
      <w:r>
        <w:rPr>
          <w:rFonts w:hint="eastAsia" w:ascii="仿宋" w:hAnsi="仿宋" w:eastAsia="仿宋"/>
          <w:sz w:val="24"/>
          <w:szCs w:val="24"/>
          <w:lang w:eastAsia="zh-CN"/>
        </w:rPr>
        <w:t>二、</w:t>
      </w:r>
      <w:r>
        <w:rPr>
          <w:rFonts w:hint="eastAsia" w:ascii="仿宋" w:hAnsi="仿宋" w:eastAsia="仿宋"/>
          <w:sz w:val="24"/>
          <w:szCs w:val="24"/>
        </w:rPr>
        <w:t>付款方式</w:t>
      </w:r>
      <w:bookmarkEnd w:id="45"/>
      <w:bookmarkEnd w:id="46"/>
      <w:bookmarkEnd w:id="47"/>
      <w:bookmarkEnd w:id="53"/>
      <w:bookmarkEnd w:id="54"/>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bookmarkStart w:id="55" w:name="_Toc344475123"/>
      <w:bookmarkStart w:id="56" w:name="_Toc506192854"/>
      <w:bookmarkStart w:id="57" w:name="_Toc24069"/>
      <w:bookmarkStart w:id="58" w:name="_Toc414610283"/>
      <w:bookmarkStart w:id="59" w:name="_Toc16472"/>
      <w:bookmarkStart w:id="60" w:name="_Toc24177"/>
      <w:r>
        <w:rPr>
          <w:rFonts w:hint="eastAsia" w:ascii="仿宋" w:hAnsi="仿宋" w:eastAsia="仿宋" w:cs="仿宋"/>
          <w:kern w:val="2"/>
          <w:sz w:val="24"/>
          <w:szCs w:val="24"/>
          <w:highlight w:val="none"/>
          <w:lang w:val="en-US" w:eastAsia="zh-CN" w:bidi="ar-SA"/>
        </w:rPr>
        <w:t>在经采购人组织综合验收合格后，中标人出具相应金额的正式发票，采购人根据沙坪坝区财政制度及支付流程全额支付合同金额；</w:t>
      </w:r>
    </w:p>
    <w:p>
      <w:pPr>
        <w:pStyle w:val="4"/>
        <w:pageBreakBefore w:val="0"/>
        <w:widowControl w:val="0"/>
        <w:kinsoku/>
        <w:wordWrap/>
        <w:overflowPunct/>
        <w:topLinePunct w:val="0"/>
        <w:autoSpaceDE/>
        <w:autoSpaceDN/>
        <w:bidi w:val="0"/>
        <w:adjustRightInd/>
        <w:spacing w:before="0" w:after="0" w:line="480" w:lineRule="exact"/>
        <w:textAlignment w:val="auto"/>
        <w:rPr>
          <w:rFonts w:hint="eastAsia" w:ascii="仿宋" w:hAnsi="仿宋" w:eastAsia="仿宋" w:cs="Times New Roman"/>
          <w:sz w:val="24"/>
          <w:szCs w:val="24"/>
        </w:rPr>
      </w:pPr>
      <w:bookmarkStart w:id="61" w:name="_Toc549"/>
      <w:r>
        <w:rPr>
          <w:rFonts w:hint="eastAsia" w:ascii="仿宋" w:hAnsi="仿宋" w:eastAsia="仿宋" w:cs="Times New Roman"/>
          <w:sz w:val="24"/>
          <w:szCs w:val="24"/>
          <w:lang w:eastAsia="zh-CN"/>
        </w:rPr>
        <w:t>三、</w:t>
      </w:r>
      <w:r>
        <w:rPr>
          <w:rFonts w:hint="eastAsia" w:ascii="仿宋" w:hAnsi="仿宋" w:eastAsia="仿宋" w:cs="Times New Roman"/>
          <w:sz w:val="24"/>
          <w:szCs w:val="24"/>
        </w:rPr>
        <w:t>知识产权</w:t>
      </w:r>
      <w:bookmarkEnd w:id="55"/>
      <w:bookmarkEnd w:id="56"/>
      <w:bookmarkEnd w:id="57"/>
      <w:bookmarkEnd w:id="58"/>
      <w:bookmarkEnd w:id="59"/>
      <w:bookmarkEnd w:id="60"/>
      <w:bookmarkEnd w:id="61"/>
    </w:p>
    <w:p>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采购人在中华人民共和国境内使用成交供应商提供的项目内容及服务时免受第三方提出的侵犯其专利权或</w:t>
      </w:r>
      <w:r>
        <w:rPr>
          <w:rFonts w:hint="eastAsia" w:ascii="仿宋" w:hAnsi="仿宋" w:eastAsia="仿宋"/>
          <w:sz w:val="24"/>
          <w:szCs w:val="24"/>
          <w:lang w:eastAsia="zh-CN"/>
        </w:rPr>
        <w:t>其他</w:t>
      </w:r>
      <w:r>
        <w:rPr>
          <w:rFonts w:hint="eastAsia" w:ascii="仿宋" w:hAnsi="仿宋" w:eastAsia="仿宋"/>
          <w:sz w:val="24"/>
          <w:szCs w:val="24"/>
        </w:rPr>
        <w:t>知识产权的起诉。如果第三方提出侵权指控，成交供应商应承担由此而引起的一切法律责任和费用。</w:t>
      </w:r>
    </w:p>
    <w:p>
      <w:pPr>
        <w:pStyle w:val="4"/>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62" w:name="_Toc390"/>
      <w:bookmarkStart w:id="63" w:name="_Toc414610285"/>
      <w:bookmarkStart w:id="64" w:name="_Toc21712"/>
      <w:bookmarkStart w:id="65" w:name="_Toc9614"/>
      <w:bookmarkStart w:id="66" w:name="_Toc31551"/>
      <w:bookmarkStart w:id="67" w:name="_Toc506192855"/>
      <w:r>
        <w:rPr>
          <w:rFonts w:hint="eastAsia" w:ascii="仿宋" w:hAnsi="仿宋" w:eastAsia="仿宋"/>
          <w:sz w:val="24"/>
          <w:szCs w:val="24"/>
          <w:lang w:eastAsia="zh-CN"/>
        </w:rPr>
        <w:t>四、</w:t>
      </w:r>
      <w:bookmarkStart w:id="68" w:name="_Toc344475125"/>
      <w:r>
        <w:rPr>
          <w:rFonts w:hint="eastAsia" w:ascii="仿宋" w:hAnsi="仿宋" w:eastAsia="仿宋"/>
          <w:sz w:val="24"/>
          <w:szCs w:val="24"/>
        </w:rPr>
        <w:t>其他</w:t>
      </w:r>
      <w:bookmarkEnd w:id="62"/>
      <w:bookmarkEnd w:id="63"/>
      <w:bookmarkEnd w:id="64"/>
      <w:bookmarkEnd w:id="65"/>
      <w:bookmarkEnd w:id="66"/>
      <w:bookmarkEnd w:id="67"/>
    </w:p>
    <w:bookmarkEnd w:id="68"/>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（一）供应商必须在响应文件中对以上条款和服务承诺明确列出，承诺内容必须达到本篇及采购文件其他条款的要求。</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eastAsia="仿宋" w:cs="仿宋"/>
          <w:sz w:val="24"/>
          <w:szCs w:val="24"/>
          <w:lang w:eastAsia="zh-CN"/>
        </w:rPr>
      </w:pPr>
      <w:r>
        <w:rPr>
          <w:rFonts w:hint="eastAsia" w:ascii="仿宋" w:eastAsia="仿宋" w:cs="仿宋"/>
          <w:sz w:val="24"/>
          <w:szCs w:val="24"/>
          <w:lang w:eastAsia="zh-CN"/>
        </w:rPr>
        <w:t>（</w:t>
      </w:r>
      <w:r>
        <w:rPr>
          <w:rFonts w:hint="eastAsia" w:ascii="仿宋" w:eastAsia="仿宋" w:cs="仿宋"/>
          <w:sz w:val="24"/>
          <w:szCs w:val="24"/>
          <w:lang w:val="en-US" w:eastAsia="zh-CN"/>
        </w:rPr>
        <w:t>二</w:t>
      </w:r>
      <w:r>
        <w:rPr>
          <w:rFonts w:hint="eastAsia" w:ascii="仿宋" w:eastAsia="仿宋" w:cs="仿宋"/>
          <w:sz w:val="24"/>
          <w:szCs w:val="24"/>
          <w:lang w:eastAsia="zh-CN"/>
        </w:rPr>
        <w:t>）施工</w:t>
      </w:r>
      <w:r>
        <w:rPr>
          <w:rFonts w:hint="eastAsia" w:ascii="仿宋" w:eastAsia="仿宋" w:cs="仿宋"/>
          <w:sz w:val="24"/>
          <w:szCs w:val="24"/>
          <w:lang w:val="en-US" w:eastAsia="zh-CN"/>
        </w:rPr>
        <w:t>过程</w:t>
      </w:r>
      <w:r>
        <w:rPr>
          <w:rFonts w:hint="eastAsia" w:ascii="仿宋" w:eastAsia="仿宋" w:cs="仿宋"/>
          <w:sz w:val="24"/>
          <w:szCs w:val="24"/>
          <w:lang w:eastAsia="zh-CN"/>
        </w:rPr>
        <w:t>中的安全责任由</w:t>
      </w:r>
      <w:r>
        <w:rPr>
          <w:rFonts w:hint="eastAsia" w:ascii="仿宋" w:eastAsia="仿宋" w:cs="仿宋"/>
          <w:sz w:val="24"/>
          <w:szCs w:val="24"/>
          <w:lang w:val="en-US" w:eastAsia="zh-CN"/>
        </w:rPr>
        <w:t>成交供应商</w:t>
      </w:r>
      <w:r>
        <w:rPr>
          <w:rFonts w:hint="eastAsia" w:ascii="仿宋" w:eastAsia="仿宋" w:cs="仿宋"/>
          <w:sz w:val="24"/>
          <w:szCs w:val="24"/>
          <w:lang w:eastAsia="zh-CN"/>
        </w:rPr>
        <w:t>承担，</w:t>
      </w:r>
      <w:r>
        <w:rPr>
          <w:rFonts w:hint="eastAsia" w:ascii="仿宋" w:eastAsia="仿宋" w:cs="仿宋"/>
          <w:sz w:val="24"/>
          <w:szCs w:val="24"/>
          <w:lang w:val="en-US" w:eastAsia="zh-CN"/>
        </w:rPr>
        <w:t>采购人</w:t>
      </w:r>
      <w:r>
        <w:rPr>
          <w:rFonts w:hint="eastAsia" w:ascii="仿宋" w:eastAsia="仿宋" w:cs="仿宋"/>
          <w:sz w:val="24"/>
          <w:szCs w:val="24"/>
          <w:lang w:eastAsia="zh-CN"/>
        </w:rPr>
        <w:t>不承担任何安全责任。</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三</w:t>
      </w:r>
      <w:r>
        <w:rPr>
          <w:rFonts w:hint="eastAsia" w:ascii="仿宋" w:eastAsia="仿宋" w:cs="仿宋"/>
          <w:sz w:val="24"/>
          <w:szCs w:val="24"/>
        </w:rPr>
        <w:t>）其他未尽事宜由供需双方在采购合同中详细约定。</w:t>
      </w:r>
    </w:p>
    <w:p>
      <w:pPr>
        <w:pStyle w:val="3"/>
        <w:pageBreakBefore/>
        <w:spacing w:before="0" w:after="0" w:line="360" w:lineRule="auto"/>
        <w:jc w:val="center"/>
        <w:rPr>
          <w:rFonts w:hint="eastAsia" w:ascii="仿宋" w:hAnsi="仿宋" w:eastAsia="仿宋"/>
          <w:b/>
          <w:bCs/>
          <w:spacing w:val="-11"/>
          <w:sz w:val="36"/>
          <w:szCs w:val="30"/>
          <w:lang w:eastAsia="zh-CN"/>
        </w:rPr>
      </w:pPr>
      <w:bookmarkStart w:id="69" w:name="_Toc20152"/>
      <w:bookmarkStart w:id="70" w:name="_Toc13058"/>
      <w:r>
        <w:rPr>
          <w:rFonts w:hint="eastAsia" w:ascii="仿宋" w:hAnsi="仿宋" w:eastAsia="仿宋"/>
          <w:b/>
          <w:bCs/>
          <w:spacing w:val="-11"/>
          <w:sz w:val="36"/>
          <w:szCs w:val="30"/>
        </w:rPr>
        <w:t xml:space="preserve">第四篇 </w:t>
      </w:r>
      <w:bookmarkEnd w:id="69"/>
      <w:r>
        <w:rPr>
          <w:rFonts w:hint="eastAsia" w:ascii="仿宋" w:hAnsi="仿宋" w:eastAsia="仿宋"/>
          <w:b/>
          <w:bCs/>
          <w:spacing w:val="-11"/>
          <w:sz w:val="36"/>
          <w:szCs w:val="30"/>
          <w:lang w:val="en-US" w:eastAsia="zh-CN"/>
        </w:rPr>
        <w:t>评标办法</w:t>
      </w:r>
      <w:bookmarkEnd w:id="70"/>
    </w:p>
    <w:p>
      <w:pPr>
        <w:pStyle w:val="4"/>
        <w:spacing w:before="0" w:after="0" w:line="360" w:lineRule="auto"/>
        <w:rPr>
          <w:rFonts w:hint="eastAsia" w:ascii="仿宋" w:hAnsi="仿宋" w:eastAsia="仿宋"/>
          <w:sz w:val="24"/>
          <w:szCs w:val="24"/>
          <w:lang w:eastAsia="zh-CN"/>
        </w:rPr>
      </w:pPr>
      <w:bookmarkStart w:id="71" w:name="_Toc13797"/>
      <w:bookmarkStart w:id="72" w:name="_Toc30753"/>
      <w:r>
        <w:rPr>
          <w:rFonts w:hint="eastAsia" w:ascii="仿宋" w:hAnsi="仿宋" w:eastAsia="仿宋"/>
          <w:sz w:val="24"/>
          <w:szCs w:val="24"/>
          <w:lang w:eastAsia="zh-CN"/>
        </w:rPr>
        <w:t>一、</w:t>
      </w:r>
      <w:bookmarkEnd w:id="71"/>
      <w:r>
        <w:rPr>
          <w:rFonts w:hint="eastAsia" w:ascii="仿宋" w:hAnsi="仿宋" w:eastAsia="仿宋"/>
          <w:sz w:val="24"/>
          <w:szCs w:val="24"/>
          <w:lang w:val="en-US" w:eastAsia="zh-CN"/>
        </w:rPr>
        <w:t>评标程序</w:t>
      </w:r>
      <w:bookmarkEnd w:id="72"/>
    </w:p>
    <w:p>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w:t>
      </w:r>
      <w:r>
        <w:rPr>
          <w:rFonts w:hint="eastAsia" w:ascii="仿宋" w:hAnsi="仿宋" w:eastAsia="仿宋"/>
          <w:sz w:val="24"/>
          <w:szCs w:val="24"/>
          <w:lang w:eastAsia="zh-CN"/>
        </w:rPr>
        <w:t>、</w:t>
      </w:r>
      <w:r>
        <w:rPr>
          <w:rFonts w:hint="eastAsia" w:ascii="仿宋" w:hAnsi="仿宋" w:eastAsia="仿宋"/>
          <w:sz w:val="24"/>
          <w:szCs w:val="24"/>
        </w:rPr>
        <w:t>响应文件的有效性</w:t>
      </w:r>
      <w:r>
        <w:rPr>
          <w:rFonts w:hint="eastAsia" w:ascii="仿宋" w:hAnsi="仿宋" w:eastAsia="仿宋"/>
          <w:sz w:val="24"/>
          <w:szCs w:val="24"/>
          <w:lang w:eastAsia="zh-CN"/>
        </w:rPr>
        <w:t>、</w:t>
      </w:r>
      <w:r>
        <w:rPr>
          <w:rFonts w:hint="eastAsia" w:ascii="仿宋" w:hAnsi="仿宋" w:eastAsia="仿宋"/>
          <w:sz w:val="24"/>
          <w:szCs w:val="24"/>
        </w:rPr>
        <w:t>完整性和响应程度进行审查。</w:t>
      </w:r>
    </w:p>
    <w:p>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资格性检查。依据法律法规和网上竞采文件的规定，对响应文件中的资格证明进行审查。资格性检查资料表如下：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pPr>
              <w:spacing w:line="240" w:lineRule="exact"/>
              <w:jc w:val="lef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pPr>
              <w:spacing w:line="240" w:lineRule="exac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pPr>
              <w:spacing w:line="240" w:lineRule="exac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pPr>
              <w:spacing w:line="240" w:lineRule="exact"/>
              <w:rPr>
                <w:rFonts w:hint="eastAsia" w:ascii="仿宋" w:hAnsi="仿宋" w:eastAsia="仿宋"/>
                <w:sz w:val="22"/>
                <w:szCs w:val="22"/>
                <w:lang w:eastAsia="zh-CN"/>
              </w:rPr>
            </w:pPr>
            <w:r>
              <w:rPr>
                <w:rFonts w:hint="eastAsia" w:ascii="仿宋" w:hAnsi="仿宋" w:eastAsia="仿宋"/>
                <w:sz w:val="22"/>
                <w:szCs w:val="22"/>
              </w:rPr>
              <w:t>2.采购人或采购代理机构将通过 “信用中国”网站</w:t>
            </w:r>
            <w:r>
              <w:rPr>
                <w:rFonts w:hint="eastAsia" w:ascii="仿宋" w:hAnsi="仿宋" w:eastAsia="仿宋"/>
                <w:sz w:val="22"/>
                <w:szCs w:val="22"/>
                <w:lang w:eastAsia="zh-CN"/>
              </w:rPr>
              <w:t>（</w:t>
            </w:r>
            <w:r>
              <w:rPr>
                <w:rFonts w:hint="eastAsia" w:ascii="仿宋" w:hAnsi="仿宋" w:eastAsia="仿宋"/>
                <w:sz w:val="22"/>
                <w:szCs w:val="22"/>
              </w:rPr>
              <w:t>www.creditchina.gov.cn</w:t>
            </w:r>
            <w:r>
              <w:rPr>
                <w:rFonts w:hint="eastAsia" w:ascii="仿宋" w:hAnsi="仿宋" w:eastAsia="仿宋"/>
                <w:sz w:val="22"/>
                <w:szCs w:val="22"/>
                <w:lang w:eastAsia="zh-CN"/>
              </w:rPr>
              <w:t>）.</w:t>
            </w:r>
          </w:p>
          <w:p>
            <w:pPr>
              <w:spacing w:line="240" w:lineRule="exact"/>
              <w:rPr>
                <w:rFonts w:ascii="仿宋" w:hAnsi="仿宋" w:eastAsia="仿宋"/>
                <w:sz w:val="22"/>
                <w:szCs w:val="22"/>
              </w:rPr>
            </w:pPr>
            <w:r>
              <w:rPr>
                <w:rFonts w:hint="eastAsia" w:ascii="仿宋" w:hAnsi="仿宋" w:eastAsia="仿宋"/>
                <w:sz w:val="22"/>
                <w:szCs w:val="22"/>
                <w:lang w:eastAsia="zh-CN"/>
              </w:rPr>
              <w:t>“</w:t>
            </w:r>
            <w:r>
              <w:rPr>
                <w:rFonts w:hint="eastAsia" w:ascii="仿宋" w:hAnsi="仿宋" w:eastAsia="仿宋"/>
                <w:sz w:val="22"/>
                <w:szCs w:val="22"/>
              </w:rPr>
              <w:t>中国政府采购网</w:t>
            </w:r>
            <w:r>
              <w:rPr>
                <w:rFonts w:hint="eastAsia" w:ascii="仿宋" w:hAnsi="仿宋" w:eastAsia="仿宋"/>
                <w:sz w:val="22"/>
                <w:szCs w:val="22"/>
                <w:lang w:eastAsia="zh-CN"/>
              </w:rPr>
              <w:t>”（</w:t>
            </w:r>
            <w:r>
              <w:rPr>
                <w:rFonts w:hint="eastAsia" w:ascii="仿宋" w:hAnsi="仿宋" w:eastAsia="仿宋"/>
                <w:sz w:val="22"/>
                <w:szCs w:val="22"/>
              </w:rPr>
              <w:t>www.ccgp.gov.cn</w:t>
            </w:r>
            <w:r>
              <w:rPr>
                <w:rFonts w:hint="eastAsia" w:ascii="仿宋" w:hAnsi="仿宋" w:eastAsia="仿宋"/>
                <w:sz w:val="22"/>
                <w:szCs w:val="22"/>
                <w:lang w:eastAsia="zh-CN"/>
              </w:rPr>
              <w:t>）</w:t>
            </w:r>
            <w:r>
              <w:rPr>
                <w:rFonts w:hint="eastAsia" w:ascii="仿宋" w:hAnsi="仿宋" w:eastAsia="仿宋"/>
                <w:sz w:val="22"/>
                <w:szCs w:val="22"/>
              </w:rPr>
              <w:t>等渠道查询投标人信用记录，对列入失信被执行人</w:t>
            </w:r>
            <w:r>
              <w:rPr>
                <w:rFonts w:hint="eastAsia" w:ascii="仿宋" w:hAnsi="仿宋" w:eastAsia="仿宋"/>
                <w:sz w:val="22"/>
                <w:szCs w:val="22"/>
                <w:lang w:eastAsia="zh-CN"/>
              </w:rPr>
              <w:t>、</w:t>
            </w:r>
            <w:r>
              <w:rPr>
                <w:rFonts w:hint="eastAsia" w:ascii="仿宋" w:hAnsi="仿宋" w:eastAsia="仿宋"/>
                <w:sz w:val="22"/>
                <w:szCs w:val="22"/>
              </w:rPr>
              <w:t>重大税收违法案件当事人名单</w:t>
            </w:r>
            <w:r>
              <w:rPr>
                <w:rFonts w:hint="eastAsia" w:ascii="仿宋" w:hAnsi="仿宋" w:eastAsia="仿宋"/>
                <w:sz w:val="22"/>
                <w:szCs w:val="22"/>
                <w:lang w:eastAsia="zh-CN"/>
              </w:rPr>
              <w:t>、</w:t>
            </w:r>
            <w:r>
              <w:rPr>
                <w:rFonts w:hint="eastAsia" w:ascii="仿宋" w:hAnsi="仿宋" w:eastAsia="仿宋"/>
                <w:sz w:val="22"/>
                <w:szCs w:val="22"/>
              </w:rPr>
              <w:t>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ascii="仿宋" w:hAnsi="仿宋" w:eastAsia="仿宋"/>
                <w:sz w:val="22"/>
                <w:szCs w:val="22"/>
              </w:rPr>
              <w:t>（6）法律</w:t>
            </w:r>
            <w:r>
              <w:rPr>
                <w:rFonts w:hint="eastAsia" w:ascii="仿宋" w:hAnsi="仿宋" w:eastAsia="仿宋"/>
                <w:sz w:val="22"/>
                <w:szCs w:val="22"/>
                <w:lang w:eastAsia="zh-CN"/>
              </w:rPr>
              <w:t>、</w:t>
            </w:r>
            <w:r>
              <w:rPr>
                <w:rFonts w:ascii="仿宋" w:hAnsi="仿宋" w:eastAsia="仿宋"/>
                <w:sz w:val="22"/>
                <w:szCs w:val="22"/>
              </w:rPr>
              <w:t>行政法规规定的其他条件</w:t>
            </w:r>
          </w:p>
        </w:tc>
        <w:tc>
          <w:tcPr>
            <w:tcW w:w="4852" w:type="dxa"/>
            <w:vAlign w:val="center"/>
          </w:tcPr>
          <w:p>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pPr>
              <w:spacing w:line="240" w:lineRule="exact"/>
              <w:jc w:val="center"/>
              <w:rPr>
                <w:rFonts w:ascii="仿宋" w:hAnsi="仿宋" w:eastAsia="仿宋"/>
                <w:sz w:val="22"/>
                <w:szCs w:val="22"/>
              </w:rPr>
            </w:pPr>
          </w:p>
        </w:tc>
        <w:tc>
          <w:tcPr>
            <w:tcW w:w="709" w:type="dxa"/>
            <w:vMerge w:val="continue"/>
            <w:vAlign w:val="center"/>
          </w:tcPr>
          <w:p>
            <w:pPr>
              <w:spacing w:line="240" w:lineRule="exact"/>
              <w:rPr>
                <w:rFonts w:ascii="仿宋" w:hAnsi="仿宋" w:eastAsia="仿宋" w:cs="仿宋_GB2312"/>
                <w:sz w:val="22"/>
                <w:szCs w:val="22"/>
                <w:lang w:val="zh-CN"/>
              </w:rPr>
            </w:pPr>
          </w:p>
        </w:tc>
        <w:tc>
          <w:tcPr>
            <w:tcW w:w="3391" w:type="dxa"/>
            <w:vAlign w:val="center"/>
          </w:tcPr>
          <w:p>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val="en-US" w:eastAsia="zh-CN"/>
        </w:rPr>
        <w:t>1.</w:t>
      </w:r>
      <w:r>
        <w:rPr>
          <w:rFonts w:hint="eastAsia" w:ascii="仿宋" w:hAnsi="仿宋" w:eastAsia="仿宋"/>
          <w:sz w:val="24"/>
          <w:szCs w:val="24"/>
        </w:rPr>
        <w:t>根据《中华人民共和国政府采购法实施条例》第十九条及财政部财库〔2022〕3号文规定，供应商在参加政府采购活动前三年内，若因违法经营受到刑事处罚，或受到责令停产停业、吊销许可证或执照、较大数额罚款等行政处罚的，即视为存在重大违法记录。行政处罚中“较大数额”的认定标准，按照政府采购项目所属行业监管部门的规定执行，无行业标准的参照地方政府规章或规范性文件，若均无明确规定，则罚款金视为较大数额罚款。</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w:t>
      </w:r>
      <w:r>
        <w:rPr>
          <w:rFonts w:hint="eastAsia" w:ascii="仿宋" w:hAnsi="仿宋" w:eastAsia="仿宋"/>
          <w:sz w:val="24"/>
          <w:szCs w:val="24"/>
          <w:lang w:val="en-US" w:eastAsia="zh-CN"/>
        </w:rPr>
        <w:t>根</w:t>
      </w:r>
      <w:r>
        <w:rPr>
          <w:rFonts w:hint="eastAsia" w:ascii="仿宋" w:hAnsi="仿宋" w:eastAsia="仿宋"/>
          <w:sz w:val="24"/>
          <w:szCs w:val="24"/>
        </w:rPr>
        <w:t>据网上竞采文件的规定，从响应文件的有效性</w:t>
      </w:r>
      <w:r>
        <w:rPr>
          <w:rFonts w:hint="eastAsia" w:ascii="仿宋" w:hAnsi="仿宋" w:eastAsia="仿宋"/>
          <w:sz w:val="24"/>
          <w:szCs w:val="24"/>
          <w:lang w:eastAsia="zh-CN"/>
        </w:rPr>
        <w:t>、</w:t>
      </w:r>
      <w:r>
        <w:rPr>
          <w:rFonts w:hint="eastAsia" w:ascii="仿宋" w:hAnsi="仿宋" w:eastAsia="仿宋"/>
          <w:sz w:val="24"/>
          <w:szCs w:val="24"/>
        </w:rPr>
        <w:t>完整性和对网上竞采文件的响应程度进行审查。符合性检查资料表如下：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CellMar>
            <w:top w:w="0" w:type="dxa"/>
            <w:left w:w="108" w:type="dxa"/>
            <w:bottom w:w="0" w:type="dxa"/>
            <w:right w:w="108" w:type="dxa"/>
          </w:tblCellMar>
        </w:tblPrEx>
        <w:trPr>
          <w:trHeight w:val="351" w:hRule="atLeast"/>
        </w:trPr>
        <w:tc>
          <w:tcPr>
            <w:tcW w:w="675" w:type="dxa"/>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sz w:val="22"/>
                <w:szCs w:val="22"/>
              </w:rPr>
            </w:pPr>
          </w:p>
        </w:tc>
        <w:tc>
          <w:tcPr>
            <w:tcW w:w="1984" w:type="dxa"/>
            <w:vAlign w:val="center"/>
          </w:tcPr>
          <w:p>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法定代表人身份证明及授权委托书有效，符合网上竞采文件规定的格式，签字或盖章齐全。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宋体"/>
                <w:kern w:val="0"/>
                <w:sz w:val="22"/>
                <w:szCs w:val="22"/>
              </w:rPr>
            </w:pPr>
          </w:p>
        </w:tc>
        <w:tc>
          <w:tcPr>
            <w:tcW w:w="1984" w:type="dxa"/>
            <w:vAlign w:val="center"/>
          </w:tcPr>
          <w:p>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宋体"/>
                <w:kern w:val="0"/>
                <w:sz w:val="22"/>
                <w:szCs w:val="22"/>
              </w:rPr>
            </w:pPr>
          </w:p>
        </w:tc>
        <w:tc>
          <w:tcPr>
            <w:tcW w:w="1984" w:type="dxa"/>
            <w:vAlign w:val="center"/>
          </w:tcPr>
          <w:p>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网上竞采文件的响应程度审查</w:t>
            </w:r>
          </w:p>
        </w:tc>
        <w:tc>
          <w:tcPr>
            <w:tcW w:w="1984"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pPr>
              <w:pStyle w:val="34"/>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第三篇规定的内容作出响应。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pPr>
              <w:spacing w:line="240" w:lineRule="exact"/>
              <w:jc w:val="center"/>
              <w:rPr>
                <w:rFonts w:ascii="仿宋" w:hAnsi="仿宋" w:eastAsia="仿宋" w:cs="宋体"/>
                <w:kern w:val="0"/>
                <w:sz w:val="22"/>
                <w:szCs w:val="22"/>
              </w:rPr>
            </w:pPr>
          </w:p>
        </w:tc>
        <w:tc>
          <w:tcPr>
            <w:tcW w:w="1560" w:type="dxa"/>
            <w:vMerge w:val="continue"/>
            <w:vAlign w:val="center"/>
          </w:tcPr>
          <w:p>
            <w:pPr>
              <w:spacing w:line="240" w:lineRule="exact"/>
              <w:rPr>
                <w:rFonts w:ascii="仿宋" w:hAnsi="仿宋" w:eastAsia="仿宋" w:cs="仿宋_GB2312"/>
                <w:sz w:val="22"/>
                <w:szCs w:val="22"/>
                <w:lang w:val="zh-CN"/>
              </w:rPr>
            </w:pPr>
          </w:p>
        </w:tc>
        <w:tc>
          <w:tcPr>
            <w:tcW w:w="1984"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pPr>
        <w:numPr>
          <w:ilvl w:val="0"/>
          <w:numId w:val="15"/>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w:t>
      </w:r>
      <w:r>
        <w:rPr>
          <w:rFonts w:hint="eastAsia" w:ascii="仿宋" w:hAnsi="仿宋" w:eastAsia="仿宋"/>
          <w:sz w:val="24"/>
          <w:szCs w:val="24"/>
          <w:lang w:eastAsia="zh-CN"/>
        </w:rPr>
        <w:t>、</w:t>
      </w:r>
      <w:r>
        <w:rPr>
          <w:rFonts w:hint="eastAsia" w:ascii="仿宋" w:hAnsi="仿宋" w:eastAsia="仿宋"/>
          <w:sz w:val="24"/>
          <w:szCs w:val="24"/>
        </w:rPr>
        <w:t>完整性和响应程度进行审查时，可以要求供应商对响应文件中含义不明确</w:t>
      </w:r>
      <w:r>
        <w:rPr>
          <w:rFonts w:hint="eastAsia" w:ascii="仿宋" w:hAnsi="仿宋" w:eastAsia="仿宋"/>
          <w:sz w:val="24"/>
          <w:szCs w:val="24"/>
          <w:lang w:eastAsia="zh-CN"/>
        </w:rPr>
        <w:t>、</w:t>
      </w:r>
      <w:r>
        <w:rPr>
          <w:rFonts w:hint="eastAsia" w:ascii="仿宋" w:hAnsi="仿宋" w:eastAsia="仿宋"/>
          <w:sz w:val="24"/>
          <w:szCs w:val="24"/>
        </w:rPr>
        <w:t>同类问题表述不一致或者有明显文字和计算错误的内容等作出必要的澄清</w:t>
      </w:r>
      <w:r>
        <w:rPr>
          <w:rFonts w:hint="eastAsia" w:ascii="仿宋" w:hAnsi="仿宋" w:eastAsia="仿宋"/>
          <w:sz w:val="24"/>
          <w:szCs w:val="24"/>
          <w:lang w:eastAsia="zh-CN"/>
        </w:rPr>
        <w:t>、</w:t>
      </w:r>
      <w:r>
        <w:rPr>
          <w:rFonts w:hint="eastAsia" w:ascii="仿宋" w:hAnsi="仿宋" w:eastAsia="仿宋"/>
          <w:sz w:val="24"/>
          <w:szCs w:val="24"/>
        </w:rPr>
        <w:t>说明或者更正。供应商的澄清</w:t>
      </w:r>
      <w:r>
        <w:rPr>
          <w:rFonts w:hint="eastAsia" w:ascii="仿宋" w:hAnsi="仿宋" w:eastAsia="仿宋"/>
          <w:sz w:val="24"/>
          <w:szCs w:val="24"/>
          <w:lang w:eastAsia="zh-CN"/>
        </w:rPr>
        <w:t>、</w:t>
      </w:r>
      <w:r>
        <w:rPr>
          <w:rFonts w:hint="eastAsia" w:ascii="仿宋" w:hAnsi="仿宋" w:eastAsia="仿宋"/>
          <w:sz w:val="24"/>
          <w:szCs w:val="24"/>
        </w:rPr>
        <w:t>说明或者更正不得超出响应文件的范围或者改变响应文件的实质性内容。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w:t>
      </w:r>
      <w:r>
        <w:rPr>
          <w:rFonts w:hint="eastAsia" w:ascii="仿宋" w:hAnsi="仿宋" w:eastAsia="仿宋"/>
          <w:sz w:val="24"/>
          <w:szCs w:val="24"/>
          <w:lang w:eastAsia="zh-CN"/>
        </w:rPr>
        <w:t>、</w:t>
      </w:r>
      <w:r>
        <w:rPr>
          <w:rFonts w:hint="eastAsia" w:ascii="仿宋" w:hAnsi="仿宋" w:eastAsia="仿宋"/>
          <w:sz w:val="24"/>
          <w:szCs w:val="24"/>
        </w:rPr>
        <w:t>说明或者更正应当由法定代表人或其授权代表签字或者加盖公章。由授权代表签字的，应当附法定代表人授权书。供应商为自然人的，应当由本人签字并附身份证明。</w:t>
      </w:r>
    </w:p>
    <w:p>
      <w:pPr>
        <w:numPr>
          <w:ilvl w:val="0"/>
          <w:numId w:val="15"/>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pPr>
        <w:numPr>
          <w:ilvl w:val="0"/>
          <w:numId w:val="16"/>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若出现两个及以上相同最低报价的，采购人以</w:t>
      </w:r>
      <w:r>
        <w:rPr>
          <w:rFonts w:hint="eastAsia" w:ascii="仿宋" w:hAnsi="仿宋" w:eastAsia="仿宋"/>
          <w:sz w:val="24"/>
          <w:szCs w:val="24"/>
          <w:lang w:val="en-US" w:eastAsia="zh-CN"/>
        </w:rPr>
        <w:t>竞采中心网上</w:t>
      </w:r>
      <w:r>
        <w:rPr>
          <w:rFonts w:hint="eastAsia" w:ascii="仿宋" w:hAnsi="仿宋" w:eastAsia="仿宋"/>
          <w:sz w:val="24"/>
          <w:szCs w:val="24"/>
        </w:rPr>
        <w:t>随机抽取方式决定中标候选人顺序。</w:t>
      </w:r>
    </w:p>
    <w:p>
      <w:pPr>
        <w:pStyle w:val="4"/>
        <w:spacing w:before="0" w:after="0" w:line="360" w:lineRule="auto"/>
        <w:rPr>
          <w:rFonts w:hint="eastAsia" w:ascii="仿宋" w:hAnsi="仿宋" w:eastAsia="仿宋" w:cs="Times New Roman"/>
          <w:sz w:val="24"/>
          <w:szCs w:val="24"/>
        </w:rPr>
      </w:pPr>
      <w:bookmarkStart w:id="73" w:name="_Toc32110"/>
      <w:bookmarkStart w:id="74" w:name="_Toc8893"/>
      <w:bookmarkStart w:id="75" w:name="_Toc102227320"/>
      <w:bookmarkStart w:id="76" w:name="_Toc342913394"/>
      <w:r>
        <w:rPr>
          <w:rFonts w:hint="eastAsia" w:ascii="仿宋" w:hAnsi="仿宋" w:eastAsia="仿宋" w:cs="Times New Roman"/>
          <w:sz w:val="24"/>
          <w:szCs w:val="24"/>
          <w:lang w:eastAsia="zh-CN"/>
        </w:rPr>
        <w:t>二、</w:t>
      </w:r>
      <w:r>
        <w:rPr>
          <w:rFonts w:hint="eastAsia" w:ascii="仿宋" w:hAnsi="仿宋" w:eastAsia="仿宋" w:cs="Times New Roman"/>
          <w:sz w:val="24"/>
          <w:szCs w:val="24"/>
        </w:rPr>
        <w:t>响应无效</w:t>
      </w:r>
      <w:bookmarkEnd w:id="73"/>
      <w:bookmarkEnd w:id="74"/>
    </w:p>
    <w:p>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pPr>
        <w:pStyle w:val="4"/>
        <w:spacing w:before="0" w:after="0" w:line="360" w:lineRule="auto"/>
        <w:rPr>
          <w:rFonts w:ascii="仿宋" w:hAnsi="仿宋" w:eastAsia="仿宋"/>
          <w:sz w:val="24"/>
          <w:szCs w:val="24"/>
        </w:rPr>
      </w:pPr>
      <w:bookmarkStart w:id="77" w:name="_Toc18788"/>
      <w:bookmarkStart w:id="78" w:name="_Toc24810"/>
      <w:r>
        <w:rPr>
          <w:rFonts w:hint="eastAsia" w:ascii="仿宋" w:hAnsi="仿宋" w:eastAsia="仿宋"/>
          <w:sz w:val="24"/>
          <w:szCs w:val="24"/>
          <w:lang w:eastAsia="zh-CN"/>
        </w:rPr>
        <w:t>三、</w:t>
      </w:r>
      <w:bookmarkEnd w:id="75"/>
      <w:bookmarkEnd w:id="76"/>
      <w:r>
        <w:rPr>
          <w:rFonts w:hint="eastAsia" w:ascii="仿宋" w:hAnsi="仿宋" w:eastAsia="仿宋"/>
          <w:sz w:val="24"/>
          <w:szCs w:val="24"/>
        </w:rPr>
        <w:t>采购终止</w:t>
      </w:r>
      <w:bookmarkEnd w:id="77"/>
      <w:bookmarkEnd w:id="78"/>
    </w:p>
    <w:p>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出现下列情形之一的，采购人或者采购代理机构应当终止网上竞采活动，发布项目终止公告并说明原因，重新开展采购活动：</w:t>
      </w:r>
    </w:p>
    <w:p>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（一）因情况变化，不再符合规定的网上竞采采购方式适用情形的。</w:t>
      </w:r>
    </w:p>
    <w:p>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w:t>
      </w:r>
      <w:r>
        <w:rPr>
          <w:rFonts w:hint="eastAsia" w:ascii="仿宋" w:hAnsi="仿宋" w:eastAsia="仿宋"/>
          <w:sz w:val="24"/>
          <w:szCs w:val="24"/>
          <w:lang w:eastAsia="zh-CN"/>
        </w:rPr>
        <w:t>、</w:t>
      </w:r>
      <w:r>
        <w:rPr>
          <w:rFonts w:hint="eastAsia" w:ascii="仿宋" w:hAnsi="仿宋" w:eastAsia="仿宋"/>
          <w:sz w:val="24"/>
          <w:szCs w:val="24"/>
        </w:rPr>
        <w:t>违规行为的。</w:t>
      </w:r>
    </w:p>
    <w:p>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9" w:name="_Toc102227313"/>
      <w:r>
        <w:rPr>
          <w:rFonts w:hint="eastAsia" w:ascii="仿宋" w:hAnsi="仿宋" w:eastAsia="仿宋"/>
          <w:sz w:val="24"/>
          <w:szCs w:val="24"/>
        </w:rPr>
        <w:t>。</w:t>
      </w:r>
    </w:p>
    <w:p>
      <w:pPr>
        <w:pStyle w:val="3"/>
        <w:spacing w:line="360" w:lineRule="auto"/>
        <w:jc w:val="center"/>
        <w:rPr>
          <w:rFonts w:ascii="仿宋" w:hAnsi="仿宋" w:eastAsia="仿宋"/>
          <w:b/>
          <w:bCs/>
          <w:szCs w:val="30"/>
        </w:rPr>
      </w:pPr>
      <w:r>
        <w:rPr>
          <w:rFonts w:hint="eastAsia" w:ascii="仿宋" w:hAnsi="仿宋" w:eastAsia="仿宋"/>
          <w:b w:val="0"/>
          <w:sz w:val="36"/>
          <w:szCs w:val="30"/>
        </w:rPr>
        <w:br w:type="page"/>
      </w:r>
      <w:bookmarkStart w:id="80" w:name="_Toc21054"/>
      <w:bookmarkStart w:id="81" w:name="_Toc10384"/>
      <w:r>
        <w:rPr>
          <w:rFonts w:hint="eastAsia" w:ascii="仿宋" w:hAnsi="仿宋" w:eastAsia="仿宋"/>
          <w:b/>
          <w:bCs/>
          <w:sz w:val="36"/>
          <w:szCs w:val="30"/>
        </w:rPr>
        <w:t>第五篇  供应商须知</w:t>
      </w:r>
      <w:bookmarkEnd w:id="79"/>
      <w:bookmarkEnd w:id="80"/>
      <w:bookmarkEnd w:id="81"/>
    </w:p>
    <w:p>
      <w:pPr>
        <w:pStyle w:val="4"/>
        <w:spacing w:before="0" w:after="0" w:line="360" w:lineRule="auto"/>
        <w:rPr>
          <w:rFonts w:ascii="仿宋" w:hAnsi="仿宋" w:eastAsia="仿宋"/>
          <w:sz w:val="24"/>
          <w:szCs w:val="24"/>
        </w:rPr>
      </w:pPr>
      <w:bookmarkStart w:id="82" w:name="_Toc22156"/>
      <w:bookmarkStart w:id="83" w:name="_Toc18927"/>
      <w:bookmarkStart w:id="84" w:name="_Toc342913389"/>
      <w:r>
        <w:rPr>
          <w:rFonts w:hint="eastAsia" w:ascii="仿宋" w:hAnsi="仿宋" w:eastAsia="仿宋"/>
          <w:sz w:val="24"/>
          <w:szCs w:val="24"/>
          <w:lang w:eastAsia="zh-CN"/>
        </w:rPr>
        <w:t>一、</w:t>
      </w:r>
      <w:r>
        <w:rPr>
          <w:rFonts w:hint="eastAsia" w:ascii="仿宋" w:hAnsi="仿宋" w:eastAsia="仿宋"/>
          <w:sz w:val="24"/>
          <w:szCs w:val="24"/>
        </w:rPr>
        <w:t>网上竞采费用</w:t>
      </w:r>
      <w:bookmarkEnd w:id="82"/>
      <w:bookmarkEnd w:id="83"/>
      <w:bookmarkEnd w:id="84"/>
    </w:p>
    <w:p>
      <w:pPr>
        <w:pStyle w:val="264"/>
        <w:spacing w:line="360" w:lineRule="auto"/>
        <w:ind w:firstLine="480" w:firstLineChars="200"/>
        <w:rPr>
          <w:rFonts w:ascii="仿宋" w:hAnsi="仿宋" w:eastAsia="仿宋"/>
          <w:sz w:val="24"/>
          <w:szCs w:val="24"/>
        </w:rPr>
      </w:pPr>
      <w:r>
        <w:rPr>
          <w:rFonts w:hint="eastAsia" w:ascii="仿宋" w:hAnsi="仿宋" w:eastAsia="仿宋"/>
          <w:sz w:val="24"/>
          <w:szCs w:val="24"/>
        </w:rPr>
        <w:t>参与网上竞采的供应商应承担其编制响应文件与递交响应文件所涉及的一切费用。</w:t>
      </w:r>
    </w:p>
    <w:p>
      <w:pPr>
        <w:pStyle w:val="4"/>
        <w:tabs>
          <w:tab w:val="left" w:pos="2640"/>
        </w:tabs>
        <w:spacing w:before="0" w:after="0" w:line="360" w:lineRule="auto"/>
        <w:rPr>
          <w:rFonts w:ascii="仿宋" w:hAnsi="仿宋" w:eastAsia="仿宋"/>
          <w:sz w:val="24"/>
          <w:szCs w:val="24"/>
        </w:rPr>
      </w:pPr>
      <w:bookmarkStart w:id="85" w:name="_Toc342913391"/>
      <w:bookmarkStart w:id="86" w:name="_Toc25299"/>
      <w:bookmarkStart w:id="87" w:name="_Toc23428"/>
      <w:r>
        <w:rPr>
          <w:rFonts w:hint="eastAsia" w:ascii="仿宋" w:hAnsi="仿宋" w:eastAsia="仿宋"/>
          <w:sz w:val="24"/>
          <w:szCs w:val="24"/>
          <w:lang w:eastAsia="zh-CN"/>
        </w:rPr>
        <w:t>二、</w:t>
      </w:r>
      <w:r>
        <w:rPr>
          <w:rFonts w:hint="eastAsia" w:ascii="仿宋" w:hAnsi="仿宋" w:eastAsia="仿宋"/>
          <w:sz w:val="24"/>
          <w:szCs w:val="24"/>
        </w:rPr>
        <w:t>网上竞采文件</w:t>
      </w:r>
      <w:bookmarkEnd w:id="85"/>
      <w:bookmarkEnd w:id="86"/>
      <w:bookmarkEnd w:id="87"/>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（一）网上竞采文件由采购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w:t>
      </w:r>
      <w:r>
        <w:rPr>
          <w:rFonts w:hint="eastAsia" w:ascii="仿宋" w:hAnsi="仿宋" w:eastAsia="仿宋"/>
          <w:sz w:val="24"/>
          <w:szCs w:val="24"/>
          <w:lang w:eastAsia="zh-CN"/>
        </w:rPr>
        <w:t>、</w:t>
      </w:r>
      <w:r>
        <w:rPr>
          <w:rFonts w:hint="eastAsia" w:ascii="仿宋" w:hAnsi="仿宋" w:eastAsia="仿宋"/>
          <w:sz w:val="24"/>
          <w:szCs w:val="24"/>
        </w:rPr>
        <w:t>采购项目商务需求</w:t>
      </w:r>
      <w:r>
        <w:rPr>
          <w:rFonts w:hint="eastAsia" w:ascii="仿宋" w:hAnsi="仿宋" w:eastAsia="仿宋"/>
          <w:sz w:val="24"/>
          <w:szCs w:val="24"/>
          <w:lang w:eastAsia="zh-CN"/>
        </w:rPr>
        <w:t>、</w:t>
      </w:r>
      <w:r>
        <w:rPr>
          <w:rFonts w:hint="eastAsia" w:ascii="仿宋" w:hAnsi="仿宋" w:eastAsia="仿宋"/>
          <w:sz w:val="24"/>
          <w:szCs w:val="24"/>
          <w:lang w:val="en-US" w:eastAsia="zh-CN"/>
        </w:rPr>
        <w:t>评标办法</w:t>
      </w:r>
      <w:r>
        <w:rPr>
          <w:rFonts w:hint="eastAsia" w:ascii="仿宋" w:hAnsi="仿宋" w:eastAsia="仿宋"/>
          <w:sz w:val="24"/>
          <w:szCs w:val="24"/>
          <w:lang w:eastAsia="zh-CN"/>
        </w:rPr>
        <w:t>、</w:t>
      </w:r>
      <w:r>
        <w:rPr>
          <w:rFonts w:hint="eastAsia" w:ascii="仿宋" w:hAnsi="仿宋" w:eastAsia="仿宋"/>
          <w:sz w:val="24"/>
          <w:szCs w:val="24"/>
        </w:rPr>
        <w:t>供应商须知</w:t>
      </w:r>
      <w:r>
        <w:rPr>
          <w:rFonts w:hint="eastAsia" w:ascii="仿宋" w:hAnsi="仿宋" w:eastAsia="仿宋"/>
          <w:b/>
          <w:sz w:val="24"/>
          <w:szCs w:val="24"/>
          <w:lang w:eastAsia="zh-CN"/>
        </w:rPr>
        <w:t>、</w:t>
      </w:r>
      <w:r>
        <w:rPr>
          <w:rFonts w:hint="eastAsia" w:ascii="仿宋" w:hAnsi="仿宋" w:eastAsia="仿宋"/>
          <w:sz w:val="24"/>
          <w:szCs w:val="24"/>
        </w:rPr>
        <w:t>合同主要条款和格式合同</w:t>
      </w:r>
      <w:r>
        <w:rPr>
          <w:rFonts w:hint="eastAsia" w:ascii="仿宋" w:hAnsi="仿宋" w:eastAsia="仿宋"/>
          <w:b/>
          <w:sz w:val="24"/>
          <w:szCs w:val="24"/>
          <w:lang w:eastAsia="zh-CN"/>
        </w:rPr>
        <w:t>、</w:t>
      </w:r>
      <w:r>
        <w:rPr>
          <w:rFonts w:hint="eastAsia" w:ascii="仿宋" w:hAnsi="仿宋" w:eastAsia="仿宋"/>
          <w:sz w:val="24"/>
          <w:szCs w:val="24"/>
        </w:rPr>
        <w:t>响应文件编制要求七部分组成。</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w:t>
      </w:r>
      <w:r>
        <w:rPr>
          <w:rFonts w:hint="eastAsia" w:ascii="仿宋" w:hAnsi="仿宋" w:eastAsia="仿宋"/>
          <w:sz w:val="24"/>
          <w:szCs w:val="24"/>
          <w:lang w:eastAsia="zh-CN"/>
        </w:rPr>
        <w:t>、</w:t>
      </w:r>
      <w:r>
        <w:rPr>
          <w:rFonts w:hint="eastAsia" w:ascii="仿宋" w:hAnsi="仿宋" w:eastAsia="仿宋"/>
          <w:sz w:val="24"/>
          <w:szCs w:val="24"/>
        </w:rPr>
        <w:t>修改及补充，都是网上竞采文件不可分割的部分。</w:t>
      </w:r>
    </w:p>
    <w:p>
      <w:pPr>
        <w:pStyle w:val="4"/>
        <w:spacing w:before="0" w:after="0" w:line="360" w:lineRule="auto"/>
        <w:rPr>
          <w:rFonts w:ascii="仿宋" w:hAnsi="仿宋" w:eastAsia="仿宋"/>
          <w:sz w:val="24"/>
          <w:szCs w:val="24"/>
        </w:rPr>
      </w:pPr>
      <w:bookmarkStart w:id="88" w:name="_Toc1734"/>
      <w:bookmarkStart w:id="89" w:name="_Toc13364"/>
      <w:bookmarkStart w:id="90" w:name="_Toc179714297"/>
      <w:bookmarkStart w:id="91" w:name="_Toc102227318"/>
      <w:bookmarkStart w:id="92" w:name="_Toc342913392"/>
      <w:r>
        <w:rPr>
          <w:rFonts w:hint="eastAsia" w:ascii="仿宋" w:hAnsi="仿宋" w:eastAsia="仿宋"/>
          <w:sz w:val="24"/>
          <w:szCs w:val="24"/>
          <w:lang w:eastAsia="zh-CN"/>
        </w:rPr>
        <w:t>三、</w:t>
      </w:r>
      <w:r>
        <w:rPr>
          <w:rFonts w:hint="eastAsia" w:ascii="仿宋" w:hAnsi="仿宋" w:eastAsia="仿宋"/>
          <w:sz w:val="24"/>
          <w:szCs w:val="24"/>
        </w:rPr>
        <w:t>网上竞采要求</w:t>
      </w:r>
      <w:bookmarkEnd w:id="88"/>
      <w:bookmarkEnd w:id="89"/>
      <w:bookmarkEnd w:id="90"/>
      <w:bookmarkEnd w:id="91"/>
      <w:bookmarkEnd w:id="92"/>
    </w:p>
    <w:p>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并上传至网上竞采平台</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响应文件由第七篇“响应文件编制要求”规定的部分和供应商所作的一切有效补充</w:t>
      </w:r>
      <w:r>
        <w:rPr>
          <w:rFonts w:hint="eastAsia" w:ascii="仿宋" w:hAnsi="仿宋" w:eastAsia="仿宋"/>
          <w:sz w:val="24"/>
          <w:szCs w:val="24"/>
          <w:lang w:eastAsia="zh-CN"/>
        </w:rPr>
        <w:t>、</w:t>
      </w:r>
      <w:r>
        <w:rPr>
          <w:rFonts w:hint="eastAsia" w:ascii="仿宋" w:hAnsi="仿宋" w:eastAsia="仿宋"/>
          <w:sz w:val="24"/>
          <w:szCs w:val="24"/>
        </w:rPr>
        <w:t>修改和承诺等文件组成，供应商应按照第七篇“响应文件编制要求”规定的目录顺序组织编写，也可在基本格式基础上对表格进行扩展，未规定格式的由供应商自定格式。</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（三）网上竞采有效期：响应文件及有关承诺文件有效期为提交响应文件截止时间起90天。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pPr>
        <w:pStyle w:val="4"/>
        <w:spacing w:before="0" w:after="0" w:line="360" w:lineRule="auto"/>
        <w:rPr>
          <w:rFonts w:ascii="仿宋" w:hAnsi="仿宋" w:eastAsia="仿宋"/>
          <w:sz w:val="24"/>
          <w:szCs w:val="24"/>
        </w:rPr>
      </w:pPr>
      <w:bookmarkStart w:id="93" w:name="_Toc25011"/>
      <w:bookmarkStart w:id="94" w:name="_Toc22553"/>
      <w:r>
        <w:rPr>
          <w:rFonts w:hint="eastAsia" w:ascii="仿宋" w:hAnsi="仿宋" w:eastAsia="仿宋"/>
          <w:sz w:val="24"/>
          <w:szCs w:val="24"/>
          <w:lang w:eastAsia="zh-CN"/>
        </w:rPr>
        <w:t>四、</w:t>
      </w:r>
      <w:r>
        <w:rPr>
          <w:rFonts w:hint="eastAsia" w:ascii="仿宋" w:hAnsi="仿宋" w:eastAsia="仿宋"/>
          <w:sz w:val="24"/>
          <w:szCs w:val="24"/>
        </w:rPr>
        <w:t>成交供应商的确认和变更</w:t>
      </w:r>
      <w:bookmarkEnd w:id="93"/>
      <w:bookmarkEnd w:id="94"/>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pPr>
        <w:pStyle w:val="4"/>
        <w:spacing w:before="0" w:after="0" w:line="360" w:lineRule="auto"/>
        <w:rPr>
          <w:rFonts w:ascii="仿宋" w:hAnsi="仿宋" w:eastAsia="仿宋"/>
          <w:sz w:val="24"/>
          <w:szCs w:val="24"/>
        </w:rPr>
      </w:pPr>
      <w:bookmarkStart w:id="95" w:name="_Toc102227321"/>
      <w:bookmarkStart w:id="96" w:name="_Toc8128"/>
      <w:bookmarkStart w:id="97" w:name="_Toc22845"/>
      <w:bookmarkStart w:id="98" w:name="_Toc342913395"/>
      <w:r>
        <w:rPr>
          <w:rFonts w:hint="eastAsia" w:ascii="仿宋" w:hAnsi="仿宋" w:eastAsia="仿宋"/>
          <w:sz w:val="24"/>
          <w:szCs w:val="24"/>
          <w:lang w:eastAsia="zh-CN"/>
        </w:rPr>
        <w:t>五、</w:t>
      </w:r>
      <w:r>
        <w:rPr>
          <w:rFonts w:hint="eastAsia" w:ascii="仿宋" w:hAnsi="仿宋" w:eastAsia="仿宋"/>
          <w:sz w:val="24"/>
          <w:szCs w:val="24"/>
        </w:rPr>
        <w:t>成交通知</w:t>
      </w:r>
      <w:bookmarkEnd w:id="95"/>
      <w:bookmarkEnd w:id="96"/>
      <w:bookmarkEnd w:id="97"/>
      <w:bookmarkEnd w:id="98"/>
    </w:p>
    <w:p>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（一）成交供应商确定后，采购人将在网上竞采中心上发布成交结果公告。</w:t>
      </w:r>
    </w:p>
    <w:p>
      <w:pPr>
        <w:pStyle w:val="4"/>
        <w:spacing w:before="0" w:after="0" w:line="360" w:lineRule="auto"/>
        <w:rPr>
          <w:rFonts w:ascii="仿宋" w:hAnsi="仿宋" w:eastAsia="仿宋"/>
          <w:sz w:val="24"/>
          <w:szCs w:val="24"/>
        </w:rPr>
      </w:pPr>
      <w:bookmarkStart w:id="99" w:name="_Toc102227322"/>
      <w:bookmarkStart w:id="100" w:name="_Toc342913396"/>
      <w:bookmarkStart w:id="101" w:name="_Toc15806"/>
      <w:bookmarkStart w:id="102" w:name="_Toc14365"/>
      <w:bookmarkStart w:id="103" w:name="_Toc12789059"/>
      <w:bookmarkStart w:id="104" w:name="_Toc11641055"/>
      <w:r>
        <w:rPr>
          <w:rFonts w:hint="eastAsia" w:ascii="仿宋" w:hAnsi="仿宋" w:eastAsia="仿宋"/>
          <w:sz w:val="24"/>
          <w:szCs w:val="24"/>
          <w:lang w:val="en-US" w:eastAsia="zh-CN"/>
        </w:rPr>
        <w:t>六、</w:t>
      </w:r>
      <w:r>
        <w:rPr>
          <w:rFonts w:hint="eastAsia" w:ascii="仿宋" w:hAnsi="仿宋" w:eastAsia="仿宋"/>
          <w:sz w:val="24"/>
          <w:szCs w:val="24"/>
        </w:rPr>
        <w:t>签订</w:t>
      </w:r>
      <w:bookmarkEnd w:id="99"/>
      <w:r>
        <w:rPr>
          <w:rFonts w:hint="eastAsia" w:ascii="仿宋" w:hAnsi="仿宋" w:eastAsia="仿宋"/>
          <w:sz w:val="24"/>
          <w:szCs w:val="24"/>
        </w:rPr>
        <w:t>合同</w:t>
      </w:r>
      <w:bookmarkEnd w:id="100"/>
      <w:bookmarkEnd w:id="101"/>
      <w:bookmarkEnd w:id="102"/>
    </w:p>
    <w:p>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网上竞采文件和成交供应商响应文件的约定，与成交供应商签订书面合同。所签订的合同不得对网上竞采文件和供应商的响应文件作实质性修改。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（二）网上竞采文件</w:t>
      </w:r>
      <w:r>
        <w:rPr>
          <w:rFonts w:hint="eastAsia" w:ascii="仿宋" w:hAnsi="仿宋" w:eastAsia="仿宋"/>
          <w:sz w:val="24"/>
          <w:szCs w:val="24"/>
          <w:lang w:eastAsia="zh-CN"/>
        </w:rPr>
        <w:t>、</w:t>
      </w:r>
      <w:r>
        <w:rPr>
          <w:rFonts w:hint="eastAsia" w:ascii="仿宋" w:hAnsi="仿宋" w:eastAsia="仿宋"/>
          <w:sz w:val="24"/>
          <w:szCs w:val="24"/>
        </w:rPr>
        <w:t>供应商的响应文件及澄清文件等，均为签订采购合同的依据。</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w:t>
      </w:r>
      <w:r>
        <w:rPr>
          <w:rFonts w:hint="eastAsia" w:ascii="仿宋" w:hAnsi="仿宋" w:eastAsia="仿宋"/>
          <w:sz w:val="24"/>
          <w:szCs w:val="24"/>
          <w:lang w:eastAsia="zh-CN"/>
        </w:rPr>
        <w:t>、</w:t>
      </w:r>
      <w:r>
        <w:rPr>
          <w:rFonts w:hint="eastAsia" w:ascii="仿宋" w:hAnsi="仿宋" w:eastAsia="仿宋"/>
          <w:sz w:val="24"/>
          <w:szCs w:val="24"/>
        </w:rPr>
        <w:t>行政法规规定应当办理批准</w:t>
      </w:r>
      <w:r>
        <w:rPr>
          <w:rFonts w:hint="eastAsia" w:ascii="仿宋" w:hAnsi="仿宋" w:eastAsia="仿宋"/>
          <w:sz w:val="24"/>
          <w:szCs w:val="24"/>
          <w:lang w:eastAsia="zh-CN"/>
        </w:rPr>
        <w:t>、</w:t>
      </w:r>
      <w:r>
        <w:rPr>
          <w:rFonts w:hint="eastAsia" w:ascii="仿宋" w:hAnsi="仿宋" w:eastAsia="仿宋"/>
          <w:sz w:val="24"/>
          <w:szCs w:val="24"/>
        </w:rPr>
        <w:t>登记等手续后生效的合同，依照其规定。</w:t>
      </w:r>
    </w:p>
    <w:p>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3"/>
      <w:bookmarkEnd w:id="104"/>
      <w:bookmarkStart w:id="105" w:name="_Toc27139866"/>
      <w:bookmarkStart w:id="106" w:name="_Toc28449"/>
    </w:p>
    <w:p>
      <w:pPr>
        <w:pStyle w:val="3"/>
        <w:spacing w:line="360" w:lineRule="auto"/>
        <w:jc w:val="center"/>
        <w:rPr>
          <w:rFonts w:ascii="仿宋" w:hAnsi="仿宋" w:eastAsia="仿宋" w:cs="仿宋"/>
          <w:b w:val="0"/>
          <w:sz w:val="36"/>
          <w:szCs w:val="36"/>
        </w:rPr>
      </w:pPr>
      <w:bookmarkStart w:id="107" w:name="_Toc15760"/>
      <w:r>
        <w:rPr>
          <w:rFonts w:hint="eastAsia" w:ascii="仿宋" w:hAnsi="仿宋" w:eastAsia="仿宋"/>
          <w:sz w:val="36"/>
          <w:szCs w:val="36"/>
        </w:rPr>
        <w:t>第六篇</w:t>
      </w:r>
      <w:bookmarkEnd w:id="105"/>
      <w:r>
        <w:rPr>
          <w:rFonts w:hint="eastAsia" w:ascii="仿宋" w:hAnsi="仿宋" w:eastAsia="仿宋"/>
          <w:sz w:val="36"/>
          <w:szCs w:val="36"/>
        </w:rPr>
        <w:t xml:space="preserve">  合同草案条款和格式合同</w:t>
      </w:r>
      <w:bookmarkEnd w:id="106"/>
      <w:bookmarkEnd w:id="107"/>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定义</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（一）甲方（需方）即采购人，是指通过网上竞采，接受合同货物和服务的各级国家机关</w:t>
      </w:r>
      <w:r>
        <w:rPr>
          <w:rFonts w:hint="eastAsia" w:ascii="仿宋" w:hAnsi="仿宋" w:eastAsia="仿宋"/>
          <w:sz w:val="24"/>
          <w:szCs w:val="24"/>
          <w:lang w:eastAsia="zh-CN"/>
        </w:rPr>
        <w:t>、</w:t>
      </w:r>
      <w:r>
        <w:rPr>
          <w:rFonts w:hint="eastAsia" w:ascii="仿宋" w:hAnsi="仿宋" w:eastAsia="仿宋"/>
          <w:sz w:val="24"/>
          <w:szCs w:val="24"/>
        </w:rPr>
        <w:t>事业单位和团体组织。</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w:t>
      </w:r>
      <w:r>
        <w:rPr>
          <w:rFonts w:hint="eastAsia" w:ascii="仿宋" w:hAnsi="仿宋" w:eastAsia="仿宋"/>
          <w:sz w:val="24"/>
          <w:szCs w:val="24"/>
          <w:lang w:eastAsia="zh-CN"/>
        </w:rPr>
        <w:t>、</w:t>
      </w:r>
      <w:r>
        <w:rPr>
          <w:rFonts w:hint="eastAsia" w:ascii="仿宋" w:hAnsi="仿宋" w:eastAsia="仿宋"/>
          <w:sz w:val="24"/>
          <w:szCs w:val="24"/>
        </w:rPr>
        <w:t>法人及其他组织。</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（三）合同是指由甲乙双方按照网上竞采文件和响应文件的实质性内容，通过协商一致达成的书面协议。</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服务内容</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w:t>
      </w:r>
      <w:r>
        <w:rPr>
          <w:rFonts w:hint="eastAsia" w:ascii="仿宋" w:hAnsi="仿宋" w:eastAsia="仿宋"/>
          <w:sz w:val="24"/>
          <w:szCs w:val="24"/>
          <w:lang w:eastAsia="zh-CN"/>
        </w:rPr>
        <w:t>、</w:t>
      </w:r>
      <w:r>
        <w:rPr>
          <w:rFonts w:hint="eastAsia" w:ascii="仿宋" w:hAnsi="仿宋" w:eastAsia="仿宋"/>
          <w:sz w:val="24"/>
          <w:szCs w:val="24"/>
        </w:rPr>
        <w:t>服务时间</w:t>
      </w:r>
      <w:r>
        <w:rPr>
          <w:rFonts w:hint="eastAsia" w:ascii="仿宋" w:hAnsi="仿宋" w:eastAsia="仿宋"/>
          <w:sz w:val="24"/>
          <w:szCs w:val="24"/>
          <w:lang w:eastAsia="zh-CN"/>
        </w:rPr>
        <w:t>、</w:t>
      </w:r>
      <w:r>
        <w:rPr>
          <w:rFonts w:hint="eastAsia" w:ascii="仿宋" w:hAnsi="仿宋" w:eastAsia="仿宋"/>
          <w:sz w:val="24"/>
          <w:szCs w:val="24"/>
        </w:rPr>
        <w:t>服务地点</w:t>
      </w:r>
      <w:r>
        <w:rPr>
          <w:rFonts w:hint="eastAsia" w:ascii="仿宋" w:hAnsi="仿宋" w:eastAsia="仿宋"/>
          <w:sz w:val="24"/>
          <w:szCs w:val="24"/>
          <w:lang w:eastAsia="zh-CN"/>
        </w:rPr>
        <w:t>、</w:t>
      </w:r>
      <w:r>
        <w:rPr>
          <w:rFonts w:hint="eastAsia" w:ascii="仿宋" w:hAnsi="仿宋" w:eastAsia="仿宋"/>
          <w:sz w:val="24"/>
          <w:szCs w:val="24"/>
        </w:rPr>
        <w:t>质量要求</w:t>
      </w:r>
      <w:r>
        <w:rPr>
          <w:rFonts w:hint="eastAsia" w:ascii="仿宋" w:hAnsi="仿宋" w:eastAsia="仿宋"/>
          <w:sz w:val="24"/>
          <w:szCs w:val="24"/>
          <w:lang w:eastAsia="zh-CN"/>
        </w:rPr>
        <w:t>、</w:t>
      </w:r>
      <w:r>
        <w:rPr>
          <w:rFonts w:hint="eastAsia" w:ascii="仿宋" w:hAnsi="仿宋" w:eastAsia="仿宋"/>
          <w:sz w:val="24"/>
          <w:szCs w:val="24"/>
        </w:rPr>
        <w:t>服务要求等内容。</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三、</w:t>
      </w:r>
      <w:r>
        <w:rPr>
          <w:rFonts w:hint="eastAsia" w:ascii="仿宋" w:hAnsi="仿宋" w:eastAsia="仿宋"/>
          <w:sz w:val="24"/>
          <w:szCs w:val="24"/>
        </w:rPr>
        <w:t>合同价格</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w:t>
      </w:r>
      <w:r>
        <w:rPr>
          <w:rFonts w:hint="eastAsia" w:ascii="仿宋" w:hAnsi="仿宋" w:eastAsia="仿宋"/>
          <w:sz w:val="24"/>
          <w:szCs w:val="24"/>
          <w:lang w:eastAsia="zh-CN"/>
        </w:rPr>
        <w:t>、</w:t>
      </w:r>
      <w:r>
        <w:rPr>
          <w:rFonts w:hint="eastAsia" w:ascii="仿宋" w:hAnsi="仿宋" w:eastAsia="仿宋"/>
          <w:sz w:val="24"/>
          <w:szCs w:val="24"/>
        </w:rPr>
        <w:t>财</w:t>
      </w:r>
      <w:r>
        <w:rPr>
          <w:rFonts w:hint="eastAsia" w:ascii="仿宋" w:hAnsi="仿宋" w:eastAsia="仿宋"/>
          <w:sz w:val="24"/>
          <w:szCs w:val="24"/>
          <w:lang w:eastAsia="zh-CN"/>
        </w:rPr>
        <w:t>、</w:t>
      </w:r>
      <w:r>
        <w:rPr>
          <w:rFonts w:hint="eastAsia" w:ascii="仿宋" w:hAnsi="仿宋" w:eastAsia="仿宋"/>
          <w:sz w:val="24"/>
          <w:szCs w:val="24"/>
        </w:rPr>
        <w:t>物</w:t>
      </w:r>
      <w:r>
        <w:rPr>
          <w:rFonts w:hint="eastAsia" w:ascii="仿宋" w:hAnsi="仿宋" w:eastAsia="仿宋"/>
          <w:sz w:val="24"/>
          <w:szCs w:val="24"/>
          <w:lang w:eastAsia="zh-CN"/>
        </w:rPr>
        <w:t>、</w:t>
      </w:r>
      <w:r>
        <w:rPr>
          <w:rFonts w:hint="eastAsia" w:ascii="仿宋" w:hAnsi="仿宋" w:eastAsia="仿宋"/>
          <w:sz w:val="24"/>
          <w:szCs w:val="24"/>
        </w:rPr>
        <w:t>税费等一切费用，所有税费由乙方负担。</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转包或分包</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质量保证及售后服务</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（一）乙方应按网上竞采文件规定的服务要求</w:t>
      </w:r>
      <w:r>
        <w:rPr>
          <w:rFonts w:hint="eastAsia" w:ascii="仿宋" w:hAnsi="仿宋" w:eastAsia="仿宋"/>
          <w:sz w:val="24"/>
          <w:szCs w:val="24"/>
          <w:lang w:eastAsia="zh-CN"/>
        </w:rPr>
        <w:t>、</w:t>
      </w:r>
      <w:r>
        <w:rPr>
          <w:rFonts w:hint="eastAsia" w:ascii="仿宋" w:hAnsi="仿宋" w:eastAsia="仿宋"/>
          <w:sz w:val="24"/>
          <w:szCs w:val="24"/>
        </w:rPr>
        <w:t>质量标准向甲方保质保量</w:t>
      </w:r>
      <w:r>
        <w:rPr>
          <w:rFonts w:hint="eastAsia" w:ascii="仿宋" w:hAnsi="仿宋" w:eastAsia="仿宋"/>
          <w:sz w:val="24"/>
          <w:szCs w:val="24"/>
          <w:lang w:eastAsia="zh-CN"/>
        </w:rPr>
        <w:t>地</w:t>
      </w:r>
      <w:r>
        <w:rPr>
          <w:rFonts w:hint="eastAsia" w:ascii="仿宋" w:hAnsi="仿宋" w:eastAsia="仿宋"/>
          <w:sz w:val="24"/>
          <w:szCs w:val="24"/>
        </w:rPr>
        <w:t>提供服务。</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六、</w:t>
      </w:r>
      <w:r>
        <w:rPr>
          <w:rFonts w:hint="eastAsia" w:ascii="仿宋" w:hAnsi="仿宋" w:eastAsia="仿宋"/>
          <w:sz w:val="24"/>
          <w:szCs w:val="24"/>
        </w:rPr>
        <w:t>付款</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w:t>
      </w:r>
      <w:r>
        <w:rPr>
          <w:rFonts w:hint="eastAsia" w:ascii="仿宋" w:hAnsi="仿宋" w:eastAsia="仿宋"/>
          <w:sz w:val="24"/>
          <w:szCs w:val="24"/>
          <w:lang w:eastAsia="zh-CN"/>
        </w:rPr>
        <w:t>、</w:t>
      </w:r>
      <w:r>
        <w:rPr>
          <w:rFonts w:hint="eastAsia" w:ascii="仿宋" w:hAnsi="仿宋" w:eastAsia="仿宋"/>
          <w:sz w:val="24"/>
          <w:szCs w:val="24"/>
        </w:rPr>
        <w:t>现金支票。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七、</w:t>
      </w:r>
      <w:r>
        <w:rPr>
          <w:rFonts w:hint="eastAsia" w:ascii="仿宋" w:hAnsi="仿宋" w:eastAsia="仿宋"/>
          <w:sz w:val="24"/>
          <w:szCs w:val="24"/>
        </w:rPr>
        <w:t>检查验收</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（一）供方所供服务的各种指标不得低于网上竞采文件和响应文件的约定，服务质量要求按照网上竞采文件和响应文件的内容执行。</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w:t>
      </w:r>
      <w:r>
        <w:rPr>
          <w:rFonts w:hint="eastAsia" w:ascii="仿宋" w:hAnsi="仿宋" w:eastAsia="仿宋"/>
          <w:sz w:val="24"/>
          <w:szCs w:val="24"/>
          <w:lang w:eastAsia="zh-CN"/>
        </w:rPr>
        <w:t>、</w:t>
      </w:r>
      <w:r>
        <w:rPr>
          <w:rFonts w:hint="eastAsia" w:ascii="仿宋" w:hAnsi="仿宋" w:eastAsia="仿宋"/>
          <w:sz w:val="24"/>
          <w:szCs w:val="24"/>
        </w:rPr>
        <w:t>供方经办人签字，并加盖双方公章，以此作为支付凭据。</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八、</w:t>
      </w:r>
      <w:r>
        <w:rPr>
          <w:rFonts w:hint="eastAsia" w:ascii="仿宋" w:hAnsi="仿宋" w:eastAsia="仿宋"/>
          <w:sz w:val="24"/>
          <w:szCs w:val="24"/>
        </w:rPr>
        <w:t>索赔</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九、</w:t>
      </w:r>
      <w:r>
        <w:rPr>
          <w:rFonts w:hint="eastAsia" w:ascii="仿宋" w:hAnsi="仿宋" w:eastAsia="仿宋"/>
          <w:sz w:val="24"/>
          <w:szCs w:val="24"/>
        </w:rPr>
        <w:t>知识产权</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w:t>
      </w:r>
      <w:r>
        <w:rPr>
          <w:rFonts w:hint="eastAsia" w:ascii="仿宋" w:hAnsi="仿宋" w:eastAsia="仿宋"/>
          <w:sz w:val="24"/>
          <w:szCs w:val="24"/>
          <w:lang w:eastAsia="zh-CN"/>
        </w:rPr>
        <w:t>其他</w:t>
      </w:r>
      <w:r>
        <w:rPr>
          <w:rFonts w:hint="eastAsia" w:ascii="仿宋" w:hAnsi="仿宋" w:eastAsia="仿宋"/>
          <w:sz w:val="24"/>
          <w:szCs w:val="24"/>
        </w:rPr>
        <w:t>知识产权的起诉。如果第三方提出侵权指控，乙方承担由此而引起的一切法律责任和费用。</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十、</w:t>
      </w:r>
      <w:r>
        <w:rPr>
          <w:rFonts w:hint="eastAsia" w:ascii="仿宋" w:hAnsi="仿宋" w:eastAsia="仿宋"/>
          <w:sz w:val="24"/>
          <w:szCs w:val="24"/>
        </w:rPr>
        <w:t>合同争议的解决</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lang w:eastAsia="zh-CN"/>
        </w:rPr>
        <w:t>十一、</w:t>
      </w:r>
      <w:r>
        <w:rPr>
          <w:rFonts w:hint="eastAsia" w:ascii="仿宋" w:hAnsi="仿宋" w:eastAsia="仿宋"/>
          <w:sz w:val="24"/>
          <w:szCs w:val="24"/>
        </w:rPr>
        <w:t>违约责任</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w:t>
      </w:r>
      <w:r>
        <w:rPr>
          <w:rFonts w:hint="eastAsia" w:ascii="仿宋" w:hAnsi="仿宋" w:eastAsia="仿宋"/>
          <w:sz w:val="24"/>
          <w:szCs w:val="24"/>
          <w:lang w:eastAsia="zh-CN"/>
        </w:rPr>
        <w:t>.</w:t>
      </w:r>
      <w:r>
        <w:rPr>
          <w:rFonts w:hint="eastAsia" w:ascii="仿宋" w:hAnsi="仿宋" w:eastAsia="仿宋"/>
          <w:sz w:val="24"/>
          <w:szCs w:val="24"/>
        </w:rPr>
        <w:t>《中华人民共和国政府采购法》有关条款，或由供需双方约定。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hint="eastAsia" w:ascii="仿宋" w:hAnsi="仿宋" w:eastAsia="仿宋"/>
          <w:sz w:val="24"/>
          <w:szCs w:val="24"/>
          <w:lang w:eastAsia="zh-CN"/>
        </w:rPr>
      </w:pPr>
      <w:r>
        <w:rPr>
          <w:rFonts w:hint="eastAsia" w:ascii="仿宋" w:hAnsi="仿宋" w:eastAsia="仿宋"/>
          <w:sz w:val="24"/>
          <w:szCs w:val="24"/>
          <w:lang w:eastAsia="zh-CN"/>
        </w:rPr>
        <w:t>十二、</w:t>
      </w:r>
      <w:r>
        <w:rPr>
          <w:rFonts w:hint="eastAsia" w:ascii="仿宋" w:hAnsi="仿宋" w:eastAsia="仿宋"/>
          <w:sz w:val="24"/>
          <w:szCs w:val="24"/>
        </w:rPr>
        <w:t>合同生效及</w:t>
      </w:r>
      <w:r>
        <w:rPr>
          <w:rFonts w:hint="eastAsia" w:ascii="仿宋" w:hAnsi="仿宋" w:eastAsia="仿宋"/>
          <w:sz w:val="24"/>
          <w:szCs w:val="24"/>
          <w:lang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）本合同条件未尽事宜依照《中华人民共和国民法典》，由供需双方共同协商确定。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p/>
    <w:p>
      <w:pPr>
        <w:rPr>
          <w:rFonts w:hint="eastAsia" w:ascii="仿宋" w:hAnsi="仿宋" w:eastAsia="仿宋" w:cs="仿宋"/>
          <w:sz w:val="24"/>
        </w:rPr>
      </w:pPr>
      <w:bookmarkStart w:id="108" w:name="_Toc303945820"/>
      <w:bookmarkStart w:id="109" w:name="_Toc148265480"/>
    </w:p>
    <w:p>
      <w:pPr>
        <w:pStyle w:val="58"/>
        <w:rPr>
          <w:rFonts w:hint="eastAsia" w:ascii="仿宋" w:hAnsi="仿宋" w:eastAsia="仿宋" w:cs="仿宋"/>
          <w:sz w:val="24"/>
        </w:rPr>
      </w:pPr>
    </w:p>
    <w:p>
      <w:pPr>
        <w:rPr>
          <w:rFonts w:hint="eastAsia" w:ascii="仿宋" w:hAnsi="仿宋" w:eastAsia="仿宋" w:cs="仿宋"/>
          <w:sz w:val="24"/>
        </w:rPr>
      </w:pPr>
    </w:p>
    <w:p>
      <w:pPr>
        <w:pStyle w:val="58"/>
        <w:rPr>
          <w:rFonts w:hint="eastAsia" w:ascii="仿宋" w:hAnsi="仿宋" w:eastAsia="仿宋" w:cs="仿宋"/>
          <w:sz w:val="24"/>
        </w:rPr>
      </w:pPr>
    </w:p>
    <w:p>
      <w:pPr>
        <w:rPr>
          <w:rFonts w:hint="eastAsia" w:ascii="仿宋" w:hAnsi="仿宋" w:eastAsia="仿宋" w:cs="仿宋"/>
          <w:sz w:val="24"/>
        </w:rPr>
      </w:pPr>
    </w:p>
    <w:p>
      <w:pPr>
        <w:pStyle w:val="58"/>
        <w:rPr>
          <w:rFonts w:hint="eastAsia"/>
        </w:rPr>
      </w:pPr>
    </w:p>
    <w:p>
      <w:pPr>
        <w:rPr>
          <w:rFonts w:hint="eastAsia" w:ascii="仿宋" w:hAnsi="仿宋" w:eastAsia="仿宋" w:cs="仿宋"/>
          <w:sz w:val="24"/>
        </w:rPr>
      </w:pPr>
    </w:p>
    <w:p>
      <w:r>
        <w:rPr>
          <w:rFonts w:hint="eastAsia" w:ascii="仿宋" w:hAnsi="仿宋" w:eastAsia="仿宋" w:cs="仿宋"/>
          <w:sz w:val="24"/>
        </w:rPr>
        <w:t>附页：合同格式</w:t>
      </w:r>
      <w:bookmarkEnd w:id="108"/>
      <w:bookmarkEnd w:id="109"/>
    </w:p>
    <w:p>
      <w:pPr>
        <w:jc w:val="center"/>
        <w:rPr>
          <w:rFonts w:hint="eastAsia" w:ascii="方正小标宋_GBK" w:hAnsi="方正小标宋_GBK" w:eastAsia="方正小标宋_GBK" w:cs="方正小标宋_GBK"/>
          <w:b w:val="0"/>
          <w:sz w:val="44"/>
          <w:lang w:eastAsia="zh-CN"/>
        </w:rPr>
      </w:pPr>
      <w:bookmarkStart w:id="110" w:name="_Toc30030"/>
      <w:r>
        <w:rPr>
          <w:rFonts w:hint="eastAsia" w:ascii="方正小标宋_GBK" w:hAnsi="方正小标宋_GBK" w:eastAsia="方正小标宋_GBK" w:cs="方正小标宋_GBK"/>
          <w:b w:val="0"/>
          <w:sz w:val="44"/>
        </w:rPr>
        <w:t>电子竞采合同</w:t>
      </w:r>
    </w:p>
    <w:p>
      <w:pPr>
        <w:jc w:val="both"/>
        <w:rPr>
          <w:rFonts w:hint="eastAsia" w:ascii="方正仿宋_GBK" w:hAnsi="方正仿宋_GBK" w:eastAsia="方正仿宋_GBK" w:cs="方正仿宋_GBK"/>
          <w:b w:val="0"/>
          <w:sz w:val="32"/>
          <w:lang w:eastAsia="zh-CN"/>
        </w:rPr>
      </w:pPr>
      <w:r>
        <w:rPr>
          <w:rFonts w:hint="eastAsia" w:ascii="方正仿宋_GBK" w:hAnsi="方正仿宋_GBK" w:eastAsia="方正仿宋_GBK" w:cs="方正仿宋_GBK"/>
          <w:b w:val="0"/>
          <w:sz w:val="32"/>
        </w:rPr>
        <w:t>合同号：</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甲方（需方）：重庆市沙坪坝区土主</w:t>
      </w:r>
      <w:r>
        <w:rPr>
          <w:rFonts w:hint="eastAsia" w:ascii="方正仿宋_GBK" w:hAnsi="方正仿宋_GBK" w:eastAsia="方正仿宋_GBK" w:cs="方正仿宋_GBK"/>
          <w:b w:val="0"/>
          <w:sz w:val="32"/>
          <w:lang w:val="en-US" w:eastAsia="zh-CN"/>
        </w:rPr>
        <w:t>社区</w:t>
      </w:r>
      <w:r>
        <w:rPr>
          <w:rFonts w:hint="eastAsia" w:ascii="方正仿宋_GBK" w:hAnsi="方正仿宋_GBK" w:eastAsia="方正仿宋_GBK" w:cs="方正仿宋_GBK"/>
          <w:b w:val="0"/>
          <w:sz w:val="32"/>
        </w:rPr>
        <w:t>卫生</w:t>
      </w:r>
      <w:r>
        <w:rPr>
          <w:rFonts w:hint="eastAsia" w:ascii="方正仿宋_GBK" w:hAnsi="方正仿宋_GBK" w:eastAsia="方正仿宋_GBK" w:cs="方正仿宋_GBK"/>
          <w:b w:val="0"/>
          <w:sz w:val="32"/>
          <w:lang w:val="en-US" w:eastAsia="zh-CN"/>
        </w:rPr>
        <w:t>服务</w:t>
      </w:r>
      <w:r>
        <w:rPr>
          <w:rFonts w:hint="eastAsia" w:ascii="方正仿宋_GBK" w:hAnsi="方正仿宋_GBK" w:eastAsia="方正仿宋_GBK" w:cs="方正仿宋_GBK"/>
          <w:b w:val="0"/>
          <w:sz w:val="32"/>
        </w:rPr>
        <w:t xml:space="preserve">中心 </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乙方</w:t>
      </w:r>
      <w:r>
        <w:rPr>
          <w:rFonts w:hint="eastAsia" w:ascii="方正仿宋_GBK" w:hAnsi="方正仿宋_GBK" w:eastAsia="方正仿宋_GBK" w:cs="方正仿宋_GBK"/>
          <w:b w:val="0"/>
          <w:sz w:val="32"/>
          <w:lang w:val="en-US" w:eastAsia="zh-CN"/>
        </w:rPr>
        <w:t>(</w:t>
      </w:r>
      <w:r>
        <w:rPr>
          <w:rFonts w:hint="eastAsia" w:ascii="方正仿宋_GBK" w:hAnsi="方正仿宋_GBK" w:eastAsia="方正仿宋_GBK" w:cs="方正仿宋_GBK"/>
          <w:b w:val="0"/>
          <w:sz w:val="32"/>
        </w:rPr>
        <w:t xml:space="preserve">供方）：      </w:t>
      </w:r>
      <w:r>
        <w:rPr>
          <w:rFonts w:hint="eastAsia" w:ascii="方正仿宋_GBK" w:hAnsi="方正仿宋_GBK" w:eastAsia="方正仿宋_GBK" w:cs="方正仿宋_GBK"/>
          <w:b w:val="0"/>
          <w:sz w:val="32"/>
          <w:lang w:val="en-US" w:eastAsia="zh-CN"/>
        </w:rPr>
        <w:t xml:space="preserve">                            </w:t>
      </w:r>
      <w:r>
        <w:rPr>
          <w:rFonts w:hint="eastAsia" w:ascii="方正仿宋_GBK" w:hAnsi="方正仿宋_GBK" w:eastAsia="方正仿宋_GBK" w:cs="方正仿宋_GBK"/>
          <w:b w:val="0"/>
          <w:sz w:val="32"/>
        </w:rPr>
        <w:t xml:space="preserve">    </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为了保护甲乙双方合法权益，根据《中华人民共和国民法典》及相关法律法规，双方签署本合同，以资共同遵守。</w:t>
      </w:r>
    </w:p>
    <w:tbl>
      <w:tblPr>
        <w:tblStyle w:val="273"/>
        <w:tblW w:w="9670"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0"/>
        <w:gridCol w:w="4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9670" w:type="dxa"/>
            <w:gridSpan w:val="2"/>
            <w:vAlign w:val="top"/>
          </w:tcPr>
          <w:tbl>
            <w:tblPr>
              <w:tblStyle w:val="273"/>
              <w:tblpPr w:leftFromText="180" w:rightFromText="180" w:vertAnchor="text" w:horzAnchor="page" w:tblpX="-62" w:tblpY="-2562"/>
              <w:tblOverlap w:val="never"/>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2557"/>
              <w:gridCol w:w="1065"/>
              <w:gridCol w:w="1665"/>
              <w:gridCol w:w="1020"/>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5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产品名称</w:t>
                  </w:r>
                </w:p>
              </w:tc>
              <w:tc>
                <w:tcPr>
                  <w:tcW w:w="2557"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设备生产厂家（全称）</w:t>
                  </w:r>
                </w:p>
              </w:tc>
              <w:tc>
                <w:tcPr>
                  <w:tcW w:w="1065"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rPr>
                    <w:t>型号</w:t>
                  </w:r>
                </w:p>
              </w:tc>
              <w:tc>
                <w:tcPr>
                  <w:tcW w:w="166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rPr>
                    <w:t>单价</w:t>
                  </w:r>
                  <w:r>
                    <w:rPr>
                      <w:rFonts w:hint="eastAsia" w:ascii="方正仿宋_GBK" w:hAnsi="方正仿宋_GBK" w:eastAsia="方正仿宋_GBK" w:cs="方正仿宋_GBK"/>
                      <w:b w:val="0"/>
                      <w:sz w:val="24"/>
                      <w:szCs w:val="24"/>
                      <w:lang w:eastAsia="zh-CN"/>
                    </w:rPr>
                    <w:t>（</w:t>
                  </w:r>
                  <w:r>
                    <w:rPr>
                      <w:rFonts w:hint="eastAsia" w:ascii="方正仿宋_GBK" w:hAnsi="方正仿宋_GBK" w:eastAsia="方正仿宋_GBK" w:cs="方正仿宋_GBK"/>
                      <w:b w:val="0"/>
                      <w:sz w:val="24"/>
                      <w:szCs w:val="24"/>
                      <w:lang w:val="en-US" w:eastAsia="zh-CN"/>
                    </w:rPr>
                    <w:t>元</w:t>
                  </w:r>
                  <w:r>
                    <w:rPr>
                      <w:rFonts w:hint="eastAsia" w:ascii="方正仿宋_GBK" w:hAnsi="方正仿宋_GBK" w:eastAsia="方正仿宋_GBK" w:cs="方正仿宋_GBK"/>
                      <w:b w:val="0"/>
                      <w:sz w:val="24"/>
                      <w:szCs w:val="24"/>
                      <w:lang w:eastAsia="zh-CN"/>
                    </w:rPr>
                    <w:t>）</w:t>
                  </w:r>
                </w:p>
              </w:tc>
              <w:tc>
                <w:tcPr>
                  <w:tcW w:w="1020"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rPr>
                    <w:t>数量</w:t>
                  </w:r>
                </w:p>
              </w:tc>
              <w:tc>
                <w:tcPr>
                  <w:tcW w:w="1803"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rPr>
                    <w:t>合计</w:t>
                  </w:r>
                  <w:r>
                    <w:rPr>
                      <w:rFonts w:hint="eastAsia" w:ascii="方正仿宋_GBK" w:hAnsi="方正仿宋_GBK" w:eastAsia="方正仿宋_GBK" w:cs="方正仿宋_GBK"/>
                      <w:b w:val="0"/>
                      <w:sz w:val="24"/>
                      <w:szCs w:val="24"/>
                      <w:lang w:eastAsia="zh-CN"/>
                    </w:rPr>
                    <w:t>（</w:t>
                  </w:r>
                  <w:r>
                    <w:rPr>
                      <w:rFonts w:hint="eastAsia" w:ascii="方正仿宋_GBK" w:hAnsi="方正仿宋_GBK" w:eastAsia="方正仿宋_GBK" w:cs="方正仿宋_GBK"/>
                      <w:b w:val="0"/>
                      <w:sz w:val="24"/>
                      <w:szCs w:val="24"/>
                      <w:lang w:val="en-US" w:eastAsia="zh-CN"/>
                    </w:rPr>
                    <w:t>元</w:t>
                  </w:r>
                  <w:r>
                    <w:rPr>
                      <w:rFonts w:hint="eastAsia" w:ascii="方正仿宋_GBK" w:hAnsi="方正仿宋_GBK" w:eastAsia="方正仿宋_GBK" w:cs="方正仿宋_GBK"/>
                      <w:b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55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c>
                <w:tcPr>
                  <w:tcW w:w="2557"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c>
                <w:tcPr>
                  <w:tcW w:w="1065" w:type="dxa"/>
                  <w:vAlign w:val="top"/>
                </w:tcPr>
                <w:p>
                  <w:pPr>
                    <w:rPr>
                      <w:rFonts w:hint="eastAsia" w:ascii="方正仿宋_GBK" w:hAnsi="方正仿宋_GBK" w:eastAsia="方正仿宋_GBK" w:cs="方正仿宋_GBK"/>
                      <w:b w:val="0"/>
                      <w:sz w:val="24"/>
                      <w:szCs w:val="24"/>
                      <w:lang w:val="en-US" w:eastAsia="zh-CN"/>
                    </w:rPr>
                  </w:pPr>
                </w:p>
              </w:tc>
              <w:tc>
                <w:tcPr>
                  <w:tcW w:w="1665"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r>
                    <w:rPr>
                      <w:rFonts w:hint="eastAsia" w:ascii="方正仿宋_GBK" w:hAnsi="方正仿宋_GBK" w:eastAsia="方正仿宋_GBK" w:cs="方正仿宋_GBK"/>
                      <w:b w:val="0"/>
                      <w:sz w:val="24"/>
                      <w:szCs w:val="24"/>
                    </w:rPr>
                    <w:t xml:space="preserve"> </w:t>
                  </w:r>
                  <w:r>
                    <w:rPr>
                      <w:rFonts w:hint="eastAsia" w:ascii="方正仿宋_GBK" w:hAnsi="方正仿宋_GBK" w:eastAsia="方正仿宋_GBK" w:cs="方正仿宋_GBK"/>
                      <w:b w:val="0"/>
                      <w:sz w:val="24"/>
                      <w:szCs w:val="24"/>
                      <w:lang w:val="en-US" w:eastAsia="zh-CN"/>
                    </w:rPr>
                    <w:t xml:space="preserve"> </w:t>
                  </w:r>
                </w:p>
              </w:tc>
              <w:tc>
                <w:tcPr>
                  <w:tcW w:w="1020"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c>
                <w:tcPr>
                  <w:tcW w:w="1803" w:type="dxa"/>
                  <w:vAlign w:val="top"/>
                </w:tcPr>
                <w:p>
                  <w:pPr>
                    <w:rPr>
                      <w:rFonts w:hint="eastAsia" w:ascii="方正仿宋_GBK" w:hAnsi="方正仿宋_GBK" w:eastAsia="方正仿宋_GBK" w:cs="方正仿宋_GBK"/>
                      <w:b w:val="0"/>
                      <w:sz w:val="24"/>
                      <w:szCs w:val="24"/>
                      <w:lang w:eastAsia="zh-CN"/>
                    </w:rPr>
                  </w:pPr>
                  <w:r>
                    <w:rPr>
                      <w:rFonts w:hint="eastAsia" w:ascii="方正仿宋_GBK" w:hAnsi="方正仿宋_GBK" w:eastAsia="方正仿宋_GBK" w:cs="方正仿宋_GBK"/>
                      <w:b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5"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设备有效期</w:t>
                  </w:r>
                </w:p>
              </w:tc>
              <w:tc>
                <w:tcPr>
                  <w:tcW w:w="2557"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质保期</w:t>
                  </w:r>
                </w:p>
              </w:tc>
              <w:tc>
                <w:tcPr>
                  <w:tcW w:w="1065" w:type="dxa"/>
                  <w:vAlign w:val="top"/>
                </w:tcPr>
                <w:p>
                  <w:pPr>
                    <w:rPr>
                      <w:rFonts w:hint="eastAsia" w:ascii="方正仿宋_GBK" w:hAnsi="方正仿宋_GBK" w:eastAsia="方正仿宋_GBK" w:cs="方正仿宋_GBK"/>
                      <w:b w:val="0"/>
                      <w:sz w:val="24"/>
                      <w:szCs w:val="24"/>
                    </w:rPr>
                  </w:pPr>
                  <w:r>
                    <w:rPr>
                      <w:rFonts w:hint="eastAsia" w:ascii="方正仿宋_GBK" w:hAnsi="方正仿宋_GBK" w:eastAsia="方正仿宋_GBK" w:cs="方正仿宋_GBK"/>
                      <w:b w:val="0"/>
                      <w:sz w:val="24"/>
                      <w:szCs w:val="24"/>
                      <w:lang w:val="en-US" w:eastAsia="zh-CN"/>
                    </w:rPr>
                    <w:t>器械证号</w:t>
                  </w:r>
                </w:p>
              </w:tc>
              <w:tc>
                <w:tcPr>
                  <w:tcW w:w="4488" w:type="dxa"/>
                  <w:gridSpan w:val="3"/>
                  <w:vAlign w:val="top"/>
                </w:tcPr>
                <w:p>
                  <w:pPr>
                    <w:rPr>
                      <w:rFonts w:hint="default" w:ascii="方正仿宋_GBK" w:hAnsi="方正仿宋_GBK" w:eastAsia="方正仿宋_GBK" w:cs="方正仿宋_GBK"/>
                      <w:b w:val="0"/>
                      <w:sz w:val="24"/>
                      <w:szCs w:val="24"/>
                      <w:lang w:val="en-US" w:eastAsia="zh-CN"/>
                    </w:rPr>
                  </w:pPr>
                  <w:r>
                    <w:rPr>
                      <w:rFonts w:hint="eastAsia" w:ascii="方正仿宋_GBK" w:hAnsi="方正仿宋_GBK" w:eastAsia="方正仿宋_GBK" w:cs="方正仿宋_GBK"/>
                      <w:b w:val="0"/>
                      <w:sz w:val="24"/>
                      <w:szCs w:val="24"/>
                      <w:lang w:val="en-US" w:eastAsia="zh-CN"/>
                    </w:rPr>
                    <w:t>医疗器械分类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5" w:type="dxa"/>
                  <w:vAlign w:val="top"/>
                </w:tcPr>
                <w:p>
                  <w:pPr>
                    <w:rPr>
                      <w:rFonts w:hint="eastAsia" w:ascii="方正仿宋_GBK" w:hAnsi="方正仿宋_GBK" w:eastAsia="方正仿宋_GBK" w:cs="方正仿宋_GBK"/>
                      <w:b w:val="0"/>
                      <w:sz w:val="32"/>
                    </w:rPr>
                  </w:pPr>
                </w:p>
              </w:tc>
              <w:tc>
                <w:tcPr>
                  <w:tcW w:w="2557" w:type="dxa"/>
                  <w:vAlign w:val="top"/>
                </w:tcPr>
                <w:p>
                  <w:pPr>
                    <w:rPr>
                      <w:rFonts w:hint="eastAsia" w:ascii="方正仿宋_GBK" w:hAnsi="方正仿宋_GBK" w:eastAsia="方正仿宋_GBK" w:cs="方正仿宋_GBK"/>
                      <w:b w:val="0"/>
                      <w:sz w:val="32"/>
                    </w:rPr>
                  </w:pPr>
                </w:p>
              </w:tc>
              <w:tc>
                <w:tcPr>
                  <w:tcW w:w="1065" w:type="dxa"/>
                  <w:vAlign w:val="top"/>
                </w:tcPr>
                <w:p>
                  <w:pPr>
                    <w:rPr>
                      <w:rFonts w:hint="eastAsia" w:ascii="方正仿宋_GBK" w:hAnsi="方正仿宋_GBK" w:eastAsia="方正仿宋_GBK" w:cs="方正仿宋_GBK"/>
                      <w:b w:val="0"/>
                      <w:sz w:val="32"/>
                    </w:rPr>
                  </w:pPr>
                </w:p>
              </w:tc>
              <w:tc>
                <w:tcPr>
                  <w:tcW w:w="4488" w:type="dxa"/>
                  <w:gridSpan w:val="3"/>
                  <w:vAlign w:val="top"/>
                </w:tcPr>
                <w:p>
                  <w:pPr>
                    <w:rPr>
                      <w:rFonts w:hint="eastAsia" w:ascii="方正仿宋_GBK" w:hAnsi="方正仿宋_GBK" w:eastAsia="方正仿宋_GBK" w:cs="方正仿宋_GBK"/>
                      <w:b w:val="0"/>
                      <w:sz w:val="32"/>
                    </w:rPr>
                  </w:pPr>
                </w:p>
              </w:tc>
            </w:tr>
          </w:tbl>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六、保修与售后服务：</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1、自到货验收合格或最终验收合格之日起至质保期届满且经甲方确认无任何质量问题时止。</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2、乙方承诺所售商品，自甲方收到商品之日起 / 日内可以无理由退货，</w:t>
            </w:r>
            <w:r>
              <w:rPr>
                <w:rFonts w:hint="eastAsia" w:ascii="方正仿宋_GBK" w:hAnsi="方正仿宋_GBK" w:eastAsia="方正仿宋_GBK" w:cs="方正仿宋_GBK"/>
                <w:b w:val="0"/>
                <w:sz w:val="32"/>
                <w:u w:val="single"/>
                <w:lang w:val="en-US" w:eastAsia="zh-CN"/>
              </w:rPr>
              <w:t xml:space="preserve">  </w:t>
            </w:r>
            <w:r>
              <w:rPr>
                <w:rFonts w:hint="eastAsia" w:ascii="方正仿宋_GBK" w:hAnsi="方正仿宋_GBK" w:eastAsia="方正仿宋_GBK" w:cs="方正仿宋_GBK"/>
                <w:b w:val="0"/>
                <w:sz w:val="32"/>
              </w:rPr>
              <w:t>日内可以换货。更换后的货物质保期应重新计算。</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3、质保期内，乙方应当提供 7×24 小时电话支持服务。乙方接到甲方保修通知后1个小时内响应，4个小时内排除故障。对于质保期内不能修复的产品/部件，乙方应在12个小时内免费更换备品备件。</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4、质保期届满后，乙方对本合同项下货物提供终身维修服务，且维修时只收取所需维修部件的成本费，服务内容应与质保期内的要求相一致。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七、知识产权及其他民事权利的保护：</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八、违约责任：</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1、甲方逾期支付（申请支付）货款的，自逾期之日起，向乙方每日偿付合同总价/ ‰的违约金；甲方无正当理由拒付货款的，应向乙方偿付合同总价/ %的违约金。</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2、乙方逾期供货的，自逾期之日起，向甲方每日偿付合同总价/‰</w:t>
            </w:r>
            <w:r>
              <w:rPr>
                <w:rFonts w:hint="eastAsia" w:ascii="方正仿宋_GBK" w:hAnsi="方正仿宋_GBK" w:eastAsia="方正仿宋_GBK" w:cs="方正仿宋_GBK"/>
                <w:b w:val="0"/>
                <w:sz w:val="32"/>
                <w:lang w:val="en-US" w:eastAsia="zh-CN"/>
              </w:rPr>
              <w:t>的</w:t>
            </w:r>
            <w:r>
              <w:rPr>
                <w:rFonts w:hint="eastAsia" w:ascii="方正仿宋_GBK" w:hAnsi="方正仿宋_GBK" w:eastAsia="方正仿宋_GBK" w:cs="方正仿宋_GBK"/>
                <w:b w:val="0"/>
                <w:sz w:val="32"/>
              </w:rPr>
              <w:t>违约金；乙方逾期/日不能交货的，应向甲方支付合同总价/ %的违约金，并且甲方有权解除本合同，不再退还履约保证金（如有）。乙方未在约定时间内完成安装调试（如有），参照前款约定承担违约责任。</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3、乙方违反本合同和招投标文件约定的有关质量保证及售后服务等的，每发生一次，乙方应向甲方支付/元违约金。同时，甲方有权委托第三方进行保修，所产生的费用由乙方承担。若因货物缺陷或乙方服务质量等问题造成甲方或任何人员人身、财产损害的，乙方应承担有关责任并作出相应赔偿。</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4、违约方除按照本合同约定承担违约责任或赔偿损失外，还应当承担对方为处理本合同争议而产生的诉讼费 、保全费、保全担保（保险）费、律师费、公证费、差旅费等合理费用。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九、法律适用与争议解决：</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1、本合同的订立、解释、履行及争议解决，均适用中华人民共和国法律。</w:t>
            </w:r>
          </w:p>
          <w:p>
            <w:pPr>
              <w:rPr>
                <w:rFonts w:hint="eastAsia" w:ascii="方正仿宋_GBK" w:hAnsi="方正仿宋_GBK" w:eastAsia="方正仿宋_GBK" w:cs="方正仿宋_GBK"/>
                <w:b w:val="0"/>
                <w:sz w:val="32"/>
                <w:lang w:val="en-US" w:eastAsia="zh-CN"/>
              </w:rPr>
            </w:pPr>
            <w:r>
              <w:rPr>
                <w:rFonts w:hint="eastAsia" w:ascii="方正仿宋_GBK" w:hAnsi="方正仿宋_GBK" w:eastAsia="方正仿宋_GBK" w:cs="方正仿宋_GBK"/>
                <w:b w:val="0"/>
                <w:sz w:val="32"/>
              </w:rPr>
              <w:t>2、本合同履行过程中发生争议的，甲乙双方可友好协商；协商不成的，任何一方可向甲方所在地人民法院</w:t>
            </w:r>
            <w:r>
              <w:rPr>
                <w:rFonts w:hint="eastAsia" w:ascii="方正仿宋_GBK" w:hAnsi="方正仿宋_GBK" w:eastAsia="方正仿宋_GBK" w:cs="方正仿宋_GBK"/>
                <w:b w:val="0"/>
                <w:sz w:val="32"/>
                <w:lang w:val="en-US" w:eastAsia="zh-CN"/>
              </w:rPr>
              <w:t>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3" w:hRule="atLeast"/>
        </w:trPr>
        <w:tc>
          <w:tcPr>
            <w:tcW w:w="9670" w:type="dxa"/>
            <w:gridSpan w:val="2"/>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十、合同生效及其他：</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1、本合同经甲乙双方加盖公章后生效。合同内容如遇国家法律、法规及政策另有规定的，从其规定。</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2、本合同一式肆份，甲方执</w:t>
            </w:r>
            <w:r>
              <w:rPr>
                <w:rFonts w:hint="eastAsia" w:ascii="方正仿宋_GBK" w:hAnsi="方正仿宋_GBK" w:eastAsia="方正仿宋_GBK" w:cs="方正仿宋_GBK"/>
                <w:b w:val="0"/>
                <w:sz w:val="32"/>
                <w:u w:val="single"/>
              </w:rPr>
              <w:t>叁</w:t>
            </w:r>
            <w:r>
              <w:rPr>
                <w:rFonts w:hint="eastAsia" w:ascii="方正仿宋_GBK" w:hAnsi="方正仿宋_GBK" w:eastAsia="方正仿宋_GBK" w:cs="方正仿宋_GBK"/>
                <w:b w:val="0"/>
                <w:sz w:val="32"/>
              </w:rPr>
              <w:t>份，乙方执</w:t>
            </w:r>
            <w:r>
              <w:rPr>
                <w:rFonts w:hint="eastAsia" w:ascii="方正仿宋_GBK" w:hAnsi="方正仿宋_GBK" w:eastAsia="方正仿宋_GBK" w:cs="方正仿宋_GBK"/>
                <w:b w:val="0"/>
                <w:sz w:val="32"/>
                <w:u w:val="single"/>
                <w:lang w:val="en-US" w:eastAsia="zh-CN"/>
              </w:rPr>
              <w:t xml:space="preserve">  </w:t>
            </w:r>
            <w:r>
              <w:rPr>
                <w:rFonts w:hint="eastAsia" w:ascii="方正仿宋_GBK" w:hAnsi="方正仿宋_GBK" w:eastAsia="方正仿宋_GBK" w:cs="方正仿宋_GBK"/>
                <w:b w:val="0"/>
                <w:sz w:val="32"/>
              </w:rPr>
              <w:t>份，具有同等法律效力。</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lang w:val="en-US" w:eastAsia="zh-CN"/>
              </w:rPr>
              <w:t>3、招投标文件或竞价文件为本合同的附件,与本合同具有同等法律效力。甲乙双方商定的其他必要文件,附件与本合同不相符合之处,以本合同内容为准。上述文件内容互为补充。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9" w:hRule="atLeast"/>
        </w:trPr>
        <w:tc>
          <w:tcPr>
            <w:tcW w:w="5060" w:type="dxa"/>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甲方（需方）：</w:t>
            </w:r>
            <w:r>
              <w:rPr>
                <w:rFonts w:hint="eastAsia" w:ascii="方正仿宋_GBK" w:hAnsi="方正仿宋_GBK" w:eastAsia="方正仿宋_GBK" w:cs="方正仿宋_GBK"/>
                <w:b w:val="0"/>
                <w:sz w:val="28"/>
                <w:szCs w:val="18"/>
              </w:rPr>
              <w:t>重庆市沙坪坝区土主社区卫生服务中心</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地址：</w:t>
            </w:r>
            <w:r>
              <w:rPr>
                <w:rFonts w:hint="eastAsia" w:ascii="方正仿宋_GBK" w:hAnsi="方正仿宋_GBK" w:eastAsia="方正仿宋_GBK" w:cs="方正仿宋_GBK"/>
                <w:b w:val="0"/>
                <w:sz w:val="28"/>
                <w:szCs w:val="18"/>
              </w:rPr>
              <w:t>沙坪坝区土主</w:t>
            </w:r>
            <w:r>
              <w:rPr>
                <w:rFonts w:hint="eastAsia" w:ascii="方正仿宋_GBK" w:hAnsi="方正仿宋_GBK" w:eastAsia="方正仿宋_GBK" w:cs="方正仿宋_GBK"/>
                <w:b w:val="0"/>
                <w:sz w:val="28"/>
                <w:szCs w:val="18"/>
                <w:lang w:val="en-US" w:eastAsia="zh-CN"/>
              </w:rPr>
              <w:t>街道和谐街27</w:t>
            </w:r>
            <w:r>
              <w:rPr>
                <w:rFonts w:hint="eastAsia" w:ascii="方正仿宋_GBK" w:hAnsi="方正仿宋_GBK" w:eastAsia="方正仿宋_GBK" w:cs="方正仿宋_GBK"/>
                <w:b w:val="0"/>
                <w:sz w:val="28"/>
                <w:szCs w:val="18"/>
              </w:rPr>
              <w:t>号</w:t>
            </w:r>
          </w:p>
          <w:p>
            <w:pPr>
              <w:rPr>
                <w:rFonts w:hint="default" w:ascii="方正仿宋_GBK" w:hAnsi="方正仿宋_GBK" w:eastAsia="方正仿宋_GBK" w:cs="方正仿宋_GBK"/>
                <w:b w:val="0"/>
                <w:sz w:val="32"/>
                <w:lang w:val="en-US" w:eastAsia="zh-CN"/>
              </w:rPr>
            </w:pPr>
            <w:r>
              <w:rPr>
                <w:rFonts w:hint="eastAsia" w:ascii="方正仿宋_GBK" w:hAnsi="方正仿宋_GBK" w:eastAsia="方正仿宋_GBK" w:cs="方正仿宋_GBK"/>
                <w:b w:val="0"/>
                <w:sz w:val="32"/>
              </w:rPr>
              <w:t>联系人：</w:t>
            </w:r>
            <w:r>
              <w:rPr>
                <w:rFonts w:hint="eastAsia" w:ascii="方正仿宋_GBK" w:hAnsi="方正仿宋_GBK" w:eastAsia="方正仿宋_GBK" w:cs="方正仿宋_GBK"/>
                <w:b w:val="0"/>
                <w:sz w:val="32"/>
                <w:lang w:val="en-US" w:eastAsia="zh-CN"/>
              </w:rPr>
              <w:t>李老师</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电话：02365</w:t>
            </w:r>
            <w:r>
              <w:rPr>
                <w:rFonts w:hint="eastAsia" w:ascii="方正仿宋_GBK" w:hAnsi="方正仿宋_GBK" w:eastAsia="方正仿宋_GBK" w:cs="方正仿宋_GBK"/>
                <w:b w:val="0"/>
                <w:sz w:val="32"/>
                <w:lang w:val="en-US" w:eastAsia="zh-CN"/>
              </w:rPr>
              <w:t>017985</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甲方（盖章）：</w:t>
            </w:r>
          </w:p>
          <w:p>
            <w:pPr>
              <w:rPr>
                <w:rFonts w:hint="eastAsia" w:ascii="方正仿宋_GBK" w:hAnsi="方正仿宋_GBK" w:eastAsia="方正仿宋_GBK" w:cs="方正仿宋_GBK"/>
                <w:b w:val="0"/>
                <w:sz w:val="32"/>
              </w:rPr>
            </w:pP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法人</w:t>
            </w:r>
            <w:r>
              <w:rPr>
                <w:rFonts w:hint="eastAsia" w:ascii="方正仿宋_GBK" w:hAnsi="方正仿宋_GBK" w:eastAsia="方正仿宋_GBK" w:cs="方正仿宋_GBK"/>
                <w:b w:val="0"/>
                <w:sz w:val="32"/>
                <w:lang w:val="en-US" w:eastAsia="zh-CN"/>
              </w:rPr>
              <w:t>/</w:t>
            </w:r>
            <w:r>
              <w:rPr>
                <w:rFonts w:hint="eastAsia" w:ascii="方正仿宋_GBK" w:hAnsi="方正仿宋_GBK" w:eastAsia="方正仿宋_GBK" w:cs="方正仿宋_GBK"/>
                <w:b w:val="0"/>
                <w:sz w:val="32"/>
              </w:rPr>
              <w:t xml:space="preserve"> 授权代表（签字）：</w:t>
            </w:r>
          </w:p>
        </w:tc>
        <w:tc>
          <w:tcPr>
            <w:tcW w:w="4610" w:type="dxa"/>
            <w:vAlign w:val="top"/>
          </w:tcPr>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乙方（供方）：</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地址：</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联系人：</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电话：</w:t>
            </w:r>
          </w:p>
          <w:p>
            <w:pPr>
              <w:rPr>
                <w:rFonts w:hint="eastAsia" w:ascii="方正仿宋_GBK" w:hAnsi="方正仿宋_GBK" w:eastAsia="方正仿宋_GBK" w:cs="方正仿宋_GBK"/>
                <w:b w:val="0"/>
                <w:sz w:val="32"/>
              </w:rPr>
            </w:pP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乙方（盖章）：</w:t>
            </w:r>
          </w:p>
          <w:p>
            <w:pPr>
              <w:rPr>
                <w:rFonts w:hint="eastAsia" w:ascii="方正仿宋_GBK" w:hAnsi="方正仿宋_GBK" w:eastAsia="方正仿宋_GBK" w:cs="方正仿宋_GBK"/>
                <w:b w:val="0"/>
                <w:sz w:val="32"/>
              </w:rPr>
            </w:pP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法人</w:t>
            </w:r>
            <w:r>
              <w:rPr>
                <w:rFonts w:hint="eastAsia" w:ascii="方正仿宋_GBK" w:hAnsi="方正仿宋_GBK" w:eastAsia="方正仿宋_GBK" w:cs="方正仿宋_GBK"/>
                <w:b w:val="0"/>
                <w:sz w:val="32"/>
                <w:lang w:val="en-US" w:eastAsia="zh-CN"/>
              </w:rPr>
              <w:t>/</w:t>
            </w:r>
            <w:r>
              <w:rPr>
                <w:rFonts w:hint="eastAsia" w:ascii="方正仿宋_GBK" w:hAnsi="方正仿宋_GBK" w:eastAsia="方正仿宋_GBK" w:cs="方正仿宋_GBK"/>
                <w:b w:val="0"/>
                <w:sz w:val="32"/>
              </w:rPr>
              <w:t xml:space="preserve"> 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670" w:type="dxa"/>
            <w:gridSpan w:val="2"/>
            <w:vAlign w:val="top"/>
          </w:tcPr>
          <w:p>
            <w:pPr>
              <w:rPr>
                <w:rFonts w:hint="default" w:ascii="方正仿宋_GBK" w:hAnsi="方正仿宋_GBK" w:eastAsia="方正仿宋_GBK" w:cs="方正仿宋_GBK"/>
                <w:b w:val="0"/>
                <w:sz w:val="32"/>
                <w:lang w:val="en-US" w:eastAsia="zh-CN"/>
              </w:rPr>
            </w:pPr>
            <w:r>
              <w:rPr>
                <w:rFonts w:hint="eastAsia" w:ascii="方正仿宋_GBK" w:hAnsi="方正仿宋_GBK" w:eastAsia="方正仿宋_GBK" w:cs="方正仿宋_GBK"/>
                <w:b w:val="0"/>
                <w:sz w:val="32"/>
              </w:rPr>
              <w:t>备注：</w:t>
            </w:r>
          </w:p>
        </w:tc>
      </w:tr>
    </w:tbl>
    <w:p>
      <w:pPr>
        <w:ind w:firstLine="6400" w:firstLineChars="2000"/>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 xml:space="preserve">年      月      日 </w:t>
      </w:r>
    </w:p>
    <w:p>
      <w:pPr>
        <w:rPr>
          <w:rFonts w:hint="eastAsia" w:ascii="方正仿宋_GBK" w:hAnsi="方正仿宋_GBK" w:eastAsia="方正仿宋_GBK" w:cs="方正仿宋_GBK"/>
          <w:b w:val="0"/>
          <w:sz w:val="32"/>
        </w:rPr>
      </w:pPr>
      <w:r>
        <w:rPr>
          <w:rFonts w:hint="eastAsia" w:ascii="方正仿宋_GBK" w:hAnsi="方正仿宋_GBK" w:eastAsia="方正仿宋_GBK" w:cs="方正仿宋_GBK"/>
          <w:b w:val="0"/>
          <w:sz w:val="32"/>
        </w:rPr>
        <w:t>签订地点：沙坪坝区土主</w:t>
      </w:r>
      <w:r>
        <w:rPr>
          <w:rFonts w:hint="eastAsia" w:ascii="方正仿宋_GBK" w:hAnsi="方正仿宋_GBK" w:eastAsia="方正仿宋_GBK" w:cs="方正仿宋_GBK"/>
          <w:b w:val="0"/>
          <w:sz w:val="32"/>
          <w:lang w:val="en-US" w:eastAsia="zh-CN"/>
        </w:rPr>
        <w:t>街道和谐街27</w:t>
      </w:r>
      <w:r>
        <w:rPr>
          <w:rFonts w:hint="eastAsia" w:ascii="方正仿宋_GBK" w:hAnsi="方正仿宋_GBK" w:eastAsia="方正仿宋_GBK" w:cs="方正仿宋_GBK"/>
          <w:b w:val="0"/>
          <w:sz w:val="32"/>
        </w:rPr>
        <w:t>号</w:t>
      </w:r>
    </w:p>
    <w:p>
      <w:pPr>
        <w:tabs>
          <w:tab w:val="center" w:pos="4706"/>
        </w:tabs>
        <w:jc w:val="left"/>
        <w:sectPr>
          <w:headerReference r:id="rId8" w:type="default"/>
          <w:footerReference r:id="rId9" w:type="default"/>
          <w:pgSz w:w="11907" w:h="16840"/>
          <w:pgMar w:top="1134" w:right="1191" w:bottom="1134" w:left="1304" w:header="964" w:footer="992" w:gutter="0"/>
          <w:pgNumType w:fmt="decimal"/>
          <w:cols w:space="720" w:num="1"/>
          <w:docGrid w:linePitch="312" w:charSpace="0"/>
        </w:sectPr>
      </w:pPr>
    </w:p>
    <w:p>
      <w:pPr>
        <w:pStyle w:val="3"/>
        <w:spacing w:before="0" w:after="0" w:line="360" w:lineRule="auto"/>
        <w:jc w:val="center"/>
        <w:rPr>
          <w:rFonts w:ascii="仿宋" w:hAnsi="仿宋" w:eastAsia="仿宋"/>
          <w:bCs/>
          <w:sz w:val="36"/>
          <w:szCs w:val="30"/>
        </w:rPr>
      </w:pPr>
      <w:bookmarkStart w:id="111" w:name="_Toc26013"/>
      <w:r>
        <w:rPr>
          <w:rFonts w:hint="eastAsia" w:ascii="仿宋" w:hAnsi="仿宋" w:eastAsia="仿宋"/>
          <w:bCs/>
          <w:sz w:val="36"/>
          <w:szCs w:val="30"/>
        </w:rPr>
        <w:t>第七篇  响应文件编制要求</w:t>
      </w:r>
      <w:bookmarkEnd w:id="110"/>
      <w:bookmarkEnd w:id="111"/>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经济部分</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（一）网上竞采报价函</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二、</w:t>
      </w:r>
      <w:r>
        <w:rPr>
          <w:rFonts w:hint="eastAsia" w:ascii="仿宋" w:hAnsi="仿宋" w:eastAsia="仿宋"/>
          <w:sz w:val="24"/>
          <w:szCs w:val="24"/>
        </w:rPr>
        <w:t>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四、</w:t>
      </w:r>
      <w:r>
        <w:rPr>
          <w:rFonts w:hint="eastAsia" w:ascii="仿宋" w:hAnsi="仿宋" w:eastAsia="仿宋"/>
          <w:sz w:val="24"/>
          <w:szCs w:val="24"/>
        </w:rPr>
        <w:t>资格条件及其他</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五、</w:t>
      </w:r>
      <w:r>
        <w:rPr>
          <w:rFonts w:hint="eastAsia" w:ascii="仿宋" w:hAnsi="仿宋" w:eastAsia="仿宋"/>
          <w:sz w:val="24"/>
          <w:szCs w:val="24"/>
        </w:rPr>
        <w:t>其他应提供的资料</w:t>
      </w:r>
    </w:p>
    <w:p>
      <w:pPr>
        <w:snapToGrid w:val="0"/>
        <w:spacing w:line="400" w:lineRule="exact"/>
        <w:ind w:firstLine="480" w:firstLineChars="200"/>
        <w:rPr>
          <w:rFonts w:ascii="仿宋" w:hAnsi="仿宋" w:eastAsia="仿宋"/>
          <w:sz w:val="24"/>
          <w:szCs w:val="24"/>
        </w:rPr>
      </w:pPr>
      <w:bookmarkStart w:id="112" w:name="_Toc313888360"/>
      <w:bookmarkStart w:id="113" w:name="_Toc342913419"/>
      <w:bookmarkStart w:id="114" w:name="_Toc313008356"/>
      <w:bookmarkStart w:id="115" w:name="_Toc283382454"/>
      <w:bookmarkStart w:id="116" w:name="_Toc12789073"/>
      <w:r>
        <w:rPr>
          <w:rFonts w:hint="eastAsia" w:ascii="仿宋" w:hAnsi="仿宋" w:eastAsia="仿宋"/>
          <w:sz w:val="24"/>
          <w:szCs w:val="24"/>
        </w:rPr>
        <w:t>其他与项目有关的资料（自附）</w:t>
      </w:r>
    </w:p>
    <w:p>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p>
    <w:p>
      <w:bookmarkStart w:id="117" w:name="_Toc25359"/>
      <w:r>
        <w:rPr>
          <w:rFonts w:hint="eastAsia"/>
          <w:lang w:eastAsia="zh-CN"/>
        </w:rPr>
        <w:t>一、</w:t>
      </w:r>
      <w:r>
        <w:rPr>
          <w:rFonts w:hint="eastAsia"/>
        </w:rPr>
        <w:t>经济部分</w:t>
      </w:r>
      <w:bookmarkEnd w:id="112"/>
      <w:bookmarkEnd w:id="113"/>
      <w:bookmarkEnd w:id="114"/>
      <w:bookmarkEnd w:id="117"/>
    </w:p>
    <w:bookmarkEnd w:id="115"/>
    <w:bookmarkEnd w:id="116"/>
    <w:p>
      <w:r>
        <w:rPr>
          <w:rFonts w:hint="eastAsia"/>
        </w:rPr>
        <w:t>（一）网上竞采报价函</w:t>
      </w:r>
    </w:p>
    <w:p>
      <w:pPr>
        <w:jc w:val="center"/>
      </w:pPr>
      <w:r>
        <w:rPr>
          <w:rFonts w:hint="eastAsia"/>
        </w:rPr>
        <w:t>网上竞采报价函</w:t>
      </w:r>
    </w:p>
    <w:p>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w:t>
      </w:r>
      <w:r>
        <w:rPr>
          <w:rFonts w:hint="eastAsia" w:ascii="仿宋" w:hAnsi="仿宋" w:eastAsia="仿宋"/>
          <w:sz w:val="24"/>
          <w:szCs w:val="24"/>
          <w:u w:val="single"/>
          <w:lang w:val="en-US" w:eastAsia="zh-CN"/>
        </w:rPr>
        <w:t>机构或</w:t>
      </w:r>
      <w:r>
        <w:rPr>
          <w:rFonts w:hint="eastAsia" w:ascii="仿宋" w:hAnsi="仿宋" w:eastAsia="仿宋"/>
          <w:sz w:val="24"/>
          <w:szCs w:val="24"/>
          <w:u w:val="single"/>
        </w:rPr>
        <w:t>代理机构名称）</w:t>
      </w:r>
      <w:r>
        <w:rPr>
          <w:rFonts w:hint="eastAsia" w:ascii="仿宋" w:hAnsi="仿宋" w:eastAsia="仿宋"/>
          <w:sz w:val="24"/>
          <w:szCs w:val="24"/>
        </w:rPr>
        <w:t>：</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我方收到____________________________（项目名称）的网上竞采文件，经详细研究，决定参加该项目的网上竞采。</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1.愿意按照网上竞采文件中的一切要求，提供本项目采购内容及相关服务，竞采报价为人民币大写：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.我方承诺：本次网上竞采的有效期为90天。</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.我方完全理解和接受贵方网上竞采文件的一切规定和要求及评审办法。</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.在整个网上竞采过程中，我方若有违规行为，接受按照《中华人民共和国政府采购法》和</w:t>
      </w:r>
      <w:r>
        <w:rPr>
          <w:rFonts w:hint="eastAsia" w:ascii="仿宋" w:hAnsi="仿宋" w:eastAsia="仿宋"/>
          <w:sz w:val="24"/>
          <w:szCs w:val="24"/>
          <w:lang w:val="en-US" w:eastAsia="zh-CN"/>
        </w:rPr>
        <w:t>本项目竞采文件</w:t>
      </w:r>
      <w:r>
        <w:rPr>
          <w:rFonts w:hint="eastAsia" w:ascii="仿宋" w:hAnsi="仿宋" w:eastAsia="仿宋"/>
          <w:sz w:val="24"/>
          <w:szCs w:val="24"/>
        </w:rPr>
        <w:t>之规定给予惩罚。</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.我方若成为成交供应商，将按照最终网上竞采结果签订合同，并且严格履行合同义务。本承诺函将成为合同不可分割的一部分，与合同具有同等的法律效力。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.我方同意按网上竞采文件规定。如果我方成为成交供应商，保证在接到成交通知书前，向采购代理机构缴纳网上竞采文件规定的采购代理服务费。</w:t>
      </w:r>
    </w:p>
    <w:p>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w:t>
      </w:r>
      <w:r>
        <w:rPr>
          <w:rFonts w:hint="eastAsia" w:ascii="仿宋" w:hAnsi="仿宋" w:eastAsia="仿宋"/>
          <w:sz w:val="24"/>
          <w:szCs w:val="24"/>
          <w:lang w:eastAsia="zh-CN"/>
        </w:rPr>
        <w:t>、</w:t>
      </w:r>
      <w:r>
        <w:rPr>
          <w:rFonts w:ascii="仿宋" w:hAnsi="仿宋" w:eastAsia="仿宋"/>
          <w:sz w:val="24"/>
          <w:szCs w:val="24"/>
        </w:rPr>
        <w:t>规范编制或者项目管理</w:t>
      </w:r>
      <w:r>
        <w:rPr>
          <w:rFonts w:hint="eastAsia" w:ascii="仿宋" w:hAnsi="仿宋" w:eastAsia="仿宋"/>
          <w:sz w:val="24"/>
          <w:szCs w:val="24"/>
          <w:lang w:eastAsia="zh-CN"/>
        </w:rPr>
        <w:t>、</w:t>
      </w:r>
      <w:r>
        <w:rPr>
          <w:rFonts w:ascii="仿宋" w:hAnsi="仿宋" w:eastAsia="仿宋"/>
          <w:sz w:val="24"/>
          <w:szCs w:val="24"/>
        </w:rPr>
        <w:t>监理</w:t>
      </w:r>
      <w:r>
        <w:rPr>
          <w:rFonts w:hint="eastAsia" w:ascii="仿宋" w:hAnsi="仿宋" w:eastAsia="仿宋"/>
          <w:sz w:val="24"/>
          <w:szCs w:val="24"/>
          <w:lang w:eastAsia="zh-CN"/>
        </w:rPr>
        <w:t>、</w:t>
      </w:r>
      <w:r>
        <w:rPr>
          <w:rFonts w:ascii="仿宋" w:hAnsi="仿宋" w:eastAsia="仿宋"/>
          <w:sz w:val="24"/>
          <w:szCs w:val="24"/>
        </w:rPr>
        <w:t>检测等服务。</w:t>
      </w: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w:t>
      </w:r>
      <w:r>
        <w:rPr>
          <w:rFonts w:hint="eastAsia" w:ascii="仿宋" w:hAnsi="仿宋" w:eastAsia="仿宋"/>
          <w:sz w:val="24"/>
          <w:szCs w:val="24"/>
          <w:lang w:val="en-US" w:eastAsia="zh-CN"/>
        </w:rPr>
        <w:t xml:space="preserve">  </w:t>
      </w:r>
      <w:r>
        <w:rPr>
          <w:rFonts w:hint="eastAsia" w:ascii="仿宋" w:hAnsi="仿宋" w:eastAsia="仿宋"/>
          <w:sz w:val="24"/>
          <w:szCs w:val="24"/>
        </w:rPr>
        <w:t>月</w:t>
      </w:r>
      <w:r>
        <w:rPr>
          <w:rFonts w:hint="eastAsia" w:ascii="仿宋" w:hAnsi="仿宋" w:eastAsia="仿宋"/>
          <w:sz w:val="24"/>
          <w:szCs w:val="24"/>
          <w:lang w:val="en-US" w:eastAsia="zh-CN"/>
        </w:rPr>
        <w:t xml:space="preserve">  </w:t>
      </w:r>
      <w:r>
        <w:rPr>
          <w:rFonts w:hint="eastAsia" w:ascii="仿宋" w:hAnsi="仿宋" w:eastAsia="仿宋"/>
          <w:sz w:val="24"/>
          <w:szCs w:val="24"/>
        </w:rPr>
        <w:t>日</w:t>
      </w: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pStyle w:val="70"/>
        <w:rPr>
          <w:rFonts w:eastAsia="仿宋"/>
        </w:rPr>
      </w:pPr>
    </w:p>
    <w:p>
      <w:pPr>
        <w:snapToGrid w:val="0"/>
        <w:spacing w:line="500" w:lineRule="exact"/>
        <w:ind w:firstLine="560"/>
        <w:rPr>
          <w:rFonts w:ascii="仿宋" w:hAnsi="仿宋" w:eastAsia="仿宋"/>
          <w:b/>
          <w:szCs w:val="22"/>
        </w:rPr>
      </w:pPr>
      <w:r>
        <w:rPr>
          <w:rFonts w:hint="eastAsia" w:ascii="仿宋" w:hAnsi="仿宋" w:eastAsia="仿宋"/>
          <w:b/>
        </w:rPr>
        <w:t>（二）分项报价明细表</w:t>
      </w:r>
    </w:p>
    <w:p>
      <w:pPr>
        <w:snapToGrid w:val="0"/>
        <w:spacing w:line="500" w:lineRule="exact"/>
        <w:jc w:val="center"/>
        <w:rPr>
          <w:rFonts w:ascii="仿宋" w:hAnsi="仿宋" w:eastAsia="仿宋"/>
          <w:sz w:val="24"/>
        </w:rPr>
      </w:pPr>
      <w:r>
        <w:rPr>
          <w:rFonts w:hint="eastAsia" w:ascii="仿宋" w:hAnsi="仿宋" w:eastAsia="仿宋"/>
          <w:sz w:val="24"/>
        </w:rPr>
        <w:t>分项报价明细表</w:t>
      </w:r>
    </w:p>
    <w:p>
      <w:pPr>
        <w:snapToGrid w:val="0"/>
        <w:spacing w:line="500" w:lineRule="exact"/>
        <w:rPr>
          <w:rFonts w:ascii="仿宋" w:hAnsi="仿宋" w:eastAsia="仿宋"/>
          <w:sz w:val="24"/>
        </w:rPr>
      </w:pPr>
      <w:r>
        <w:rPr>
          <w:rFonts w:hint="eastAsia" w:ascii="仿宋" w:hAnsi="仿宋" w:eastAsia="仿宋"/>
          <w:sz w:val="24"/>
        </w:rPr>
        <w:t>项目名称：</w:t>
      </w:r>
    </w:p>
    <w:tbl>
      <w:tblPr>
        <w:tblStyle w:val="60"/>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tblPrEx>
          <w:tblCellMar>
            <w:top w:w="0" w:type="dxa"/>
            <w:left w:w="0" w:type="dxa"/>
            <w:bottom w:w="0" w:type="dxa"/>
            <w:right w:w="0" w:type="dxa"/>
          </w:tblCellMar>
        </w:tblPrEx>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厂家及型号</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jc w:val="center"/>
              <w:rPr>
                <w:rFonts w:ascii="仿宋" w:hAnsi="仿宋" w:eastAsia="仿宋"/>
                <w:bCs/>
                <w:sz w:val="22"/>
                <w:szCs w:val="22"/>
              </w:rPr>
            </w:pPr>
          </w:p>
        </w:tc>
      </w:tr>
      <w:tr>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napToGrid w:val="0"/>
              <w:rPr>
                <w:rFonts w:ascii="仿宋" w:hAnsi="仿宋" w:eastAsia="仿宋"/>
                <w:bCs/>
                <w:sz w:val="24"/>
                <w:szCs w:val="24"/>
              </w:rPr>
            </w:pPr>
          </w:p>
        </w:tc>
      </w:tr>
    </w:tbl>
    <w:p>
      <w:pPr>
        <w:snapToGrid w:val="0"/>
        <w:spacing w:line="500" w:lineRule="exact"/>
        <w:ind w:firstLine="480"/>
        <w:rPr>
          <w:rFonts w:ascii="仿宋" w:hAnsi="仿宋" w:eastAsia="仿宋"/>
          <w:sz w:val="24"/>
        </w:rPr>
      </w:pPr>
    </w:p>
    <w:p>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pPr>
        <w:snapToGrid w:val="0"/>
        <w:spacing w:line="500" w:lineRule="exact"/>
        <w:rPr>
          <w:rFonts w:ascii="仿宋" w:hAnsi="仿宋" w:eastAsia="仿宋"/>
          <w:sz w:val="24"/>
        </w:rPr>
      </w:pPr>
      <w:r>
        <w:rPr>
          <w:rFonts w:hint="eastAsia" w:ascii="仿宋" w:hAnsi="仿宋" w:eastAsia="仿宋"/>
          <w:sz w:val="24"/>
        </w:rPr>
        <w:t>（供应商公章）                                  （签字或盖章）</w:t>
      </w:r>
    </w:p>
    <w:p>
      <w:pPr>
        <w:snapToGrid w:val="0"/>
        <w:spacing w:line="500" w:lineRule="exact"/>
        <w:rPr>
          <w:rFonts w:ascii="仿宋" w:hAnsi="仿宋" w:eastAsia="仿宋"/>
          <w:sz w:val="24"/>
        </w:rPr>
      </w:pPr>
    </w:p>
    <w:p>
      <w:pPr>
        <w:snapToGrid w:val="0"/>
        <w:spacing w:line="500" w:lineRule="exact"/>
        <w:rPr>
          <w:rFonts w:ascii="仿宋" w:hAnsi="仿宋" w:eastAsia="仿宋"/>
          <w:sz w:val="24"/>
        </w:rPr>
      </w:pPr>
    </w:p>
    <w:p>
      <w:pPr>
        <w:snapToGrid w:val="0"/>
        <w:spacing w:line="500" w:lineRule="exact"/>
        <w:ind w:firstLine="480"/>
        <w:rPr>
          <w:rFonts w:ascii="仿宋" w:hAnsi="仿宋" w:eastAsia="仿宋"/>
          <w:sz w:val="24"/>
        </w:rPr>
      </w:pPr>
      <w:r>
        <w:rPr>
          <w:rFonts w:hint="eastAsia" w:ascii="仿宋" w:hAnsi="仿宋" w:eastAsia="仿宋"/>
          <w:sz w:val="24"/>
        </w:rPr>
        <w:t>年月日</w:t>
      </w:r>
    </w:p>
    <w:p>
      <w:pPr>
        <w:snapToGrid w:val="0"/>
        <w:spacing w:line="500" w:lineRule="exact"/>
        <w:ind w:firstLine="480"/>
        <w:rPr>
          <w:rFonts w:ascii="仿宋" w:hAnsi="仿宋" w:eastAsia="仿宋"/>
          <w:sz w:val="24"/>
        </w:rPr>
      </w:pPr>
    </w:p>
    <w:p>
      <w:pPr>
        <w:snapToGrid w:val="0"/>
        <w:spacing w:line="360" w:lineRule="auto"/>
        <w:ind w:firstLine="480"/>
        <w:rPr>
          <w:rFonts w:ascii="仿宋" w:hAnsi="仿宋" w:eastAsia="仿宋"/>
          <w:sz w:val="24"/>
        </w:rPr>
      </w:pPr>
      <w:r>
        <w:rPr>
          <w:rFonts w:hint="eastAsia" w:ascii="仿宋" w:hAnsi="仿宋" w:eastAsia="仿宋"/>
          <w:sz w:val="24"/>
        </w:rPr>
        <w:t>注：</w:t>
      </w:r>
    </w:p>
    <w:p>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pPr>
        <w:pStyle w:val="70"/>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pPr>
        <w:tabs>
          <w:tab w:val="center" w:pos="4706"/>
        </w:tabs>
        <w:jc w:val="left"/>
        <w:sectPr>
          <w:footerReference r:id="rId12" w:type="default"/>
          <w:pgSz w:w="11907" w:h="16840"/>
          <w:pgMar w:top="1134" w:right="1191" w:bottom="1134" w:left="1304" w:header="851" w:footer="992" w:gutter="0"/>
          <w:pgNumType w:fmt="decimal"/>
          <w:cols w:space="720" w:num="1"/>
          <w:docGrid w:linePitch="380" w:charSpace="-5735"/>
        </w:sectPr>
      </w:pPr>
    </w:p>
    <w:p>
      <w:pPr>
        <w:rPr>
          <w:rFonts w:cs="仿宋"/>
          <w:b/>
          <w:bCs/>
          <w:szCs w:val="28"/>
        </w:rPr>
      </w:pPr>
      <w:bookmarkStart w:id="118" w:name="_Toc21280"/>
      <w:bookmarkStart w:id="119" w:name="_Toc342913420"/>
      <w:bookmarkStart w:id="120" w:name="_Toc313888361"/>
      <w:bookmarkStart w:id="121" w:name="_Toc313008357"/>
      <w:r>
        <w:rPr>
          <w:rFonts w:hint="eastAsia"/>
          <w:lang w:eastAsia="zh-CN"/>
        </w:rPr>
        <w:t>二、</w:t>
      </w:r>
      <w:r>
        <w:rPr>
          <w:rFonts w:hint="eastAsia"/>
        </w:rPr>
        <w:t>技术</w:t>
      </w:r>
      <w:r>
        <w:rPr>
          <w:rFonts w:hint="eastAsia"/>
          <w:lang w:val="en-US" w:eastAsia="zh-CN"/>
        </w:rPr>
        <w:t>及商务</w:t>
      </w:r>
      <w:r>
        <w:rPr>
          <w:rFonts w:hint="eastAsia"/>
        </w:rPr>
        <w:t>部分</w:t>
      </w:r>
      <w:bookmarkEnd w:id="118"/>
      <w:bookmarkEnd w:id="119"/>
      <w:bookmarkEnd w:id="120"/>
      <w:bookmarkEnd w:id="121"/>
    </w:p>
    <w:p>
      <w:pPr>
        <w:pStyle w:val="70"/>
        <w:rPr>
          <w:rFonts w:ascii="仿宋" w:hAnsi="仿宋" w:eastAsia="仿宋" w:cs="仿宋"/>
          <w:b/>
          <w:bCs/>
          <w:szCs w:val="28"/>
        </w:rPr>
      </w:pPr>
    </w:p>
    <w:p>
      <w:pPr>
        <w:tabs>
          <w:tab w:val="left" w:pos="6300"/>
        </w:tabs>
        <w:snapToGrid w:val="0"/>
        <w:spacing w:line="540" w:lineRule="exact"/>
        <w:ind w:firstLine="570"/>
        <w:jc w:val="center"/>
        <w:rPr>
          <w:rFonts w:hint="eastAsia" w:ascii="仿宋" w:hAnsi="仿宋" w:eastAsia="仿宋" w:cs="仿宋"/>
          <w:b/>
          <w:bCs/>
          <w:sz w:val="36"/>
          <w:szCs w:val="36"/>
        </w:rPr>
      </w:pPr>
      <w:bookmarkStart w:id="122" w:name="_Toc283382459"/>
      <w:r>
        <w:rPr>
          <w:rFonts w:hint="eastAsia" w:ascii="仿宋" w:hAnsi="仿宋" w:eastAsia="仿宋" w:cs="仿宋"/>
          <w:b/>
          <w:bCs/>
          <w:sz w:val="36"/>
          <w:szCs w:val="36"/>
        </w:rPr>
        <w:t>投标人技术及商务条款应答承诺书</w:t>
      </w:r>
    </w:p>
    <w:p>
      <w:pPr>
        <w:tabs>
          <w:tab w:val="left" w:pos="6300"/>
        </w:tabs>
        <w:snapToGrid w:val="0"/>
        <w:spacing w:line="500" w:lineRule="exact"/>
        <w:ind w:firstLine="570"/>
        <w:rPr>
          <w:rFonts w:hint="eastAsia" w:ascii="仿宋" w:hAnsi="仿宋" w:eastAsia="仿宋" w:cs="仿宋"/>
          <w:sz w:val="24"/>
          <w:szCs w:val="24"/>
        </w:rPr>
      </w:pP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w:t>
      </w:r>
      <w:r>
        <w:rPr>
          <w:rFonts w:hint="eastAsia" w:ascii="仿宋" w:hAnsi="仿宋" w:eastAsia="仿宋" w:cs="仿宋"/>
          <w:sz w:val="24"/>
          <w:szCs w:val="24"/>
          <w:lang w:val="en-US" w:eastAsia="zh-CN"/>
        </w:rPr>
        <w:t>机构</w:t>
      </w:r>
      <w:r>
        <w:rPr>
          <w:rFonts w:hint="eastAsia" w:ascii="仿宋" w:hAnsi="仿宋" w:eastAsia="仿宋" w:cs="仿宋"/>
          <w:sz w:val="24"/>
          <w:szCs w:val="24"/>
        </w:rPr>
        <w:t>名称）：</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pPr>
        <w:tabs>
          <w:tab w:val="left" w:pos="6300"/>
        </w:tabs>
        <w:snapToGrid w:val="0"/>
        <w:spacing w:line="500" w:lineRule="exact"/>
        <w:ind w:firstLine="570"/>
        <w:rPr>
          <w:rFonts w:hint="default" w:ascii="仿宋" w:hAnsi="仿宋" w:eastAsia="仿宋" w:cs="仿宋"/>
          <w:sz w:val="24"/>
          <w:szCs w:val="24"/>
          <w:lang w:val="en-US" w:eastAsia="zh-CN"/>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w:t>
      </w:r>
      <w:r>
        <w:rPr>
          <w:rFonts w:hint="eastAsia" w:ascii="仿宋" w:hAnsi="仿宋" w:eastAsia="仿宋" w:cs="仿宋"/>
          <w:sz w:val="24"/>
          <w:szCs w:val="24"/>
          <w:lang w:eastAsia="zh-CN"/>
        </w:rPr>
        <w:t>、</w:t>
      </w:r>
      <w:r>
        <w:rPr>
          <w:rFonts w:hint="eastAsia" w:ascii="仿宋" w:hAnsi="仿宋" w:eastAsia="仿宋" w:cs="仿宋"/>
          <w:sz w:val="24"/>
          <w:szCs w:val="24"/>
        </w:rPr>
        <w:t>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pPr>
        <w:tabs>
          <w:tab w:val="left" w:pos="6300"/>
        </w:tabs>
        <w:snapToGrid w:val="0"/>
        <w:spacing w:line="500" w:lineRule="exact"/>
        <w:ind w:firstLine="570"/>
        <w:rPr>
          <w:rFonts w:hint="eastAsia" w:ascii="仿宋" w:hAnsi="仿宋" w:eastAsia="仿宋" w:cs="仿宋"/>
          <w:sz w:val="24"/>
          <w:szCs w:val="24"/>
        </w:rPr>
      </w:pPr>
    </w:p>
    <w:p>
      <w:pPr>
        <w:tabs>
          <w:tab w:val="left" w:pos="6300"/>
        </w:tabs>
        <w:snapToGrid w:val="0"/>
        <w:spacing w:line="500" w:lineRule="exact"/>
        <w:ind w:firstLine="570"/>
        <w:rPr>
          <w:rFonts w:hint="eastAsia" w:ascii="仿宋" w:hAnsi="仿宋" w:eastAsia="仿宋" w:cs="仿宋"/>
          <w:sz w:val="24"/>
          <w:szCs w:val="24"/>
        </w:rPr>
      </w:pPr>
    </w:p>
    <w:p>
      <w:r>
        <w:br w:type="page"/>
      </w:r>
      <w:bookmarkEnd w:id="122"/>
      <w:bookmarkStart w:id="123" w:name="_Toc342913422"/>
      <w:bookmarkStart w:id="124" w:name="_Toc313008359"/>
      <w:bookmarkStart w:id="125" w:name="_Toc313888363"/>
      <w:bookmarkStart w:id="126" w:name="_Toc1030"/>
      <w:r>
        <w:rPr>
          <w:rFonts w:hint="eastAsia"/>
          <w:lang w:eastAsia="zh-CN"/>
        </w:rPr>
        <w:t>三、</w:t>
      </w:r>
      <w:r>
        <w:rPr>
          <w:rFonts w:hint="eastAsia"/>
        </w:rPr>
        <w:t>资格条件及其他</w:t>
      </w:r>
      <w:bookmarkEnd w:id="123"/>
      <w:bookmarkEnd w:id="124"/>
      <w:bookmarkEnd w:id="125"/>
      <w:bookmarkEnd w:id="126"/>
    </w:p>
    <w:p>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仿宋" w:hAnsi="仿宋" w:eastAsia="仿宋"/>
          <w:sz w:val="24"/>
          <w:szCs w:val="24"/>
        </w:rPr>
      </w:pPr>
    </w:p>
    <w:p>
      <w:pPr>
        <w:tabs>
          <w:tab w:val="left" w:pos="6300"/>
        </w:tabs>
        <w:snapToGrid w:val="0"/>
        <w:spacing w:line="500" w:lineRule="exact"/>
        <w:ind w:firstLine="570"/>
        <w:rPr>
          <w:rFonts w:ascii="仿宋" w:hAnsi="仿宋" w:eastAsia="仿宋"/>
        </w:rPr>
      </w:pPr>
    </w:p>
    <w:p>
      <w:pPr>
        <w:tabs>
          <w:tab w:val="left" w:pos="6300"/>
        </w:tabs>
        <w:snapToGrid w:val="0"/>
        <w:spacing w:line="500" w:lineRule="exact"/>
        <w:ind w:firstLine="570"/>
        <w:rPr>
          <w:rFonts w:ascii="仿宋" w:hAnsi="仿宋" w:eastAsia="仿宋"/>
        </w:rPr>
      </w:pPr>
    </w:p>
    <w:p>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（采购机构名称）：</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（采购机构名称）：</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w:t>
      </w:r>
      <w:r>
        <w:rPr>
          <w:rFonts w:hint="eastAsia" w:ascii="仿宋" w:hAnsi="仿宋" w:eastAsia="仿宋"/>
          <w:sz w:val="24"/>
          <w:lang w:eastAsia="zh-CN"/>
        </w:rPr>
        <w:t>、</w:t>
      </w:r>
      <w:r>
        <w:rPr>
          <w:rFonts w:hint="eastAsia" w:ascii="仿宋" w:hAnsi="仿宋" w:eastAsia="仿宋"/>
          <w:sz w:val="24"/>
        </w:rPr>
        <w:t>签约等具体工作，并签署全部有关文件</w:t>
      </w:r>
      <w:r>
        <w:rPr>
          <w:rFonts w:hint="eastAsia" w:ascii="仿宋" w:hAnsi="仿宋" w:eastAsia="仿宋"/>
          <w:sz w:val="24"/>
          <w:lang w:eastAsia="zh-CN"/>
        </w:rPr>
        <w:t>、</w:t>
      </w:r>
      <w:r>
        <w:rPr>
          <w:rFonts w:hint="eastAsia" w:ascii="仿宋" w:hAnsi="仿宋" w:eastAsia="仿宋"/>
          <w:sz w:val="24"/>
        </w:rPr>
        <w:t>协议及合同。</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w:t>
      </w:r>
      <w:r>
        <w:rPr>
          <w:rFonts w:hint="eastAsia" w:ascii="仿宋" w:hAnsi="仿宋" w:eastAsia="仿宋"/>
          <w:sz w:val="24"/>
          <w:lang w:eastAsia="zh-CN"/>
        </w:rPr>
        <w:t>撤销</w:t>
      </w:r>
      <w:r>
        <w:rPr>
          <w:rFonts w:hint="eastAsia" w:ascii="仿宋" w:hAnsi="仿宋" w:eastAsia="仿宋"/>
          <w:sz w:val="24"/>
        </w:rPr>
        <w:t>授权的书面通知以前，本授权书一直有效。被授权人在授权书有效期内签署的所有文件不因授权</w:t>
      </w:r>
      <w:r>
        <w:rPr>
          <w:rFonts w:hint="eastAsia" w:ascii="仿宋" w:hAnsi="仿宋" w:eastAsia="仿宋"/>
          <w:sz w:val="24"/>
          <w:lang w:eastAsia="zh-CN"/>
        </w:rPr>
        <w:t>的撤销</w:t>
      </w:r>
      <w:r>
        <w:rPr>
          <w:rFonts w:hint="eastAsia" w:ascii="仿宋" w:hAnsi="仿宋" w:eastAsia="仿宋"/>
          <w:sz w:val="24"/>
        </w:rPr>
        <w:t>而失效。</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pPr>
        <w:tabs>
          <w:tab w:val="left" w:pos="6300"/>
        </w:tabs>
        <w:snapToGrid w:val="0"/>
        <w:spacing w:line="500" w:lineRule="exact"/>
        <w:ind w:firstLine="570"/>
        <w:rPr>
          <w:rFonts w:ascii="仿宋" w:hAnsi="仿宋" w:eastAsia="仿宋"/>
          <w:sz w:val="24"/>
          <w:szCs w:val="28"/>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firstLine="570"/>
        <w:rPr>
          <w:rFonts w:ascii="仿宋" w:hAnsi="仿宋" w:eastAsia="仿宋"/>
          <w:sz w:val="24"/>
        </w:rPr>
      </w:pPr>
    </w:p>
    <w:p>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pPr>
        <w:tabs>
          <w:tab w:val="left" w:pos="6300"/>
        </w:tabs>
        <w:snapToGrid w:val="0"/>
        <w:spacing w:line="500" w:lineRule="exact"/>
        <w:ind w:right="480" w:firstLine="570"/>
        <w:jc w:val="right"/>
        <w:rPr>
          <w:rFonts w:ascii="仿宋" w:hAnsi="仿宋" w:eastAsia="仿宋"/>
          <w:sz w:val="24"/>
        </w:rPr>
      </w:pPr>
    </w:p>
    <w:p>
      <w:pPr>
        <w:tabs>
          <w:tab w:val="left" w:pos="6300"/>
        </w:tabs>
        <w:snapToGrid w:val="0"/>
        <w:spacing w:line="500" w:lineRule="exact"/>
        <w:rPr>
          <w:rFonts w:ascii="仿宋" w:hAnsi="仿宋" w:eastAsia="仿宋"/>
          <w:sz w:val="24"/>
          <w:szCs w:val="24"/>
        </w:rPr>
      </w:pPr>
    </w:p>
    <w:p>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pPr>
        <w:tabs>
          <w:tab w:val="left" w:pos="6300"/>
        </w:tabs>
        <w:snapToGrid w:val="0"/>
        <w:spacing w:line="500" w:lineRule="exact"/>
        <w:ind w:firstLine="570"/>
        <w:rPr>
          <w:rFonts w:ascii="仿宋" w:hAnsi="仿宋" w:eastAsia="仿宋"/>
          <w:sz w:val="24"/>
        </w:rPr>
      </w:pPr>
    </w:p>
    <w:p>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pPr>
        <w:tabs>
          <w:tab w:val="left" w:pos="6300"/>
        </w:tabs>
        <w:snapToGrid w:val="0"/>
        <w:spacing w:line="530" w:lineRule="exact"/>
        <w:rPr>
          <w:rFonts w:ascii="仿宋" w:hAnsi="仿宋" w:eastAsia="仿宋" w:cs="仿宋"/>
          <w:sz w:val="24"/>
          <w:szCs w:val="24"/>
        </w:rPr>
      </w:pPr>
    </w:p>
    <w:p>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（采购机构名称）：</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w:t>
      </w:r>
      <w:r>
        <w:rPr>
          <w:rFonts w:hint="eastAsia" w:ascii="仿宋" w:hAnsi="仿宋" w:eastAsia="仿宋" w:cs="仿宋"/>
          <w:sz w:val="24"/>
          <w:szCs w:val="24"/>
          <w:lang w:eastAsia="zh-CN"/>
        </w:rPr>
        <w:t>.</w:t>
      </w:r>
      <w:r>
        <w:rPr>
          <w:rFonts w:hint="eastAsia" w:ascii="仿宋" w:hAnsi="仿宋" w:eastAsia="仿宋" w:cs="仿宋"/>
          <w:sz w:val="24"/>
          <w:szCs w:val="24"/>
        </w:rPr>
        <w:t>“重大税收违法案件当事人名单”中，也未列入中国政府采购网（www.ccgp.gov.cn）“政府采购严重违法失信行为记录名单”中。</w:t>
      </w:r>
    </w:p>
    <w:p>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w:t>
      </w:r>
      <w:r>
        <w:rPr>
          <w:rFonts w:hint="eastAsia" w:ascii="仿宋" w:hAnsi="仿宋" w:eastAsia="仿宋" w:cs="仿宋"/>
          <w:sz w:val="24"/>
          <w:szCs w:val="24"/>
          <w:lang w:eastAsia="zh-CN"/>
        </w:rPr>
        <w:t>、</w:t>
      </w:r>
      <w:r>
        <w:rPr>
          <w:rFonts w:hint="eastAsia" w:ascii="仿宋" w:hAnsi="仿宋" w:eastAsia="仿宋" w:cs="仿宋"/>
          <w:sz w:val="24"/>
          <w:szCs w:val="24"/>
        </w:rPr>
        <w:t>采购代理机构的检查验证，配合提供相关证明材料，证明符合《中华人民共和国政府采购法》规定的投标人基本资格条件。</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pPr>
        <w:tabs>
          <w:tab w:val="left" w:pos="6300"/>
        </w:tabs>
        <w:snapToGrid w:val="0"/>
        <w:spacing w:line="530" w:lineRule="exact"/>
        <w:rPr>
          <w:rFonts w:ascii="仿宋" w:hAnsi="仿宋" w:eastAsia="仿宋" w:cs="仿宋"/>
          <w:sz w:val="24"/>
          <w:szCs w:val="24"/>
        </w:rPr>
      </w:pPr>
    </w:p>
    <w:p>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pPr>
        <w:tabs>
          <w:tab w:val="left" w:pos="6300"/>
        </w:tabs>
        <w:snapToGrid w:val="0"/>
        <w:spacing w:line="500" w:lineRule="exact"/>
        <w:ind w:right="424" w:firstLine="570"/>
        <w:jc w:val="right"/>
        <w:rPr>
          <w:rFonts w:ascii="仿宋" w:hAnsi="仿宋" w:eastAsia="仿宋" w:cs="仿宋"/>
          <w:sz w:val="24"/>
          <w:szCs w:val="24"/>
        </w:rPr>
      </w:pPr>
    </w:p>
    <w:p>
      <w:pPr>
        <w:tabs>
          <w:tab w:val="left" w:pos="6300"/>
        </w:tabs>
        <w:snapToGrid w:val="0"/>
        <w:spacing w:line="500" w:lineRule="exact"/>
        <w:ind w:right="1680"/>
        <w:rPr>
          <w:rFonts w:ascii="仿宋" w:hAnsi="仿宋" w:eastAsia="仿宋"/>
          <w:sz w:val="24"/>
        </w:rPr>
      </w:pPr>
    </w:p>
    <w:p>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pPr>
        <w:numPr>
          <w:ilvl w:val="0"/>
          <w:numId w:val="17"/>
        </w:numPr>
        <w:rPr>
          <w:rFonts w:hint="eastAsia"/>
        </w:rPr>
      </w:pPr>
      <w:bookmarkStart w:id="127" w:name="_Toc14422"/>
      <w:bookmarkStart w:id="128" w:name="_Toc15318"/>
      <w:r>
        <w:rPr>
          <w:rFonts w:hint="eastAsia"/>
        </w:rPr>
        <w:t>其他应提供的资料</w:t>
      </w:r>
      <w:bookmarkEnd w:id="127"/>
      <w:bookmarkEnd w:id="128"/>
    </w:p>
    <w:p>
      <w:pPr>
        <w:numPr>
          <w:ilvl w:val="0"/>
          <w:numId w:val="0"/>
        </w:numPr>
        <w:rPr>
          <w:rFonts w:hint="default" w:eastAsia="宋体"/>
          <w:lang w:val="en-US" w:eastAsia="zh-CN"/>
        </w:rPr>
      </w:pPr>
      <w:r>
        <w:rPr>
          <w:rFonts w:hint="eastAsia"/>
          <w:lang w:val="en-US" w:eastAsia="zh-CN"/>
        </w:rPr>
        <w:t xml:space="preserve">    1、</w:t>
      </w:r>
      <w:r>
        <w:rPr>
          <w:rFonts w:hint="eastAsia" w:ascii="仿宋" w:hAnsi="仿宋" w:eastAsia="仿宋" w:cs="仿宋"/>
          <w:sz w:val="24"/>
          <w:szCs w:val="24"/>
          <w:lang w:val="en-US" w:eastAsia="zh-CN"/>
        </w:rPr>
        <w:t>详列技术参数对照表（自拟）</w:t>
      </w:r>
    </w:p>
    <w:p>
      <w:pPr>
        <w:snapToGrid w:val="0"/>
        <w:spacing w:line="400" w:lineRule="exact"/>
        <w:ind w:firstLine="720" w:firstLineChars="3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其他与项目有关的资料（自附）</w:t>
      </w: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rPr>
          <w:rFonts w:ascii="仿宋" w:hAnsi="仿宋" w:eastAsia="仿宋"/>
          <w:sz w:val="24"/>
          <w:szCs w:val="24"/>
        </w:rPr>
      </w:pPr>
    </w:p>
    <w:p>
      <w:pPr>
        <w:pStyle w:val="70"/>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r>
      <w:fldChar w:fldCharType="begin"/>
    </w:r>
    <w:r>
      <w:rPr>
        <w:rStyle w:val="64"/>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0"/>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4"/>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42BA989"/>
    <w:multiLevelType w:val="singleLevel"/>
    <w:tmpl w:val="242BA989"/>
    <w:lvl w:ilvl="0" w:tentative="0">
      <w:start w:val="2"/>
      <w:numFmt w:val="chineseCounting"/>
      <w:suff w:val="nothing"/>
      <w:lvlText w:val="（%1）"/>
      <w:lvlJc w:val="left"/>
      <w:rPr>
        <w:rFonts w:hint="eastAsia"/>
      </w:rPr>
    </w:lvl>
  </w:abstractNum>
  <w:abstractNum w:abstractNumId="15">
    <w:nsid w:val="3DD012F3"/>
    <w:multiLevelType w:val="singleLevel"/>
    <w:tmpl w:val="3DD012F3"/>
    <w:lvl w:ilvl="0" w:tentative="0">
      <w:start w:val="4"/>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6"/>
  </w:num>
  <w:num w:numId="10">
    <w:abstractNumId w:val="8"/>
  </w:num>
  <w:num w:numId="11">
    <w:abstractNumId w:val="9"/>
  </w:num>
  <w:num w:numId="12">
    <w:abstractNumId w:val="5"/>
  </w:num>
  <w:num w:numId="13">
    <w:abstractNumId w:val="13"/>
  </w:num>
  <w:num w:numId="14">
    <w:abstractNumId w:val="14"/>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211E7"/>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893F28"/>
    <w:rsid w:val="099059EB"/>
    <w:rsid w:val="099318F4"/>
    <w:rsid w:val="09945541"/>
    <w:rsid w:val="099F010E"/>
    <w:rsid w:val="09A02008"/>
    <w:rsid w:val="09A950C0"/>
    <w:rsid w:val="09AA41B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EF207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6E00F9"/>
    <w:rsid w:val="0F6E5828"/>
    <w:rsid w:val="0F790EA8"/>
    <w:rsid w:val="0F792383"/>
    <w:rsid w:val="0F794C09"/>
    <w:rsid w:val="0F7979C1"/>
    <w:rsid w:val="0F824B26"/>
    <w:rsid w:val="0F927F95"/>
    <w:rsid w:val="0F930A6E"/>
    <w:rsid w:val="0F9631F9"/>
    <w:rsid w:val="0F9B283C"/>
    <w:rsid w:val="0FA37174"/>
    <w:rsid w:val="0FAA274B"/>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7F5E3E"/>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3FC0B75"/>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4560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E6739"/>
    <w:rsid w:val="1F9F20EA"/>
    <w:rsid w:val="1FA0657D"/>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4910"/>
    <w:rsid w:val="1FF24C36"/>
    <w:rsid w:val="1FF34D94"/>
    <w:rsid w:val="1FF82A2F"/>
    <w:rsid w:val="1FF90986"/>
    <w:rsid w:val="1FFF2B12"/>
    <w:rsid w:val="1FFF7528"/>
    <w:rsid w:val="20012786"/>
    <w:rsid w:val="20066196"/>
    <w:rsid w:val="20131AA5"/>
    <w:rsid w:val="20137C22"/>
    <w:rsid w:val="20180C4E"/>
    <w:rsid w:val="2018573C"/>
    <w:rsid w:val="20187A9E"/>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2366F"/>
    <w:rsid w:val="2BD74861"/>
    <w:rsid w:val="2BDE3F6E"/>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54B92"/>
    <w:rsid w:val="2C5C6B56"/>
    <w:rsid w:val="2C5C7768"/>
    <w:rsid w:val="2C6D67C4"/>
    <w:rsid w:val="2C755126"/>
    <w:rsid w:val="2C7A54B8"/>
    <w:rsid w:val="2C7B7F24"/>
    <w:rsid w:val="2C7E4100"/>
    <w:rsid w:val="2C7E70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36E0C"/>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6520"/>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48F8"/>
    <w:rsid w:val="386F66A6"/>
    <w:rsid w:val="386F73EA"/>
    <w:rsid w:val="3870332A"/>
    <w:rsid w:val="3872150C"/>
    <w:rsid w:val="387271FD"/>
    <w:rsid w:val="387E44BB"/>
    <w:rsid w:val="388151B6"/>
    <w:rsid w:val="38866F49"/>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BD1E58"/>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0CE5"/>
    <w:rsid w:val="3E22199D"/>
    <w:rsid w:val="3E221DB3"/>
    <w:rsid w:val="3E24348A"/>
    <w:rsid w:val="3E24651C"/>
    <w:rsid w:val="3E2F7120"/>
    <w:rsid w:val="3E384399"/>
    <w:rsid w:val="3E396A91"/>
    <w:rsid w:val="3E3A265F"/>
    <w:rsid w:val="3E3B240D"/>
    <w:rsid w:val="3E3F28BA"/>
    <w:rsid w:val="3E47632C"/>
    <w:rsid w:val="3E4B0167"/>
    <w:rsid w:val="3E4D7D55"/>
    <w:rsid w:val="3E514939"/>
    <w:rsid w:val="3E58649D"/>
    <w:rsid w:val="3E591AE0"/>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9A4A63"/>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5308D4"/>
    <w:rsid w:val="46614C45"/>
    <w:rsid w:val="46634905"/>
    <w:rsid w:val="46713370"/>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E52D85"/>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543EA"/>
    <w:rsid w:val="47AF5AAA"/>
    <w:rsid w:val="47B15014"/>
    <w:rsid w:val="47B32C82"/>
    <w:rsid w:val="47B71EFB"/>
    <w:rsid w:val="47C923E1"/>
    <w:rsid w:val="47D4481E"/>
    <w:rsid w:val="47E5574E"/>
    <w:rsid w:val="47EC00CC"/>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22825"/>
    <w:rsid w:val="4D632E8A"/>
    <w:rsid w:val="4D6B3828"/>
    <w:rsid w:val="4D72317E"/>
    <w:rsid w:val="4D7B4665"/>
    <w:rsid w:val="4D8261A3"/>
    <w:rsid w:val="4D8359B7"/>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1CD3"/>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E410C"/>
    <w:rsid w:val="54526581"/>
    <w:rsid w:val="545966A9"/>
    <w:rsid w:val="545F6326"/>
    <w:rsid w:val="546314A0"/>
    <w:rsid w:val="547D126C"/>
    <w:rsid w:val="54815AD6"/>
    <w:rsid w:val="54834D11"/>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DB6499"/>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1E156B"/>
    <w:rsid w:val="57211430"/>
    <w:rsid w:val="57270B3D"/>
    <w:rsid w:val="57272D89"/>
    <w:rsid w:val="572D6376"/>
    <w:rsid w:val="5730608A"/>
    <w:rsid w:val="57380AFC"/>
    <w:rsid w:val="573910BE"/>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77008"/>
    <w:rsid w:val="58377264"/>
    <w:rsid w:val="58446718"/>
    <w:rsid w:val="5848705A"/>
    <w:rsid w:val="584B7EF0"/>
    <w:rsid w:val="585B5FB1"/>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5C43B1"/>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5771E"/>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510C1"/>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35523"/>
    <w:rsid w:val="5E34043D"/>
    <w:rsid w:val="5E377142"/>
    <w:rsid w:val="5E3D70F6"/>
    <w:rsid w:val="5E48734A"/>
    <w:rsid w:val="5E4D151E"/>
    <w:rsid w:val="5E5256CF"/>
    <w:rsid w:val="5E525F9E"/>
    <w:rsid w:val="5E53251C"/>
    <w:rsid w:val="5E5B4CE2"/>
    <w:rsid w:val="5E5C42A1"/>
    <w:rsid w:val="5E5F3E1C"/>
    <w:rsid w:val="5E65152B"/>
    <w:rsid w:val="5E680EF6"/>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66554"/>
    <w:rsid w:val="6517484E"/>
    <w:rsid w:val="651F664A"/>
    <w:rsid w:val="65200434"/>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24F83"/>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123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D0F4C"/>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00959"/>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D2927"/>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30F9B"/>
    <w:rsid w:val="74F920A2"/>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96C45"/>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37FCA"/>
    <w:rsid w:val="7905396D"/>
    <w:rsid w:val="79100D13"/>
    <w:rsid w:val="7919443B"/>
    <w:rsid w:val="791C4D2D"/>
    <w:rsid w:val="7923282E"/>
    <w:rsid w:val="79276B05"/>
    <w:rsid w:val="79286182"/>
    <w:rsid w:val="792A7832"/>
    <w:rsid w:val="79324721"/>
    <w:rsid w:val="793752AC"/>
    <w:rsid w:val="79386064"/>
    <w:rsid w:val="79456A3E"/>
    <w:rsid w:val="7947493B"/>
    <w:rsid w:val="794E5C17"/>
    <w:rsid w:val="794F2472"/>
    <w:rsid w:val="79584247"/>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A6191"/>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63734"/>
    <w:rsid w:val="7DFD29E7"/>
    <w:rsid w:val="7DFD3DE7"/>
    <w:rsid w:val="7E0340E3"/>
    <w:rsid w:val="7E0C72A7"/>
    <w:rsid w:val="7E0E1504"/>
    <w:rsid w:val="7E1068AD"/>
    <w:rsid w:val="7E1A3354"/>
    <w:rsid w:val="7E1D1412"/>
    <w:rsid w:val="7E262D1A"/>
    <w:rsid w:val="7E392199"/>
    <w:rsid w:val="7E3D5D5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10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5"/>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spacing w:before="280" w:after="290" w:line="372" w:lineRule="auto"/>
      <w:outlineLvl w:val="3"/>
    </w:p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82"/>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autoRedefine/>
    <w:qFormat/>
    <w:uiPriority w:val="0"/>
    <w:rPr>
      <w:rFonts w:ascii="仿宋_GB2312" w:eastAsia="仿宋_GB2312"/>
      <w:sz w:val="32"/>
    </w:rPr>
  </w:style>
  <w:style w:type="paragraph" w:customStyle="1" w:styleId="23">
    <w:name w:val="明显引用1"/>
    <w:basedOn w:val="1"/>
    <w:next w:val="1"/>
    <w:autoRedefine/>
    <w:qFormat/>
    <w:uiPriority w:val="0"/>
    <w:pPr>
      <w:wordWrap w:val="0"/>
      <w:spacing w:before="360" w:beforeLines="0" w:after="360" w:afterLines="0"/>
      <w:ind w:left="950" w:right="950"/>
      <w:jc w:val="center"/>
    </w:pPr>
    <w:rPr>
      <w:i/>
      <w:sz w:val="21"/>
    </w:rPr>
  </w:style>
  <w:style w:type="paragraph" w:styleId="24">
    <w:name w:val="Body Text Indent"/>
    <w:basedOn w:val="1"/>
    <w:next w:val="1"/>
    <w:link w:val="84"/>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Block Text"/>
    <w:basedOn w:val="1"/>
    <w:autoRedefine/>
    <w:qFormat/>
    <w:uiPriority w:val="0"/>
    <w:pPr>
      <w:spacing w:after="120"/>
      <w:ind w:left="1440" w:leftChars="700" w:right="1440" w:rightChars="700"/>
    </w:pPr>
  </w:style>
  <w:style w:type="paragraph" w:styleId="29">
    <w:name w:val="List Bullet 2"/>
    <w:basedOn w:val="1"/>
    <w:autoRedefine/>
    <w:qFormat/>
    <w:uiPriority w:val="0"/>
    <w:pPr>
      <w:numPr>
        <w:ilvl w:val="0"/>
        <w:numId w:val="2"/>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110"/>
    <w:autoRedefine/>
    <w:qFormat/>
    <w:uiPriority w:val="99"/>
  </w:style>
  <w:style w:type="paragraph" w:styleId="35">
    <w:name w:val="Body Text Indent 2"/>
    <w:basedOn w:val="1"/>
    <w:link w:val="79"/>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link w:val="117"/>
    <w:autoRedefine/>
    <w:qFormat/>
    <w:uiPriority w:val="99"/>
    <w:pPr>
      <w:tabs>
        <w:tab w:val="center" w:pos="4153"/>
        <w:tab w:val="right" w:pos="8306"/>
      </w:tabs>
      <w:snapToGrid w:val="0"/>
      <w:jc w:val="left"/>
    </w:pPr>
    <w:rPr>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0"/>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90"/>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HTML Preformatted"/>
    <w:basedOn w:val="1"/>
    <w:autoRedefine/>
    <w:qFormat/>
    <w:uiPriority w:val="0"/>
    <w:rPr>
      <w:rFonts w:ascii="Courier New" w:hAnsi="Courier New"/>
      <w:sz w:val="20"/>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1"/>
    <w:autoRedefine/>
    <w:qFormat/>
    <w:uiPriority w:val="0"/>
    <w:pPr>
      <w:adjustRightInd/>
      <w:spacing w:line="240" w:lineRule="auto"/>
      <w:textAlignment w:val="auto"/>
    </w:pPr>
  </w:style>
  <w:style w:type="paragraph" w:styleId="58">
    <w:name w:val="Body Text First Indent"/>
    <w:basedOn w:val="22"/>
    <w:next w:val="1"/>
    <w:autoRedefine/>
    <w:qFormat/>
    <w:uiPriority w:val="0"/>
    <w:pPr>
      <w:spacing w:line="360" w:lineRule="auto"/>
      <w:ind w:firstLine="420"/>
    </w:pPr>
    <w:rPr>
      <w:rFonts w:ascii="宋体" w:hAnsi="宋体"/>
      <w:sz w:val="24"/>
    </w:rPr>
  </w:style>
  <w:style w:type="paragraph" w:styleId="59">
    <w:name w:val="Body Text First Indent 2"/>
    <w:basedOn w:val="24"/>
    <w:next w:val="1"/>
    <w:link w:val="108"/>
    <w:autoRedefine/>
    <w:qFormat/>
    <w:uiPriority w:val="0"/>
    <w:pPr>
      <w:spacing w:after="120" w:line="240" w:lineRule="auto"/>
      <w:ind w:left="420" w:leftChars="200" w:firstLine="420" w:firstLineChars="200"/>
    </w:pPr>
  </w:style>
  <w:style w:type="table" w:styleId="61">
    <w:name w:val="Table Grid"/>
    <w:basedOn w:val="6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0"/>
    <w:rPr>
      <w:color w:val="800080"/>
      <w:u w:val="single"/>
    </w:rPr>
  </w:style>
  <w:style w:type="character" w:styleId="66">
    <w:name w:val="Emphasis"/>
    <w:autoRedefine/>
    <w:qFormat/>
    <w:uiPriority w:val="0"/>
    <w:rPr>
      <w:i/>
    </w:rPr>
  </w:style>
  <w:style w:type="character" w:styleId="67">
    <w:name w:val="Hyperlink"/>
    <w:autoRedefine/>
    <w:qFormat/>
    <w:uiPriority w:val="99"/>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无间隔1"/>
    <w:autoRedefine/>
    <w:qFormat/>
    <w:uiPriority w:val="1"/>
    <w:pPr>
      <w:jc w:val="both"/>
    </w:pPr>
    <w:rPr>
      <w:rFonts w:ascii="Calibri" w:hAnsi="Calibri" w:eastAsia="Times New Roman" w:cs="Times New Roman"/>
      <w:lang w:val="en-US" w:eastAsia="zh-CN" w:bidi="ar-SA"/>
    </w:rPr>
  </w:style>
  <w:style w:type="paragraph" w:customStyle="1" w:styleId="71">
    <w:name w:val="标书正文1"/>
    <w:basedOn w:val="1"/>
    <w:autoRedefine/>
    <w:qFormat/>
    <w:uiPriority w:val="0"/>
    <w:pPr>
      <w:spacing w:line="520" w:lineRule="exact"/>
      <w:ind w:firstLine="640" w:firstLineChars="200"/>
    </w:pPr>
    <w:rPr>
      <w:rFonts w:ascii="Times New Roman" w:hAnsi="Times New Roman"/>
    </w:rPr>
  </w:style>
  <w:style w:type="paragraph" w:customStyle="1" w:styleId="72">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3">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4">
    <w:name w:val="Char Char7"/>
    <w:autoRedefine/>
    <w:qFormat/>
    <w:uiPriority w:val="0"/>
    <w:rPr>
      <w:rFonts w:ascii="宋体" w:hAnsi="宋体" w:eastAsia="宋体"/>
      <w:kern w:val="2"/>
      <w:sz w:val="28"/>
    </w:rPr>
  </w:style>
  <w:style w:type="character" w:customStyle="1" w:styleId="75">
    <w:name w:val="font91"/>
    <w:autoRedefine/>
    <w:qFormat/>
    <w:uiPriority w:val="0"/>
    <w:rPr>
      <w:rFonts w:hint="eastAsia" w:ascii="宋体" w:hAnsi="宋体" w:eastAsia="宋体" w:cs="宋体"/>
      <w:color w:val="000000"/>
      <w:sz w:val="20"/>
      <w:szCs w:val="20"/>
      <w:u w:val="none"/>
    </w:rPr>
  </w:style>
  <w:style w:type="character" w:customStyle="1" w:styleId="76">
    <w:name w:val="未命名11"/>
    <w:autoRedefine/>
    <w:qFormat/>
    <w:uiPriority w:val="0"/>
    <w:rPr>
      <w:color w:val="77FFFF"/>
      <w:sz w:val="24"/>
    </w:rPr>
  </w:style>
  <w:style w:type="character" w:customStyle="1" w:styleId="77">
    <w:name w:val="font51"/>
    <w:basedOn w:val="62"/>
    <w:autoRedefine/>
    <w:qFormat/>
    <w:uiPriority w:val="0"/>
    <w:rPr>
      <w:rFonts w:hint="eastAsia" w:ascii="宋体" w:hAnsi="宋体" w:eastAsia="宋体" w:cs="宋体"/>
      <w:color w:val="000000"/>
      <w:sz w:val="20"/>
      <w:szCs w:val="20"/>
      <w:u w:val="none"/>
      <w:vertAlign w:val="superscript"/>
    </w:rPr>
  </w:style>
  <w:style w:type="character" w:customStyle="1" w:styleId="78">
    <w:name w:val="content-white1"/>
    <w:autoRedefine/>
    <w:qFormat/>
    <w:uiPriority w:val="0"/>
    <w:rPr>
      <w:color w:val="auto"/>
      <w:sz w:val="18"/>
      <w:u w:val="none"/>
    </w:rPr>
  </w:style>
  <w:style w:type="character" w:customStyle="1" w:styleId="79">
    <w:name w:val="正文文本缩进 2 字符"/>
    <w:link w:val="35"/>
    <w:autoRedefine/>
    <w:qFormat/>
    <w:uiPriority w:val="0"/>
    <w:rPr>
      <w:kern w:val="2"/>
      <w:sz w:val="28"/>
    </w:rPr>
  </w:style>
  <w:style w:type="character" w:customStyle="1" w:styleId="80">
    <w:name w:val="Char Char11"/>
    <w:autoRedefine/>
    <w:qFormat/>
    <w:uiPriority w:val="0"/>
    <w:rPr>
      <w:rFonts w:ascii="宋体"/>
      <w:kern w:val="2"/>
      <w:sz w:val="28"/>
    </w:rPr>
  </w:style>
  <w:style w:type="character" w:customStyle="1" w:styleId="81">
    <w:name w:val="批注主题 字符"/>
    <w:basedOn w:val="82"/>
    <w:link w:val="57"/>
    <w:autoRedefine/>
    <w:qFormat/>
    <w:uiPriority w:val="0"/>
    <w:rPr>
      <w:sz w:val="24"/>
    </w:rPr>
  </w:style>
  <w:style w:type="character" w:customStyle="1" w:styleId="82">
    <w:name w:val="批注文字 字符"/>
    <w:link w:val="19"/>
    <w:autoRedefine/>
    <w:qFormat/>
    <w:uiPriority w:val="0"/>
    <w:rPr>
      <w:sz w:val="24"/>
    </w:rPr>
  </w:style>
  <w:style w:type="character" w:customStyle="1" w:styleId="83">
    <w:name w:val="font41"/>
    <w:autoRedefine/>
    <w:qFormat/>
    <w:uiPriority w:val="0"/>
    <w:rPr>
      <w:rFonts w:hint="eastAsia" w:ascii="宋体" w:hAnsi="宋体" w:eastAsia="宋体" w:cs="宋体"/>
      <w:color w:val="000000"/>
      <w:sz w:val="20"/>
      <w:szCs w:val="20"/>
      <w:u w:val="none"/>
    </w:rPr>
  </w:style>
  <w:style w:type="character" w:customStyle="1" w:styleId="84">
    <w:name w:val="正文文本缩进 字符"/>
    <w:link w:val="24"/>
    <w:autoRedefine/>
    <w:qFormat/>
    <w:uiPriority w:val="0"/>
    <w:rPr>
      <w:kern w:val="2"/>
      <w:sz w:val="44"/>
    </w:rPr>
  </w:style>
  <w:style w:type="character" w:customStyle="1" w:styleId="85">
    <w:name w:val="Table Text Char"/>
    <w:link w:val="86"/>
    <w:autoRedefine/>
    <w:qFormat/>
    <w:uiPriority w:val="0"/>
    <w:rPr>
      <w:rFonts w:ascii="Arial" w:hAnsi="Arial"/>
      <w:kern w:val="2"/>
      <w:sz w:val="18"/>
      <w:lang w:val="en-US" w:eastAsia="zh-CN" w:bidi="ar-SA"/>
    </w:rPr>
  </w:style>
  <w:style w:type="paragraph" w:customStyle="1" w:styleId="86">
    <w:name w:val="Table Text"/>
    <w:link w:val="8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v151"/>
    <w:autoRedefine/>
    <w:qFormat/>
    <w:uiPriority w:val="0"/>
    <w:rPr>
      <w:sz w:val="18"/>
    </w:rPr>
  </w:style>
  <w:style w:type="character" w:customStyle="1" w:styleId="88">
    <w:name w:val="样式 宋体"/>
    <w:autoRedefine/>
    <w:qFormat/>
    <w:uiPriority w:val="0"/>
    <w:rPr>
      <w:rFonts w:ascii="宋体" w:hAnsi="宋体" w:eastAsia="宋体"/>
      <w:sz w:val="28"/>
    </w:rPr>
  </w:style>
  <w:style w:type="character" w:customStyle="1" w:styleId="89">
    <w:name w:val="title_emph1"/>
    <w:autoRedefine/>
    <w:qFormat/>
    <w:uiPriority w:val="0"/>
    <w:rPr>
      <w:rFonts w:hint="default" w:ascii="Arial" w:hAnsi="Arial"/>
      <w:b/>
      <w:sz w:val="20"/>
    </w:rPr>
  </w:style>
  <w:style w:type="character" w:customStyle="1" w:styleId="90">
    <w:name w:val="脚注文本 字符"/>
    <w:link w:val="42"/>
    <w:autoRedefine/>
    <w:qFormat/>
    <w:uiPriority w:val="0"/>
    <w:rPr>
      <w:kern w:val="2"/>
      <w:sz w:val="18"/>
    </w:rPr>
  </w:style>
  <w:style w:type="character" w:customStyle="1" w:styleId="91">
    <w:name w:val="Char Char"/>
    <w:autoRedefine/>
    <w:qFormat/>
    <w:uiPriority w:val="0"/>
    <w:rPr>
      <w:rFonts w:ascii="宋体" w:hAnsi="宋体" w:eastAsia="宋体"/>
      <w:kern w:val="2"/>
      <w:sz w:val="24"/>
      <w:lang w:val="en-US" w:eastAsia="zh-CN" w:bidi="ar-SA"/>
    </w:rPr>
  </w:style>
  <w:style w:type="character" w:customStyle="1" w:styleId="92">
    <w:name w:val="Table Heading Char Char"/>
    <w:autoRedefine/>
    <w:qFormat/>
    <w:uiPriority w:val="0"/>
    <w:rPr>
      <w:rFonts w:ascii="Arial" w:hAnsi="Arial" w:eastAsia="黑体"/>
      <w:kern w:val="2"/>
      <w:sz w:val="18"/>
      <w:lang w:val="en-US" w:eastAsia="zh-CN"/>
    </w:rPr>
  </w:style>
  <w:style w:type="character" w:customStyle="1" w:styleId="93">
    <w:name w:val="正文 + 三号 Char"/>
    <w:autoRedefine/>
    <w:qFormat/>
    <w:uiPriority w:val="0"/>
    <w:rPr>
      <w:rFonts w:eastAsia="宋体"/>
      <w:kern w:val="2"/>
      <w:sz w:val="21"/>
      <w:lang w:val="en-US" w:eastAsia="zh-CN"/>
    </w:rPr>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Table Text Char Char Char Char"/>
    <w:link w:val="96"/>
    <w:autoRedefine/>
    <w:qFormat/>
    <w:uiPriority w:val="0"/>
    <w:rPr>
      <w:rFonts w:ascii="Arial" w:hAnsi="Arial"/>
      <w:kern w:val="2"/>
      <w:sz w:val="18"/>
      <w:lang w:val="en-US" w:eastAsia="zh-CN" w:bidi="ar-SA"/>
    </w:rPr>
  </w:style>
  <w:style w:type="paragraph" w:customStyle="1" w:styleId="96">
    <w:name w:val="Table Text Char Char Char"/>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font01"/>
    <w:autoRedefine/>
    <w:qFormat/>
    <w:uiPriority w:val="0"/>
    <w:rPr>
      <w:rFonts w:hint="default" w:ascii="Times New Roman" w:hAnsi="Times New Roman" w:cs="Times New Roman"/>
      <w:color w:val="000000"/>
      <w:sz w:val="20"/>
      <w:szCs w:val="20"/>
      <w:u w:val="none"/>
    </w:rPr>
  </w:style>
  <w:style w:type="character" w:customStyle="1" w:styleId="98">
    <w:name w:val="font101"/>
    <w:autoRedefine/>
    <w:qFormat/>
    <w:uiPriority w:val="0"/>
    <w:rPr>
      <w:rFonts w:hint="default" w:ascii="Times New Roman" w:hAnsi="Times New Roman" w:cs="Times New Roman"/>
      <w:color w:val="000000"/>
      <w:sz w:val="20"/>
      <w:szCs w:val="20"/>
      <w:u w:val="none"/>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Char Char2"/>
    <w:autoRedefine/>
    <w:qFormat/>
    <w:uiPriority w:val="0"/>
    <w:rPr>
      <w:rFonts w:eastAsia="宋体"/>
      <w:kern w:val="2"/>
      <w:sz w:val="18"/>
      <w:lang w:val="en-US" w:eastAsia="zh-CN"/>
    </w:rPr>
  </w:style>
  <w:style w:type="character" w:customStyle="1" w:styleId="101">
    <w:name w:val="标题 2 字符"/>
    <w:link w:val="3"/>
    <w:autoRedefine/>
    <w:qFormat/>
    <w:uiPriority w:val="0"/>
    <w:rPr>
      <w:rFonts w:ascii="Arial" w:hAnsi="Arial" w:eastAsia="黑体"/>
      <w:b/>
      <w:kern w:val="2"/>
      <w:sz w:val="32"/>
    </w:rPr>
  </w:style>
  <w:style w:type="character" w:customStyle="1" w:styleId="102">
    <w:name w:val="font31"/>
    <w:autoRedefine/>
    <w:qFormat/>
    <w:uiPriority w:val="0"/>
    <w:rPr>
      <w:rFonts w:hint="eastAsia" w:ascii="宋体" w:hAnsi="宋体" w:eastAsia="宋体" w:cs="宋体"/>
      <w:b/>
      <w:color w:val="000000"/>
      <w:sz w:val="20"/>
      <w:szCs w:val="20"/>
      <w:u w:val="none"/>
    </w:rPr>
  </w:style>
  <w:style w:type="character" w:customStyle="1" w:styleId="103">
    <w:name w:val="文字 Char"/>
    <w:link w:val="104"/>
    <w:autoRedefine/>
    <w:qFormat/>
    <w:uiPriority w:val="0"/>
    <w:rPr>
      <w:rFonts w:ascii="宋体"/>
      <w:kern w:val="2"/>
      <w:sz w:val="28"/>
    </w:rPr>
  </w:style>
  <w:style w:type="paragraph" w:customStyle="1" w:styleId="104">
    <w:name w:val="文字"/>
    <w:basedOn w:val="1"/>
    <w:link w:val="103"/>
    <w:autoRedefine/>
    <w:qFormat/>
    <w:uiPriority w:val="0"/>
    <w:pPr>
      <w:tabs>
        <w:tab w:val="left" w:pos="8520"/>
      </w:tabs>
      <w:spacing w:line="312" w:lineRule="auto"/>
      <w:ind w:right="-210" w:firstLine="556"/>
    </w:pPr>
    <w:rPr>
      <w:rFonts w:ascii="宋体"/>
    </w:rPr>
  </w:style>
  <w:style w:type="character" w:customStyle="1" w:styleId="105">
    <w:name w:val="标题 3 字符"/>
    <w:link w:val="4"/>
    <w:autoRedefine/>
    <w:qFormat/>
    <w:uiPriority w:val="0"/>
    <w:rPr>
      <w:rFonts w:eastAsia="宋体"/>
      <w:b/>
      <w:kern w:val="2"/>
      <w:sz w:val="32"/>
      <w:lang w:val="en-US" w:eastAsia="zh-CN"/>
    </w:rPr>
  </w:style>
  <w:style w:type="character" w:customStyle="1" w:styleId="106">
    <w:name w:val="Char Char6"/>
    <w:autoRedefine/>
    <w:qFormat/>
    <w:uiPriority w:val="0"/>
    <w:rPr>
      <w:rFonts w:ascii="仿宋_GB2312" w:eastAsia="仿宋_GB2312"/>
      <w:kern w:val="2"/>
      <w:sz w:val="32"/>
    </w:rPr>
  </w:style>
  <w:style w:type="character" w:customStyle="1" w:styleId="107">
    <w:name w:val="Char Char3"/>
    <w:autoRedefine/>
    <w:qFormat/>
    <w:uiPriority w:val="0"/>
    <w:rPr>
      <w:rFonts w:eastAsia="宋体"/>
      <w:kern w:val="2"/>
      <w:sz w:val="18"/>
      <w:lang w:val="en-US" w:eastAsia="zh-CN"/>
    </w:rPr>
  </w:style>
  <w:style w:type="character" w:customStyle="1" w:styleId="108">
    <w:name w:val="正文文本首行缩进 2 字符"/>
    <w:basedOn w:val="84"/>
    <w:link w:val="59"/>
    <w:autoRedefine/>
    <w:qFormat/>
    <w:uiPriority w:val="0"/>
    <w:rPr>
      <w:kern w:val="2"/>
      <w:sz w:val="44"/>
    </w:rPr>
  </w:style>
  <w:style w:type="character" w:customStyle="1" w:styleId="109">
    <w:name w:val="标书正文:  0.74 厘米 Char1"/>
    <w:autoRedefine/>
    <w:qFormat/>
    <w:uiPriority w:val="0"/>
    <w:rPr>
      <w:rFonts w:eastAsia="宋体"/>
      <w:kern w:val="2"/>
      <w:sz w:val="24"/>
      <w:lang w:val="en-US" w:eastAsia="zh-CN"/>
    </w:rPr>
  </w:style>
  <w:style w:type="character" w:customStyle="1" w:styleId="110">
    <w:name w:val="日期 字符"/>
    <w:link w:val="34"/>
    <w:autoRedefine/>
    <w:qFormat/>
    <w:uiPriority w:val="0"/>
    <w:rPr>
      <w:kern w:val="2"/>
      <w:sz w:val="28"/>
    </w:rPr>
  </w:style>
  <w:style w:type="character" w:customStyle="1" w:styleId="111">
    <w:name w:val="font1"/>
    <w:autoRedefine/>
    <w:qFormat/>
    <w:uiPriority w:val="0"/>
    <w:rPr>
      <w:color w:val="000000"/>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top-det1"/>
    <w:autoRedefine/>
    <w:qFormat/>
    <w:uiPriority w:val="0"/>
    <w:rPr>
      <w:b/>
      <w:color w:val="000000"/>
    </w:rPr>
  </w:style>
  <w:style w:type="character" w:customStyle="1" w:styleId="114">
    <w:name w:val="crowed11"/>
    <w:autoRedefine/>
    <w:qFormat/>
    <w:uiPriority w:val="0"/>
    <w:rPr>
      <w:rFonts w:hint="default"/>
      <w:sz w:val="24"/>
    </w:rPr>
  </w:style>
  <w:style w:type="character" w:customStyle="1" w:styleId="115">
    <w:name w:val="H2 Char"/>
    <w:autoRedefine/>
    <w:qFormat/>
    <w:uiPriority w:val="0"/>
    <w:rPr>
      <w:rFonts w:ascii="Arial" w:hAnsi="Arial" w:eastAsia="宋体"/>
      <w:kern w:val="2"/>
      <w:sz w:val="28"/>
      <w:lang w:val="en-US" w:eastAsia="zh-CN"/>
    </w:rPr>
  </w:style>
  <w:style w:type="character" w:customStyle="1" w:styleId="116">
    <w:name w:val="小 Char"/>
    <w:autoRedefine/>
    <w:qFormat/>
    <w:uiPriority w:val="0"/>
    <w:rPr>
      <w:rFonts w:ascii="宋体" w:hAnsi="Courier New" w:eastAsia="宋体"/>
      <w:kern w:val="2"/>
      <w:sz w:val="21"/>
      <w:lang w:val="en-US" w:eastAsia="zh-CN" w:bidi="ar-SA"/>
    </w:rPr>
  </w:style>
  <w:style w:type="character" w:customStyle="1" w:styleId="117">
    <w:name w:val="页脚 字符"/>
    <w:link w:val="37"/>
    <w:autoRedefine/>
    <w:qFormat/>
    <w:uiPriority w:val="99"/>
    <w:rPr>
      <w:kern w:val="2"/>
      <w:sz w:val="18"/>
    </w:rPr>
  </w:style>
  <w:style w:type="character" w:customStyle="1" w:styleId="118">
    <w:name w:val="font11"/>
    <w:autoRedefine/>
    <w:qFormat/>
    <w:uiPriority w:val="0"/>
    <w:rPr>
      <w:rFonts w:hint="eastAsia" w:ascii="宋体" w:hAnsi="宋体" w:eastAsia="宋体" w:cs="宋体"/>
      <w:color w:val="000000"/>
      <w:sz w:val="20"/>
      <w:szCs w:val="20"/>
      <w:u w:val="none"/>
      <w:vertAlign w:val="superscript"/>
    </w:rPr>
  </w:style>
  <w:style w:type="paragraph" w:customStyle="1" w:styleId="119">
    <w:name w:val="样式 正文缩进正文（首行缩进两字）表正文正文非缩进特点标题4段1 + 首行缩进:  2 字符"/>
    <w:basedOn w:val="15"/>
    <w:autoRedefine/>
    <w:qFormat/>
    <w:uiPriority w:val="0"/>
    <w:pPr>
      <w:ind w:firstLine="480" w:firstLineChars="200"/>
    </w:pPr>
  </w:style>
  <w:style w:type="paragraph" w:customStyle="1" w:styleId="120">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修订1"/>
    <w:autoRedefine/>
    <w:qFormat/>
    <w:uiPriority w:val="0"/>
    <w:rPr>
      <w:rFonts w:ascii="Calibri" w:hAnsi="Calibri" w:eastAsia="宋体" w:cs="Times New Roman"/>
      <w:kern w:val="2"/>
      <w:sz w:val="21"/>
      <w:lang w:val="en-US" w:eastAsia="zh-CN" w:bidi="ar-SA"/>
    </w:rPr>
  </w:style>
  <w:style w:type="paragraph" w:customStyle="1" w:styleId="12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操作步骤"/>
    <w:basedOn w:val="1"/>
    <w:autoRedefine/>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5">
    <w:name w:val="Table Paragraph"/>
    <w:basedOn w:val="1"/>
    <w:autoRedefine/>
    <w:qFormat/>
    <w:uiPriority w:val="1"/>
    <w:pPr>
      <w:autoSpaceDE w:val="0"/>
      <w:autoSpaceDN w:val="0"/>
      <w:adjustRightInd w:val="0"/>
    </w:pPr>
    <w:rPr>
      <w:sz w:val="24"/>
    </w:rPr>
  </w:style>
  <w:style w:type="paragraph" w:customStyle="1" w:styleId="12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7">
    <w:name w:val="样式5"/>
    <w:basedOn w:val="128"/>
    <w:next w:val="1"/>
    <w:autoRedefine/>
    <w:qFormat/>
    <w:uiPriority w:val="0"/>
  </w:style>
  <w:style w:type="paragraph" w:customStyle="1" w:styleId="128">
    <w:name w:val="编号正文"/>
    <w:basedOn w:val="129"/>
    <w:autoRedefine/>
    <w:qFormat/>
    <w:uiPriority w:val="0"/>
    <w:pPr>
      <w:snapToGrid/>
      <w:spacing w:line="360" w:lineRule="auto"/>
      <w:ind w:left="1407" w:hanging="1047"/>
      <w:jc w:val="left"/>
    </w:pPr>
    <w:rPr>
      <w:rFonts w:eastAsia="仿宋_GB2312"/>
    </w:rPr>
  </w:style>
  <w:style w:type="paragraph" w:customStyle="1" w:styleId="12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样式10"/>
    <w:basedOn w:val="1"/>
    <w:next w:val="1"/>
    <w:autoRedefine/>
    <w:qFormat/>
    <w:uiPriority w:val="0"/>
    <w:rPr>
      <w:rFonts w:ascii="Times New Roman" w:hAnsi="Times New Roman" w:eastAsia="仿宋"/>
      <w:sz w:val="24"/>
    </w:rPr>
  </w:style>
  <w:style w:type="paragraph" w:customStyle="1" w:styleId="13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2">
    <w:name w:val="Char Char1 Char"/>
    <w:basedOn w:val="1"/>
    <w:autoRedefine/>
    <w:qFormat/>
    <w:uiPriority w:val="0"/>
    <w:rPr>
      <w:rFonts w:ascii="Tahoma" w:hAnsi="Tahoma"/>
      <w:sz w:val="24"/>
      <w:szCs w:val="24"/>
    </w:rPr>
  </w:style>
  <w:style w:type="paragraph" w:customStyle="1" w:styleId="133">
    <w:name w:val="样式1xz"/>
    <w:basedOn w:val="1"/>
    <w:autoRedefine/>
    <w:qFormat/>
    <w:uiPriority w:val="0"/>
    <w:pPr>
      <w:tabs>
        <w:tab w:val="left" w:pos="1050"/>
        <w:tab w:val="right" w:leader="dot" w:pos="8296"/>
      </w:tabs>
    </w:pPr>
    <w:rPr>
      <w:caps/>
      <w:spacing w:val="20"/>
      <w:sz w:val="24"/>
    </w:rPr>
  </w:style>
  <w:style w:type="paragraph" w:customStyle="1" w:styleId="134">
    <w:name w:val="_Style 19"/>
    <w:basedOn w:val="1"/>
    <w:next w:val="135"/>
    <w:autoRedefine/>
    <w:qFormat/>
    <w:uiPriority w:val="0"/>
    <w:pPr>
      <w:ind w:firstLine="420" w:firstLineChars="200"/>
    </w:pPr>
    <w:rPr>
      <w:sz w:val="21"/>
      <w:szCs w:val="22"/>
    </w:rPr>
  </w:style>
  <w:style w:type="paragraph" w:styleId="135">
    <w:name w:val="List Paragraph"/>
    <w:basedOn w:val="1"/>
    <w:autoRedefine/>
    <w:qFormat/>
    <w:uiPriority w:val="0"/>
    <w:pPr>
      <w:ind w:firstLine="420" w:firstLineChars="200"/>
    </w:pPr>
  </w:style>
  <w:style w:type="paragraph" w:customStyle="1" w:styleId="136">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2">
    <w:name w:val="正文文本 21"/>
    <w:basedOn w:val="1"/>
    <w:autoRedefine/>
    <w:qFormat/>
    <w:uiPriority w:val="0"/>
    <w:pPr>
      <w:adjustRightInd w:val="0"/>
      <w:spacing w:before="120" w:line="360" w:lineRule="auto"/>
      <w:ind w:firstLine="480"/>
      <w:textAlignment w:val="baseline"/>
    </w:pPr>
    <w:rPr>
      <w:sz w:val="24"/>
    </w:rPr>
  </w:style>
  <w:style w:type="paragraph" w:customStyle="1" w:styleId="143">
    <w:name w:val="首行缩进"/>
    <w:basedOn w:val="1"/>
    <w:autoRedefine/>
    <w:qFormat/>
    <w:uiPriority w:val="0"/>
    <w:pPr>
      <w:numPr>
        <w:ilvl w:val="0"/>
        <w:numId w:val="4"/>
      </w:numPr>
      <w:spacing w:line="360" w:lineRule="auto"/>
    </w:pPr>
    <w:rPr>
      <w:rFonts w:eastAsia="仿宋_GB2312"/>
    </w:rPr>
  </w:style>
  <w:style w:type="paragraph" w:customStyle="1" w:styleId="144">
    <w:name w:val="简单回函地址"/>
    <w:basedOn w:val="1"/>
    <w:autoRedefine/>
    <w:qFormat/>
    <w:uiPriority w:val="0"/>
    <w:pPr>
      <w:adjustRightInd w:val="0"/>
      <w:snapToGrid w:val="0"/>
      <w:spacing w:line="360" w:lineRule="auto"/>
    </w:pPr>
    <w:rPr>
      <w:sz w:val="24"/>
    </w:rPr>
  </w:style>
  <w:style w:type="paragraph" w:customStyle="1" w:styleId="145">
    <w:name w:val="二级列表"/>
    <w:basedOn w:val="146"/>
    <w:next w:val="146"/>
    <w:autoRedefine/>
    <w:qFormat/>
    <w:uiPriority w:val="0"/>
    <w:pPr>
      <w:tabs>
        <w:tab w:val="left" w:pos="2120"/>
      </w:tabs>
      <w:ind w:firstLine="0" w:firstLineChars="0"/>
    </w:pPr>
    <w:rPr>
      <w:b/>
    </w:rPr>
  </w:style>
  <w:style w:type="paragraph" w:customStyle="1" w:styleId="146">
    <w:name w:val="段落正文"/>
    <w:basedOn w:val="1"/>
    <w:autoRedefine/>
    <w:qFormat/>
    <w:uiPriority w:val="0"/>
    <w:pPr>
      <w:spacing w:beforeLines="50" w:line="360" w:lineRule="auto"/>
      <w:ind w:firstLine="200" w:firstLineChars="200"/>
    </w:pPr>
    <w:rPr>
      <w:spacing w:val="2"/>
      <w:sz w:val="24"/>
    </w:rPr>
  </w:style>
  <w:style w:type="paragraph" w:customStyle="1" w:styleId="147">
    <w:name w:val="标题无"/>
    <w:basedOn w:val="1"/>
    <w:autoRedefine/>
    <w:qFormat/>
    <w:uiPriority w:val="0"/>
    <w:pPr>
      <w:spacing w:line="360" w:lineRule="auto"/>
    </w:pPr>
    <w:rPr>
      <w:sz w:val="24"/>
    </w:rPr>
  </w:style>
  <w:style w:type="paragraph" w:customStyle="1" w:styleId="148">
    <w:name w:val="没有缩进（为图形使用）"/>
    <w:basedOn w:val="1"/>
    <w:autoRedefine/>
    <w:qFormat/>
    <w:uiPriority w:val="0"/>
    <w:pPr>
      <w:spacing w:before="120" w:after="120" w:line="360" w:lineRule="auto"/>
    </w:pPr>
    <w:rPr>
      <w:sz w:val="24"/>
    </w:rPr>
  </w:style>
  <w:style w:type="paragraph" w:customStyle="1" w:styleId="149">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6"/>
    <w:next w:val="1"/>
    <w:autoRedefine/>
    <w:qFormat/>
    <w:uiPriority w:val="0"/>
    <w:pPr>
      <w:spacing w:before="240" w:after="720"/>
    </w:pPr>
    <w:rPr>
      <w:sz w:val="28"/>
    </w:rPr>
  </w:style>
  <w:style w:type="paragraph" w:customStyle="1" w:styleId="15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5"/>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6"/>
      </w:numPr>
      <w:tabs>
        <w:tab w:val="left" w:pos="425"/>
        <w:tab w:val="clear" w:pos="1620"/>
      </w:tabs>
    </w:pPr>
    <w:rPr>
      <w:rFonts w:ascii="Tahoma" w:hAnsi="Tahoma"/>
      <w:sz w:val="24"/>
    </w:rPr>
  </w:style>
  <w:style w:type="paragraph" w:customStyle="1" w:styleId="175">
    <w:name w:val="Item Step in Table"/>
    <w:autoRedefin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2"/>
    <w:autoRedefine/>
    <w:qFormat/>
    <w:uiPriority w:val="0"/>
    <w:pPr>
      <w:suppressAutoHyphens/>
      <w:jc w:val="left"/>
    </w:pPr>
    <w:rPr>
      <w:rFonts w:ascii="Times New Roman" w:eastAsia="Times New Roman"/>
      <w:kern w:val="0"/>
      <w:sz w:val="24"/>
    </w:rPr>
  </w:style>
  <w:style w:type="paragraph" w:customStyle="1" w:styleId="177">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4"/>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2"/>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96">
    <w:name w:val="标题 5（有编号）（绿盟科技）"/>
    <w:basedOn w:val="1"/>
    <w:next w:val="149"/>
    <w:autoRedefine/>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197">
    <w:name w:val="Char2 Char Char Char Char Char Char"/>
    <w:basedOn w:val="1"/>
    <w:autoRedefine/>
    <w:qFormat/>
    <w:uiPriority w:val="0"/>
    <w:rPr>
      <w:rFonts w:ascii="仿宋_GB2312"/>
      <w:b/>
      <w:sz w:val="30"/>
    </w:rPr>
  </w:style>
  <w:style w:type="paragraph" w:customStyle="1" w:styleId="198">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9">
    <w:name w:val="文本框样式1"/>
    <w:basedOn w:val="1"/>
    <w:autoRedefine/>
    <w:qFormat/>
    <w:uiPriority w:val="0"/>
    <w:pPr>
      <w:adjustRightInd w:val="0"/>
      <w:snapToGrid w:val="0"/>
      <w:spacing w:before="60" w:line="180" w:lineRule="exact"/>
      <w:jc w:val="center"/>
    </w:pPr>
    <w:rPr>
      <w:sz w:val="21"/>
    </w:rPr>
  </w:style>
  <w:style w:type="paragraph" w:customStyle="1" w:styleId="200">
    <w:name w:val="样式6"/>
    <w:basedOn w:val="1"/>
    <w:next w:val="1"/>
    <w:autoRedefine/>
    <w:qFormat/>
    <w:uiPriority w:val="0"/>
    <w:rPr>
      <w:rFonts w:ascii="Times New Roman" w:hAnsi="Times New Roman"/>
    </w:rPr>
  </w:style>
  <w:style w:type="paragraph" w:customStyle="1" w:styleId="201">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4">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6">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7">
    <w:name w:val="文本1"/>
    <w:basedOn w:val="1"/>
    <w:autoRedefine/>
    <w:qFormat/>
    <w:uiPriority w:val="0"/>
    <w:pPr>
      <w:adjustRightInd w:val="0"/>
      <w:spacing w:line="312" w:lineRule="atLeast"/>
      <w:jc w:val="center"/>
      <w:textAlignment w:val="baseline"/>
    </w:pPr>
    <w:rPr>
      <w:kern w:val="0"/>
      <w:sz w:val="18"/>
    </w:rPr>
  </w:style>
  <w:style w:type="paragraph" w:customStyle="1" w:styleId="208">
    <w:name w:val="IN Feature"/>
    <w:next w:val="209"/>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9">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0">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4">
    <w:name w:val="样式4"/>
    <w:basedOn w:val="5"/>
    <w:autoRedefine/>
    <w:qFormat/>
    <w:uiPriority w:val="0"/>
    <w:pPr>
      <w:adjustRightInd w:val="0"/>
      <w:snapToGrid w:val="0"/>
    </w:pPr>
  </w:style>
  <w:style w:type="paragraph" w:customStyle="1" w:styleId="215">
    <w:name w:val="样式 行距: 1.5 倍行距1"/>
    <w:basedOn w:val="1"/>
    <w:autoRedefine/>
    <w:qFormat/>
    <w:uiPriority w:val="0"/>
    <w:pPr>
      <w:snapToGrid w:val="0"/>
    </w:pPr>
    <w:rPr>
      <w:sz w:val="21"/>
    </w:rPr>
  </w:style>
  <w:style w:type="paragraph" w:customStyle="1" w:styleId="216">
    <w:name w:val="Char"/>
    <w:basedOn w:val="1"/>
    <w:autoRedefine/>
    <w:qFormat/>
    <w:uiPriority w:val="0"/>
    <w:pPr>
      <w:spacing w:line="240" w:lineRule="atLeast"/>
      <w:ind w:left="420" w:firstLine="420"/>
    </w:pPr>
    <w:rPr>
      <w:kern w:val="0"/>
      <w:sz w:val="21"/>
    </w:rPr>
  </w:style>
  <w:style w:type="paragraph" w:customStyle="1" w:styleId="217">
    <w:name w:val="样式1"/>
    <w:basedOn w:val="5"/>
    <w:autoRedefine/>
    <w:qFormat/>
    <w:uiPriority w:val="0"/>
    <w:pPr>
      <w:tabs>
        <w:tab w:val="left" w:pos="720"/>
      </w:tabs>
      <w:spacing w:before="500" w:after="260" w:line="560" w:lineRule="atLeast"/>
      <w:ind w:left="420" w:hanging="420"/>
    </w:pPr>
  </w:style>
  <w:style w:type="paragraph" w:customStyle="1" w:styleId="218">
    <w:name w:val="标准正文"/>
    <w:basedOn w:val="24"/>
    <w:autoRedefine/>
    <w:qFormat/>
    <w:uiPriority w:val="0"/>
    <w:pPr>
      <w:spacing w:before="60" w:after="60" w:line="360" w:lineRule="auto"/>
      <w:ind w:left="0" w:firstLine="482"/>
    </w:pPr>
    <w:rPr>
      <w:rFonts w:ascii="Arial" w:hAnsi="Arial"/>
      <w:sz w:val="24"/>
    </w:rPr>
  </w:style>
  <w:style w:type="paragraph" w:customStyle="1" w:styleId="219">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0">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1">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2">
    <w:name w:val="样式7"/>
    <w:basedOn w:val="1"/>
    <w:next w:val="1"/>
    <w:autoRedefine/>
    <w:qFormat/>
    <w:uiPriority w:val="0"/>
    <w:rPr>
      <w:rFonts w:ascii="Times New Roman" w:hAnsi="Times New Roman"/>
    </w:rPr>
  </w:style>
  <w:style w:type="paragraph" w:customStyle="1" w:styleId="223">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4">
    <w:name w:val="样式 宋体 五号 行距: 单倍行距"/>
    <w:basedOn w:val="1"/>
    <w:autoRedefine/>
    <w:qFormat/>
    <w:uiPriority w:val="0"/>
    <w:pPr>
      <w:adjustRightInd w:val="0"/>
      <w:jc w:val="left"/>
    </w:pPr>
    <w:rPr>
      <w:rFonts w:ascii="宋体" w:hAnsi="宋体"/>
      <w:kern w:val="0"/>
      <w:sz w:val="21"/>
    </w:rPr>
  </w:style>
  <w:style w:type="paragraph" w:customStyle="1" w:styleId="225">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6">
    <w:name w:val="Char Char 字元 字元 字元 Char Char Char Char"/>
    <w:basedOn w:val="1"/>
    <w:autoRedefine/>
    <w:qFormat/>
    <w:uiPriority w:val="0"/>
    <w:pPr>
      <w:adjustRightInd w:val="0"/>
      <w:spacing w:line="360" w:lineRule="auto"/>
    </w:pPr>
    <w:rPr>
      <w:kern w:val="0"/>
      <w:sz w:val="24"/>
    </w:rPr>
  </w:style>
  <w:style w:type="paragraph" w:customStyle="1" w:styleId="227">
    <w:name w:val="内容标题"/>
    <w:basedOn w:val="17"/>
    <w:autoRedefine/>
    <w:qFormat/>
    <w:uiPriority w:val="0"/>
    <w:rPr>
      <w:rFonts w:ascii="Tahoma" w:hAnsi="Tahoma"/>
      <w:sz w:val="24"/>
    </w:rPr>
  </w:style>
  <w:style w:type="paragraph" w:customStyle="1" w:styleId="228">
    <w:name w:val="Char Char Char Char Char Char Char Char Char Char Char Char Char Char Char Char"/>
    <w:basedOn w:val="1"/>
    <w:autoRedefine/>
    <w:qFormat/>
    <w:uiPriority w:val="0"/>
    <w:pPr>
      <w:tabs>
        <w:tab w:val="left" w:pos="360"/>
      </w:tabs>
    </w:pPr>
    <w:rPr>
      <w:sz w:val="24"/>
    </w:rPr>
  </w:style>
  <w:style w:type="paragraph" w:customStyle="1" w:styleId="229">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图例"/>
    <w:basedOn w:val="1"/>
    <w:autoRedefine/>
    <w:qFormat/>
    <w:uiPriority w:val="0"/>
    <w:pPr>
      <w:spacing w:before="120" w:after="120" w:line="360" w:lineRule="auto"/>
      <w:jc w:val="center"/>
    </w:pPr>
    <w:rPr>
      <w:rFonts w:eastAsia="仿宋_GB2312"/>
      <w:b/>
      <w:sz w:val="24"/>
    </w:rPr>
  </w:style>
  <w:style w:type="paragraph" w:customStyle="1" w:styleId="232">
    <w:name w:val="00"/>
    <w:basedOn w:val="1"/>
    <w:autoRedefine/>
    <w:qFormat/>
    <w:uiPriority w:val="0"/>
    <w:pPr>
      <w:autoSpaceDE w:val="0"/>
      <w:autoSpaceDN w:val="0"/>
      <w:adjustRightInd w:val="0"/>
      <w:jc w:val="left"/>
    </w:pPr>
    <w:rPr>
      <w:rFonts w:ascii="黑体" w:eastAsia="黑体"/>
      <w:b/>
      <w:kern w:val="0"/>
      <w:sz w:val="20"/>
    </w:rPr>
  </w:style>
  <w:style w:type="paragraph" w:customStyle="1" w:styleId="233">
    <w:name w:val="Char1 Char Char Char1"/>
    <w:basedOn w:val="1"/>
    <w:autoRedefine/>
    <w:qFormat/>
    <w:uiPriority w:val="0"/>
    <w:rPr>
      <w:rFonts w:ascii="Tahoma" w:hAnsi="Tahoma"/>
      <w:sz w:val="24"/>
    </w:rPr>
  </w:style>
  <w:style w:type="paragraph" w:customStyle="1" w:styleId="234">
    <w:name w:val="表文字"/>
    <w:autoRedefine/>
    <w:qFormat/>
    <w:uiPriority w:val="0"/>
    <w:rPr>
      <w:rFonts w:ascii="宋体" w:hAnsi="Calibri" w:eastAsia="宋体" w:cs="Times New Roman"/>
      <w:kern w:val="2"/>
      <w:lang w:val="en-US" w:eastAsia="zh-CN" w:bidi="ar-SA"/>
    </w:rPr>
  </w:style>
  <w:style w:type="paragraph" w:customStyle="1" w:styleId="235">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6">
    <w:name w:val="可研正文"/>
    <w:basedOn w:val="22"/>
    <w:autoRedefine/>
    <w:qFormat/>
    <w:uiPriority w:val="0"/>
    <w:pPr>
      <w:adjustRightInd w:val="0"/>
      <w:snapToGrid w:val="0"/>
      <w:spacing w:line="440" w:lineRule="exact"/>
      <w:ind w:firstLine="567"/>
    </w:pPr>
    <w:rPr>
      <w:sz w:val="28"/>
    </w:rPr>
  </w:style>
  <w:style w:type="paragraph" w:customStyle="1" w:styleId="23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8">
    <w:name w:val="正文 + 三号"/>
    <w:basedOn w:val="1"/>
    <w:autoRedefine/>
    <w:qFormat/>
    <w:uiPriority w:val="0"/>
    <w:rPr>
      <w:sz w:val="21"/>
    </w:rPr>
  </w:style>
  <w:style w:type="paragraph" w:customStyle="1" w:styleId="239">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40">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1">
    <w:name w:val="标题1"/>
    <w:basedOn w:val="1"/>
    <w:next w:val="1"/>
    <w:autoRedefine/>
    <w:qFormat/>
    <w:uiPriority w:val="0"/>
    <w:rPr>
      <w:rFonts w:ascii="Times New Roman" w:hAnsi="Times New Roman"/>
    </w:rPr>
  </w:style>
  <w:style w:type="paragraph" w:customStyle="1" w:styleId="242">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3">
    <w:name w:val="关键词"/>
    <w:basedOn w:val="1"/>
    <w:next w:val="1"/>
    <w:autoRedefine/>
    <w:qFormat/>
    <w:uiPriority w:val="0"/>
    <w:pPr>
      <w:spacing w:line="360" w:lineRule="auto"/>
    </w:pPr>
    <w:rPr>
      <w:rFonts w:eastAsia="黑体"/>
      <w:sz w:val="20"/>
    </w:rPr>
  </w:style>
  <w:style w:type="paragraph" w:customStyle="1" w:styleId="244">
    <w:name w:val="Char Char Char Char Char Char Char1"/>
    <w:basedOn w:val="17"/>
    <w:autoRedefine/>
    <w:qFormat/>
    <w:uiPriority w:val="0"/>
    <w:rPr>
      <w:rFonts w:ascii="宋体" w:hAnsi="Tahoma"/>
    </w:rPr>
  </w:style>
  <w:style w:type="paragraph" w:customStyle="1" w:styleId="245">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7">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8">
    <w:name w:val="Char2"/>
    <w:basedOn w:val="1"/>
    <w:autoRedefine/>
    <w:qFormat/>
    <w:uiPriority w:val="0"/>
    <w:pPr>
      <w:spacing w:line="240" w:lineRule="atLeast"/>
      <w:ind w:left="420" w:firstLine="420"/>
    </w:pPr>
    <w:rPr>
      <w:kern w:val="0"/>
      <w:sz w:val="21"/>
    </w:rPr>
  </w:style>
  <w:style w:type="paragraph" w:customStyle="1" w:styleId="249">
    <w:name w:val="样式12"/>
    <w:basedOn w:val="1"/>
    <w:next w:val="1"/>
    <w:autoRedefine/>
    <w:qFormat/>
    <w:uiPriority w:val="0"/>
    <w:rPr>
      <w:rFonts w:ascii="Times New Roman" w:hAnsi="Times New Roman" w:eastAsia="仿宋"/>
      <w:sz w:val="24"/>
    </w:rPr>
  </w:style>
  <w:style w:type="paragraph" w:customStyle="1" w:styleId="250">
    <w:name w:val="样式2"/>
    <w:basedOn w:val="5"/>
    <w:autoRedefine/>
    <w:qFormat/>
    <w:uiPriority w:val="0"/>
    <w:pPr>
      <w:numPr>
        <w:ilvl w:val="0"/>
        <w:numId w:val="13"/>
      </w:numPr>
      <w:spacing w:before="560" w:line="400" w:lineRule="exact"/>
      <w:jc w:val="center"/>
      <w:outlineLvl w:val="0"/>
    </w:pPr>
    <w:rPr>
      <w:sz w:val="44"/>
    </w:rPr>
  </w:style>
  <w:style w:type="paragraph" w:customStyle="1" w:styleId="25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2">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3">
    <w:name w:val="文章正文"/>
    <w:basedOn w:val="1"/>
    <w:autoRedefine/>
    <w:qFormat/>
    <w:uiPriority w:val="0"/>
    <w:pPr>
      <w:ind w:firstLine="560" w:firstLineChars="200"/>
    </w:pPr>
    <w:rPr>
      <w:rFonts w:ascii="仿宋_GB2312" w:hAnsi="宋体" w:eastAsia="仿宋_GB2312"/>
      <w:color w:val="000000"/>
    </w:rPr>
  </w:style>
  <w:style w:type="paragraph" w:customStyle="1" w:styleId="254">
    <w:name w:val="默认段落字体 Para Char Char Char Char Char Char Char Char Char1 Char Char Char Char"/>
    <w:basedOn w:val="1"/>
    <w:autoRedefine/>
    <w:qFormat/>
    <w:uiPriority w:val="0"/>
    <w:rPr>
      <w:rFonts w:ascii="Tahoma" w:hAnsi="Tahoma"/>
      <w:sz w:val="24"/>
    </w:rPr>
  </w:style>
  <w:style w:type="paragraph" w:customStyle="1" w:styleId="255">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6">
    <w:name w:val="Title - Revision"/>
    <w:basedOn w:val="56"/>
    <w:autoRedefine/>
    <w:qFormat/>
    <w:uiPriority w:val="0"/>
    <w:pPr>
      <w:spacing w:before="720"/>
    </w:pPr>
  </w:style>
  <w:style w:type="paragraph" w:customStyle="1" w:styleId="257">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8">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9">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60">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1">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2">
    <w:name w:val="样式9"/>
    <w:basedOn w:val="1"/>
    <w:next w:val="1"/>
    <w:autoRedefine/>
    <w:qFormat/>
    <w:uiPriority w:val="0"/>
    <w:rPr>
      <w:rFonts w:ascii="Times New Roman" w:hAnsi="Times New Roman" w:eastAsia="仿宋"/>
      <w:sz w:val="24"/>
    </w:rPr>
  </w:style>
  <w:style w:type="paragraph" w:customStyle="1" w:styleId="263">
    <w:name w:val="首行缩进 1"/>
    <w:basedOn w:val="1"/>
    <w:autoRedefine/>
    <w:qFormat/>
    <w:uiPriority w:val="0"/>
    <w:pPr>
      <w:spacing w:after="120" w:line="360" w:lineRule="auto"/>
      <w:ind w:firstLine="200" w:firstLineChars="200"/>
    </w:pPr>
    <w:rPr>
      <w:sz w:val="24"/>
    </w:rPr>
  </w:style>
  <w:style w:type="paragraph" w:customStyle="1" w:styleId="264">
    <w:name w:val="1"/>
    <w:basedOn w:val="1"/>
    <w:next w:val="32"/>
    <w:autoRedefine/>
    <w:qFormat/>
    <w:uiPriority w:val="0"/>
    <w:rPr>
      <w:rFonts w:ascii="宋体" w:hAnsi="Courier New"/>
      <w:sz w:val="21"/>
    </w:rPr>
  </w:style>
  <w:style w:type="paragraph" w:customStyle="1" w:styleId="265">
    <w:name w:val="1.正文"/>
    <w:basedOn w:val="1"/>
    <w:autoRedefine/>
    <w:qFormat/>
    <w:uiPriority w:val="0"/>
    <w:pPr>
      <w:spacing w:line="360" w:lineRule="auto"/>
      <w:ind w:left="540" w:leftChars="225" w:firstLine="540" w:firstLineChars="225"/>
    </w:pPr>
    <w:rPr>
      <w:sz w:val="24"/>
    </w:rPr>
  </w:style>
  <w:style w:type="paragraph" w:customStyle="1" w:styleId="266">
    <w:name w:val="Style Heading 3h3Heading 3 - oldLevel 3 HeadH3level_3PIM 3se..."/>
    <w:basedOn w:val="4"/>
    <w:autoRedefine/>
    <w:qFormat/>
    <w:uiPriority w:val="0"/>
    <w:pPr>
      <w:tabs>
        <w:tab w:val="left" w:pos="709"/>
        <w:tab w:val="left" w:pos="1620"/>
      </w:tabs>
      <w:ind w:left="1620" w:hanging="360"/>
    </w:pPr>
  </w:style>
  <w:style w:type="paragraph" w:customStyle="1" w:styleId="267">
    <w:name w:val="摘要"/>
    <w:basedOn w:val="1"/>
    <w:next w:val="3"/>
    <w:autoRedefine/>
    <w:qFormat/>
    <w:uiPriority w:val="0"/>
    <w:pPr>
      <w:spacing w:line="360" w:lineRule="auto"/>
    </w:pPr>
    <w:rPr>
      <w:rFonts w:eastAsia="黑体"/>
      <w:sz w:val="20"/>
    </w:rPr>
  </w:style>
  <w:style w:type="paragraph" w:customStyle="1" w:styleId="268">
    <w:name w:val="Char Char Char"/>
    <w:basedOn w:val="1"/>
    <w:autoRedefine/>
    <w:qFormat/>
    <w:uiPriority w:val="0"/>
    <w:rPr>
      <w:rFonts w:ascii="Tahoma" w:hAnsi="Tahoma"/>
      <w:sz w:val="24"/>
    </w:rPr>
  </w:style>
  <w:style w:type="paragraph" w:styleId="269">
    <w:name w:val="Quote"/>
    <w:basedOn w:val="1"/>
    <w:next w:val="1"/>
    <w:autoRedefine/>
    <w:qFormat/>
    <w:uiPriority w:val="29"/>
    <w:rPr>
      <w:i/>
      <w:iCs/>
      <w:color w:val="000000"/>
    </w:rPr>
  </w:style>
  <w:style w:type="paragraph" w:customStyle="1" w:styleId="270">
    <w:name w:val="西研院正文"/>
    <w:basedOn w:val="1"/>
    <w:autoRedefine/>
    <w:qFormat/>
    <w:uiPriority w:val="0"/>
    <w:pPr>
      <w:spacing w:line="560" w:lineRule="exact"/>
      <w:ind w:firstLine="643" w:firstLineChars="200"/>
    </w:pPr>
    <w:rPr>
      <w:rFonts w:eastAsia="方正仿宋_GBK"/>
      <w:sz w:val="32"/>
    </w:rPr>
  </w:style>
  <w:style w:type="character" w:customStyle="1" w:styleId="271">
    <w:name w:val="NormalCharacter"/>
    <w:autoRedefine/>
    <w:qFormat/>
    <w:uiPriority w:val="0"/>
  </w:style>
  <w:style w:type="paragraph" w:customStyle="1" w:styleId="272">
    <w:name w:val="正文（缩进）"/>
    <w:basedOn w:val="1"/>
    <w:autoRedefine/>
    <w:qFormat/>
    <w:uiPriority w:val="99"/>
    <w:pPr>
      <w:spacing w:before="156" w:after="156"/>
      <w:ind w:firstLine="480"/>
    </w:pPr>
  </w:style>
  <w:style w:type="table" w:customStyle="1" w:styleId="27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10397</Words>
  <Characters>11348</Characters>
  <Lines>180</Lines>
  <Paragraphs>50</Paragraphs>
  <TotalTime>5</TotalTime>
  <ScaleCrop>false</ScaleCrop>
  <LinksUpToDate>false</LinksUpToDate>
  <CharactersWithSpaces>12329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李世林</cp:lastModifiedBy>
  <cp:lastPrinted>2022-07-25T07:55:00Z</cp:lastPrinted>
  <dcterms:modified xsi:type="dcterms:W3CDTF">2026-06-30T03:27:52Z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7990579_cloud</vt:lpwstr>
  </property>
  <property fmtid="{D5CDD505-2E9C-101B-9397-08002B2CF9AE}" pid="4" name="ICV">
    <vt:lpwstr>255595F1020E4559A9D69137582414ED_13</vt:lpwstr>
  </property>
  <property fmtid="{D5CDD505-2E9C-101B-9397-08002B2CF9AE}" pid="5" name="commondata">
    <vt:lpwstr>eyJoZGlkIjoiZDdiYjdhYmUyNjNhZjhhZWUwNGEwN2ZhNDNlYzkxN2UifQ==</vt:lpwstr>
  </property>
</Properties>
</file>