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3E22">
      <w:pPr>
        <w:spacing w:line="360" w:lineRule="auto"/>
        <w:jc w:val="center"/>
        <w:rPr>
          <w:rFonts w:hint="eastAsia" w:ascii="方正仿宋_GB2312" w:hAnsi="方正仿宋_GB2312" w:eastAsia="方正仿宋_GB2312" w:cs="方正仿宋_GB2312"/>
          <w:b/>
          <w:bCs/>
          <w:sz w:val="144"/>
          <w:szCs w:val="52"/>
          <w:highlight w:val="none"/>
        </w:rPr>
      </w:pPr>
      <w:bookmarkStart w:id="0" w:name="_Toc16779"/>
      <w:bookmarkStart w:id="1" w:name="_Toc31370"/>
      <w:bookmarkStart w:id="2" w:name="_Toc19609"/>
      <w:bookmarkStart w:id="3" w:name="_Toc30711"/>
      <w:bookmarkStart w:id="4" w:name="_Toc31917"/>
      <w:bookmarkStart w:id="5" w:name="_Toc30988"/>
      <w:bookmarkStart w:id="6" w:name="_Toc7408"/>
      <w:bookmarkStart w:id="7" w:name="_Toc17591"/>
      <w:r>
        <w:rPr>
          <w:rFonts w:hint="eastAsia" w:ascii="方正仿宋_GB2312" w:hAnsi="方正仿宋_GB2312" w:eastAsia="方正仿宋_GB2312" w:cs="方正仿宋_GB2312"/>
          <w:b/>
          <w:bCs/>
          <w:sz w:val="144"/>
          <w:szCs w:val="52"/>
          <w:highlight w:val="none"/>
        </w:rPr>
        <w:t>国企采购</w:t>
      </w:r>
    </w:p>
    <w:p w14:paraId="73CA1B6A">
      <w:pPr>
        <w:spacing w:line="360" w:lineRule="auto"/>
        <w:jc w:val="center"/>
        <w:rPr>
          <w:rFonts w:hint="eastAsia" w:ascii="方正仿宋_GB2312" w:hAnsi="方正仿宋_GB2312" w:eastAsia="方正仿宋_GB2312" w:cs="方正仿宋_GB2312"/>
          <w:b/>
          <w:bCs/>
          <w:sz w:val="144"/>
          <w:szCs w:val="52"/>
          <w:highlight w:val="none"/>
        </w:rPr>
      </w:pPr>
      <w:r>
        <w:rPr>
          <w:rFonts w:hint="eastAsia" w:ascii="方正仿宋_GB2312" w:hAnsi="方正仿宋_GB2312" w:eastAsia="方正仿宋_GB2312" w:cs="方正仿宋_GB2312"/>
          <w:b/>
          <w:bCs/>
          <w:sz w:val="144"/>
          <w:szCs w:val="52"/>
          <w:highlight w:val="none"/>
        </w:rPr>
        <w:t>竞采文件</w:t>
      </w:r>
    </w:p>
    <w:bookmarkEnd w:id="0"/>
    <w:bookmarkEnd w:id="1"/>
    <w:bookmarkEnd w:id="2"/>
    <w:bookmarkEnd w:id="3"/>
    <w:bookmarkEnd w:id="4"/>
    <w:bookmarkEnd w:id="5"/>
    <w:bookmarkEnd w:id="6"/>
    <w:bookmarkEnd w:id="7"/>
    <w:p w14:paraId="02E8F624">
      <w:pPr>
        <w:spacing w:line="360" w:lineRule="auto"/>
        <w:ind w:firstLine="720" w:firstLineChars="200"/>
        <w:jc w:val="left"/>
        <w:rPr>
          <w:rFonts w:hint="eastAsia" w:ascii="方正仿宋_GB2312" w:hAnsi="方正仿宋_GB2312" w:eastAsia="方正仿宋_GB2312" w:cs="方正仿宋_GB2312"/>
          <w:color w:val="000000"/>
          <w:sz w:val="36"/>
          <w:szCs w:val="30"/>
          <w:highlight w:val="none"/>
        </w:rPr>
      </w:pPr>
    </w:p>
    <w:p w14:paraId="53AC598C">
      <w:pPr>
        <w:pStyle w:val="8"/>
        <w:spacing w:line="360" w:lineRule="auto"/>
        <w:ind w:left="2517" w:leftChars="256" w:hanging="1800" w:hangingChars="500"/>
        <w:jc w:val="left"/>
        <w:rPr>
          <w:rFonts w:hint="eastAsia" w:ascii="方正仿宋_GB2312" w:hAnsi="方正仿宋_GB2312" w:eastAsia="方正仿宋_GB2312" w:cs="方正仿宋_GB2312"/>
          <w:color w:val="000000"/>
          <w:sz w:val="36"/>
          <w:szCs w:val="30"/>
          <w:highlight w:val="none"/>
        </w:rPr>
      </w:pPr>
      <w:r>
        <w:rPr>
          <w:rFonts w:hint="eastAsia" w:ascii="方正仿宋_GB2312" w:hAnsi="方正仿宋_GB2312" w:eastAsia="方正仿宋_GB2312" w:cs="方正仿宋_GB2312"/>
          <w:color w:val="000000"/>
          <w:sz w:val="36"/>
          <w:szCs w:val="30"/>
          <w:highlight w:val="none"/>
        </w:rPr>
        <w:t>项目编号：</w:t>
      </w:r>
      <w:bookmarkStart w:id="8" w:name="_Hlk111636989"/>
      <w:r>
        <w:rPr>
          <w:rFonts w:hint="eastAsia" w:ascii="方正仿宋_GB2312" w:hAnsi="方正仿宋_GB2312" w:eastAsia="方正仿宋_GB2312" w:cs="方正仿宋_GB2312"/>
          <w:color w:val="000000"/>
          <w:sz w:val="36"/>
          <w:szCs w:val="30"/>
          <w:highlight w:val="none"/>
        </w:rPr>
        <w:t>lfjt25C00230</w:t>
      </w:r>
    </w:p>
    <w:p w14:paraId="177EE419">
      <w:pPr>
        <w:pStyle w:val="8"/>
        <w:spacing w:line="360" w:lineRule="auto"/>
        <w:ind w:left="2517" w:leftChars="256" w:hanging="1800" w:hangingChars="500"/>
        <w:jc w:val="left"/>
        <w:rPr>
          <w:rFonts w:hint="eastAsia" w:ascii="方正仿宋_GB2312" w:hAnsi="方正仿宋_GB2312" w:eastAsia="方正仿宋_GB2312" w:cs="方正仿宋_GB2312"/>
          <w:color w:val="000000"/>
          <w:sz w:val="36"/>
          <w:szCs w:val="30"/>
          <w:highlight w:val="none"/>
        </w:rPr>
      </w:pPr>
      <w:r>
        <w:rPr>
          <w:rFonts w:hint="eastAsia" w:ascii="方正仿宋_GB2312" w:hAnsi="方正仿宋_GB2312" w:eastAsia="方正仿宋_GB2312" w:cs="方正仿宋_GB2312"/>
          <w:color w:val="000000"/>
          <w:sz w:val="36"/>
          <w:szCs w:val="30"/>
          <w:highlight w:val="none"/>
        </w:rPr>
        <w:t>项目名称：璧山区玉泉湖东岸片区基础设施建设项目</w:t>
      </w:r>
    </w:p>
    <w:p w14:paraId="3E877CBA">
      <w:pPr>
        <w:pStyle w:val="8"/>
        <w:spacing w:line="360" w:lineRule="auto"/>
        <w:ind w:left="2240" w:leftChars="800" w:firstLine="0" w:firstLineChars="0"/>
        <w:jc w:val="left"/>
        <w:rPr>
          <w:rFonts w:hint="eastAsia" w:ascii="方正仿宋_GB2312" w:hAnsi="方正仿宋_GB2312" w:eastAsia="方正仿宋_GB2312" w:cs="方正仿宋_GB2312"/>
          <w:color w:val="000000"/>
          <w:sz w:val="36"/>
          <w:szCs w:val="30"/>
          <w:highlight w:val="none"/>
          <w:lang w:eastAsia="zh-CN"/>
        </w:rPr>
      </w:pPr>
      <w:r>
        <w:rPr>
          <w:rFonts w:hint="eastAsia" w:ascii="方正仿宋_GB2312" w:hAnsi="方正仿宋_GB2312" w:eastAsia="方正仿宋_GB2312" w:cs="方正仿宋_GB2312"/>
          <w:color w:val="000000"/>
          <w:sz w:val="36"/>
          <w:szCs w:val="30"/>
          <w:highlight w:val="none"/>
        </w:rPr>
        <w:t xml:space="preserve">（一期）项目南侧场地美化服务 </w:t>
      </w:r>
    </w:p>
    <w:bookmarkEnd w:id="8"/>
    <w:p w14:paraId="58C334FF">
      <w:pPr>
        <w:pStyle w:val="8"/>
        <w:spacing w:line="360" w:lineRule="auto"/>
        <w:rPr>
          <w:rFonts w:hint="eastAsia" w:ascii="方正仿宋_GB2312" w:hAnsi="方正仿宋_GB2312" w:eastAsia="方正仿宋_GB2312" w:cs="方正仿宋_GB2312"/>
          <w:highlight w:val="none"/>
        </w:rPr>
      </w:pPr>
    </w:p>
    <w:p w14:paraId="73A2207D">
      <w:pPr>
        <w:pStyle w:val="8"/>
        <w:spacing w:line="360" w:lineRule="auto"/>
        <w:rPr>
          <w:rFonts w:hint="eastAsia" w:ascii="方正仿宋_GB2312" w:hAnsi="方正仿宋_GB2312" w:eastAsia="方正仿宋_GB2312" w:cs="方正仿宋_GB2312"/>
          <w:highlight w:val="none"/>
        </w:rPr>
      </w:pPr>
    </w:p>
    <w:p w14:paraId="2D0FF972">
      <w:pPr>
        <w:spacing w:line="360" w:lineRule="auto"/>
        <w:ind w:firstLine="720" w:firstLineChars="200"/>
        <w:jc w:val="left"/>
        <w:rPr>
          <w:rFonts w:hint="eastAsia" w:ascii="方正仿宋_GB2312" w:hAnsi="方正仿宋_GB2312" w:eastAsia="方正仿宋_GB2312" w:cs="方正仿宋_GB2312"/>
          <w:color w:val="000000"/>
          <w:sz w:val="36"/>
          <w:szCs w:val="30"/>
          <w:highlight w:val="none"/>
          <w:lang w:eastAsia="zh-CN"/>
        </w:rPr>
      </w:pPr>
      <w:r>
        <w:rPr>
          <w:rFonts w:hint="eastAsia" w:ascii="方正仿宋_GB2312" w:hAnsi="方正仿宋_GB2312" w:eastAsia="方正仿宋_GB2312" w:cs="方正仿宋_GB2312"/>
          <w:color w:val="000000"/>
          <w:sz w:val="36"/>
          <w:szCs w:val="30"/>
          <w:highlight w:val="none"/>
        </w:rPr>
        <w:t>采购人：</w:t>
      </w:r>
      <w:r>
        <w:rPr>
          <w:rFonts w:hint="eastAsia" w:ascii="方正仿宋_GB2312" w:hAnsi="方正仿宋_GB2312" w:eastAsia="方正仿宋_GB2312" w:cs="方正仿宋_GB2312"/>
          <w:color w:val="000000"/>
          <w:sz w:val="36"/>
          <w:szCs w:val="30"/>
          <w:highlight w:val="none"/>
          <w:lang w:eastAsia="zh-CN"/>
        </w:rPr>
        <w:t>重庆枫香湖文化旅游发展有限公司</w:t>
      </w:r>
    </w:p>
    <w:p w14:paraId="26C8C639">
      <w:pPr>
        <w:spacing w:line="360" w:lineRule="auto"/>
        <w:ind w:firstLine="720" w:firstLineChars="200"/>
        <w:jc w:val="left"/>
        <w:rPr>
          <w:rFonts w:hint="eastAsia" w:ascii="方正仿宋_GB2312" w:hAnsi="方正仿宋_GB2312" w:eastAsia="方正仿宋_GB2312" w:cs="方正仿宋_GB2312"/>
          <w:color w:val="FF0000"/>
          <w:sz w:val="36"/>
          <w:szCs w:val="30"/>
          <w:highlight w:val="none"/>
        </w:rPr>
      </w:pPr>
      <w:r>
        <w:rPr>
          <w:rFonts w:hint="eastAsia" w:ascii="方正仿宋_GB2312" w:hAnsi="方正仿宋_GB2312" w:eastAsia="方正仿宋_GB2312" w:cs="方正仿宋_GB2312"/>
          <w:sz w:val="36"/>
          <w:szCs w:val="30"/>
          <w:highlight w:val="none"/>
        </w:rPr>
        <w:t>采购代理机构：尚峰建设工程咨询有限公司</w:t>
      </w:r>
    </w:p>
    <w:p w14:paraId="0FEBB09E">
      <w:pPr>
        <w:spacing w:line="360" w:lineRule="auto"/>
        <w:rPr>
          <w:rFonts w:hint="eastAsia" w:ascii="方正仿宋_GB2312" w:hAnsi="方正仿宋_GB2312" w:eastAsia="方正仿宋_GB2312" w:cs="方正仿宋_GB2312"/>
          <w:highlight w:val="none"/>
        </w:rPr>
      </w:pPr>
    </w:p>
    <w:p w14:paraId="7A235684">
      <w:pPr>
        <w:pStyle w:val="8"/>
        <w:spacing w:line="360" w:lineRule="auto"/>
        <w:jc w:val="center"/>
        <w:rPr>
          <w:rFonts w:hint="eastAsia" w:ascii="方正仿宋_GB2312" w:hAnsi="方正仿宋_GB2312" w:eastAsia="方正仿宋_GB2312" w:cs="方正仿宋_GB2312"/>
          <w:color w:val="000000"/>
          <w:sz w:val="36"/>
          <w:szCs w:val="30"/>
          <w:highlight w:val="none"/>
        </w:rPr>
      </w:pPr>
      <w:r>
        <w:rPr>
          <w:rFonts w:hint="eastAsia" w:ascii="方正仿宋_GB2312" w:hAnsi="方正仿宋_GB2312" w:eastAsia="方正仿宋_GB2312" w:cs="方正仿宋_GB2312"/>
          <w:color w:val="000000"/>
          <w:sz w:val="36"/>
          <w:szCs w:val="30"/>
          <w:highlight w:val="none"/>
        </w:rPr>
        <w:t>二〇二五年</w:t>
      </w:r>
      <w:r>
        <w:rPr>
          <w:rFonts w:hint="eastAsia" w:ascii="方正仿宋_GB2312" w:hAnsi="方正仿宋_GB2312" w:eastAsia="方正仿宋_GB2312" w:cs="方正仿宋_GB2312"/>
          <w:color w:val="000000"/>
          <w:sz w:val="36"/>
          <w:szCs w:val="30"/>
          <w:highlight w:val="none"/>
          <w:lang w:val="en-US" w:eastAsia="zh-CN"/>
        </w:rPr>
        <w:t>八</w:t>
      </w:r>
      <w:r>
        <w:rPr>
          <w:rFonts w:hint="eastAsia" w:ascii="方正仿宋_GB2312" w:hAnsi="方正仿宋_GB2312" w:eastAsia="方正仿宋_GB2312" w:cs="方正仿宋_GB2312"/>
          <w:color w:val="000000"/>
          <w:sz w:val="36"/>
          <w:szCs w:val="30"/>
          <w:highlight w:val="none"/>
        </w:rPr>
        <w:t>月</w:t>
      </w:r>
    </w:p>
    <w:sdt>
      <w:sdtPr>
        <w:rPr>
          <w:rFonts w:hint="eastAsia" w:ascii="方正仿宋_GB2312" w:hAnsi="方正仿宋_GB2312" w:eastAsia="方正仿宋_GB2312" w:cs="方正仿宋_GB2312"/>
          <w:sz w:val="21"/>
          <w:highlight w:val="none"/>
        </w:rPr>
        <w:id w:val="147465042"/>
        <w15:color w:val="DBDBDB"/>
        <w:docPartObj>
          <w:docPartGallery w:val="Table of Contents"/>
          <w:docPartUnique/>
        </w:docPartObj>
      </w:sdtPr>
      <w:sdtEndPr>
        <w:rPr>
          <w:rFonts w:hint="eastAsia" w:ascii="方正仿宋_GB2312" w:hAnsi="方正仿宋_GB2312" w:eastAsia="方正仿宋_GB2312" w:cs="方正仿宋_GB2312"/>
          <w:sz w:val="28"/>
          <w:szCs w:val="28"/>
          <w:highlight w:val="none"/>
        </w:rPr>
      </w:sdtEndPr>
      <w:sdtContent>
        <w:p w14:paraId="2B18363F">
          <w:pPr>
            <w:spacing w:line="360" w:lineRule="auto"/>
            <w:jc w:val="center"/>
            <w:rPr>
              <w:rFonts w:hint="eastAsia" w:ascii="方正仿宋_GB2312" w:hAnsi="方正仿宋_GB2312" w:eastAsia="方正仿宋_GB2312" w:cs="方正仿宋_GB2312"/>
              <w:sz w:val="21"/>
              <w:highlight w:val="none"/>
            </w:rPr>
          </w:pPr>
          <w:bookmarkStart w:id="204" w:name="_GoBack"/>
          <w:bookmarkEnd w:id="204"/>
        </w:p>
        <w:p w14:paraId="1EBBD599">
          <w:pPr>
            <w:spacing w:line="360" w:lineRule="auto"/>
            <w:jc w:val="center"/>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 w:val="40"/>
              <w:szCs w:val="40"/>
              <w:highlight w:val="none"/>
            </w:rPr>
            <w:t>目录</w:t>
          </w:r>
        </w:p>
        <w:p w14:paraId="7D33C4F5">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TOC \o "1-3" \h \u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"_Toc182478324"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第一篇  竞采邀请书</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55071EF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"_Toc182478325"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一、竞采项目内容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768CC91">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"_Toc182478326"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二、资金来源</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F5B6F7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"_Toc182478327"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三、竞采资格条件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878FBF0">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"_Toc182478328"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四、竞采有关说明</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4F23C5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"_Toc182478329"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五、联系方式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7499263">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"_Toc182478330"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六、其它有关规定</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5D6134F0">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"_Toc182478331"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第二篇  项目服务需求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- 7 -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2B74930">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"_Toc182478332"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第三篇 项目商务需求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- 8 -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A30C54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"_Toc182478333"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一、网上竞采程序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- 9 -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70BD7EA">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"_Toc182478334"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二、 评审标准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- 11 -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7A21AAD">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"_Toc182478335"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三、无效响应</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- 13 -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B0D6EB6">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"_Toc182478336"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四、采购终止</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- 13 -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2306D7A">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"_Toc182478337"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第五篇 供应商须知</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58328C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"_Toc182478338"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一、竞采费用</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1033411">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"_Toc182478339"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二、竞采文件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2D0BB1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"_Toc182478340"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三、竞采要求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A036BF8">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"_Toc182478341"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四、成交供应商的确认和变更</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E1778FF">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"_Toc182478342"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五、成交通知</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- 16 -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DCB8C98">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"_Toc182478343"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六、关于质疑和投诉</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- 16 -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027F6E9">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"_Toc182478344"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七、采购代理服务费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- 17 -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25DE7FB">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"_Toc182478345"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八、签订合同</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- 18 -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400F656">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"_Toc182478346"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九、项目验收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- 18 -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FE5E326">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"_Toc182478347"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第六篇  合同格式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- 19 -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36275D9">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"_Toc182478348"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第七篇  响应文件编制要求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- 19 -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6EC40A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"_Toc182478349"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一、经济部分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- 21 -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6D65FB0A">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"_Toc182478350"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二、服务部分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- 21 -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E2EBC29">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"_Toc182478351"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三、商务文件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- 21 -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1AE3E9B">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"_Toc182478352" </w:instrText>
          </w:r>
          <w:r>
            <w:rPr>
              <w:rFonts w:hint="eastAsia" w:ascii="方正仿宋_GB2312" w:hAnsi="方正仿宋_GB2312" w:eastAsia="方正仿宋_GB2312" w:cs="方正仿宋_GB2312"/>
              <w:highlight w:val="none"/>
            </w:rPr>
            <w:fldChar w:fldCharType="separate"/>
          </w:r>
          <w:r>
            <w:rPr>
              <w:rStyle w:val="23"/>
              <w:rFonts w:hint="eastAsia" w:ascii="方正仿宋_GB2312" w:hAnsi="方正仿宋_GB2312" w:eastAsia="方正仿宋_GB2312" w:cs="方正仿宋_GB2312"/>
              <w:highlight w:val="none"/>
            </w:rPr>
            <w:t>四、资格条件及其他</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- 21 -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7041B5A">
          <w:pPr>
            <w:spacing w:line="360" w:lineRule="auto"/>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fldChar w:fldCharType="end"/>
          </w:r>
        </w:p>
      </w:sdtContent>
    </w:sdt>
    <w:p w14:paraId="3439C169">
      <w:pPr>
        <w:pStyle w:val="8"/>
        <w:spacing w:line="360" w:lineRule="auto"/>
        <w:jc w:val="center"/>
        <w:rPr>
          <w:rFonts w:hint="eastAsia" w:ascii="方正仿宋_GB2312" w:hAnsi="方正仿宋_GB2312" w:eastAsia="方正仿宋_GB2312" w:cs="方正仿宋_GB2312"/>
          <w:b/>
          <w:bCs/>
          <w:color w:val="FF0000"/>
          <w:spacing w:val="80"/>
          <w:sz w:val="44"/>
          <w:szCs w:val="44"/>
          <w:highlight w:val="none"/>
        </w:rPr>
      </w:pPr>
      <w:r>
        <w:rPr>
          <w:rFonts w:hint="eastAsia" w:ascii="方正仿宋_GB2312" w:hAnsi="方正仿宋_GB2312" w:eastAsia="方正仿宋_GB2312" w:cs="方正仿宋_GB2312"/>
          <w:color w:val="000000"/>
          <w:sz w:val="44"/>
          <w:szCs w:val="28"/>
          <w:highlight w:val="none"/>
        </w:rPr>
        <w:t xml:space="preserve">   </w:t>
      </w:r>
      <w:r>
        <w:rPr>
          <w:rFonts w:hint="eastAsia" w:ascii="方正仿宋_GB2312" w:hAnsi="方正仿宋_GB2312" w:eastAsia="方正仿宋_GB2312" w:cs="方正仿宋_GB2312"/>
          <w:color w:val="000000"/>
          <w:sz w:val="44"/>
          <w:szCs w:val="28"/>
          <w:highlight w:val="none"/>
        </w:rPr>
        <w:br w:type="page"/>
      </w:r>
    </w:p>
    <w:p w14:paraId="34BCB575">
      <w:pPr>
        <w:pStyle w:val="3"/>
        <w:spacing w:line="360" w:lineRule="auto"/>
        <w:jc w:val="center"/>
        <w:rPr>
          <w:rFonts w:hint="eastAsia" w:ascii="方正仿宋_GB2312" w:hAnsi="方正仿宋_GB2312" w:eastAsia="方正仿宋_GB2312" w:cs="方正仿宋_GB2312"/>
          <w:highlight w:val="none"/>
        </w:rPr>
      </w:pPr>
      <w:bookmarkStart w:id="9" w:name="_Toc12789052"/>
      <w:bookmarkStart w:id="10" w:name="_Toc76462316"/>
      <w:bookmarkStart w:id="11" w:name="_Toc11641050"/>
      <w:bookmarkStart w:id="12" w:name="_Toc182478324"/>
      <w:bookmarkStart w:id="13" w:name="_Toc106030870"/>
      <w:r>
        <w:rPr>
          <w:rFonts w:hint="eastAsia" w:ascii="方正仿宋_GB2312" w:hAnsi="方正仿宋_GB2312" w:eastAsia="方正仿宋_GB2312" w:cs="方正仿宋_GB2312"/>
          <w:highlight w:val="none"/>
        </w:rPr>
        <w:t>第一篇  竞采邀请书</w:t>
      </w:r>
      <w:bookmarkEnd w:id="9"/>
      <w:bookmarkEnd w:id="10"/>
      <w:bookmarkEnd w:id="11"/>
      <w:bookmarkEnd w:id="12"/>
      <w:bookmarkEnd w:id="13"/>
    </w:p>
    <w:p w14:paraId="01DB2AE3">
      <w:pPr>
        <w:snapToGrid w:val="0"/>
        <w:spacing w:line="360" w:lineRule="auto"/>
        <w:ind w:firstLine="480" w:firstLineChars="200"/>
        <w:rPr>
          <w:rFonts w:hint="eastAsia" w:ascii="方正仿宋_GB2312" w:hAnsi="方正仿宋_GB2312" w:eastAsia="方正仿宋_GB2312" w:cs="方正仿宋_GB2312"/>
          <w:b/>
          <w:bCs/>
          <w:spacing w:val="80"/>
          <w:sz w:val="44"/>
          <w:szCs w:val="44"/>
          <w:highlight w:val="none"/>
        </w:rPr>
      </w:pPr>
      <w:r>
        <w:rPr>
          <w:rFonts w:hint="eastAsia" w:ascii="方正仿宋_GB2312" w:hAnsi="方正仿宋_GB2312" w:eastAsia="方正仿宋_GB2312" w:cs="方正仿宋_GB2312"/>
          <w:sz w:val="24"/>
          <w:szCs w:val="24"/>
          <w:highlight w:val="none"/>
          <w:u w:val="single"/>
        </w:rPr>
        <w:t>尚峰建设工程咨询有限公司</w:t>
      </w:r>
      <w:r>
        <w:rPr>
          <w:rFonts w:hint="eastAsia" w:ascii="方正仿宋_GB2312" w:hAnsi="方正仿宋_GB2312" w:eastAsia="方正仿宋_GB2312" w:cs="方正仿宋_GB2312"/>
          <w:sz w:val="24"/>
          <w:szCs w:val="24"/>
          <w:highlight w:val="none"/>
        </w:rPr>
        <w:t>（以下简称：采购代理机构）受</w:t>
      </w:r>
      <w:r>
        <w:rPr>
          <w:rFonts w:hint="eastAsia" w:ascii="方正仿宋_GB2312" w:hAnsi="方正仿宋_GB2312" w:eastAsia="方正仿宋_GB2312" w:cs="方正仿宋_GB2312"/>
          <w:sz w:val="24"/>
          <w:szCs w:val="24"/>
          <w:highlight w:val="none"/>
          <w:u w:val="single"/>
          <w:lang w:eastAsia="zh-CN"/>
        </w:rPr>
        <w:t>重庆枫香湖文化旅游发展有限公司</w:t>
      </w:r>
      <w:r>
        <w:rPr>
          <w:rFonts w:hint="eastAsia" w:ascii="方正仿宋_GB2312" w:hAnsi="方正仿宋_GB2312" w:eastAsia="方正仿宋_GB2312" w:cs="方正仿宋_GB2312"/>
          <w:sz w:val="24"/>
          <w:szCs w:val="24"/>
          <w:highlight w:val="none"/>
        </w:rPr>
        <w:t>（以下简称：采购人）的委托，对</w:t>
      </w:r>
      <w:r>
        <w:rPr>
          <w:rFonts w:hint="eastAsia" w:ascii="方正仿宋_GB2312" w:hAnsi="方正仿宋_GB2312" w:eastAsia="方正仿宋_GB2312" w:cs="方正仿宋_GB2312"/>
          <w:sz w:val="24"/>
          <w:szCs w:val="24"/>
          <w:highlight w:val="none"/>
          <w:u w:val="single"/>
        </w:rPr>
        <w:t>璧山区玉泉湖东岸片区基础设施建设项目（一期）项目南侧场地美化服务</w:t>
      </w:r>
      <w:r>
        <w:rPr>
          <w:rFonts w:hint="eastAsia" w:ascii="方正仿宋_GB2312" w:hAnsi="方正仿宋_GB2312" w:eastAsia="方正仿宋_GB2312" w:cs="方正仿宋_GB2312"/>
          <w:sz w:val="24"/>
          <w:szCs w:val="24"/>
          <w:highlight w:val="none"/>
        </w:rPr>
        <w:t>项目进行网上竞采。欢迎有资格的供应商前来参与网上竞采。</w:t>
      </w:r>
    </w:p>
    <w:p w14:paraId="699B2273">
      <w:pPr>
        <w:pStyle w:val="4"/>
        <w:spacing w:line="360" w:lineRule="auto"/>
        <w:rPr>
          <w:rFonts w:hint="eastAsia" w:ascii="方正仿宋_GB2312" w:hAnsi="方正仿宋_GB2312" w:eastAsia="方正仿宋_GB2312" w:cs="方正仿宋_GB2312"/>
          <w:highlight w:val="none"/>
        </w:rPr>
      </w:pPr>
      <w:bookmarkStart w:id="14" w:name="_Toc3463"/>
      <w:bookmarkStart w:id="15" w:name="_Toc25458"/>
      <w:bookmarkStart w:id="16" w:name="_Toc317775175"/>
      <w:bookmarkStart w:id="17" w:name="_Toc26820"/>
      <w:bookmarkStart w:id="18" w:name="_Toc12808"/>
      <w:bookmarkStart w:id="19" w:name="_Toc7625"/>
      <w:bookmarkStart w:id="20" w:name="_Toc182478325"/>
      <w:bookmarkStart w:id="21" w:name="_Toc313893526"/>
      <w:bookmarkStart w:id="22" w:name="_Toc18159"/>
      <w:bookmarkStart w:id="23" w:name="_Toc18881"/>
      <w:r>
        <w:rPr>
          <w:rFonts w:hint="eastAsia" w:ascii="方正仿宋_GB2312" w:hAnsi="方正仿宋_GB2312" w:eastAsia="方正仿宋_GB2312" w:cs="方正仿宋_GB2312"/>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700"/>
        <w:gridCol w:w="1687"/>
        <w:gridCol w:w="2168"/>
      </w:tblGrid>
      <w:tr w14:paraId="776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55" w:type="dxa"/>
            <w:tcBorders>
              <w:top w:val="single" w:color="auto" w:sz="4" w:space="0"/>
              <w:left w:val="single" w:color="auto" w:sz="4" w:space="0"/>
              <w:right w:val="single" w:color="auto" w:sz="4" w:space="0"/>
            </w:tcBorders>
            <w:vAlign w:val="center"/>
          </w:tcPr>
          <w:p w14:paraId="32A9B0E2">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项目名称</w:t>
            </w:r>
          </w:p>
        </w:tc>
        <w:tc>
          <w:tcPr>
            <w:tcW w:w="1700" w:type="dxa"/>
            <w:tcBorders>
              <w:top w:val="single" w:color="auto" w:sz="4" w:space="0"/>
              <w:left w:val="single" w:color="auto" w:sz="4" w:space="0"/>
              <w:right w:val="single" w:color="auto" w:sz="4" w:space="0"/>
            </w:tcBorders>
            <w:vAlign w:val="center"/>
          </w:tcPr>
          <w:p w14:paraId="5F0D748E">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最高限价</w:t>
            </w:r>
          </w:p>
          <w:p w14:paraId="6121808C">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（万元）</w:t>
            </w:r>
          </w:p>
        </w:tc>
        <w:tc>
          <w:tcPr>
            <w:tcW w:w="1687" w:type="dxa"/>
            <w:tcBorders>
              <w:top w:val="single" w:color="auto" w:sz="4" w:space="0"/>
              <w:left w:val="single" w:color="auto" w:sz="4" w:space="0"/>
              <w:right w:val="single" w:color="auto" w:sz="4" w:space="0"/>
            </w:tcBorders>
            <w:vAlign w:val="center"/>
          </w:tcPr>
          <w:p w14:paraId="569AF9D1">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成交供应商数量（名）</w:t>
            </w:r>
          </w:p>
        </w:tc>
        <w:tc>
          <w:tcPr>
            <w:tcW w:w="2168" w:type="dxa"/>
            <w:tcBorders>
              <w:top w:val="single" w:color="auto" w:sz="4" w:space="0"/>
              <w:left w:val="single" w:color="auto" w:sz="4" w:space="0"/>
              <w:right w:val="single" w:color="auto" w:sz="4" w:space="0"/>
            </w:tcBorders>
            <w:vAlign w:val="center"/>
          </w:tcPr>
          <w:p w14:paraId="1EE920B3">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备注</w:t>
            </w:r>
          </w:p>
        </w:tc>
      </w:tr>
      <w:tr w14:paraId="62B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55" w:type="dxa"/>
            <w:tcBorders>
              <w:top w:val="single" w:color="auto" w:sz="4" w:space="0"/>
              <w:left w:val="single" w:color="auto" w:sz="4" w:space="0"/>
              <w:right w:val="single" w:color="auto" w:sz="4" w:space="0"/>
            </w:tcBorders>
            <w:vAlign w:val="center"/>
          </w:tcPr>
          <w:p w14:paraId="2644E27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2312" w:hAnsi="方正仿宋_GB2312" w:eastAsia="方正仿宋_GB2312" w:cs="方正仿宋_GB2312"/>
                <w:kern w:val="0"/>
                <w:sz w:val="24"/>
                <w:szCs w:val="24"/>
                <w:highlight w:val="none"/>
                <w:lang w:eastAsia="zh-CN"/>
              </w:rPr>
            </w:pPr>
            <w:bookmarkStart w:id="24" w:name="_Hlk344477914"/>
            <w:r>
              <w:rPr>
                <w:rFonts w:hint="eastAsia" w:ascii="方正仿宋_GB2312" w:hAnsi="方正仿宋_GB2312" w:eastAsia="方正仿宋_GB2312" w:cs="方正仿宋_GB2312"/>
                <w:kern w:val="0"/>
                <w:sz w:val="24"/>
                <w:szCs w:val="24"/>
                <w:highlight w:val="none"/>
                <w:lang w:eastAsia="zh-CN"/>
              </w:rPr>
              <w:t>璧山区玉泉湖东岸片区基础设施建设项目（一期）项目南侧场地美化服务</w:t>
            </w:r>
          </w:p>
        </w:tc>
        <w:tc>
          <w:tcPr>
            <w:tcW w:w="1700" w:type="dxa"/>
            <w:tcBorders>
              <w:top w:val="single" w:color="auto" w:sz="4" w:space="0"/>
              <w:left w:val="single" w:color="auto" w:sz="4" w:space="0"/>
              <w:right w:val="single" w:color="auto" w:sz="4" w:space="0"/>
            </w:tcBorders>
            <w:vAlign w:val="center"/>
          </w:tcPr>
          <w:p w14:paraId="07D0CF00">
            <w:pPr>
              <w:widowControl/>
              <w:spacing w:line="360" w:lineRule="auto"/>
              <w:jc w:val="center"/>
              <w:rPr>
                <w:rFonts w:hint="default"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13.5</w:t>
            </w:r>
          </w:p>
        </w:tc>
        <w:tc>
          <w:tcPr>
            <w:tcW w:w="1687" w:type="dxa"/>
            <w:tcBorders>
              <w:top w:val="single" w:color="auto" w:sz="4" w:space="0"/>
              <w:left w:val="single" w:color="auto" w:sz="4" w:space="0"/>
              <w:right w:val="single" w:color="auto" w:sz="4" w:space="0"/>
            </w:tcBorders>
            <w:vAlign w:val="center"/>
          </w:tcPr>
          <w:p w14:paraId="28D25D56">
            <w:pPr>
              <w:widowControl/>
              <w:spacing w:line="360" w:lineRule="auto"/>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1</w:t>
            </w:r>
          </w:p>
        </w:tc>
        <w:tc>
          <w:tcPr>
            <w:tcW w:w="2168" w:type="dxa"/>
            <w:tcBorders>
              <w:top w:val="single" w:color="auto" w:sz="4" w:space="0"/>
              <w:left w:val="single" w:color="auto" w:sz="4" w:space="0"/>
              <w:right w:val="single" w:color="auto" w:sz="4" w:space="0"/>
            </w:tcBorders>
            <w:vAlign w:val="center"/>
          </w:tcPr>
          <w:p w14:paraId="4F712B68">
            <w:pPr>
              <w:spacing w:line="360" w:lineRule="auto"/>
              <w:jc w:val="left"/>
              <w:rPr>
                <w:rFonts w:hint="eastAsia" w:ascii="方正仿宋_GB2312" w:hAnsi="方正仿宋_GB2312" w:eastAsia="方正仿宋_GB2312" w:cs="方正仿宋_GB2312"/>
                <w:b/>
                <w:sz w:val="24"/>
                <w:szCs w:val="24"/>
                <w:highlight w:val="none"/>
              </w:rPr>
            </w:pPr>
          </w:p>
        </w:tc>
      </w:tr>
      <w:bookmarkEnd w:id="24"/>
    </w:tbl>
    <w:p w14:paraId="4EA8EFAB">
      <w:pPr>
        <w:pStyle w:val="4"/>
        <w:spacing w:line="360" w:lineRule="auto"/>
        <w:rPr>
          <w:rFonts w:hint="eastAsia" w:ascii="方正仿宋_GB2312" w:hAnsi="方正仿宋_GB2312" w:eastAsia="方正仿宋_GB2312" w:cs="方正仿宋_GB2312"/>
          <w:highlight w:val="none"/>
        </w:rPr>
      </w:pPr>
      <w:bookmarkStart w:id="25" w:name="_Toc182478326"/>
      <w:bookmarkStart w:id="26" w:name="_Toc19437"/>
      <w:bookmarkStart w:id="27" w:name="_Toc6462"/>
      <w:bookmarkStart w:id="28" w:name="_Toc15727"/>
      <w:bookmarkStart w:id="29" w:name="_Toc22399"/>
      <w:bookmarkStart w:id="30" w:name="_Toc15576"/>
      <w:bookmarkStart w:id="31" w:name="_Toc1790"/>
      <w:bookmarkStart w:id="32" w:name="_Toc25190"/>
      <w:bookmarkStart w:id="33" w:name="_Toc373860293"/>
      <w:bookmarkStart w:id="34" w:name="_Toc317775178"/>
      <w:r>
        <w:rPr>
          <w:rFonts w:hint="eastAsia" w:ascii="方正仿宋_GB2312" w:hAnsi="方正仿宋_GB2312" w:eastAsia="方正仿宋_GB2312" w:cs="方正仿宋_GB2312"/>
          <w:highlight w:val="none"/>
        </w:rPr>
        <w:t>二、资金来源</w:t>
      </w:r>
      <w:bookmarkEnd w:id="25"/>
    </w:p>
    <w:p w14:paraId="248604AC">
      <w:pPr>
        <w:spacing w:line="360" w:lineRule="auto"/>
        <w:ind w:firstLine="48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szCs w:val="24"/>
          <w:highlight w:val="none"/>
        </w:rPr>
        <w:t>单位自筹资金，预算金额为</w:t>
      </w:r>
      <w:r>
        <w:rPr>
          <w:rFonts w:hint="eastAsia" w:ascii="方正仿宋_GB2312" w:hAnsi="方正仿宋_GB2312" w:eastAsia="方正仿宋_GB2312" w:cs="方正仿宋_GB2312"/>
          <w:sz w:val="24"/>
          <w:szCs w:val="24"/>
          <w:highlight w:val="none"/>
          <w:lang w:val="en-US" w:eastAsia="zh-CN"/>
        </w:rPr>
        <w:t>13.5</w:t>
      </w:r>
      <w:r>
        <w:rPr>
          <w:rFonts w:hint="eastAsia" w:ascii="方正仿宋_GB2312" w:hAnsi="方正仿宋_GB2312" w:eastAsia="方正仿宋_GB2312" w:cs="方正仿宋_GB2312"/>
          <w:sz w:val="24"/>
          <w:szCs w:val="24"/>
          <w:highlight w:val="none"/>
        </w:rPr>
        <w:t>万元。</w:t>
      </w:r>
    </w:p>
    <w:p w14:paraId="30017444">
      <w:pPr>
        <w:pStyle w:val="4"/>
        <w:spacing w:line="360" w:lineRule="auto"/>
        <w:rPr>
          <w:rFonts w:hint="eastAsia" w:ascii="方正仿宋_GB2312" w:hAnsi="方正仿宋_GB2312" w:eastAsia="方正仿宋_GB2312" w:cs="方正仿宋_GB2312"/>
          <w:highlight w:val="none"/>
        </w:rPr>
      </w:pPr>
      <w:bookmarkStart w:id="35" w:name="_Toc182478327"/>
      <w:r>
        <w:rPr>
          <w:rFonts w:hint="eastAsia" w:ascii="方正仿宋_GB2312" w:hAnsi="方正仿宋_GB2312" w:eastAsia="方正仿宋_GB2312" w:cs="方正仿宋_GB2312"/>
          <w:highlight w:val="none"/>
        </w:rPr>
        <w:t>三、</w:t>
      </w:r>
      <w:bookmarkEnd w:id="26"/>
      <w:bookmarkEnd w:id="27"/>
      <w:bookmarkEnd w:id="28"/>
      <w:bookmarkEnd w:id="29"/>
      <w:bookmarkEnd w:id="30"/>
      <w:bookmarkEnd w:id="31"/>
      <w:bookmarkEnd w:id="32"/>
      <w:r>
        <w:rPr>
          <w:rFonts w:hint="eastAsia" w:ascii="方正仿宋_GB2312" w:hAnsi="方正仿宋_GB2312" w:eastAsia="方正仿宋_GB2312" w:cs="方正仿宋_GB2312"/>
          <w:highlight w:val="none"/>
        </w:rPr>
        <w:t>竞采资格条件</w:t>
      </w:r>
      <w:bookmarkEnd w:id="35"/>
    </w:p>
    <w:p w14:paraId="47CFD79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（一）基本条件</w:t>
      </w:r>
    </w:p>
    <w:bookmarkEnd w:id="33"/>
    <w:bookmarkEnd w:id="34"/>
    <w:p w14:paraId="24270495">
      <w:pPr>
        <w:spacing w:line="360" w:lineRule="auto"/>
        <w:ind w:firstLine="480" w:firstLineChars="200"/>
        <w:rPr>
          <w:rFonts w:hint="eastAsia" w:ascii="方正仿宋_GB2312" w:hAnsi="方正仿宋_GB2312" w:eastAsia="方正仿宋_GB2312" w:cs="方正仿宋_GB2312"/>
          <w:sz w:val="24"/>
          <w:szCs w:val="24"/>
          <w:highlight w:val="none"/>
        </w:rPr>
      </w:pPr>
      <w:bookmarkStart w:id="36" w:name="_Toc182478328"/>
      <w:r>
        <w:rPr>
          <w:rFonts w:hint="eastAsia" w:ascii="方正仿宋_GB2312" w:hAnsi="方正仿宋_GB2312" w:eastAsia="方正仿宋_GB2312" w:cs="方正仿宋_GB2312"/>
          <w:sz w:val="24"/>
          <w:szCs w:val="24"/>
          <w:highlight w:val="none"/>
        </w:rPr>
        <w:t>1. 具有独立承担民事责任的能力；</w:t>
      </w:r>
    </w:p>
    <w:p w14:paraId="55EAB3EC">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 具有良好的商业信誉；</w:t>
      </w:r>
    </w:p>
    <w:p w14:paraId="2C8D21D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 具有履行合同所必需的设备和专业技术能力；</w:t>
      </w:r>
    </w:p>
    <w:p w14:paraId="1F92171B">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4. 法律、行政法规规定的其他条件。</w:t>
      </w:r>
    </w:p>
    <w:p w14:paraId="5E46E464">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特定资格条件</w:t>
      </w:r>
    </w:p>
    <w:p w14:paraId="29A4B53F">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无。</w:t>
      </w:r>
    </w:p>
    <w:p w14:paraId="57671253">
      <w:pPr>
        <w:pStyle w:val="4"/>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四、竞采有关说明</w:t>
      </w:r>
      <w:bookmarkEnd w:id="36"/>
    </w:p>
    <w:p w14:paraId="3C0FE4E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（一）供应商应通过行采家采购服务平台（www.gec123.com）登记加入“行采家供应商库”。</w:t>
      </w:r>
    </w:p>
    <w:p w14:paraId="1EF60FD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39FDA10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（三）线上报价</w:t>
      </w:r>
    </w:p>
    <w:p w14:paraId="75822D1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1.线上报价时间：按本项目网上公告规定的报价截止时间为准。</w:t>
      </w:r>
    </w:p>
    <w:p w14:paraId="5BB5BEA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2.线上报价要求：按本项目规定的时间在行采家进行网上报价。</w:t>
      </w:r>
    </w:p>
    <w:p w14:paraId="2A70850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w:t>
      </w:r>
      <w:r>
        <w:rPr>
          <w:rFonts w:hint="eastAsia" w:ascii="方正仿宋_GB2312" w:hAnsi="方正仿宋_GB2312" w:eastAsia="方正仿宋_GB2312" w:cs="方正仿宋_GB2312"/>
          <w:bCs/>
          <w:color w:val="000000"/>
          <w:sz w:val="24"/>
          <w:szCs w:val="24"/>
          <w:highlight w:val="none"/>
        </w:rPr>
        <w:t>供应商须在平台上报价并按要求上传响应文件，未按要求提供的为无效供应商。</w:t>
      </w:r>
    </w:p>
    <w:p w14:paraId="0E1CAE0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备注：</w:t>
      </w:r>
    </w:p>
    <w:p w14:paraId="0256961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1.供应商线上报价时须上传响应文件一份。</w:t>
      </w:r>
    </w:p>
    <w:p w14:paraId="0002984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2.采购人将以平台的线上资料作为评判依据。</w:t>
      </w:r>
    </w:p>
    <w:p w14:paraId="2881891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3.供应商上传的响应文件应按照响应文件编制要求制作，规定签字、盖章的地方必须按规定签字、盖章，未按要求制作响应文件的作无效标处理。</w:t>
      </w:r>
    </w:p>
    <w:p w14:paraId="490ABA30">
      <w:pPr>
        <w:pStyle w:val="4"/>
        <w:spacing w:line="360" w:lineRule="auto"/>
        <w:rPr>
          <w:rFonts w:hint="eastAsia" w:ascii="方正仿宋_GB2312" w:hAnsi="方正仿宋_GB2312" w:eastAsia="方正仿宋_GB2312" w:cs="方正仿宋_GB2312"/>
          <w:highlight w:val="none"/>
        </w:rPr>
      </w:pPr>
      <w:bookmarkStart w:id="37" w:name="_Toc182478329"/>
      <w:r>
        <w:rPr>
          <w:rFonts w:hint="eastAsia" w:ascii="方正仿宋_GB2312" w:hAnsi="方正仿宋_GB2312" w:eastAsia="方正仿宋_GB2312" w:cs="方正仿宋_GB2312"/>
          <w:highlight w:val="none"/>
        </w:rPr>
        <w:t>五、</w:t>
      </w:r>
      <w:bookmarkStart w:id="38" w:name="_Toc11828"/>
      <w:bookmarkStart w:id="39" w:name="_Toc5085"/>
      <w:bookmarkStart w:id="40" w:name="_Toc9654"/>
      <w:bookmarkStart w:id="41" w:name="_Toc27955"/>
      <w:bookmarkStart w:id="42" w:name="_Toc3475"/>
      <w:bookmarkStart w:id="43" w:name="_Toc20778"/>
      <w:bookmarkStart w:id="44" w:name="_Toc25886"/>
      <w:bookmarkStart w:id="45" w:name="_Toc31315"/>
      <w:bookmarkStart w:id="46" w:name="_Toc9027"/>
      <w:bookmarkStart w:id="47" w:name="_Toc14778"/>
      <w:bookmarkStart w:id="48" w:name="_Toc19730"/>
      <w:bookmarkStart w:id="49" w:name="_Toc13969"/>
      <w:bookmarkStart w:id="50" w:name="_Toc15478"/>
      <w:bookmarkStart w:id="51" w:name="_Toc25516"/>
      <w:r>
        <w:rPr>
          <w:rFonts w:hint="eastAsia" w:ascii="方正仿宋_GB2312" w:hAnsi="方正仿宋_GB2312" w:eastAsia="方正仿宋_GB2312" w:cs="方正仿宋_GB2312"/>
          <w:highlight w:val="none"/>
        </w:rPr>
        <w:t>联系方式</w:t>
      </w:r>
      <w:bookmarkEnd w:id="37"/>
      <w:bookmarkEnd w:id="38"/>
      <w:bookmarkEnd w:id="39"/>
      <w:bookmarkEnd w:id="40"/>
      <w:bookmarkEnd w:id="41"/>
      <w:bookmarkEnd w:id="42"/>
      <w:bookmarkEnd w:id="43"/>
      <w:bookmarkEnd w:id="44"/>
    </w:p>
    <w:p w14:paraId="4967E0EB">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（一）采购人：</w:t>
      </w:r>
      <w:r>
        <w:rPr>
          <w:rFonts w:hint="eastAsia" w:ascii="方正仿宋_GB2312" w:hAnsi="方正仿宋_GB2312" w:eastAsia="方正仿宋_GB2312" w:cs="方正仿宋_GB2312"/>
          <w:sz w:val="24"/>
          <w:szCs w:val="24"/>
          <w:highlight w:val="none"/>
          <w:lang w:eastAsia="zh-CN"/>
        </w:rPr>
        <w:t>重庆枫香湖文化旅游发展有限公司</w:t>
      </w:r>
    </w:p>
    <w:p w14:paraId="45D7C284">
      <w:pPr>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联系人：</w:t>
      </w:r>
      <w:r>
        <w:rPr>
          <w:rFonts w:hint="eastAsia" w:ascii="方正仿宋_GB2312" w:hAnsi="方正仿宋_GB2312" w:eastAsia="方正仿宋_GB2312" w:cs="方正仿宋_GB2312"/>
          <w:sz w:val="24"/>
          <w:szCs w:val="24"/>
          <w:highlight w:val="none"/>
          <w:lang w:val="en-US" w:eastAsia="zh-CN"/>
        </w:rPr>
        <w:t xml:space="preserve"> 陈老师</w:t>
      </w:r>
    </w:p>
    <w:p w14:paraId="67D80B07">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  话：</w:t>
      </w:r>
      <w:r>
        <w:rPr>
          <w:rFonts w:hint="eastAsia" w:ascii="方正仿宋_GB2312" w:hAnsi="方正仿宋_GB2312" w:eastAsia="方正仿宋_GB2312" w:cs="方正仿宋_GB2312"/>
          <w:sz w:val="24"/>
          <w:szCs w:val="24"/>
          <w:highlight w:val="none"/>
          <w:lang w:val="en-US" w:eastAsia="zh-CN"/>
        </w:rPr>
        <w:t xml:space="preserve"> 17784741078 </w:t>
      </w:r>
    </w:p>
    <w:p w14:paraId="034959C5">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地  址：</w:t>
      </w:r>
      <w:r>
        <w:rPr>
          <w:rFonts w:hint="eastAsia" w:ascii="方正仿宋_GB2312" w:hAnsi="方正仿宋_GB2312" w:eastAsia="方正仿宋_GB2312" w:cs="方正仿宋_GB2312"/>
          <w:sz w:val="24"/>
          <w:szCs w:val="24"/>
          <w:highlight w:val="none"/>
          <w:lang w:val="en-US" w:eastAsia="zh-CN"/>
        </w:rPr>
        <w:t xml:space="preserve"> 重庆市璧山区璧城街道玉泉湖路133号</w:t>
      </w:r>
    </w:p>
    <w:p w14:paraId="05AFA24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（二）采购代理机构：尚峰建设工程咨询有限公司</w:t>
      </w:r>
    </w:p>
    <w:p w14:paraId="145A651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联系人：</w:t>
      </w:r>
      <w:r>
        <w:rPr>
          <w:rFonts w:hint="eastAsia" w:ascii="方正仿宋_GB2312" w:hAnsi="方正仿宋_GB2312" w:eastAsia="方正仿宋_GB2312" w:cs="方正仿宋_GB2312"/>
          <w:sz w:val="24"/>
          <w:szCs w:val="24"/>
          <w:highlight w:val="none"/>
          <w:lang w:val="en-US" w:eastAsia="zh-CN"/>
        </w:rPr>
        <w:t>曾</w:t>
      </w:r>
      <w:r>
        <w:rPr>
          <w:rFonts w:hint="eastAsia" w:ascii="方正仿宋_GB2312" w:hAnsi="方正仿宋_GB2312" w:eastAsia="方正仿宋_GB2312" w:cs="方正仿宋_GB2312"/>
          <w:sz w:val="24"/>
          <w:szCs w:val="24"/>
          <w:highlight w:val="none"/>
        </w:rPr>
        <w:t>老师</w:t>
      </w:r>
    </w:p>
    <w:p w14:paraId="7A87403E">
      <w:pPr>
        <w:snapToGrid w:val="0"/>
        <w:spacing w:line="360" w:lineRule="auto"/>
        <w:ind w:firstLine="480" w:firstLineChars="200"/>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  话：1</w:t>
      </w:r>
      <w:r>
        <w:rPr>
          <w:rFonts w:hint="eastAsia" w:ascii="方正仿宋_GB2312" w:hAnsi="方正仿宋_GB2312" w:eastAsia="方正仿宋_GB2312" w:cs="方正仿宋_GB2312"/>
          <w:sz w:val="24"/>
          <w:szCs w:val="24"/>
          <w:highlight w:val="none"/>
          <w:lang w:val="en-US" w:eastAsia="zh-CN"/>
        </w:rPr>
        <w:t>3637839100</w:t>
      </w:r>
    </w:p>
    <w:p w14:paraId="5DC6B0F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地  址：</w:t>
      </w:r>
      <w:r>
        <w:rPr>
          <w:rFonts w:hint="eastAsia" w:ascii="方正仿宋_GBK" w:hAnsi="方正仿宋_GBK" w:eastAsia="方正仿宋_GBK" w:cs="方正仿宋_GBK"/>
          <w:color w:val="auto"/>
          <w:sz w:val="24"/>
          <w:szCs w:val="24"/>
          <w:highlight w:val="none"/>
        </w:rPr>
        <w:t>重庆市高新区含谷镇高龙大道（延长段）377号7栋1层1-3号</w:t>
      </w:r>
    </w:p>
    <w:p w14:paraId="7B2E66DC">
      <w:pPr>
        <w:snapToGrid w:val="0"/>
        <w:spacing w:line="360" w:lineRule="auto"/>
        <w:ind w:firstLine="480" w:firstLineChars="200"/>
        <w:rPr>
          <w:rFonts w:hint="eastAsia" w:ascii="方正仿宋_GB2312" w:hAnsi="方正仿宋_GB2312" w:eastAsia="方正仿宋_GB2312" w:cs="方正仿宋_GB2312"/>
          <w:color w:val="FF0000"/>
          <w:sz w:val="24"/>
          <w:szCs w:val="24"/>
          <w:highlight w:val="none"/>
        </w:rPr>
      </w:pPr>
    </w:p>
    <w:p w14:paraId="3FC6DBE4">
      <w:pPr>
        <w:pStyle w:val="4"/>
        <w:spacing w:line="360" w:lineRule="auto"/>
        <w:rPr>
          <w:rFonts w:hint="eastAsia" w:ascii="方正仿宋_GB2312" w:hAnsi="方正仿宋_GB2312" w:eastAsia="方正仿宋_GB2312" w:cs="方正仿宋_GB2312"/>
          <w:highlight w:val="none"/>
        </w:rPr>
      </w:pPr>
      <w:bookmarkStart w:id="52" w:name="_Toc182478330"/>
      <w:r>
        <w:rPr>
          <w:rFonts w:hint="eastAsia" w:ascii="方正仿宋_GB2312" w:hAnsi="方正仿宋_GB2312" w:eastAsia="方正仿宋_GB2312" w:cs="方正仿宋_GB2312"/>
          <w:highlight w:val="none"/>
        </w:rPr>
        <w:t>六、</w:t>
      </w:r>
      <w:bookmarkEnd w:id="45"/>
      <w:bookmarkEnd w:id="46"/>
      <w:bookmarkEnd w:id="47"/>
      <w:bookmarkEnd w:id="48"/>
      <w:bookmarkEnd w:id="49"/>
      <w:bookmarkEnd w:id="50"/>
      <w:bookmarkEnd w:id="51"/>
      <w:r>
        <w:rPr>
          <w:rFonts w:hint="eastAsia" w:ascii="方正仿宋_GB2312" w:hAnsi="方正仿宋_GB2312" w:eastAsia="方正仿宋_GB2312" w:cs="方正仿宋_GB2312"/>
          <w:highlight w:val="none"/>
        </w:rPr>
        <w:t>其它有关规定</w:t>
      </w:r>
      <w:bookmarkEnd w:id="52"/>
    </w:p>
    <w:p w14:paraId="4C4BFDF1">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（一）单位负责人为同一人或者存在直接控股、管理关系的不同供应商，不得参加同一合同项（分包）下的竞采活动，否则均为无效响应。</w:t>
      </w:r>
    </w:p>
    <w:p w14:paraId="3521ACD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（二）为采购项目提供整体设计、规范编制或者项目管理、监理、检测等服务的供应商，不得再参加该采购项目的其他采购活动。</w:t>
      </w:r>
    </w:p>
    <w:p w14:paraId="0C86AE60">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（三）本项目的变更等文件（如果有）一律在“行采家”上发布，请各供应商注意下载；无论供应商下载与否，均视同供应商已知晓本项目澄清文件（如果有）的内容。</w:t>
      </w:r>
    </w:p>
    <w:p w14:paraId="6EC590AE">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（四）超过响应文件截止时间递交的响应文件，恕不接收。</w:t>
      </w:r>
    </w:p>
    <w:p w14:paraId="5F11A542">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（五）竞采费用：无论竞采结果如何，供应商参与本项目竞采的所有成本费用均应由供应商自行承担。</w:t>
      </w:r>
    </w:p>
    <w:p w14:paraId="7984D87F">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（六）本项目不接受联合体参与竞采。</w:t>
      </w:r>
    </w:p>
    <w:p w14:paraId="7E12D72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0749D784">
      <w:pPr>
        <w:pStyle w:val="3"/>
        <w:spacing w:line="360" w:lineRule="auto"/>
        <w:jc w:val="center"/>
        <w:rPr>
          <w:rFonts w:hint="eastAsia" w:ascii="方正仿宋_GB2312" w:hAnsi="方正仿宋_GB2312" w:eastAsia="方正仿宋_GB2312" w:cs="方正仿宋_GB2312"/>
          <w:highlight w:val="none"/>
        </w:rPr>
      </w:pPr>
      <w:bookmarkStart w:id="53" w:name="_Toc106030878"/>
      <w:bookmarkStart w:id="54" w:name="_Toc76462324"/>
      <w:r>
        <w:rPr>
          <w:rFonts w:hint="eastAsia" w:ascii="方正仿宋_GB2312" w:hAnsi="方正仿宋_GB2312" w:eastAsia="方正仿宋_GB2312" w:cs="方正仿宋_GB2312"/>
          <w:highlight w:val="none"/>
        </w:rPr>
        <w:br w:type="page"/>
      </w:r>
    </w:p>
    <w:p w14:paraId="79713B7D">
      <w:pPr>
        <w:pStyle w:val="3"/>
        <w:spacing w:line="360" w:lineRule="auto"/>
        <w:jc w:val="center"/>
        <w:rPr>
          <w:rFonts w:hint="eastAsia" w:ascii="方正仿宋_GB2312" w:hAnsi="方正仿宋_GB2312" w:eastAsia="方正仿宋_GB2312" w:cs="方正仿宋_GB2312"/>
          <w:highlight w:val="none"/>
        </w:rPr>
      </w:pPr>
      <w:bookmarkStart w:id="55" w:name="_Toc182478331"/>
      <w:r>
        <w:rPr>
          <w:rFonts w:hint="eastAsia" w:ascii="方正仿宋_GB2312" w:hAnsi="方正仿宋_GB2312" w:eastAsia="方正仿宋_GB2312" w:cs="方正仿宋_GB2312"/>
          <w:highlight w:val="none"/>
        </w:rPr>
        <w:t>第二篇  项目</w:t>
      </w:r>
      <w:bookmarkEnd w:id="53"/>
      <w:bookmarkEnd w:id="54"/>
      <w:r>
        <w:rPr>
          <w:rFonts w:hint="eastAsia" w:ascii="方正仿宋_GB2312" w:hAnsi="方正仿宋_GB2312" w:eastAsia="方正仿宋_GB2312" w:cs="方正仿宋_GB2312"/>
          <w:highlight w:val="none"/>
        </w:rPr>
        <w:t>服务需求</w:t>
      </w:r>
      <w:bookmarkEnd w:id="55"/>
    </w:p>
    <w:p w14:paraId="2CF3F2E6">
      <w:pPr>
        <w:spacing w:line="360" w:lineRule="auto"/>
        <w:ind w:firstLine="482" w:firstLineChars="200"/>
        <w:jc w:val="left"/>
        <w:rPr>
          <w:rFonts w:hint="eastAsia" w:ascii="方正仿宋_GB2312" w:hAnsi="方正仿宋_GB2312" w:eastAsia="方正仿宋_GB2312" w:cs="方正仿宋_GB2312"/>
          <w:sz w:val="24"/>
          <w:szCs w:val="24"/>
          <w:highlight w:val="none"/>
        </w:rPr>
      </w:pPr>
      <w:bookmarkStart w:id="56" w:name="_Toc76462325"/>
      <w:bookmarkStart w:id="57" w:name="_Toc12789058"/>
      <w:r>
        <w:rPr>
          <w:rFonts w:hint="eastAsia" w:ascii="方正仿宋_GB2312" w:hAnsi="方正仿宋_GB2312" w:eastAsia="方正仿宋_GB2312" w:cs="方正仿宋_GB2312"/>
          <w:b/>
          <w:bCs/>
          <w:sz w:val="24"/>
          <w:szCs w:val="24"/>
          <w:highlight w:val="none"/>
        </w:rPr>
        <w:t>本篇服务需求为符合性审查中的实质性要求，响应文件若不满足按无效处理。</w:t>
      </w:r>
    </w:p>
    <w:bookmarkEnd w:id="56"/>
    <w:p w14:paraId="685D19EF">
      <w:pPr>
        <w:spacing w:line="360" w:lineRule="auto"/>
        <w:ind w:firstLine="482" w:firstLineChars="200"/>
        <w:jc w:val="left"/>
        <w:rPr>
          <w:rFonts w:hint="eastAsia" w:ascii="方正仿宋_GB2312" w:hAnsi="方正仿宋_GB2312" w:eastAsia="方正仿宋_GB2312" w:cs="方正仿宋_GB2312"/>
          <w:sz w:val="24"/>
          <w:szCs w:val="24"/>
          <w:highlight w:val="none"/>
        </w:rPr>
      </w:pPr>
      <w:bookmarkStart w:id="58" w:name="_Toc313536013"/>
      <w:bookmarkStart w:id="59" w:name="_Toc106030881"/>
      <w:bookmarkStart w:id="60" w:name="_Toc344475116"/>
      <w:bookmarkStart w:id="61" w:name="_Toc76462326"/>
      <w:r>
        <w:rPr>
          <w:rFonts w:hint="eastAsia" w:ascii="方正仿宋_GB2312" w:hAnsi="方正仿宋_GB2312" w:eastAsia="方正仿宋_GB2312" w:cs="方正仿宋_GB2312"/>
          <w:b/>
          <w:bCs/>
          <w:sz w:val="24"/>
          <w:szCs w:val="24"/>
          <w:highlight w:val="none"/>
          <w:lang w:val="en-US" w:eastAsia="zh-CN"/>
        </w:rPr>
        <w:t>一</w:t>
      </w:r>
      <w:r>
        <w:rPr>
          <w:rFonts w:hint="eastAsia" w:ascii="方正仿宋_GB2312" w:hAnsi="方正仿宋_GB2312" w:eastAsia="方正仿宋_GB2312" w:cs="方正仿宋_GB2312"/>
          <w:b/>
          <w:bCs/>
          <w:sz w:val="24"/>
          <w:szCs w:val="24"/>
          <w:highlight w:val="none"/>
        </w:rPr>
        <w:t>、</w:t>
      </w:r>
      <w:bookmarkEnd w:id="58"/>
      <w:bookmarkEnd w:id="59"/>
      <w:bookmarkEnd w:id="60"/>
      <w:bookmarkEnd w:id="61"/>
      <w:r>
        <w:rPr>
          <w:rFonts w:hint="eastAsia" w:ascii="方正仿宋_GB2312" w:hAnsi="方正仿宋_GB2312" w:eastAsia="方正仿宋_GB2312" w:cs="方正仿宋_GB2312"/>
          <w:b/>
          <w:bCs/>
          <w:sz w:val="24"/>
          <w:szCs w:val="24"/>
          <w:highlight w:val="none"/>
        </w:rPr>
        <w:t>服务内容</w:t>
      </w:r>
    </w:p>
    <w:p w14:paraId="111F8F63">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璧山区玉泉湖东岸片区基础设施建设项目（一期）项目位于重庆市璧山区璧城街道三角社区，占地面积224.81亩，建筑面积2.22万平方米，现拟对项目南侧场地进行美化，面积约15000平方米，主要工作内容为场地平整美化及养护等相关场地美化工作。</w:t>
      </w:r>
      <w:r>
        <w:rPr>
          <w:rFonts w:hint="eastAsia" w:ascii="方正仿宋_GB2312" w:hAnsi="方正仿宋_GB2312" w:eastAsia="方正仿宋_GB2312" w:cs="方正仿宋_GB2312"/>
          <w:sz w:val="24"/>
          <w:szCs w:val="24"/>
          <w:highlight w:val="none"/>
          <w:lang w:val="en-US" w:eastAsia="zh-CN"/>
        </w:rPr>
        <w:t>具体内容详见下表：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00"/>
        <w:gridCol w:w="1325"/>
        <w:gridCol w:w="1425"/>
        <w:gridCol w:w="2800"/>
      </w:tblGrid>
      <w:tr w14:paraId="3864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4" w:type="dxa"/>
            <w:vAlign w:val="center"/>
          </w:tcPr>
          <w:p w14:paraId="199C2383">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序号</w:t>
            </w:r>
          </w:p>
        </w:tc>
        <w:tc>
          <w:tcPr>
            <w:tcW w:w="2500" w:type="dxa"/>
            <w:vAlign w:val="center"/>
          </w:tcPr>
          <w:p w14:paraId="630A039B">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项目名称</w:t>
            </w:r>
          </w:p>
        </w:tc>
        <w:tc>
          <w:tcPr>
            <w:tcW w:w="1325" w:type="dxa"/>
            <w:vAlign w:val="center"/>
          </w:tcPr>
          <w:p w14:paraId="1E9D7CB4">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单位</w:t>
            </w:r>
          </w:p>
        </w:tc>
        <w:tc>
          <w:tcPr>
            <w:tcW w:w="1425" w:type="dxa"/>
            <w:vAlign w:val="center"/>
          </w:tcPr>
          <w:p w14:paraId="1AD0A06F">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数量</w:t>
            </w:r>
          </w:p>
        </w:tc>
        <w:tc>
          <w:tcPr>
            <w:tcW w:w="2800" w:type="dxa"/>
            <w:vAlign w:val="center"/>
          </w:tcPr>
          <w:p w14:paraId="702CC15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备注</w:t>
            </w:r>
          </w:p>
        </w:tc>
      </w:tr>
      <w:tr w14:paraId="467F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4" w:type="dxa"/>
          </w:tcPr>
          <w:p w14:paraId="0F86A0D1">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w:t>
            </w:r>
          </w:p>
        </w:tc>
        <w:tc>
          <w:tcPr>
            <w:tcW w:w="2500" w:type="dxa"/>
          </w:tcPr>
          <w:p w14:paraId="51E4DB7D">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绿化撒草籽</w:t>
            </w:r>
          </w:p>
        </w:tc>
        <w:tc>
          <w:tcPr>
            <w:tcW w:w="1325" w:type="dxa"/>
          </w:tcPr>
          <w:p w14:paraId="4436C9D5">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425" w:type="dxa"/>
          </w:tcPr>
          <w:p w14:paraId="3BA96A61">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2800" w:type="dxa"/>
          </w:tcPr>
          <w:p w14:paraId="0F376713">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39D7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4" w:type="dxa"/>
          </w:tcPr>
          <w:p w14:paraId="0F7FE0C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2</w:t>
            </w:r>
          </w:p>
        </w:tc>
        <w:tc>
          <w:tcPr>
            <w:tcW w:w="2500" w:type="dxa"/>
          </w:tcPr>
          <w:p w14:paraId="13BD5721">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网子敷设</w:t>
            </w:r>
          </w:p>
        </w:tc>
        <w:tc>
          <w:tcPr>
            <w:tcW w:w="1325" w:type="dxa"/>
          </w:tcPr>
          <w:p w14:paraId="613A1C1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425" w:type="dxa"/>
          </w:tcPr>
          <w:p w14:paraId="2A025C6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2800" w:type="dxa"/>
          </w:tcPr>
          <w:p w14:paraId="5C0675D6">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765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4" w:type="dxa"/>
          </w:tcPr>
          <w:p w14:paraId="4547299C">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3</w:t>
            </w:r>
          </w:p>
        </w:tc>
        <w:tc>
          <w:tcPr>
            <w:tcW w:w="2500" w:type="dxa"/>
          </w:tcPr>
          <w:p w14:paraId="4A5D999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人工</w:t>
            </w:r>
          </w:p>
        </w:tc>
        <w:tc>
          <w:tcPr>
            <w:tcW w:w="1325" w:type="dxa"/>
          </w:tcPr>
          <w:p w14:paraId="029F9AB0">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425" w:type="dxa"/>
          </w:tcPr>
          <w:p w14:paraId="56C03B8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2800" w:type="dxa"/>
          </w:tcPr>
          <w:p w14:paraId="3185221A">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24CB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4" w:type="dxa"/>
          </w:tcPr>
          <w:p w14:paraId="0E87A6D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4</w:t>
            </w:r>
          </w:p>
        </w:tc>
        <w:tc>
          <w:tcPr>
            <w:tcW w:w="2500" w:type="dxa"/>
          </w:tcPr>
          <w:p w14:paraId="77BAA83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机具平场费</w:t>
            </w:r>
          </w:p>
        </w:tc>
        <w:tc>
          <w:tcPr>
            <w:tcW w:w="1325" w:type="dxa"/>
          </w:tcPr>
          <w:p w14:paraId="5AD0144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425" w:type="dxa"/>
          </w:tcPr>
          <w:p w14:paraId="2B1707D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2800" w:type="dxa"/>
          </w:tcPr>
          <w:p w14:paraId="7F4C753A">
            <w:pPr>
              <w:pStyle w:val="2"/>
              <w:rPr>
                <w:rFonts w:hint="default" w:ascii="方正仿宋_GB2312" w:hAnsi="方正仿宋_GB2312" w:eastAsia="方正仿宋_GB2312" w:cs="方正仿宋_GB2312"/>
                <w:b w:val="0"/>
                <w:kern w:val="2"/>
                <w:sz w:val="24"/>
                <w:szCs w:val="24"/>
                <w:highlight w:val="none"/>
                <w:lang w:val="en-US" w:eastAsia="zh-CN" w:bidi="ar-SA"/>
              </w:rPr>
            </w:pPr>
          </w:p>
        </w:tc>
      </w:tr>
    </w:tbl>
    <w:p w14:paraId="279773F1">
      <w:pPr>
        <w:pStyle w:val="2"/>
        <w:rPr>
          <w:rFonts w:hint="default"/>
          <w:highlight w:val="none"/>
          <w:lang w:val="en-US" w:eastAsia="zh-CN"/>
        </w:rPr>
      </w:pPr>
    </w:p>
    <w:p w14:paraId="1045AA7E">
      <w:pPr>
        <w:spacing w:line="360" w:lineRule="auto"/>
        <w:jc w:val="left"/>
        <w:rPr>
          <w:rFonts w:hint="eastAsia" w:ascii="方正仿宋_GB2312" w:hAnsi="方正仿宋_GB2312" w:eastAsia="方正仿宋_GB2312" w:cs="方正仿宋_GB2312"/>
          <w:sz w:val="24"/>
          <w:szCs w:val="24"/>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bookmarkEnd w:id="57"/>
    <w:p w14:paraId="500E1D32">
      <w:pPr>
        <w:pStyle w:val="3"/>
        <w:numPr>
          <w:ilvl w:val="0"/>
          <w:numId w:val="1"/>
        </w:numPr>
        <w:spacing w:line="360" w:lineRule="auto"/>
        <w:jc w:val="center"/>
        <w:rPr>
          <w:rFonts w:hint="eastAsia" w:ascii="方正仿宋_GB2312" w:hAnsi="方正仿宋_GB2312" w:eastAsia="方正仿宋_GB2312" w:cs="方正仿宋_GB2312"/>
          <w:highlight w:val="none"/>
        </w:rPr>
      </w:pPr>
      <w:bookmarkStart w:id="62" w:name="_Toc182478332"/>
      <w:bookmarkStart w:id="63" w:name="_Toc106030882"/>
      <w:bookmarkStart w:id="64" w:name="_Toc76462327"/>
      <w:r>
        <w:rPr>
          <w:rFonts w:hint="eastAsia" w:ascii="方正仿宋_GB2312" w:hAnsi="方正仿宋_GB2312" w:eastAsia="方正仿宋_GB2312" w:cs="方正仿宋_GB2312"/>
          <w:highlight w:val="none"/>
        </w:rPr>
        <w:t>项目商务需求</w:t>
      </w:r>
      <w:bookmarkEnd w:id="62"/>
      <w:bookmarkEnd w:id="63"/>
      <w:bookmarkEnd w:id="64"/>
    </w:p>
    <w:p w14:paraId="4992943B">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本篇商务需求为符合性审查中的实质性要求，响应文件若不满足按无效处理。</w:t>
      </w:r>
    </w:p>
    <w:p w14:paraId="37372790">
      <w:pPr>
        <w:spacing w:line="360" w:lineRule="auto"/>
        <w:ind w:firstLine="482" w:firstLineChars="200"/>
        <w:jc w:val="left"/>
        <w:rPr>
          <w:rFonts w:hint="eastAsia" w:ascii="方正仿宋_GB2312" w:hAnsi="方正仿宋_GB2312" w:eastAsia="方正仿宋_GB2312" w:cs="方正仿宋_GB2312"/>
          <w:b/>
          <w:bCs/>
          <w:sz w:val="24"/>
          <w:szCs w:val="24"/>
          <w:highlight w:val="none"/>
        </w:rPr>
      </w:pPr>
      <w:bookmarkStart w:id="65" w:name="_Toc344475120"/>
      <w:bookmarkStart w:id="66" w:name="_Toc76462328"/>
      <w:bookmarkStart w:id="67" w:name="_Toc106030883"/>
      <w:r>
        <w:rPr>
          <w:rFonts w:hint="eastAsia" w:ascii="方正仿宋_GB2312" w:hAnsi="方正仿宋_GB2312" w:eastAsia="方正仿宋_GB2312" w:cs="方正仿宋_GB2312"/>
          <w:b/>
          <w:bCs/>
          <w:sz w:val="24"/>
          <w:szCs w:val="24"/>
          <w:highlight w:val="none"/>
        </w:rPr>
        <w:t>一、服务期、地点及验收方式</w:t>
      </w:r>
      <w:bookmarkEnd w:id="65"/>
      <w:bookmarkEnd w:id="66"/>
      <w:bookmarkEnd w:id="67"/>
    </w:p>
    <w:p w14:paraId="3281F2A4">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68" w:name="_Toc344475121"/>
      <w:bookmarkStart w:id="69" w:name="_Toc76462329"/>
      <w:bookmarkStart w:id="70" w:name="_Toc106030884"/>
      <w:r>
        <w:rPr>
          <w:rFonts w:hint="eastAsia" w:ascii="方正仿宋_GB2312" w:hAnsi="方正仿宋_GB2312" w:eastAsia="方正仿宋_GB2312" w:cs="方正仿宋_GB2312"/>
          <w:sz w:val="24"/>
          <w:szCs w:val="24"/>
          <w:highlight w:val="none"/>
        </w:rPr>
        <w:t>（一）服务期：合同签订之日起至工程竣工验收合格</w:t>
      </w:r>
      <w:r>
        <w:rPr>
          <w:rFonts w:hint="eastAsia" w:ascii="方正仿宋_GB2312" w:hAnsi="方正仿宋_GB2312" w:eastAsia="方正仿宋_GB2312" w:cs="方正仿宋_GB2312"/>
          <w:sz w:val="24"/>
          <w:szCs w:val="24"/>
          <w:highlight w:val="none"/>
          <w:lang w:val="en-US" w:eastAsia="zh-CN"/>
        </w:rPr>
        <w:t>；</w:t>
      </w:r>
      <w:r>
        <w:rPr>
          <w:rFonts w:hint="eastAsia" w:ascii="方正仿宋_GB2312" w:hAnsi="方正仿宋_GB2312" w:eastAsia="方正仿宋_GB2312" w:cs="方正仿宋_GB2312"/>
          <w:sz w:val="24"/>
          <w:szCs w:val="24"/>
          <w:highlight w:val="none"/>
        </w:rPr>
        <w:t xml:space="preserve"> </w:t>
      </w:r>
    </w:p>
    <w:p w14:paraId="3D5F46A3">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（二）服务地点：</w:t>
      </w:r>
      <w:r>
        <w:rPr>
          <w:rFonts w:hint="eastAsia" w:ascii="方正仿宋_GB2312" w:hAnsi="方正仿宋_GB2312" w:eastAsia="方正仿宋_GB2312" w:cs="方正仿宋_GB2312"/>
          <w:sz w:val="24"/>
          <w:szCs w:val="24"/>
          <w:highlight w:val="none"/>
          <w:lang w:val="en-US" w:eastAsia="zh-CN"/>
        </w:rPr>
        <w:t>采购人指定地点；</w:t>
      </w:r>
    </w:p>
    <w:p w14:paraId="34206A5A">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（三）验收方式：经现场人员验收并签订验收合格书</w:t>
      </w:r>
      <w:r>
        <w:rPr>
          <w:rFonts w:hint="eastAsia" w:ascii="方正仿宋_GB2312" w:hAnsi="方正仿宋_GB2312" w:eastAsia="方正仿宋_GB2312" w:cs="方正仿宋_GB2312"/>
          <w:sz w:val="24"/>
          <w:szCs w:val="24"/>
          <w:highlight w:val="none"/>
          <w:lang w:val="en-US" w:eastAsia="zh-CN"/>
        </w:rPr>
        <w:t>。</w:t>
      </w:r>
    </w:p>
    <w:p w14:paraId="62F8E78C">
      <w:pPr>
        <w:spacing w:line="360" w:lineRule="auto"/>
        <w:ind w:firstLine="482" w:firstLineChars="200"/>
        <w:jc w:val="left"/>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二、</w:t>
      </w:r>
      <w:bookmarkEnd w:id="68"/>
      <w:r>
        <w:rPr>
          <w:rFonts w:hint="eastAsia" w:ascii="方正仿宋_GB2312" w:hAnsi="方正仿宋_GB2312" w:eastAsia="方正仿宋_GB2312" w:cs="方正仿宋_GB2312"/>
          <w:b/>
          <w:bCs/>
          <w:sz w:val="24"/>
          <w:szCs w:val="24"/>
          <w:highlight w:val="none"/>
        </w:rPr>
        <w:t>报价要求</w:t>
      </w:r>
      <w:bookmarkEnd w:id="69"/>
      <w:bookmarkEnd w:id="70"/>
    </w:p>
    <w:p w14:paraId="59AEF399">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1.本次报价为人民币报价，本项目最高限价为135000.00元，采用总价报价。报价包含但不限于人工费、搬运费、材料费、运费、材料二次搬运费、税金、风险费、采购代理服务费等。供应商根据项目情况、自身实力、市场行情进行填报。因成交供应商自身原因造成漏报、少报皆由其自行承担责任，采购人不再补偿任何费用。供应商的投标总报价不得超过最高限价。</w:t>
      </w:r>
    </w:p>
    <w:p w14:paraId="046527DD">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t>.供应商的网上报价必须和响应文件中投标函的报价一致，否则作无效响应处理。</w:t>
      </w:r>
    </w:p>
    <w:p w14:paraId="64027E6F">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lang w:val="en-US" w:eastAsia="zh-CN"/>
        </w:rPr>
        <w:t>三</w:t>
      </w:r>
      <w:r>
        <w:rPr>
          <w:rFonts w:hint="eastAsia" w:ascii="方正仿宋_GB2312" w:hAnsi="方正仿宋_GB2312" w:eastAsia="方正仿宋_GB2312" w:cs="方正仿宋_GB2312"/>
          <w:b/>
          <w:bCs/>
          <w:sz w:val="24"/>
          <w:szCs w:val="24"/>
          <w:highlight w:val="none"/>
        </w:rPr>
        <w:t>、付款方式</w:t>
      </w:r>
    </w:p>
    <w:p w14:paraId="5F665643">
      <w:pPr>
        <w:spacing w:line="360" w:lineRule="auto"/>
        <w:ind w:firstLine="480" w:firstLineChars="200"/>
        <w:jc w:val="left"/>
        <w:rPr>
          <w:rFonts w:hint="default" w:ascii="方正仿宋_GB2312" w:hAnsi="方正仿宋_GB2312" w:eastAsia="方正仿宋_GB2312" w:cs="方正仿宋_GB2312"/>
          <w:sz w:val="24"/>
          <w:szCs w:val="24"/>
          <w:highlight w:val="none"/>
          <w:lang w:val="en-US" w:eastAsia="zh-CN"/>
        </w:rPr>
      </w:pPr>
      <w:bookmarkStart w:id="71" w:name="_Toc529"/>
      <w:bookmarkStart w:id="72" w:name="_Toc6385"/>
      <w:bookmarkStart w:id="73" w:name="_Toc17569"/>
      <w:bookmarkStart w:id="74" w:name="_Toc28513"/>
      <w:bookmarkStart w:id="75" w:name="_Toc32308"/>
      <w:bookmarkStart w:id="76" w:name="_Toc13936"/>
      <w:bookmarkStart w:id="77" w:name="_Toc27175"/>
      <w:bookmarkStart w:id="78" w:name="_Toc75793516"/>
      <w:bookmarkStart w:id="79" w:name="_Toc23858"/>
      <w:bookmarkStart w:id="80" w:name="_Toc4353"/>
      <w:bookmarkStart w:id="81" w:name="_Toc30515"/>
      <w:bookmarkStart w:id="82" w:name="_Toc6099"/>
      <w:bookmarkStart w:id="83" w:name="_Toc106030392"/>
      <w:bookmarkStart w:id="84" w:name="_Toc10406"/>
      <w:bookmarkStart w:id="85" w:name="_Toc1138"/>
      <w:bookmarkStart w:id="86" w:name="_Toc14923"/>
      <w:r>
        <w:rPr>
          <w:rFonts w:hint="eastAsia" w:ascii="方正仿宋_GB2312" w:hAnsi="方正仿宋_GB2312" w:eastAsia="方正仿宋_GB2312" w:cs="方正仿宋_GB2312"/>
          <w:sz w:val="24"/>
          <w:szCs w:val="24"/>
          <w:highlight w:val="none"/>
          <w:lang w:val="en-US" w:eastAsia="zh-CN"/>
        </w:rPr>
        <w:t>1.经采购人验收合格后，一次性支付合同金额的100%。</w:t>
      </w:r>
    </w:p>
    <w:p w14:paraId="52924B7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t>.采购人</w:t>
      </w:r>
      <w:r>
        <w:rPr>
          <w:rFonts w:hint="eastAsia" w:ascii="方正仿宋_GB2312" w:hAnsi="方正仿宋_GB2312" w:eastAsia="方正仿宋_GB2312" w:cs="方正仿宋_GB2312"/>
          <w:sz w:val="24"/>
          <w:szCs w:val="24"/>
          <w:highlight w:val="none"/>
          <w:lang w:val="en-US" w:eastAsia="zh-CN"/>
        </w:rPr>
        <w:t>在</w:t>
      </w:r>
      <w:r>
        <w:rPr>
          <w:rFonts w:hint="eastAsia" w:ascii="方正仿宋_GB2312" w:hAnsi="方正仿宋_GB2312" w:eastAsia="方正仿宋_GB2312" w:cs="方正仿宋_GB2312"/>
          <w:sz w:val="24"/>
          <w:szCs w:val="24"/>
          <w:highlight w:val="none"/>
        </w:rPr>
        <w:t>支付款项前，成交供应商按采购人要求开具等额增值税专用发票，采购人以转账方式向成交供应商支付发票等额款项至成交供应商银行基本账户。</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ascii="方正仿宋_GBK" w:hAnsi="方正仿宋_GBK" w:eastAsia="方正仿宋_GBK" w:cs="方正仿宋_GBK"/>
          <w:color w:val="auto"/>
          <w:sz w:val="24"/>
          <w:szCs w:val="18"/>
          <w:highlight w:val="none"/>
        </w:rPr>
        <w:t>否则</w:t>
      </w:r>
      <w:r>
        <w:rPr>
          <w:rFonts w:hint="eastAsia" w:ascii="方正仿宋_GBK" w:hAnsi="方正仿宋_GBK" w:eastAsia="方正仿宋_GBK" w:cs="方正仿宋_GBK"/>
          <w:color w:val="auto"/>
          <w:sz w:val="24"/>
          <w:szCs w:val="18"/>
          <w:highlight w:val="none"/>
          <w:lang w:val="en-US" w:eastAsia="zh-CN"/>
        </w:rPr>
        <w:t>采购人</w:t>
      </w:r>
      <w:r>
        <w:rPr>
          <w:rFonts w:hint="eastAsia" w:ascii="方正仿宋_GBK" w:hAnsi="方正仿宋_GBK" w:eastAsia="方正仿宋_GBK" w:cs="方正仿宋_GBK"/>
          <w:color w:val="auto"/>
          <w:sz w:val="24"/>
          <w:szCs w:val="18"/>
          <w:highlight w:val="none"/>
        </w:rPr>
        <w:t>有权拒绝支付并不承担任何违约责任。</w:t>
      </w:r>
    </w:p>
    <w:p w14:paraId="0218A185">
      <w:pPr>
        <w:spacing w:line="360" w:lineRule="auto"/>
        <w:ind w:firstLine="482" w:firstLineChars="200"/>
        <w:jc w:val="left"/>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四、结算原则</w:t>
      </w:r>
    </w:p>
    <w:p w14:paraId="1031D7BE">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本项目最终结算费用按照合同金额进行结算。</w:t>
      </w:r>
    </w:p>
    <w:p w14:paraId="3AA9558F">
      <w:pPr>
        <w:spacing w:line="360" w:lineRule="auto"/>
        <w:ind w:firstLine="480" w:firstLineChars="200"/>
        <w:jc w:val="center"/>
        <w:rPr>
          <w:rFonts w:hint="eastAsia" w:ascii="方正仿宋_GB2312" w:hAnsi="方正仿宋_GB2312" w:eastAsia="方正仿宋_GB2312" w:cs="方正仿宋_GB2312"/>
          <w:sz w:val="36"/>
          <w:szCs w:val="36"/>
          <w:highlight w:val="none"/>
        </w:rPr>
      </w:pPr>
      <w:r>
        <w:rPr>
          <w:rFonts w:hint="eastAsia" w:ascii="方正仿宋_GB2312" w:hAnsi="方正仿宋_GB2312" w:eastAsia="方正仿宋_GB2312" w:cs="方正仿宋_GB2312"/>
          <w:sz w:val="24"/>
          <w:szCs w:val="24"/>
          <w:highlight w:val="none"/>
        </w:rPr>
        <w:br w:type="page"/>
      </w:r>
      <w:bookmarkStart w:id="87" w:name="_Toc109836389"/>
      <w:r>
        <w:rPr>
          <w:rFonts w:hint="eastAsia" w:ascii="方正仿宋_GB2312" w:hAnsi="方正仿宋_GB2312" w:eastAsia="方正仿宋_GB2312" w:cs="方正仿宋_GB2312"/>
          <w:b/>
          <w:bCs/>
          <w:sz w:val="40"/>
          <w:szCs w:val="18"/>
          <w:highlight w:val="none"/>
        </w:rPr>
        <w:t xml:space="preserve">第四篇  </w:t>
      </w:r>
      <w:r>
        <w:rPr>
          <w:rFonts w:hint="eastAsia" w:ascii="方正仿宋_GB2312" w:hAnsi="方正仿宋_GB2312" w:eastAsia="方正仿宋_GB2312" w:cs="方正仿宋_GB2312"/>
          <w:b/>
          <w:bCs/>
          <w:sz w:val="36"/>
          <w:szCs w:val="36"/>
          <w:highlight w:val="none"/>
        </w:rPr>
        <w:t>竞采程序、评标办法</w:t>
      </w:r>
      <w:bookmarkEnd w:id="87"/>
      <w:r>
        <w:rPr>
          <w:rFonts w:hint="eastAsia" w:ascii="方正仿宋_GB2312" w:hAnsi="方正仿宋_GB2312" w:eastAsia="方正仿宋_GB2312" w:cs="方正仿宋_GB2312"/>
          <w:b/>
          <w:bCs/>
          <w:sz w:val="36"/>
          <w:szCs w:val="36"/>
          <w:highlight w:val="none"/>
        </w:rPr>
        <w:t>、无效响应及采购终止</w:t>
      </w:r>
    </w:p>
    <w:p w14:paraId="360CD51C">
      <w:pPr>
        <w:pStyle w:val="4"/>
        <w:spacing w:line="360" w:lineRule="auto"/>
        <w:rPr>
          <w:rFonts w:hint="eastAsia" w:ascii="方正仿宋_GB2312" w:hAnsi="方正仿宋_GB2312" w:eastAsia="方正仿宋_GB2312" w:cs="方正仿宋_GB2312"/>
          <w:highlight w:val="none"/>
        </w:rPr>
      </w:pPr>
      <w:bookmarkStart w:id="88" w:name="_Toc10124"/>
      <w:bookmarkStart w:id="89" w:name="_Toc182478333"/>
      <w:r>
        <w:rPr>
          <w:rFonts w:hint="eastAsia" w:ascii="方正仿宋_GB2312" w:hAnsi="方正仿宋_GB2312" w:eastAsia="方正仿宋_GB2312" w:cs="方正仿宋_GB2312"/>
          <w:highlight w:val="none"/>
        </w:rPr>
        <w:t>一、</w:t>
      </w:r>
      <w:bookmarkEnd w:id="88"/>
      <w:bookmarkStart w:id="90" w:name="_Toc75793518"/>
      <w:r>
        <w:rPr>
          <w:rFonts w:hint="eastAsia" w:ascii="方正仿宋_GB2312" w:hAnsi="方正仿宋_GB2312" w:eastAsia="方正仿宋_GB2312" w:cs="方正仿宋_GB2312"/>
          <w:highlight w:val="none"/>
        </w:rPr>
        <w:t>网上竞采程序</w:t>
      </w:r>
      <w:bookmarkEnd w:id="89"/>
      <w:bookmarkEnd w:id="90"/>
    </w:p>
    <w:p w14:paraId="1AE5303A">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（一）报价截止后评审小组对各供应商的资格条件、响应文件的有效性、完整性和响应程度进行审查。各供应商只有在完全符合要求的前提下，才能参与正式评审。</w:t>
      </w:r>
    </w:p>
    <w:p w14:paraId="523CBF71">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1.资格性检查。</w:t>
      </w:r>
      <w:r>
        <w:rPr>
          <w:rFonts w:hint="eastAsia" w:ascii="方正仿宋_GB2312" w:hAnsi="方正仿宋_GB2312" w:eastAsia="方正仿宋_GB2312" w:cs="方正仿宋_GB2312"/>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01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1B4234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序号</w:t>
            </w:r>
          </w:p>
        </w:tc>
        <w:tc>
          <w:tcPr>
            <w:tcW w:w="3685" w:type="dxa"/>
            <w:gridSpan w:val="2"/>
            <w:vAlign w:val="center"/>
          </w:tcPr>
          <w:p w14:paraId="3C6B78E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检查因素</w:t>
            </w:r>
          </w:p>
        </w:tc>
        <w:tc>
          <w:tcPr>
            <w:tcW w:w="5155" w:type="dxa"/>
            <w:vAlign w:val="center"/>
          </w:tcPr>
          <w:p w14:paraId="560088B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检查内容</w:t>
            </w:r>
          </w:p>
        </w:tc>
      </w:tr>
      <w:tr w14:paraId="06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25D869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p>
        </w:tc>
        <w:tc>
          <w:tcPr>
            <w:tcW w:w="709" w:type="dxa"/>
            <w:vMerge w:val="restart"/>
            <w:vAlign w:val="center"/>
          </w:tcPr>
          <w:p w14:paraId="6105980D">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供应商</w:t>
            </w:r>
            <w:r>
              <w:rPr>
                <w:rFonts w:hint="eastAsia" w:ascii="方正仿宋_GB2312" w:hAnsi="方正仿宋_GB2312" w:eastAsia="方正仿宋_GB2312" w:cs="方正仿宋_GB2312"/>
                <w:sz w:val="24"/>
                <w:szCs w:val="24"/>
                <w:highlight w:val="none"/>
                <w:lang w:val="zh-CN"/>
              </w:rPr>
              <w:t>应符合的基本资格条件</w:t>
            </w:r>
          </w:p>
        </w:tc>
        <w:tc>
          <w:tcPr>
            <w:tcW w:w="2976" w:type="dxa"/>
            <w:vAlign w:val="center"/>
          </w:tcPr>
          <w:p w14:paraId="072B1A6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（1）具有独立承担民事责任的能力</w:t>
            </w:r>
          </w:p>
        </w:tc>
        <w:tc>
          <w:tcPr>
            <w:tcW w:w="5155" w:type="dxa"/>
            <w:vAlign w:val="center"/>
          </w:tcPr>
          <w:p w14:paraId="2493F38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供应商法人营业执照（副本）或事业单位法人证书（副本）； 供应商法定代表人身份证明和法定代表人授权代表委托书。</w:t>
            </w:r>
          </w:p>
        </w:tc>
      </w:tr>
      <w:tr w14:paraId="7494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E9B624B">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CB35647">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236B488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（2）具有良好的商业信誉和健全的财务会计制度</w:t>
            </w:r>
          </w:p>
        </w:tc>
        <w:tc>
          <w:tcPr>
            <w:tcW w:w="5155" w:type="dxa"/>
            <w:vMerge w:val="restart"/>
            <w:vAlign w:val="center"/>
          </w:tcPr>
          <w:p w14:paraId="664DC99B">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供应商提供承诺函（见格式文件）</w:t>
            </w:r>
          </w:p>
        </w:tc>
      </w:tr>
      <w:tr w14:paraId="01A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81F1C2A">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8E11E4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147EDC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（3）具有履行合同所必需的设备和专业技术能力</w:t>
            </w:r>
          </w:p>
        </w:tc>
        <w:tc>
          <w:tcPr>
            <w:tcW w:w="5155" w:type="dxa"/>
            <w:vMerge w:val="continue"/>
            <w:vAlign w:val="center"/>
          </w:tcPr>
          <w:p w14:paraId="703604F3">
            <w:pPr>
              <w:spacing w:line="360" w:lineRule="auto"/>
              <w:jc w:val="left"/>
              <w:rPr>
                <w:rFonts w:hint="eastAsia" w:ascii="方正仿宋_GB2312" w:hAnsi="方正仿宋_GB2312" w:eastAsia="方正仿宋_GB2312" w:cs="方正仿宋_GB2312"/>
                <w:sz w:val="24"/>
                <w:szCs w:val="24"/>
                <w:highlight w:val="none"/>
              </w:rPr>
            </w:pPr>
          </w:p>
        </w:tc>
      </w:tr>
      <w:tr w14:paraId="3A29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27D2B231">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3A25927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4C9AEF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（4）有依法缴纳税收和社会保障金的良好记录</w:t>
            </w:r>
          </w:p>
        </w:tc>
        <w:tc>
          <w:tcPr>
            <w:tcW w:w="5155" w:type="dxa"/>
            <w:vMerge w:val="continue"/>
            <w:vAlign w:val="center"/>
          </w:tcPr>
          <w:p w14:paraId="06FFE1DD">
            <w:pPr>
              <w:spacing w:line="360" w:lineRule="auto"/>
              <w:jc w:val="left"/>
              <w:rPr>
                <w:rFonts w:hint="eastAsia" w:ascii="方正仿宋_GB2312" w:hAnsi="方正仿宋_GB2312" w:eastAsia="方正仿宋_GB2312" w:cs="方正仿宋_GB2312"/>
                <w:sz w:val="24"/>
                <w:szCs w:val="24"/>
                <w:highlight w:val="none"/>
              </w:rPr>
            </w:pPr>
          </w:p>
        </w:tc>
      </w:tr>
      <w:tr w14:paraId="768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BE6C26">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2A33AF53">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6C44E492">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（5）参加政府采购活动前三年内，在经营活动中没有重大违法记录</w:t>
            </w:r>
          </w:p>
        </w:tc>
        <w:tc>
          <w:tcPr>
            <w:tcW w:w="5155" w:type="dxa"/>
            <w:vAlign w:val="center"/>
          </w:tcPr>
          <w:p w14:paraId="0A5AFC88">
            <w:pPr>
              <w:spacing w:line="360" w:lineRule="auto"/>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9F5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C196D03">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6EBB2C82">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507447F0">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（6）法律、行政法规规定的其他条件</w:t>
            </w:r>
          </w:p>
        </w:tc>
        <w:tc>
          <w:tcPr>
            <w:tcW w:w="5155" w:type="dxa"/>
            <w:vAlign w:val="center"/>
          </w:tcPr>
          <w:p w14:paraId="28689805">
            <w:pPr>
              <w:spacing w:line="360" w:lineRule="auto"/>
              <w:jc w:val="left"/>
              <w:rPr>
                <w:rFonts w:hint="eastAsia" w:ascii="方正仿宋_GB2312" w:hAnsi="方正仿宋_GB2312" w:eastAsia="方正仿宋_GB2312" w:cs="方正仿宋_GB2312"/>
                <w:sz w:val="24"/>
                <w:szCs w:val="24"/>
                <w:highlight w:val="none"/>
              </w:rPr>
            </w:pPr>
          </w:p>
        </w:tc>
      </w:tr>
      <w:tr w14:paraId="0DA6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72876BF">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p>
        </w:tc>
        <w:tc>
          <w:tcPr>
            <w:tcW w:w="3685" w:type="dxa"/>
            <w:gridSpan w:val="2"/>
            <w:vAlign w:val="center"/>
          </w:tcPr>
          <w:p w14:paraId="02FE0593">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特定资格条件</w:t>
            </w:r>
          </w:p>
        </w:tc>
        <w:tc>
          <w:tcPr>
            <w:tcW w:w="5155" w:type="dxa"/>
            <w:vAlign w:val="center"/>
          </w:tcPr>
          <w:p w14:paraId="00D73A2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按第一篇“三、供应商资格条件（二）本项目的特定资格要求”的要求提交</w:t>
            </w:r>
          </w:p>
        </w:tc>
      </w:tr>
    </w:tbl>
    <w:p w14:paraId="7AC0025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0E79430">
      <w:pPr>
        <w:snapToGrid w:val="0"/>
        <w:spacing w:line="360" w:lineRule="auto"/>
        <w:ind w:firstLine="482"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2.符合性检查。</w:t>
      </w:r>
      <w:r>
        <w:rPr>
          <w:rFonts w:hint="eastAsia" w:ascii="方正仿宋_GB2312" w:hAnsi="方正仿宋_GB2312" w:eastAsia="方正仿宋_GB2312" w:cs="方正仿宋_GB2312"/>
          <w:color w:val="000000"/>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2FB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50166A6C">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序号</w:t>
            </w:r>
          </w:p>
        </w:tc>
        <w:tc>
          <w:tcPr>
            <w:tcW w:w="3384" w:type="dxa"/>
            <w:gridSpan w:val="2"/>
            <w:vAlign w:val="center"/>
          </w:tcPr>
          <w:p w14:paraId="43C7B208">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评审因素</w:t>
            </w:r>
          </w:p>
        </w:tc>
        <w:tc>
          <w:tcPr>
            <w:tcW w:w="5409" w:type="dxa"/>
            <w:vAlign w:val="center"/>
          </w:tcPr>
          <w:p w14:paraId="32FB5D16">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评审标准</w:t>
            </w:r>
          </w:p>
        </w:tc>
      </w:tr>
      <w:tr w14:paraId="480F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35" w:type="dxa"/>
            <w:vMerge w:val="restart"/>
            <w:vAlign w:val="center"/>
          </w:tcPr>
          <w:p w14:paraId="6EBB67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w:t>
            </w:r>
          </w:p>
        </w:tc>
        <w:tc>
          <w:tcPr>
            <w:tcW w:w="1500" w:type="dxa"/>
            <w:vMerge w:val="restart"/>
            <w:vAlign w:val="center"/>
          </w:tcPr>
          <w:p w14:paraId="442723A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有效性审查</w:t>
            </w:r>
          </w:p>
        </w:tc>
        <w:tc>
          <w:tcPr>
            <w:tcW w:w="1884" w:type="dxa"/>
            <w:vAlign w:val="center"/>
          </w:tcPr>
          <w:p w14:paraId="66DA18F3">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响应文件签署</w:t>
            </w:r>
          </w:p>
        </w:tc>
        <w:tc>
          <w:tcPr>
            <w:tcW w:w="5409" w:type="dxa"/>
            <w:vAlign w:val="center"/>
          </w:tcPr>
          <w:p w14:paraId="67DF344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highlight w:val="none"/>
              </w:rPr>
              <w:t>网上电子文档及响应文件</w:t>
            </w:r>
            <w:r>
              <w:rPr>
                <w:rFonts w:hint="eastAsia" w:ascii="方正仿宋_GB2312" w:hAnsi="方正仿宋_GB2312" w:eastAsia="方正仿宋_GB2312" w:cs="方正仿宋_GB2312"/>
                <w:sz w:val="24"/>
                <w:szCs w:val="24"/>
                <w:highlight w:val="none"/>
              </w:rPr>
              <w:t>上法定代表人或其授权代表人的签字齐全。</w:t>
            </w:r>
          </w:p>
        </w:tc>
      </w:tr>
      <w:tr w14:paraId="70B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4C8258B7">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066FC4D4">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04688C7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w:t>
            </w:r>
          </w:p>
        </w:tc>
        <w:tc>
          <w:tcPr>
            <w:tcW w:w="5409" w:type="dxa"/>
            <w:vAlign w:val="center"/>
          </w:tcPr>
          <w:p w14:paraId="37435A3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法定代表人身份证明及授权委托书有效，符合网上竞采文件规定的格式，签字或盖章齐全。</w:t>
            </w:r>
          </w:p>
        </w:tc>
      </w:tr>
      <w:tr w14:paraId="4A55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A78B428">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67674A00">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651960AF">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c>
          <w:tcPr>
            <w:tcW w:w="5409" w:type="dxa"/>
            <w:vAlign w:val="center"/>
          </w:tcPr>
          <w:p w14:paraId="0C2E289A">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每个分包只能有一个</w:t>
            </w: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r>
      <w:tr w14:paraId="624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4176BB41">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256DEEEE">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41FCEFA9">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报价唯一</w:t>
            </w:r>
          </w:p>
        </w:tc>
        <w:tc>
          <w:tcPr>
            <w:tcW w:w="5409" w:type="dxa"/>
            <w:vAlign w:val="center"/>
          </w:tcPr>
          <w:p w14:paraId="5FBDFB27">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只能在采购预算范围内报价，</w:t>
            </w:r>
            <w:r>
              <w:rPr>
                <w:rFonts w:hint="eastAsia" w:ascii="方正仿宋_GB2312" w:hAnsi="方正仿宋_GB2312" w:eastAsia="方正仿宋_GB2312" w:cs="方正仿宋_GB2312"/>
                <w:sz w:val="24"/>
                <w:szCs w:val="24"/>
                <w:highlight w:val="none"/>
              </w:rPr>
              <w:t>只能有一个有效报价，不得提交选择性报价。</w:t>
            </w:r>
          </w:p>
        </w:tc>
      </w:tr>
      <w:tr w14:paraId="6FD2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4226B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w:t>
            </w:r>
          </w:p>
        </w:tc>
        <w:tc>
          <w:tcPr>
            <w:tcW w:w="1500" w:type="dxa"/>
            <w:vAlign w:val="center"/>
          </w:tcPr>
          <w:p w14:paraId="409B4E32">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完整性审查</w:t>
            </w:r>
          </w:p>
        </w:tc>
        <w:tc>
          <w:tcPr>
            <w:tcW w:w="1884" w:type="dxa"/>
            <w:vAlign w:val="center"/>
          </w:tcPr>
          <w:p w14:paraId="748E28A1">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文件份数</w:t>
            </w:r>
          </w:p>
        </w:tc>
        <w:tc>
          <w:tcPr>
            <w:tcW w:w="5409" w:type="dxa"/>
            <w:vAlign w:val="center"/>
          </w:tcPr>
          <w:p w14:paraId="09BA65F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文件数量（</w:t>
            </w:r>
            <w:r>
              <w:rPr>
                <w:rFonts w:hint="eastAsia" w:ascii="方正仿宋_GB2312" w:hAnsi="方正仿宋_GB2312" w:eastAsia="方正仿宋_GB2312" w:cs="方正仿宋_GB2312"/>
                <w:sz w:val="24"/>
                <w:szCs w:val="24"/>
                <w:highlight w:val="none"/>
              </w:rPr>
              <w:t>含电子文档</w:t>
            </w:r>
            <w:r>
              <w:rPr>
                <w:rFonts w:hint="eastAsia" w:ascii="方正仿宋_GB2312" w:hAnsi="方正仿宋_GB2312" w:eastAsia="方正仿宋_GB2312" w:cs="方正仿宋_GB2312"/>
                <w:sz w:val="24"/>
                <w:szCs w:val="24"/>
                <w:highlight w:val="none"/>
                <w:lang w:val="zh-CN"/>
              </w:rPr>
              <w:t>）符合</w:t>
            </w:r>
            <w:r>
              <w:rPr>
                <w:rFonts w:hint="eastAsia" w:ascii="方正仿宋_GB2312" w:hAnsi="方正仿宋_GB2312" w:eastAsia="方正仿宋_GB2312" w:cs="方正仿宋_GB2312"/>
                <w:sz w:val="24"/>
                <w:szCs w:val="24"/>
                <w:highlight w:val="none"/>
              </w:rPr>
              <w:t>网上竞采</w:t>
            </w:r>
            <w:r>
              <w:rPr>
                <w:rFonts w:hint="eastAsia" w:ascii="方正仿宋_GB2312" w:hAnsi="方正仿宋_GB2312" w:eastAsia="方正仿宋_GB2312" w:cs="方正仿宋_GB2312"/>
                <w:sz w:val="24"/>
                <w:szCs w:val="24"/>
                <w:highlight w:val="none"/>
                <w:lang w:val="zh-CN"/>
              </w:rPr>
              <w:t>文件要求。</w:t>
            </w:r>
          </w:p>
        </w:tc>
      </w:tr>
      <w:tr w14:paraId="1772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9806452">
            <w:pPr>
              <w:spacing w:line="360" w:lineRule="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w:t>
            </w:r>
          </w:p>
        </w:tc>
        <w:tc>
          <w:tcPr>
            <w:tcW w:w="1500" w:type="dxa"/>
            <w:vAlign w:val="center"/>
          </w:tcPr>
          <w:p w14:paraId="62C2841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响应程度审查</w:t>
            </w:r>
          </w:p>
        </w:tc>
        <w:tc>
          <w:tcPr>
            <w:tcW w:w="1884" w:type="dxa"/>
            <w:vAlign w:val="center"/>
          </w:tcPr>
          <w:p w14:paraId="112F7AD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响应文件内容</w:t>
            </w:r>
          </w:p>
        </w:tc>
        <w:tc>
          <w:tcPr>
            <w:tcW w:w="5409" w:type="dxa"/>
            <w:vAlign w:val="center"/>
          </w:tcPr>
          <w:p w14:paraId="43281C9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对网上竞采文件第二篇、第三篇规定的网上竞采内容作出响应。</w:t>
            </w:r>
          </w:p>
        </w:tc>
      </w:tr>
    </w:tbl>
    <w:p w14:paraId="1EDD17E0">
      <w:pPr>
        <w:snapToGrid w:val="0"/>
        <w:spacing w:line="360" w:lineRule="auto"/>
        <w:ind w:firstLine="482" w:firstLineChars="200"/>
        <w:rPr>
          <w:rFonts w:hint="eastAsia" w:ascii="方正仿宋_GB2312" w:hAnsi="方正仿宋_GB2312" w:eastAsia="方正仿宋_GB2312" w:cs="方正仿宋_GB2312"/>
          <w:b/>
          <w:bCs/>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3.评选方法：综合评分法。</w:t>
      </w:r>
    </w:p>
    <w:p w14:paraId="4C34E55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2312" w:hAnsi="方正仿宋_GB2312" w:eastAsia="方正仿宋_GB2312" w:cs="方正仿宋_GB2312"/>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w:t>
      </w:r>
    </w:p>
    <w:p w14:paraId="6798848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C9B04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9FE56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（四）在网上竞采过程中网上竞采的任何一方不得向他人透露与网上竞采有关的服务资料、价格或其他信息。</w:t>
      </w:r>
    </w:p>
    <w:p w14:paraId="239D88B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rPr>
        <w:t>（五）供应商在网上竞采时作出的所有书面承诺须由法定代表人或其授权代表签字。</w:t>
      </w:r>
    </w:p>
    <w:p w14:paraId="70A97D98">
      <w:pPr>
        <w:pStyle w:val="4"/>
        <w:numPr>
          <w:ilvl w:val="0"/>
          <w:numId w:val="2"/>
        </w:numPr>
        <w:spacing w:line="360" w:lineRule="auto"/>
        <w:rPr>
          <w:rFonts w:hint="eastAsia" w:ascii="方正仿宋_GB2312" w:hAnsi="方正仿宋_GB2312" w:eastAsia="方正仿宋_GB2312" w:cs="方正仿宋_GB2312"/>
          <w:highlight w:val="none"/>
        </w:rPr>
      </w:pPr>
      <w:bookmarkStart w:id="91" w:name="_Toc182478334"/>
      <w:bookmarkStart w:id="92" w:name="_Hlk27399823"/>
      <w:r>
        <w:rPr>
          <w:rFonts w:hint="eastAsia" w:ascii="方正仿宋_GB2312" w:hAnsi="方正仿宋_GB2312" w:eastAsia="方正仿宋_GB2312" w:cs="方正仿宋_GB2312"/>
          <w:highlight w:val="none"/>
        </w:rPr>
        <w:t>评审标准</w:t>
      </w:r>
      <w:bookmarkEnd w:id="91"/>
    </w:p>
    <w:p w14:paraId="0D3ED2C6">
      <w:pPr>
        <w:pStyle w:val="8"/>
        <w:numPr>
          <w:ilvl w:val="0"/>
          <w:numId w:val="3"/>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评审因素</w:t>
      </w:r>
    </w:p>
    <w:tbl>
      <w:tblPr>
        <w:tblStyle w:val="1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270"/>
        <w:gridCol w:w="1403"/>
        <w:gridCol w:w="5011"/>
        <w:gridCol w:w="1911"/>
      </w:tblGrid>
      <w:tr w14:paraId="1BC6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2" w:type="dxa"/>
            <w:vAlign w:val="center"/>
          </w:tcPr>
          <w:p w14:paraId="09E8037E">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序号</w:t>
            </w:r>
          </w:p>
        </w:tc>
        <w:tc>
          <w:tcPr>
            <w:tcW w:w="1270" w:type="dxa"/>
            <w:vAlign w:val="center"/>
          </w:tcPr>
          <w:p w14:paraId="6ABC786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评分因素</w:t>
            </w:r>
          </w:p>
          <w:p w14:paraId="5770D3D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及权重</w:t>
            </w:r>
          </w:p>
        </w:tc>
        <w:tc>
          <w:tcPr>
            <w:tcW w:w="1403" w:type="dxa"/>
            <w:vAlign w:val="center"/>
          </w:tcPr>
          <w:p w14:paraId="0D3D5085">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分值</w:t>
            </w:r>
          </w:p>
        </w:tc>
        <w:tc>
          <w:tcPr>
            <w:tcW w:w="5011" w:type="dxa"/>
            <w:vAlign w:val="center"/>
          </w:tcPr>
          <w:p w14:paraId="1617849B">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评分标准</w:t>
            </w:r>
          </w:p>
        </w:tc>
        <w:tc>
          <w:tcPr>
            <w:tcW w:w="1911" w:type="dxa"/>
            <w:vAlign w:val="center"/>
          </w:tcPr>
          <w:p w14:paraId="2FD80789">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说明</w:t>
            </w:r>
          </w:p>
        </w:tc>
      </w:tr>
      <w:tr w14:paraId="2893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42" w:type="dxa"/>
            <w:vAlign w:val="center"/>
          </w:tcPr>
          <w:p w14:paraId="127BEF04">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1</w:t>
            </w:r>
          </w:p>
        </w:tc>
        <w:tc>
          <w:tcPr>
            <w:tcW w:w="1270" w:type="dxa"/>
            <w:vAlign w:val="center"/>
          </w:tcPr>
          <w:p w14:paraId="67559D7B">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w:t>
            </w:r>
            <w:r>
              <w:rPr>
                <w:rFonts w:hint="eastAsia" w:ascii="方正仿宋_GB2312" w:hAnsi="方正仿宋_GB2312" w:eastAsia="方正仿宋_GB2312" w:cs="方正仿宋_GB2312"/>
                <w:kern w:val="0"/>
                <w:sz w:val="24"/>
                <w:szCs w:val="24"/>
                <w:highlight w:val="none"/>
                <w:lang w:val="en-US" w:eastAsia="zh-CN"/>
              </w:rPr>
              <w:t>30</w:t>
            </w:r>
            <w:r>
              <w:rPr>
                <w:rFonts w:hint="eastAsia" w:ascii="方正仿宋_GB2312" w:hAnsi="方正仿宋_GB2312" w:eastAsia="方正仿宋_GB2312" w:cs="方正仿宋_GB2312"/>
                <w:kern w:val="0"/>
                <w:sz w:val="24"/>
                <w:szCs w:val="24"/>
                <w:highlight w:val="none"/>
              </w:rPr>
              <w:t>%）</w:t>
            </w:r>
          </w:p>
        </w:tc>
        <w:tc>
          <w:tcPr>
            <w:tcW w:w="1403" w:type="dxa"/>
            <w:vAlign w:val="center"/>
          </w:tcPr>
          <w:p w14:paraId="10B99C0C">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lang w:val="en-US" w:eastAsia="zh-CN"/>
              </w:rPr>
              <w:t>3</w:t>
            </w:r>
            <w:r>
              <w:rPr>
                <w:rFonts w:hint="eastAsia" w:ascii="方正仿宋_GB2312" w:hAnsi="方正仿宋_GB2312" w:eastAsia="方正仿宋_GB2312" w:cs="方正仿宋_GB2312"/>
                <w:kern w:val="0"/>
                <w:sz w:val="24"/>
                <w:szCs w:val="24"/>
                <w:highlight w:val="none"/>
              </w:rPr>
              <w:t>0分</w:t>
            </w:r>
          </w:p>
        </w:tc>
        <w:tc>
          <w:tcPr>
            <w:tcW w:w="5011" w:type="dxa"/>
            <w:vAlign w:val="center"/>
          </w:tcPr>
          <w:p w14:paraId="18C69E01">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有效的投标报价中的最低价为评标基准价，</w:t>
            </w:r>
            <w:r>
              <w:rPr>
                <w:rFonts w:hint="eastAsia" w:ascii="方正仿宋_GB2312" w:hAnsi="方正仿宋_GB2312" w:eastAsia="方正仿宋_GB2312" w:cs="方正仿宋_GB2312"/>
                <w:sz w:val="24"/>
                <w:szCs w:val="24"/>
                <w:highlight w:val="none"/>
              </w:rPr>
              <w:t>其价格分为满分。</w:t>
            </w:r>
            <w:r>
              <w:rPr>
                <w:rFonts w:hint="eastAsia" w:ascii="方正仿宋_GB2312" w:hAnsi="方正仿宋_GB2312" w:eastAsia="方正仿宋_GB2312" w:cs="方正仿宋_GB2312"/>
                <w:kern w:val="0"/>
                <w:sz w:val="24"/>
                <w:szCs w:val="24"/>
                <w:highlight w:val="none"/>
              </w:rPr>
              <w:t xml:space="preserve">按照下列公式计算每个投标人的投标价格得分。 </w:t>
            </w:r>
          </w:p>
          <w:p w14:paraId="5E664965">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 xml:space="preserve">投标报价得分＝（评标基准价/投标报价）×价格权重×100。 </w:t>
            </w:r>
          </w:p>
          <w:p w14:paraId="1E18662E">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投标报价得分四舍五入，并取小数点后二位。</w:t>
            </w:r>
          </w:p>
        </w:tc>
        <w:tc>
          <w:tcPr>
            <w:tcW w:w="1911" w:type="dxa"/>
            <w:vAlign w:val="center"/>
          </w:tcPr>
          <w:p w14:paraId="21969A89">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高于最高限价为无效报价。</w:t>
            </w:r>
          </w:p>
        </w:tc>
      </w:tr>
      <w:tr w14:paraId="685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442" w:type="dxa"/>
            <w:vMerge w:val="restart"/>
            <w:vAlign w:val="center"/>
          </w:tcPr>
          <w:p w14:paraId="46FC9F40">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2</w:t>
            </w:r>
          </w:p>
        </w:tc>
        <w:tc>
          <w:tcPr>
            <w:tcW w:w="1270" w:type="dxa"/>
            <w:vMerge w:val="restart"/>
            <w:vAlign w:val="center"/>
          </w:tcPr>
          <w:p w14:paraId="5C2F2028">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服务部分</w:t>
            </w:r>
          </w:p>
          <w:p w14:paraId="69238A2F">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（60分）</w:t>
            </w:r>
          </w:p>
        </w:tc>
        <w:tc>
          <w:tcPr>
            <w:tcW w:w="1403" w:type="dxa"/>
            <w:vAlign w:val="center"/>
          </w:tcPr>
          <w:p w14:paraId="54763294">
            <w:pPr>
              <w:widowControl/>
              <w:spacing w:line="300" w:lineRule="exact"/>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kern w:val="0"/>
                <w:sz w:val="24"/>
                <w:szCs w:val="24"/>
                <w:highlight w:val="none"/>
                <w:lang w:eastAsia="zh-CN"/>
              </w:rPr>
              <w:t>施工方案与技术措施（</w:t>
            </w:r>
            <w:r>
              <w:rPr>
                <w:rFonts w:hint="eastAsia" w:ascii="方正仿宋_GB2312" w:hAnsi="方正仿宋_GB2312" w:eastAsia="方正仿宋_GB2312" w:cs="方正仿宋_GB2312"/>
                <w:kern w:val="0"/>
                <w:sz w:val="24"/>
                <w:szCs w:val="24"/>
                <w:highlight w:val="none"/>
                <w:lang w:val="en-US" w:eastAsia="zh-CN"/>
              </w:rPr>
              <w:t>15分</w:t>
            </w:r>
            <w:r>
              <w:rPr>
                <w:rFonts w:hint="eastAsia" w:ascii="方正仿宋_GB2312" w:hAnsi="方正仿宋_GB2312" w:eastAsia="方正仿宋_GB2312" w:cs="方正仿宋_GB2312"/>
                <w:kern w:val="0"/>
                <w:sz w:val="24"/>
                <w:szCs w:val="24"/>
                <w:highlight w:val="none"/>
                <w:lang w:eastAsia="zh-CN"/>
              </w:rPr>
              <w:t>）</w:t>
            </w:r>
          </w:p>
        </w:tc>
        <w:tc>
          <w:tcPr>
            <w:tcW w:w="5011" w:type="dxa"/>
            <w:vAlign w:val="center"/>
          </w:tcPr>
          <w:p w14:paraId="52F23369">
            <w:pPr>
              <w:widowControl/>
              <w:spacing w:line="300" w:lineRule="exact"/>
              <w:ind w:firstLine="480" w:firstLineChars="200"/>
              <w:jc w:val="both"/>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根据施工方案与技术措施进行评定。内容包括但不限于施工重点难点、机械设备进出场、主要分部分项工程的施工方案与技术措施等。</w:t>
            </w:r>
          </w:p>
          <w:p w14:paraId="0FE1529A">
            <w:pPr>
              <w:widowControl/>
              <w:spacing w:line="300" w:lineRule="exact"/>
              <w:ind w:firstLine="480" w:firstLineChars="200"/>
              <w:jc w:val="left"/>
              <w:rPr>
                <w:rFonts w:hint="default"/>
                <w:highlight w:val="none"/>
                <w:lang w:val="en-US" w:eastAsia="zh-CN"/>
              </w:rPr>
            </w:pPr>
            <w:r>
              <w:rPr>
                <w:rFonts w:hint="eastAsia" w:ascii="方正仿宋_GB2312" w:hAnsi="方正仿宋_GB2312" w:eastAsia="方正仿宋_GB2312" w:cs="方正仿宋_GB2312"/>
                <w:sz w:val="24"/>
                <w:szCs w:val="24"/>
                <w:highlight w:val="none"/>
              </w:rPr>
              <w:t>根据内容进行评分，优得15分，良得1</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rPr>
              <w:t>分，一般得</w:t>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t>分，差得2分，未提供得0分。</w:t>
            </w:r>
          </w:p>
        </w:tc>
        <w:tc>
          <w:tcPr>
            <w:tcW w:w="1911" w:type="dxa"/>
            <w:vMerge w:val="restart"/>
            <w:vAlign w:val="center"/>
          </w:tcPr>
          <w:p w14:paraId="085F057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评标委员会成员对供应商提供的技术服务方案独立评分，评标委员会所有成员对同一供应商的</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方案评分的算数平均值即为该供应商的服务部分得分。</w:t>
            </w:r>
          </w:p>
          <w:p w14:paraId="741B46A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p>
        </w:tc>
      </w:tr>
      <w:tr w14:paraId="2CF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Merge w:val="continue"/>
            <w:vAlign w:val="center"/>
          </w:tcPr>
          <w:p w14:paraId="57913388">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2291389B">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0938D54C">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质量管理体系与措施(15分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354E77CA">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根据安全管理体系与措施进行评定。内容包括但不限于安全管理体系、安全教育及培训计划、安全防护措施等。</w:t>
            </w:r>
          </w:p>
          <w:p w14:paraId="123ABF5C">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根据内容进行评分，优得15分，良得1</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rPr>
              <w:t>分，一般得</w:t>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t>分，差得2分，未提供得0分。</w:t>
            </w:r>
          </w:p>
        </w:tc>
        <w:tc>
          <w:tcPr>
            <w:tcW w:w="1911" w:type="dxa"/>
            <w:vMerge w:val="continue"/>
            <w:vAlign w:val="center"/>
          </w:tcPr>
          <w:p w14:paraId="59F44037">
            <w:pPr>
              <w:widowControl/>
              <w:spacing w:line="300" w:lineRule="exact"/>
              <w:jc w:val="left"/>
              <w:rPr>
                <w:rFonts w:hint="eastAsia" w:ascii="方正仿宋_GB2312" w:hAnsi="方正仿宋_GB2312" w:eastAsia="方正仿宋_GB2312" w:cs="方正仿宋_GB2312"/>
                <w:sz w:val="24"/>
                <w:szCs w:val="24"/>
                <w:highlight w:val="none"/>
              </w:rPr>
            </w:pPr>
          </w:p>
        </w:tc>
      </w:tr>
      <w:tr w14:paraId="200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442" w:type="dxa"/>
            <w:vMerge w:val="continue"/>
            <w:vAlign w:val="center"/>
          </w:tcPr>
          <w:p w14:paraId="552FFFA1">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4B18C7DC">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2BDDE868">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环境保护管理体系与措施</w:t>
            </w:r>
          </w:p>
          <w:p w14:paraId="280A244B">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1C35A256">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环境保护管理体系与措施按照重庆市相关规定执行，施工现场实行封闭或隔离，同时采取有效防尘措施，并有针对本项目情况的具体方案；内容包括但不限于噪音控制、扬尘控制、施工人员现场管理等。</w:t>
            </w:r>
          </w:p>
          <w:p w14:paraId="71F59DFE">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根据内容进行评分，优得15分，良得1</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rPr>
              <w:t>分，一般得</w:t>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t>分，差得2分，未提供得0分。</w:t>
            </w:r>
          </w:p>
        </w:tc>
        <w:tc>
          <w:tcPr>
            <w:tcW w:w="1911" w:type="dxa"/>
            <w:vMerge w:val="continue"/>
            <w:vAlign w:val="center"/>
          </w:tcPr>
          <w:p w14:paraId="29808E87">
            <w:pPr>
              <w:widowControl/>
              <w:spacing w:line="300" w:lineRule="exact"/>
              <w:jc w:val="left"/>
              <w:rPr>
                <w:rFonts w:hint="eastAsia" w:ascii="方正仿宋_GB2312" w:hAnsi="方正仿宋_GB2312" w:eastAsia="方正仿宋_GB2312" w:cs="方正仿宋_GB2312"/>
                <w:sz w:val="24"/>
                <w:szCs w:val="24"/>
                <w:highlight w:val="none"/>
              </w:rPr>
            </w:pPr>
          </w:p>
        </w:tc>
      </w:tr>
      <w:tr w14:paraId="514F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2" w:type="dxa"/>
            <w:vMerge w:val="continue"/>
            <w:vAlign w:val="center"/>
          </w:tcPr>
          <w:p w14:paraId="78AD6CC4">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6147D204">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421FDE3A">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服务</w:t>
            </w:r>
            <w:r>
              <w:rPr>
                <w:rFonts w:hint="eastAsia" w:ascii="方正仿宋_GB2312" w:hAnsi="方正仿宋_GB2312" w:eastAsia="方正仿宋_GB2312" w:cs="方正仿宋_GB2312"/>
                <w:color w:val="auto"/>
                <w:sz w:val="24"/>
                <w:szCs w:val="24"/>
                <w:highlight w:val="none"/>
                <w:lang w:eastAsia="zh-CN"/>
              </w:rPr>
              <w:t>进度计划与措施（</w:t>
            </w:r>
            <w:r>
              <w:rPr>
                <w:rFonts w:hint="eastAsia" w:ascii="方正仿宋_GB2312" w:hAnsi="方正仿宋_GB2312" w:eastAsia="方正仿宋_GB2312" w:cs="方正仿宋_GB2312"/>
                <w:color w:val="auto"/>
                <w:sz w:val="24"/>
                <w:szCs w:val="24"/>
                <w:highlight w:val="none"/>
                <w:lang w:val="en-US" w:eastAsia="zh-CN"/>
              </w:rPr>
              <w:t>15分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2C1762D4">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进度计划与措施进行评定。内容包括但不限于施工计划安排、施工进度控制及保障措施、应急预案等。</w:t>
            </w:r>
          </w:p>
          <w:p w14:paraId="20340164">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根据内容进行评分，优得15分，良得1</w:t>
            </w:r>
            <w:r>
              <w:rPr>
                <w:rFonts w:hint="eastAsia" w:ascii="方正仿宋_GB2312" w:hAnsi="方正仿宋_GB2312" w:eastAsia="方正仿宋_GB2312" w:cs="方正仿宋_GB2312"/>
                <w:sz w:val="24"/>
                <w:szCs w:val="24"/>
                <w:highlight w:val="none"/>
                <w:lang w:val="en-US" w:eastAsia="zh-CN"/>
              </w:rPr>
              <w:t>1</w:t>
            </w:r>
            <w:r>
              <w:rPr>
                <w:rFonts w:hint="eastAsia" w:ascii="方正仿宋_GB2312" w:hAnsi="方正仿宋_GB2312" w:eastAsia="方正仿宋_GB2312" w:cs="方正仿宋_GB2312"/>
                <w:sz w:val="24"/>
                <w:szCs w:val="24"/>
                <w:highlight w:val="none"/>
              </w:rPr>
              <w:t>分，一般得</w:t>
            </w:r>
            <w:r>
              <w:rPr>
                <w:rFonts w:hint="eastAsia" w:ascii="方正仿宋_GB2312" w:hAnsi="方正仿宋_GB2312" w:eastAsia="方正仿宋_GB2312" w:cs="方正仿宋_GB2312"/>
                <w:sz w:val="24"/>
                <w:szCs w:val="24"/>
                <w:highlight w:val="none"/>
                <w:lang w:val="en-US" w:eastAsia="zh-CN"/>
              </w:rPr>
              <w:t>6</w:t>
            </w:r>
            <w:r>
              <w:rPr>
                <w:rFonts w:hint="eastAsia" w:ascii="方正仿宋_GB2312" w:hAnsi="方正仿宋_GB2312" w:eastAsia="方正仿宋_GB2312" w:cs="方正仿宋_GB2312"/>
                <w:sz w:val="24"/>
                <w:szCs w:val="24"/>
                <w:highlight w:val="none"/>
              </w:rPr>
              <w:t>分，差得2分，未提供得0分。</w:t>
            </w:r>
          </w:p>
        </w:tc>
        <w:tc>
          <w:tcPr>
            <w:tcW w:w="1911" w:type="dxa"/>
            <w:vMerge w:val="continue"/>
            <w:vAlign w:val="center"/>
          </w:tcPr>
          <w:p w14:paraId="4F91527A">
            <w:pPr>
              <w:widowControl/>
              <w:spacing w:line="300" w:lineRule="exact"/>
              <w:jc w:val="left"/>
              <w:rPr>
                <w:rFonts w:hint="eastAsia" w:ascii="方正仿宋_GB2312" w:hAnsi="方正仿宋_GB2312" w:eastAsia="方正仿宋_GB2312" w:cs="方正仿宋_GB2312"/>
                <w:sz w:val="24"/>
                <w:szCs w:val="24"/>
                <w:highlight w:val="none"/>
              </w:rPr>
            </w:pPr>
          </w:p>
        </w:tc>
      </w:tr>
      <w:tr w14:paraId="219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42" w:type="dxa"/>
            <w:vMerge w:val="restart"/>
            <w:vAlign w:val="center"/>
          </w:tcPr>
          <w:p w14:paraId="4359435A">
            <w:pPr>
              <w:widowControl/>
              <w:spacing w:line="300" w:lineRule="exact"/>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3</w:t>
            </w:r>
          </w:p>
        </w:tc>
        <w:tc>
          <w:tcPr>
            <w:tcW w:w="1270" w:type="dxa"/>
            <w:vMerge w:val="restart"/>
            <w:vAlign w:val="center"/>
          </w:tcPr>
          <w:p w14:paraId="779698D5">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商务部分（10%）</w:t>
            </w:r>
          </w:p>
        </w:tc>
        <w:tc>
          <w:tcPr>
            <w:tcW w:w="1403" w:type="dxa"/>
            <w:vAlign w:val="center"/>
          </w:tcPr>
          <w:p w14:paraId="1279A3F8">
            <w:pPr>
              <w:adjustRightInd w:val="0"/>
              <w:snapToGrid w:val="0"/>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业绩经验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6分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656353D3">
            <w:pPr>
              <w:widowControl/>
              <w:spacing w:line="300" w:lineRule="exact"/>
              <w:ind w:firstLine="480" w:firstLineChars="200"/>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供应商自2022年1月1日至今（以合同签订时间为准），完成类似场地美化业绩，每提供1个项目得3分，最高得6分。</w:t>
            </w:r>
          </w:p>
          <w:p w14:paraId="2E6F1544">
            <w:pPr>
              <w:widowControl/>
              <w:spacing w:line="300" w:lineRule="exact"/>
              <w:ind w:firstLine="480" w:firstLineChars="200"/>
              <w:rPr>
                <w:rFonts w:hint="eastAsia" w:ascii="方正仿宋_GB2312" w:hAnsi="方正仿宋_GB2312" w:eastAsia="方正仿宋_GB2312" w:cs="方正仿宋_GB2312"/>
                <w:kern w:val="0"/>
                <w:sz w:val="24"/>
                <w:szCs w:val="24"/>
                <w:highlight w:val="none"/>
              </w:rPr>
            </w:pPr>
          </w:p>
        </w:tc>
        <w:tc>
          <w:tcPr>
            <w:tcW w:w="1911" w:type="dxa"/>
            <w:vAlign w:val="center"/>
          </w:tcPr>
          <w:p w14:paraId="141E6761">
            <w:pPr>
              <w:adjustRightInd w:val="0"/>
              <w:snapToGrid w:val="0"/>
              <w:jc w:val="both"/>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提供合</w:t>
            </w:r>
            <w:r>
              <w:rPr>
                <w:rFonts w:hint="eastAsia" w:ascii="方正仿宋_GB2312" w:hAnsi="方正仿宋_GB2312" w:eastAsia="方正仿宋_GB2312" w:cs="方正仿宋_GB2312"/>
                <w:color w:val="auto"/>
                <w:sz w:val="24"/>
                <w:szCs w:val="24"/>
                <w:highlight w:val="none"/>
                <w:lang w:val="en-US" w:eastAsia="zh-CN"/>
              </w:rPr>
              <w:t>同</w:t>
            </w:r>
            <w:r>
              <w:rPr>
                <w:rFonts w:hint="eastAsia" w:ascii="方正仿宋_GB2312" w:hAnsi="方正仿宋_GB2312" w:eastAsia="方正仿宋_GB2312" w:cs="方正仿宋_GB2312"/>
                <w:color w:val="auto"/>
                <w:sz w:val="24"/>
                <w:szCs w:val="24"/>
                <w:highlight w:val="none"/>
              </w:rPr>
              <w:t>复印件加盖供应商公章</w:t>
            </w:r>
            <w:r>
              <w:rPr>
                <w:rFonts w:hint="eastAsia" w:ascii="方正仿宋_GB2312" w:hAnsi="方正仿宋_GB2312" w:eastAsia="方正仿宋_GB2312" w:cs="方正仿宋_GB2312"/>
                <w:color w:val="auto"/>
                <w:sz w:val="24"/>
                <w:szCs w:val="24"/>
                <w:highlight w:val="none"/>
                <w:lang w:eastAsia="zh-CN"/>
              </w:rPr>
              <w:t>。</w:t>
            </w:r>
          </w:p>
        </w:tc>
      </w:tr>
      <w:tr w14:paraId="2984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42" w:type="dxa"/>
            <w:vMerge w:val="continue"/>
            <w:vAlign w:val="center"/>
          </w:tcPr>
          <w:p w14:paraId="7C6FED78">
            <w:pPr>
              <w:widowControl/>
              <w:spacing w:line="300" w:lineRule="exact"/>
              <w:jc w:val="left"/>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479003B4">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p>
        </w:tc>
        <w:tc>
          <w:tcPr>
            <w:tcW w:w="1403" w:type="dxa"/>
            <w:vAlign w:val="center"/>
          </w:tcPr>
          <w:p w14:paraId="5BA18356">
            <w:pPr>
              <w:adjustRightInd w:val="0"/>
              <w:snapToGrid w:val="0"/>
              <w:jc w:val="center"/>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售后服务（4分）</w:t>
            </w:r>
          </w:p>
        </w:tc>
        <w:tc>
          <w:tcPr>
            <w:tcW w:w="5011" w:type="dxa"/>
            <w:vAlign w:val="center"/>
          </w:tcPr>
          <w:p w14:paraId="485DBA64">
            <w:pPr>
              <w:widowControl/>
              <w:spacing w:line="300" w:lineRule="exact"/>
              <w:ind w:firstLine="480" w:firstLineChars="200"/>
              <w:rPr>
                <w:rFonts w:hint="default"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供应商承诺提供自采购人验收合格之日起，每提供一年的质保服务得2分，最高得4分。</w:t>
            </w:r>
          </w:p>
        </w:tc>
        <w:tc>
          <w:tcPr>
            <w:tcW w:w="1911" w:type="dxa"/>
            <w:vAlign w:val="center"/>
          </w:tcPr>
          <w:p w14:paraId="19B33D98">
            <w:pPr>
              <w:adjustRightInd w:val="0"/>
              <w:snapToGrid w:val="0"/>
              <w:jc w:val="left"/>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提供售后服务承诺书并加盖供应商公章（格式自拟）。</w:t>
            </w:r>
          </w:p>
        </w:tc>
      </w:tr>
    </w:tbl>
    <w:p w14:paraId="135AACFE">
      <w:pPr>
        <w:rPr>
          <w:rFonts w:hint="eastAsia" w:ascii="方正仿宋_GB2312" w:hAnsi="方正仿宋_GB2312" w:eastAsia="方正仿宋_GB2312" w:cs="方正仿宋_GB2312"/>
          <w:highlight w:val="none"/>
        </w:rPr>
      </w:pPr>
    </w:p>
    <w:bookmarkEnd w:id="92"/>
    <w:p w14:paraId="13AF2789">
      <w:pPr>
        <w:pStyle w:val="4"/>
        <w:spacing w:line="360" w:lineRule="auto"/>
        <w:rPr>
          <w:rFonts w:hint="eastAsia" w:ascii="方正仿宋_GB2312" w:hAnsi="方正仿宋_GB2312" w:eastAsia="方正仿宋_GB2312" w:cs="方正仿宋_GB2312"/>
          <w:highlight w:val="none"/>
        </w:rPr>
      </w:pPr>
      <w:bookmarkStart w:id="93" w:name="_Toc182478335"/>
      <w:bookmarkStart w:id="94" w:name="_Toc102227313"/>
      <w:bookmarkStart w:id="95" w:name="_Toc106030892"/>
      <w:bookmarkStart w:id="96" w:name="_Toc76462337"/>
      <w:r>
        <w:rPr>
          <w:rFonts w:hint="eastAsia" w:ascii="方正仿宋_GB2312" w:hAnsi="方正仿宋_GB2312" w:eastAsia="方正仿宋_GB2312" w:cs="方正仿宋_GB2312"/>
          <w:highlight w:val="none"/>
        </w:rPr>
        <w:t>三、无效响应</w:t>
      </w:r>
      <w:bookmarkEnd w:id="93"/>
    </w:p>
    <w:p w14:paraId="107B9100">
      <w:pPr>
        <w:snapToGrid w:val="0"/>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供应商发生以下条款情况之一者，视为无效报价：</w:t>
      </w:r>
    </w:p>
    <w:p w14:paraId="10EFDA85">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（一）供应商不符合规定的资格条件的；</w:t>
      </w:r>
    </w:p>
    <w:p w14:paraId="3DDB793F">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（二）供应商未通过实质性响应审查的；</w:t>
      </w:r>
    </w:p>
    <w:p w14:paraId="390F4B73">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（三）供应商所提交的响应文件未按“第七篇响应文件格式要求”要求签署或盖章的；</w:t>
      </w:r>
    </w:p>
    <w:p w14:paraId="4A974181">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（四）供应商的报价超过采购预算或最高限价的；</w:t>
      </w:r>
    </w:p>
    <w:p w14:paraId="23E6F4B1">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（五）单位负责人为同一人或者存在直接控股、管理关系的不同供应商，参加同一合同项（包）报价的；</w:t>
      </w:r>
    </w:p>
    <w:p w14:paraId="198D42C9">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（六）为采购项目提供整体设计、规范编制或者项目管理、监理、检测等服务的供应商再参加该采购项目的其他采购活动的；</w:t>
      </w:r>
    </w:p>
    <w:p w14:paraId="1786DB39">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（七）法律、法规和竞采邀请书规定的其他无效情形。</w:t>
      </w:r>
    </w:p>
    <w:p w14:paraId="276DCC8A">
      <w:pPr>
        <w:pStyle w:val="4"/>
        <w:spacing w:line="360" w:lineRule="auto"/>
        <w:rPr>
          <w:rFonts w:hint="eastAsia" w:ascii="方正仿宋_GB2312" w:hAnsi="方正仿宋_GB2312" w:eastAsia="方正仿宋_GB2312" w:cs="方正仿宋_GB2312"/>
          <w:highlight w:val="none"/>
        </w:rPr>
      </w:pPr>
      <w:bookmarkStart w:id="97" w:name="_Toc106030398"/>
      <w:bookmarkStart w:id="98" w:name="_Toc21946"/>
      <w:bookmarkStart w:id="99" w:name="_Toc20005"/>
      <w:bookmarkStart w:id="100" w:name="_Toc25960"/>
      <w:bookmarkStart w:id="101" w:name="_Toc4422"/>
      <w:bookmarkStart w:id="102" w:name="_Toc7802"/>
      <w:bookmarkStart w:id="103" w:name="_Toc25549"/>
      <w:bookmarkStart w:id="104" w:name="_Toc75793522"/>
      <w:bookmarkStart w:id="105" w:name="_Toc23533"/>
      <w:bookmarkStart w:id="106" w:name="_Toc14355"/>
      <w:bookmarkStart w:id="107" w:name="_Toc27133"/>
      <w:bookmarkStart w:id="108" w:name="_Toc6956"/>
      <w:bookmarkStart w:id="109" w:name="_Toc6719"/>
      <w:bookmarkStart w:id="110" w:name="_Toc11293"/>
      <w:bookmarkStart w:id="111" w:name="_Toc30605"/>
      <w:bookmarkStart w:id="112" w:name="_Toc6204"/>
      <w:bookmarkStart w:id="113" w:name="_Toc182478336"/>
      <w:r>
        <w:rPr>
          <w:rFonts w:hint="eastAsia" w:ascii="方正仿宋_GB2312" w:hAnsi="方正仿宋_GB2312" w:eastAsia="方正仿宋_GB2312" w:cs="方正仿宋_GB2312"/>
          <w:highlight w:val="none"/>
        </w:rPr>
        <w:t>四、</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方正仿宋_GB2312" w:hAnsi="方正仿宋_GB2312" w:eastAsia="方正仿宋_GB2312" w:cs="方正仿宋_GB2312"/>
          <w:highlight w:val="none"/>
        </w:rPr>
        <w:t>采购终止</w:t>
      </w:r>
      <w:bookmarkEnd w:id="113"/>
    </w:p>
    <w:p w14:paraId="52E1515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出现下列情形之一的，采购人或者采购代理机构应当终止采购活动，发布项目终止公告并说明原因，重新开展采购活动：</w:t>
      </w:r>
    </w:p>
    <w:p w14:paraId="64CD8897">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（一）因情况变化，不再符合规定的采购方式适用情形的；</w:t>
      </w:r>
    </w:p>
    <w:p w14:paraId="5313E57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（二）出现影响采购公正的违法、违规行为的；</w:t>
      </w:r>
    </w:p>
    <w:p w14:paraId="77DCF85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（三）在采购过程中符合竞采要求的供应商不足3家的；</w:t>
      </w:r>
    </w:p>
    <w:p w14:paraId="58C88C6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（四）项目出现其他实质性影响，可能导致项目无法正常开展的情形。</w:t>
      </w:r>
    </w:p>
    <w:p w14:paraId="6C946CEC">
      <w:pPr>
        <w:pStyle w:val="3"/>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4C70E37">
      <w:pPr>
        <w:pStyle w:val="3"/>
        <w:spacing w:line="360" w:lineRule="auto"/>
        <w:jc w:val="center"/>
        <w:rPr>
          <w:rFonts w:hint="eastAsia" w:ascii="方正仿宋_GB2312" w:hAnsi="方正仿宋_GB2312" w:eastAsia="方正仿宋_GB2312" w:cs="方正仿宋_GB2312"/>
          <w:highlight w:val="none"/>
        </w:rPr>
      </w:pPr>
      <w:bookmarkStart w:id="114" w:name="_Toc182478337"/>
      <w:r>
        <w:rPr>
          <w:rFonts w:hint="eastAsia" w:ascii="方正仿宋_GB2312" w:hAnsi="方正仿宋_GB2312" w:eastAsia="方正仿宋_GB2312" w:cs="方正仿宋_GB2312"/>
          <w:highlight w:val="none"/>
        </w:rPr>
        <w:t>第五篇 供应商须知</w:t>
      </w:r>
      <w:bookmarkEnd w:id="94"/>
      <w:bookmarkEnd w:id="95"/>
      <w:bookmarkEnd w:id="96"/>
      <w:bookmarkEnd w:id="114"/>
    </w:p>
    <w:p w14:paraId="5B0B4D79">
      <w:pPr>
        <w:pStyle w:val="4"/>
        <w:spacing w:line="360" w:lineRule="auto"/>
        <w:rPr>
          <w:rFonts w:hint="eastAsia" w:ascii="方正仿宋_GB2312" w:hAnsi="方正仿宋_GB2312" w:eastAsia="方正仿宋_GB2312" w:cs="方正仿宋_GB2312"/>
          <w:highlight w:val="none"/>
        </w:rPr>
      </w:pPr>
      <w:bookmarkStart w:id="115" w:name="_Toc106030893"/>
      <w:bookmarkStart w:id="116" w:name="_Toc182478338"/>
      <w:bookmarkStart w:id="117" w:name="_Toc342913389"/>
      <w:bookmarkStart w:id="118" w:name="_Toc76462338"/>
      <w:r>
        <w:rPr>
          <w:rFonts w:hint="eastAsia" w:ascii="方正仿宋_GB2312" w:hAnsi="方正仿宋_GB2312" w:eastAsia="方正仿宋_GB2312" w:cs="方正仿宋_GB2312"/>
          <w:highlight w:val="none"/>
        </w:rPr>
        <w:t>一、竞采费用</w:t>
      </w:r>
      <w:bookmarkEnd w:id="115"/>
      <w:bookmarkEnd w:id="116"/>
      <w:bookmarkEnd w:id="117"/>
      <w:bookmarkEnd w:id="118"/>
    </w:p>
    <w:p w14:paraId="7463D8FB">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参与竞采的供应商应承担其编制响应文件与递交响应文件所涉及的一切费用，不论竞采结果如何，采购人和采购代理机构在任何情况下无义务也无责任承担这些费用。</w:t>
      </w:r>
    </w:p>
    <w:p w14:paraId="48BC1215">
      <w:pPr>
        <w:pStyle w:val="4"/>
        <w:spacing w:line="360" w:lineRule="auto"/>
        <w:rPr>
          <w:rFonts w:hint="eastAsia" w:ascii="方正仿宋_GB2312" w:hAnsi="方正仿宋_GB2312" w:eastAsia="方正仿宋_GB2312" w:cs="方正仿宋_GB2312"/>
          <w:highlight w:val="none"/>
        </w:rPr>
      </w:pPr>
      <w:bookmarkStart w:id="119" w:name="_Toc76462339"/>
      <w:bookmarkStart w:id="120" w:name="_Toc342913391"/>
      <w:bookmarkStart w:id="121" w:name="_Toc106030894"/>
      <w:bookmarkStart w:id="122" w:name="_Toc182478339"/>
      <w:r>
        <w:rPr>
          <w:rFonts w:hint="eastAsia" w:ascii="方正仿宋_GB2312" w:hAnsi="方正仿宋_GB2312" w:eastAsia="方正仿宋_GB2312" w:cs="方正仿宋_GB2312"/>
          <w:highlight w:val="none"/>
        </w:rPr>
        <w:t>二、竞采文件</w:t>
      </w:r>
      <w:bookmarkEnd w:id="119"/>
      <w:bookmarkEnd w:id="120"/>
      <w:bookmarkEnd w:id="121"/>
      <w:bookmarkEnd w:id="122"/>
    </w:p>
    <w:p w14:paraId="70A3CBC9">
      <w:pPr>
        <w:pStyle w:val="26"/>
        <w:ind w:firstLine="480"/>
        <w:rPr>
          <w:rFonts w:hint="eastAsia" w:ascii="方正仿宋_GB2312" w:hAnsi="方正仿宋_GB2312" w:eastAsia="方正仿宋_GB2312" w:cs="方正仿宋_GB2312"/>
          <w:b/>
          <w:bCs/>
          <w:szCs w:val="28"/>
          <w:highlight w:val="none"/>
        </w:rPr>
      </w:pPr>
      <w:r>
        <w:rPr>
          <w:rFonts w:hint="eastAsia" w:ascii="方正仿宋_GB2312" w:hAnsi="方正仿宋_GB2312" w:eastAsia="方正仿宋_GB2312" w:cs="方正仿宋_GB2312"/>
          <w:szCs w:val="28"/>
          <w:highlight w:val="none"/>
        </w:rPr>
        <w:t>（一）</w:t>
      </w:r>
      <w:r>
        <w:rPr>
          <w:rFonts w:hint="eastAsia" w:ascii="方正仿宋_GB2312" w:hAnsi="方正仿宋_GB2312" w:eastAsia="方正仿宋_GB2312" w:cs="方正仿宋_GB2312"/>
          <w:b/>
          <w:bCs/>
          <w:szCs w:val="28"/>
          <w:highlight w:val="none"/>
        </w:rPr>
        <w:t>竞采文件由采购邀请书、项目服务需求、供应商须知、项目商务需求、竞采程序及评审标准、采购合同、响应文件编制要求七部分组成。</w:t>
      </w:r>
    </w:p>
    <w:p w14:paraId="49005FF1">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（二）采购人（或采购代理机构）所作的一切有效的书面通知、修改及补充，都是竞采文件不可分割的部分。</w:t>
      </w:r>
    </w:p>
    <w:p w14:paraId="60A62B9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（三）竞采文件的解释</w:t>
      </w:r>
    </w:p>
    <w:p w14:paraId="79937621">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23" w:name="_Toc318159349"/>
      <w:bookmarkStart w:id="124" w:name="_Toc318166429"/>
      <w:bookmarkStart w:id="125" w:name="_Toc318159780"/>
      <w:bookmarkStart w:id="126" w:name="_Toc318159160"/>
    </w:p>
    <w:p w14:paraId="383C4BD1">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（四）评审的依据为竞采文件和响应文件（含有效的书面承诺）。评审小组判断响应文件对竞采文件的响应，仅基于响应文件本身而不靠外部证据。</w:t>
      </w:r>
    </w:p>
    <w:bookmarkEnd w:id="123"/>
    <w:bookmarkEnd w:id="124"/>
    <w:bookmarkEnd w:id="125"/>
    <w:bookmarkEnd w:id="126"/>
    <w:p w14:paraId="23F20835">
      <w:pPr>
        <w:pStyle w:val="4"/>
        <w:spacing w:line="360" w:lineRule="auto"/>
        <w:rPr>
          <w:rFonts w:hint="eastAsia" w:ascii="方正仿宋_GB2312" w:hAnsi="方正仿宋_GB2312" w:eastAsia="方正仿宋_GB2312" w:cs="方正仿宋_GB2312"/>
          <w:highlight w:val="none"/>
        </w:rPr>
      </w:pPr>
      <w:bookmarkStart w:id="127" w:name="_Toc102227318"/>
      <w:bookmarkStart w:id="128" w:name="_Toc106030895"/>
      <w:bookmarkStart w:id="129" w:name="_Toc342913392"/>
      <w:bookmarkStart w:id="130" w:name="_Toc182478340"/>
      <w:bookmarkStart w:id="131" w:name="_Toc76462340"/>
      <w:bookmarkStart w:id="132" w:name="_Toc179714297"/>
      <w:r>
        <w:rPr>
          <w:rFonts w:hint="eastAsia" w:ascii="方正仿宋_GB2312" w:hAnsi="方正仿宋_GB2312" w:eastAsia="方正仿宋_GB2312" w:cs="方正仿宋_GB2312"/>
          <w:highlight w:val="none"/>
        </w:rPr>
        <w:t>三、竞采要求</w:t>
      </w:r>
      <w:bookmarkEnd w:id="127"/>
      <w:bookmarkEnd w:id="128"/>
      <w:bookmarkEnd w:id="129"/>
      <w:bookmarkEnd w:id="130"/>
      <w:bookmarkEnd w:id="131"/>
      <w:bookmarkEnd w:id="132"/>
    </w:p>
    <w:p w14:paraId="18E2C46C">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（一）响应文件</w:t>
      </w:r>
    </w:p>
    <w:p w14:paraId="00C5ABF8">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1.供应商应当按照竞采文件的要求编制响应文件，并对竞采文件提出的要求和条件作出实质性响应。</w:t>
      </w:r>
    </w:p>
    <w:p w14:paraId="77C605AD">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2.响应文件组成</w:t>
      </w:r>
    </w:p>
    <w:p w14:paraId="5AF1EB78">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886E373">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（二）竞采有效期：响应文件及有关承诺文件有效期为提交响应文件截止时间起90天。</w:t>
      </w:r>
    </w:p>
    <w:p w14:paraId="1B29ADC4">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（三）修正错误</w:t>
      </w:r>
    </w:p>
    <w:p w14:paraId="20EECF58">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1.若供应商所递交的响应文件或最后报价中的价格出现大写金额和小写金额不一致的错误，以</w:t>
      </w:r>
      <w:r>
        <w:rPr>
          <w:rFonts w:hint="eastAsia" w:ascii="方正仿宋_GB2312" w:hAnsi="方正仿宋_GB2312" w:eastAsia="方正仿宋_GB2312" w:cs="方正仿宋_GB2312"/>
          <w:b/>
          <w:bCs/>
          <w:szCs w:val="28"/>
          <w:highlight w:val="none"/>
          <w:u w:val="single"/>
        </w:rPr>
        <w:t>大写金额修正为准</w:t>
      </w:r>
      <w:r>
        <w:rPr>
          <w:rFonts w:hint="eastAsia" w:ascii="方正仿宋_GB2312" w:hAnsi="方正仿宋_GB2312" w:eastAsia="方正仿宋_GB2312" w:cs="方正仿宋_GB2312"/>
          <w:szCs w:val="28"/>
          <w:highlight w:val="none"/>
        </w:rPr>
        <w:t>。</w:t>
      </w:r>
    </w:p>
    <w:p w14:paraId="3350B9A5">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7DCC13B">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（四）提交响应文件的份数和签署</w:t>
      </w:r>
    </w:p>
    <w:p w14:paraId="05FEE31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1.响应文件电子文档一份。</w:t>
      </w:r>
    </w:p>
    <w:p w14:paraId="1F918A2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2.响应文件按竞采文件“第七篇响应文件编制要求”要求签署或盖章。</w:t>
      </w:r>
    </w:p>
    <w:p w14:paraId="08DB469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（五）响应文件的递交</w:t>
      </w:r>
    </w:p>
    <w:p w14:paraId="44161804">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响应文件的电子文档应在有效报名时间段内，通过竞采系统在线提交。</w:t>
      </w:r>
    </w:p>
    <w:p w14:paraId="3A42F153">
      <w:pPr>
        <w:pStyle w:val="4"/>
        <w:spacing w:line="360" w:lineRule="auto"/>
        <w:rPr>
          <w:rFonts w:hint="eastAsia" w:ascii="方正仿宋_GB2312" w:hAnsi="方正仿宋_GB2312" w:eastAsia="方正仿宋_GB2312" w:cs="方正仿宋_GB2312"/>
          <w:highlight w:val="none"/>
        </w:rPr>
      </w:pPr>
      <w:bookmarkStart w:id="133" w:name="_Toc182478341"/>
      <w:bookmarkStart w:id="134" w:name="_Toc106030896"/>
      <w:bookmarkStart w:id="135" w:name="_Toc76462341"/>
      <w:r>
        <w:rPr>
          <w:rFonts w:hint="eastAsia" w:ascii="方正仿宋_GB2312" w:hAnsi="方正仿宋_GB2312" w:eastAsia="方正仿宋_GB2312" w:cs="方正仿宋_GB2312"/>
          <w:highlight w:val="none"/>
        </w:rPr>
        <w:t>四、成交供应商的确认和变更</w:t>
      </w:r>
      <w:bookmarkEnd w:id="133"/>
      <w:bookmarkEnd w:id="134"/>
      <w:bookmarkEnd w:id="135"/>
    </w:p>
    <w:p w14:paraId="2F8B9F2B">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（一）成交供应商的确认</w:t>
      </w:r>
    </w:p>
    <w:p w14:paraId="7BB1F792">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采购人应当在5个工作日内，从评审报告提出的成交候选供应商中，按照排序由高到低的原则确定成交供应商，也可以授权竞采小组直接确定成交供应商。</w:t>
      </w:r>
    </w:p>
    <w:p w14:paraId="523A5B4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（二）成交供应商的变更</w:t>
      </w:r>
    </w:p>
    <w:p w14:paraId="6DE6FBAC">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成交供应商拒绝与采购人签订合同的，采购人可以按照评标报告推荐的成交候选供应商顺序，确定排名下一位的候选人为成交供应商，也可以重新开展竞采活动。</w:t>
      </w:r>
    </w:p>
    <w:p w14:paraId="130931AC">
      <w:pPr>
        <w:pStyle w:val="4"/>
        <w:spacing w:line="360" w:lineRule="auto"/>
        <w:rPr>
          <w:rFonts w:hint="eastAsia" w:ascii="方正仿宋_GB2312" w:hAnsi="方正仿宋_GB2312" w:eastAsia="方正仿宋_GB2312" w:cs="方正仿宋_GB2312"/>
          <w:highlight w:val="none"/>
        </w:rPr>
      </w:pPr>
      <w:bookmarkStart w:id="136" w:name="_Toc76462342"/>
      <w:bookmarkStart w:id="137" w:name="_Toc106030897"/>
      <w:bookmarkStart w:id="138" w:name="_Toc342913395"/>
      <w:bookmarkStart w:id="139" w:name="_Toc102227321"/>
      <w:bookmarkStart w:id="140" w:name="_Toc182478342"/>
      <w:r>
        <w:rPr>
          <w:rFonts w:hint="eastAsia" w:ascii="方正仿宋_GB2312" w:hAnsi="方正仿宋_GB2312" w:eastAsia="方正仿宋_GB2312" w:cs="方正仿宋_GB2312"/>
          <w:highlight w:val="none"/>
        </w:rPr>
        <w:t>五、成交通知</w:t>
      </w:r>
      <w:bookmarkEnd w:id="136"/>
      <w:bookmarkEnd w:id="137"/>
      <w:bookmarkEnd w:id="138"/>
      <w:bookmarkEnd w:id="139"/>
      <w:bookmarkEnd w:id="140"/>
    </w:p>
    <w:p w14:paraId="1B00B99F">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（一）成交供应商确定后，采购人/代理机构将在行采家上发布成交结果公告。</w:t>
      </w:r>
    </w:p>
    <w:p w14:paraId="69DEFCDF">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（二）结果公告发出同时，采购人/代理机构将以书面形式发出《成交通知书》。《成交通知书》一经发出即发生法律效力。</w:t>
      </w:r>
    </w:p>
    <w:p w14:paraId="153E486D">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（三）《成交通知书》作为签订合同的依据。</w:t>
      </w:r>
    </w:p>
    <w:p w14:paraId="5618E8F2">
      <w:pPr>
        <w:pStyle w:val="4"/>
        <w:spacing w:line="360" w:lineRule="auto"/>
        <w:rPr>
          <w:rFonts w:hint="eastAsia" w:ascii="方正仿宋_GB2312" w:hAnsi="方正仿宋_GB2312" w:eastAsia="方正仿宋_GB2312" w:cs="方正仿宋_GB2312"/>
          <w:highlight w:val="none"/>
        </w:rPr>
      </w:pPr>
      <w:bookmarkStart w:id="141" w:name="_Toc76462343"/>
      <w:bookmarkStart w:id="142" w:name="_Toc182478343"/>
      <w:bookmarkStart w:id="143" w:name="_Toc106030898"/>
      <w:r>
        <w:rPr>
          <w:rFonts w:hint="eastAsia" w:ascii="方正仿宋_GB2312" w:hAnsi="方正仿宋_GB2312" w:eastAsia="方正仿宋_GB2312" w:cs="方正仿宋_GB2312"/>
          <w:highlight w:val="none"/>
        </w:rPr>
        <w:t>六、关于质疑和投诉</w:t>
      </w:r>
      <w:bookmarkEnd w:id="141"/>
      <w:bookmarkEnd w:id="142"/>
      <w:bookmarkEnd w:id="143"/>
    </w:p>
    <w:p w14:paraId="21D213EE">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（一）质疑</w:t>
      </w:r>
    </w:p>
    <w:p w14:paraId="21A95B85">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供应商认为采购文件、采购过程和成交结果使自己的权益收到伤害的，可向采购人或采购代理机构以书面形式提出质疑。</w:t>
      </w:r>
    </w:p>
    <w:p w14:paraId="30FC522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 xml:space="preserve">提出质疑的应当是参与所质疑项目采购活动的供应商。 </w:t>
      </w:r>
    </w:p>
    <w:p w14:paraId="5719E9E2">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1.质疑时限、内容</w:t>
      </w:r>
    </w:p>
    <w:p w14:paraId="2E39F91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供应商认为采购文件、采购过程、成交结果使自己的权益受到损害的，可以在知道或者应知其权益受到损害之日起2个工作日内，以书面形式向采购人、采购代理机构提出质疑。</w:t>
      </w:r>
    </w:p>
    <w:p w14:paraId="2A834821">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1.2供应商提出质疑应当提交质疑函和必要的证明材料，质疑函应当包括下列内容：</w:t>
      </w:r>
    </w:p>
    <w:p w14:paraId="124DB64F">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1.2.1供应商的名称、地址、联系人及联系电话；</w:t>
      </w:r>
    </w:p>
    <w:p w14:paraId="7BC461F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1.2.2质疑项目的名称、采购编号；</w:t>
      </w:r>
    </w:p>
    <w:p w14:paraId="188BEF41">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1.2.3具体、明确的质疑事项和与质疑事项相关的请求；</w:t>
      </w:r>
    </w:p>
    <w:p w14:paraId="66E3813D">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1.2.4事实依据；</w:t>
      </w:r>
    </w:p>
    <w:p w14:paraId="7F368DB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1.2.5必要的法律依据；</w:t>
      </w:r>
    </w:p>
    <w:p w14:paraId="4222B24C">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1.2.6提出质疑的日期；</w:t>
      </w:r>
    </w:p>
    <w:p w14:paraId="678AAE29">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1.2.7营业执照（或事业单位法人证书，或个体工商户营业执照或有效的自然人身份证明）复印件；</w:t>
      </w:r>
    </w:p>
    <w:p w14:paraId="1F32B71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1.2.8法定代表人授权委托书原件、法定代表人身份证复印件和其授权代表的身份证复印件（供应商为自然人的提供自然人身份证复印件）；</w:t>
      </w:r>
    </w:p>
    <w:p w14:paraId="18670E3D">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1.3供应商为自然人的，质疑函应当由本人签字；供应商为法人或者其他组织的，质疑函应当由法定代表人、主要负责人，或者其授权代表签字或者盖章，并加盖公章。</w:t>
      </w:r>
    </w:p>
    <w:p w14:paraId="2D91BAB9">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2.质疑答复</w:t>
      </w:r>
    </w:p>
    <w:p w14:paraId="1890D93B">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采购人、采购代理机构应当在收到供应商的书面质疑后2个工作日内作出答复，并以书面形式通知质疑供应商和其他有关供应商。</w:t>
      </w:r>
    </w:p>
    <w:p w14:paraId="1B3E348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3.其他</w:t>
      </w:r>
    </w:p>
    <w:p w14:paraId="7EA36EC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（如有）</w:t>
      </w:r>
    </w:p>
    <w:p w14:paraId="1BA72D03">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（二）投诉</w:t>
      </w:r>
    </w:p>
    <w:p w14:paraId="42C67B77">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1.供应商对采购人、采购代理机构的答复不满意，或者采购人、采购代理机构未在规定时间内作出答复的，可以在答复期满后2个工作日内向璧山国资中心提起投诉。</w:t>
      </w:r>
    </w:p>
    <w:p w14:paraId="58785C29">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2.在确定受理投诉后，璧山国资中心7个工作日内（需要检验、检测、鉴定、专家评审以及需要投诉人补正材料的，所需时间不计算在投诉处理期限内）对投诉事项做出处理决定。</w:t>
      </w:r>
    </w:p>
    <w:p w14:paraId="2DCCA94F">
      <w:pPr>
        <w:pStyle w:val="4"/>
        <w:spacing w:line="360" w:lineRule="auto"/>
        <w:rPr>
          <w:rFonts w:hint="eastAsia" w:ascii="方正仿宋_GB2312" w:hAnsi="方正仿宋_GB2312" w:eastAsia="方正仿宋_GB2312" w:cs="方正仿宋_GB2312"/>
          <w:highlight w:val="none"/>
        </w:rPr>
      </w:pPr>
      <w:bookmarkStart w:id="144" w:name="_Toc106030899"/>
      <w:bookmarkStart w:id="145" w:name="_Toc76462344"/>
      <w:bookmarkStart w:id="146" w:name="_Toc182478344"/>
      <w:r>
        <w:rPr>
          <w:rFonts w:hint="eastAsia" w:ascii="方正仿宋_GB2312" w:hAnsi="方正仿宋_GB2312" w:eastAsia="方正仿宋_GB2312" w:cs="方正仿宋_GB2312"/>
          <w:highlight w:val="none"/>
        </w:rPr>
        <w:t>七、采购代理服务费</w:t>
      </w:r>
      <w:bookmarkEnd w:id="144"/>
      <w:bookmarkEnd w:id="145"/>
      <w:bookmarkEnd w:id="146"/>
    </w:p>
    <w:p w14:paraId="1EA9F47F">
      <w:pPr>
        <w:pStyle w:val="26"/>
        <w:rPr>
          <w:rFonts w:hint="eastAsia" w:ascii="方正仿宋_GBK" w:hAnsi="方正仿宋_GBK" w:eastAsia="方正仿宋_GBK" w:cs="方正仿宋_GBK"/>
          <w:color w:val="auto"/>
          <w:szCs w:val="28"/>
          <w:highlight w:val="none"/>
          <w:lang w:eastAsia="zh-CN"/>
        </w:rPr>
      </w:pPr>
      <w:bookmarkStart w:id="147" w:name="OLE_LINK7"/>
      <w:bookmarkStart w:id="148" w:name="OLE_LINK8"/>
      <w:r>
        <w:rPr>
          <w:rFonts w:hint="eastAsia" w:ascii="方正仿宋_GB2312" w:hAnsi="方正仿宋_GB2312" w:eastAsia="方正仿宋_GB2312" w:cs="方正仿宋_GB2312"/>
          <w:szCs w:val="28"/>
          <w:highlight w:val="none"/>
        </w:rPr>
        <w:t>供应商成交后向采购代理机构缴纳采购代理服务费，采购代理服务费</w:t>
      </w:r>
      <w:bookmarkEnd w:id="147"/>
      <w:bookmarkEnd w:id="148"/>
      <w:r>
        <w:rPr>
          <w:rFonts w:hint="eastAsia" w:ascii="方正仿宋_GB2312" w:hAnsi="方正仿宋_GB2312" w:eastAsia="方正仿宋_GB2312" w:cs="方正仿宋_GB2312"/>
          <w:szCs w:val="28"/>
          <w:highlight w:val="none"/>
        </w:rPr>
        <w:t>为</w:t>
      </w:r>
      <w:r>
        <w:rPr>
          <w:rFonts w:hint="eastAsia" w:ascii="方正仿宋_GB2312" w:hAnsi="方正仿宋_GB2312" w:eastAsia="方正仿宋_GB2312" w:cs="方正仿宋_GB2312"/>
          <w:szCs w:val="28"/>
          <w:highlight w:val="none"/>
          <w:lang w:val="en-US" w:eastAsia="zh-CN"/>
        </w:rPr>
        <w:t xml:space="preserve">2000.00 </w:t>
      </w:r>
      <w:r>
        <w:rPr>
          <w:rFonts w:hint="eastAsia" w:ascii="方正仿宋_GB2312" w:hAnsi="方正仿宋_GB2312" w:eastAsia="方正仿宋_GB2312" w:cs="方正仿宋_GB2312"/>
          <w:szCs w:val="28"/>
          <w:highlight w:val="none"/>
        </w:rPr>
        <w:t>元。</w:t>
      </w:r>
      <w:r>
        <w:rPr>
          <w:rFonts w:hint="eastAsia" w:ascii="方正仿宋_GBK" w:hAnsi="方正仿宋_GBK" w:eastAsia="方正仿宋_GBK" w:cs="方正仿宋_GBK"/>
          <w:color w:val="auto"/>
          <w:szCs w:val="28"/>
          <w:highlight w:val="none"/>
          <w:lang w:eastAsia="zh-CN"/>
        </w:rPr>
        <w:t>此费用由供应商自行考虑在报价中，不单列；由成交供应商在领取成交通知书时向采购代理机构支付。</w:t>
      </w:r>
    </w:p>
    <w:p w14:paraId="196AB8E3">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代理费缴费账户信息如下：</w:t>
      </w:r>
    </w:p>
    <w:p w14:paraId="5E4DE174">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单位名称：尚峰建设工程咨询有限公司  </w:t>
      </w:r>
    </w:p>
    <w:p w14:paraId="56EF55B4">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账号：802319010122804253</w:t>
      </w:r>
    </w:p>
    <w:p w14:paraId="77784B6A">
      <w:pPr>
        <w:pStyle w:val="26"/>
        <w:ind w:firstLine="480"/>
        <w:rPr>
          <w:rFonts w:hint="eastAsia" w:ascii="方正仿宋_GB2312" w:hAnsi="方正仿宋_GB2312" w:eastAsia="方正仿宋_GB2312" w:cs="方正仿宋_GB2312"/>
          <w:szCs w:val="28"/>
          <w:highlight w:val="none"/>
        </w:rPr>
      </w:pPr>
      <w:r>
        <w:rPr>
          <w:rFonts w:hint="eastAsia" w:ascii="方正仿宋_GBK" w:hAnsi="方正仿宋_GBK" w:eastAsia="方正仿宋_GBK" w:cs="方正仿宋_GBK"/>
          <w:color w:val="auto"/>
          <w:szCs w:val="28"/>
          <w:highlight w:val="none"/>
        </w:rPr>
        <w:t>开户行：恒丰银行股份有限公司重庆两江支行</w:t>
      </w:r>
    </w:p>
    <w:p w14:paraId="2884E466">
      <w:pPr>
        <w:pStyle w:val="4"/>
        <w:spacing w:line="360" w:lineRule="auto"/>
        <w:rPr>
          <w:rFonts w:hint="eastAsia" w:ascii="方正仿宋_GB2312" w:hAnsi="方正仿宋_GB2312" w:eastAsia="方正仿宋_GB2312" w:cs="方正仿宋_GB2312"/>
          <w:highlight w:val="none"/>
        </w:rPr>
      </w:pPr>
      <w:bookmarkStart w:id="149" w:name="_Toc102227322"/>
      <w:bookmarkStart w:id="150" w:name="_Toc106030901"/>
      <w:bookmarkStart w:id="151" w:name="_Toc76462346"/>
      <w:bookmarkStart w:id="152" w:name="_Toc342913396"/>
      <w:bookmarkStart w:id="153" w:name="_Toc182478345"/>
      <w:r>
        <w:rPr>
          <w:rFonts w:hint="eastAsia" w:ascii="方正仿宋_GB2312" w:hAnsi="方正仿宋_GB2312" w:eastAsia="方正仿宋_GB2312" w:cs="方正仿宋_GB2312"/>
          <w:highlight w:val="none"/>
        </w:rPr>
        <w:t>八、签订</w:t>
      </w:r>
      <w:bookmarkEnd w:id="149"/>
      <w:r>
        <w:rPr>
          <w:rFonts w:hint="eastAsia" w:ascii="方正仿宋_GB2312" w:hAnsi="方正仿宋_GB2312" w:eastAsia="方正仿宋_GB2312" w:cs="方正仿宋_GB2312"/>
          <w:highlight w:val="none"/>
        </w:rPr>
        <w:t>合同</w:t>
      </w:r>
      <w:bookmarkEnd w:id="150"/>
      <w:bookmarkEnd w:id="151"/>
      <w:bookmarkEnd w:id="152"/>
      <w:bookmarkEnd w:id="153"/>
    </w:p>
    <w:p w14:paraId="56967FFA">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（一）采购人原则上应在结果公告发出之日起</w:t>
      </w:r>
      <w:r>
        <w:rPr>
          <w:rFonts w:hint="eastAsia" w:ascii="方正仿宋_GB2312" w:hAnsi="方正仿宋_GB2312" w:eastAsia="方正仿宋_GB2312" w:cs="方正仿宋_GB2312"/>
          <w:szCs w:val="28"/>
          <w:highlight w:val="none"/>
          <w:lang w:val="en-US" w:eastAsia="zh-CN"/>
        </w:rPr>
        <w:t>30</w:t>
      </w:r>
      <w:r>
        <w:rPr>
          <w:rFonts w:hint="eastAsia" w:ascii="方正仿宋_GB2312" w:hAnsi="方正仿宋_GB2312" w:eastAsia="方正仿宋_GB2312" w:cs="方正仿宋_GB2312"/>
          <w:szCs w:val="28"/>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56B26956">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（二）竞采文件、供应商的响应文件及澄清文件等，均为签订采购合同的依据。</w:t>
      </w:r>
    </w:p>
    <w:p w14:paraId="775D4E94">
      <w:pPr>
        <w:pStyle w:val="26"/>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（三）合同生效条款由供需双方约定，法律、行政法规规定应当办理批准、登记等手续后生效的合同，依照其规定。</w:t>
      </w:r>
    </w:p>
    <w:p w14:paraId="3B91725E">
      <w:pPr>
        <w:pStyle w:val="4"/>
        <w:spacing w:line="360" w:lineRule="auto"/>
        <w:rPr>
          <w:rFonts w:hint="eastAsia" w:ascii="方正仿宋_GB2312" w:hAnsi="方正仿宋_GB2312" w:eastAsia="方正仿宋_GB2312" w:cs="方正仿宋_GB2312"/>
          <w:highlight w:val="none"/>
        </w:rPr>
      </w:pPr>
      <w:bookmarkStart w:id="154" w:name="_Toc106030902"/>
      <w:bookmarkStart w:id="155" w:name="_Toc182478346"/>
      <w:r>
        <w:rPr>
          <w:rFonts w:hint="eastAsia" w:ascii="方正仿宋_GB2312" w:hAnsi="方正仿宋_GB2312" w:eastAsia="方正仿宋_GB2312" w:cs="方正仿宋_GB2312"/>
          <w:highlight w:val="none"/>
        </w:rPr>
        <w:t>九、项目验收</w:t>
      </w:r>
      <w:bookmarkEnd w:id="154"/>
      <w:bookmarkEnd w:id="155"/>
    </w:p>
    <w:p w14:paraId="3686377F">
      <w:pPr>
        <w:pStyle w:val="26"/>
        <w:ind w:firstLine="48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8"/>
          <w:highlight w:val="none"/>
        </w:rPr>
        <w:t>合同执行完毕，采购人或采购代理机构原则上应在5个工作日内组织履约情况验收，不得无故拖延或附加额外条件。</w:t>
      </w:r>
      <w:bookmarkStart w:id="156" w:name="_Toc109836391"/>
    </w:p>
    <w:p w14:paraId="13F2CF50">
      <w:pPr>
        <w:rPr>
          <w:rFonts w:hint="eastAsia" w:ascii="方正仿宋_GB2312" w:hAnsi="方正仿宋_GB2312" w:eastAsia="方正仿宋_GB2312" w:cs="方正仿宋_GB2312"/>
          <w:highlight w:val="none"/>
        </w:rPr>
      </w:pPr>
      <w:bookmarkStart w:id="157" w:name="_Toc182478347"/>
      <w:r>
        <w:rPr>
          <w:rFonts w:hint="eastAsia" w:ascii="方正仿宋_GB2312" w:hAnsi="方正仿宋_GB2312" w:eastAsia="方正仿宋_GB2312" w:cs="方正仿宋_GB2312"/>
          <w:highlight w:val="none"/>
        </w:rPr>
        <w:br w:type="page"/>
      </w:r>
    </w:p>
    <w:p w14:paraId="14371142">
      <w:pPr>
        <w:pStyle w:val="3"/>
        <w:numPr>
          <w:ilvl w:val="0"/>
          <w:numId w:val="4"/>
        </w:numPr>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 xml:space="preserve"> 合同</w:t>
      </w:r>
      <w:bookmarkEnd w:id="156"/>
      <w:r>
        <w:rPr>
          <w:rFonts w:hint="eastAsia" w:ascii="方正仿宋_GB2312" w:hAnsi="方正仿宋_GB2312" w:eastAsia="方正仿宋_GB2312" w:cs="方正仿宋_GB2312"/>
          <w:highlight w:val="none"/>
        </w:rPr>
        <w:t>格式</w:t>
      </w:r>
      <w:bookmarkEnd w:id="157"/>
    </w:p>
    <w:p w14:paraId="30815EBE">
      <w:pPr>
        <w:jc w:val="center"/>
        <w:rPr>
          <w:rFonts w:ascii="方正仿宋_GBK" w:hAnsi="方正仿宋_GBK" w:eastAsia="方正仿宋_GBK" w:cs="方正仿宋_GBK"/>
          <w:sz w:val="48"/>
          <w:szCs w:val="48"/>
          <w:highlight w:val="none"/>
        </w:rPr>
      </w:pPr>
      <w:bookmarkStart w:id="158" w:name="_Toc10837"/>
      <w:bookmarkStart w:id="159" w:name="_Toc182478348"/>
      <w:r>
        <w:rPr>
          <w:rFonts w:hint="eastAsia" w:ascii="方正仿宋_GBK" w:hAnsi="方正仿宋_GBK" w:eastAsia="方正仿宋_GBK" w:cs="方正仿宋_GBK"/>
          <w:sz w:val="48"/>
          <w:szCs w:val="48"/>
          <w:highlight w:val="none"/>
        </w:rPr>
        <w:t>璧山区国企采购合同</w:t>
      </w:r>
    </w:p>
    <w:p w14:paraId="0680F105">
      <w:pPr>
        <w:spacing w:line="44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（项目采购编号：     ）</w:t>
      </w:r>
    </w:p>
    <w:p w14:paraId="3E97D7FF">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甲方（需方）：___________________________</w:t>
      </w:r>
    </w:p>
    <w:p w14:paraId="684FD71B">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乙方（供方）：___________________________</w:t>
      </w:r>
    </w:p>
    <w:p w14:paraId="0D3C8AE5">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77F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vAlign w:val="center"/>
          </w:tcPr>
          <w:p w14:paraId="4A762FF4">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服务名称</w:t>
            </w:r>
          </w:p>
        </w:tc>
        <w:tc>
          <w:tcPr>
            <w:tcW w:w="2518" w:type="dxa"/>
            <w:vAlign w:val="center"/>
          </w:tcPr>
          <w:p w14:paraId="4735E9A2">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服务范围、标准及要求</w:t>
            </w:r>
          </w:p>
        </w:tc>
        <w:tc>
          <w:tcPr>
            <w:tcW w:w="764" w:type="dxa"/>
            <w:gridSpan w:val="2"/>
            <w:vAlign w:val="center"/>
          </w:tcPr>
          <w:p w14:paraId="00CCDAC2">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数量</w:t>
            </w:r>
          </w:p>
        </w:tc>
        <w:tc>
          <w:tcPr>
            <w:tcW w:w="808" w:type="dxa"/>
            <w:vAlign w:val="center"/>
          </w:tcPr>
          <w:p w14:paraId="5E4C4D4C">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单价</w:t>
            </w:r>
          </w:p>
        </w:tc>
        <w:tc>
          <w:tcPr>
            <w:tcW w:w="1008" w:type="dxa"/>
            <w:vAlign w:val="center"/>
          </w:tcPr>
          <w:p w14:paraId="7999322C">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总价</w:t>
            </w:r>
          </w:p>
        </w:tc>
        <w:tc>
          <w:tcPr>
            <w:tcW w:w="1559" w:type="dxa"/>
            <w:vAlign w:val="center"/>
          </w:tcPr>
          <w:p w14:paraId="47DC98D5">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服务时间</w:t>
            </w:r>
          </w:p>
        </w:tc>
        <w:tc>
          <w:tcPr>
            <w:tcW w:w="1626" w:type="dxa"/>
            <w:vAlign w:val="center"/>
          </w:tcPr>
          <w:p w14:paraId="26AA7DDE">
            <w:pPr>
              <w:spacing w:line="240" w:lineRule="atLeas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服务地点</w:t>
            </w:r>
          </w:p>
        </w:tc>
      </w:tr>
      <w:tr w14:paraId="0F2E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7AA34B">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58BF3E16">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6D40B072">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44C9CFB3">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71ED4EB2">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003142DA">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5EE10E79">
            <w:pPr>
              <w:spacing w:line="240" w:lineRule="atLeast"/>
              <w:jc w:val="center"/>
              <w:rPr>
                <w:rFonts w:ascii="方正仿宋_GBK" w:hAnsi="方正仿宋_GBK" w:eastAsia="方正仿宋_GBK" w:cs="方正仿宋_GBK"/>
                <w:sz w:val="24"/>
                <w:szCs w:val="24"/>
                <w:highlight w:val="none"/>
              </w:rPr>
            </w:pPr>
          </w:p>
        </w:tc>
      </w:tr>
      <w:tr w14:paraId="311F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05C2CD44">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2B5CCE10">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1D4A7022">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04AD78F8">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3F26372D">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2FCEB793">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4437BA2E">
            <w:pPr>
              <w:spacing w:line="240" w:lineRule="atLeast"/>
              <w:jc w:val="center"/>
              <w:rPr>
                <w:rFonts w:ascii="方正仿宋_GBK" w:hAnsi="方正仿宋_GBK" w:eastAsia="方正仿宋_GBK" w:cs="方正仿宋_GBK"/>
                <w:sz w:val="24"/>
                <w:szCs w:val="24"/>
                <w:highlight w:val="none"/>
              </w:rPr>
            </w:pPr>
          </w:p>
        </w:tc>
      </w:tr>
      <w:tr w14:paraId="2688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01FE5919">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0538B27F">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713FFCE0">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2301A9E3">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21A03386">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0373D544">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47DA8785">
            <w:pPr>
              <w:spacing w:line="240" w:lineRule="atLeast"/>
              <w:jc w:val="center"/>
              <w:rPr>
                <w:rFonts w:ascii="方正仿宋_GBK" w:hAnsi="方正仿宋_GBK" w:eastAsia="方正仿宋_GBK" w:cs="方正仿宋_GBK"/>
                <w:sz w:val="24"/>
                <w:szCs w:val="24"/>
                <w:highlight w:val="none"/>
              </w:rPr>
            </w:pPr>
          </w:p>
        </w:tc>
      </w:tr>
      <w:tr w14:paraId="370F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DEACECC">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44FB1CEB">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678E4C0D">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4A9D9421">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757634FE">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00AD9E8E">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2EF82084">
            <w:pPr>
              <w:spacing w:line="240" w:lineRule="atLeast"/>
              <w:jc w:val="center"/>
              <w:rPr>
                <w:rFonts w:ascii="方正仿宋_GBK" w:hAnsi="方正仿宋_GBK" w:eastAsia="方正仿宋_GBK" w:cs="方正仿宋_GBK"/>
                <w:sz w:val="24"/>
                <w:szCs w:val="24"/>
                <w:highlight w:val="none"/>
              </w:rPr>
            </w:pPr>
          </w:p>
        </w:tc>
      </w:tr>
      <w:tr w14:paraId="41A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FE65CEB">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0FB49355">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2050E31B">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00EBCFC9">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506C976B">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4E832EE6">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6C1DE8CC">
            <w:pPr>
              <w:spacing w:line="240" w:lineRule="atLeast"/>
              <w:jc w:val="center"/>
              <w:rPr>
                <w:rFonts w:ascii="方正仿宋_GBK" w:hAnsi="方正仿宋_GBK" w:eastAsia="方正仿宋_GBK" w:cs="方正仿宋_GBK"/>
                <w:sz w:val="24"/>
                <w:szCs w:val="24"/>
                <w:highlight w:val="none"/>
              </w:rPr>
            </w:pPr>
          </w:p>
        </w:tc>
      </w:tr>
      <w:tr w14:paraId="1B5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9A38699">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07030DE4">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132C8326">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5CE2E8E7">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364865B7">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389C5667">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08685FAA">
            <w:pPr>
              <w:spacing w:line="240" w:lineRule="atLeast"/>
              <w:jc w:val="center"/>
              <w:rPr>
                <w:rFonts w:ascii="方正仿宋_GBK" w:hAnsi="方正仿宋_GBK" w:eastAsia="方正仿宋_GBK" w:cs="方正仿宋_GBK"/>
                <w:sz w:val="24"/>
                <w:szCs w:val="24"/>
                <w:highlight w:val="none"/>
              </w:rPr>
            </w:pPr>
          </w:p>
        </w:tc>
      </w:tr>
      <w:tr w14:paraId="395F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A52E31">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23237AEC">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55B1795E">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32D4AD80">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11A42903">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3F42C8A3">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2E79D477">
            <w:pPr>
              <w:spacing w:line="240" w:lineRule="atLeast"/>
              <w:jc w:val="center"/>
              <w:rPr>
                <w:rFonts w:ascii="方正仿宋_GBK" w:hAnsi="方正仿宋_GBK" w:eastAsia="方正仿宋_GBK" w:cs="方正仿宋_GBK"/>
                <w:sz w:val="24"/>
                <w:szCs w:val="24"/>
                <w:highlight w:val="none"/>
              </w:rPr>
            </w:pPr>
          </w:p>
        </w:tc>
      </w:tr>
      <w:tr w14:paraId="68C4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vAlign w:val="center"/>
          </w:tcPr>
          <w:p w14:paraId="515B7DB9">
            <w:pPr>
              <w:spacing w:line="240" w:lineRule="atLeast"/>
              <w:jc w:val="center"/>
              <w:rPr>
                <w:rFonts w:ascii="方正仿宋_GBK" w:hAnsi="方正仿宋_GBK" w:eastAsia="方正仿宋_GBK" w:cs="方正仿宋_GBK"/>
                <w:sz w:val="24"/>
                <w:szCs w:val="24"/>
                <w:highlight w:val="none"/>
              </w:rPr>
            </w:pPr>
          </w:p>
        </w:tc>
        <w:tc>
          <w:tcPr>
            <w:tcW w:w="2518" w:type="dxa"/>
            <w:vAlign w:val="center"/>
          </w:tcPr>
          <w:p w14:paraId="52E48BCE">
            <w:pPr>
              <w:spacing w:line="240" w:lineRule="atLeast"/>
              <w:jc w:val="center"/>
              <w:rPr>
                <w:rFonts w:ascii="方正仿宋_GBK" w:hAnsi="方正仿宋_GBK" w:eastAsia="方正仿宋_GBK" w:cs="方正仿宋_GBK"/>
                <w:sz w:val="24"/>
                <w:szCs w:val="24"/>
                <w:highlight w:val="none"/>
              </w:rPr>
            </w:pPr>
          </w:p>
        </w:tc>
        <w:tc>
          <w:tcPr>
            <w:tcW w:w="764" w:type="dxa"/>
            <w:gridSpan w:val="2"/>
            <w:vAlign w:val="center"/>
          </w:tcPr>
          <w:p w14:paraId="3D54BCB6">
            <w:pPr>
              <w:spacing w:line="240" w:lineRule="atLeast"/>
              <w:jc w:val="center"/>
              <w:rPr>
                <w:rFonts w:ascii="方正仿宋_GBK" w:hAnsi="方正仿宋_GBK" w:eastAsia="方正仿宋_GBK" w:cs="方正仿宋_GBK"/>
                <w:sz w:val="24"/>
                <w:szCs w:val="24"/>
                <w:highlight w:val="none"/>
              </w:rPr>
            </w:pPr>
          </w:p>
        </w:tc>
        <w:tc>
          <w:tcPr>
            <w:tcW w:w="808" w:type="dxa"/>
            <w:vAlign w:val="center"/>
          </w:tcPr>
          <w:p w14:paraId="4AF2B749">
            <w:pPr>
              <w:spacing w:line="240" w:lineRule="atLeast"/>
              <w:jc w:val="center"/>
              <w:rPr>
                <w:rFonts w:ascii="方正仿宋_GBK" w:hAnsi="方正仿宋_GBK" w:eastAsia="方正仿宋_GBK" w:cs="方正仿宋_GBK"/>
                <w:sz w:val="24"/>
                <w:szCs w:val="24"/>
                <w:highlight w:val="none"/>
              </w:rPr>
            </w:pPr>
          </w:p>
        </w:tc>
        <w:tc>
          <w:tcPr>
            <w:tcW w:w="1008" w:type="dxa"/>
            <w:vAlign w:val="center"/>
          </w:tcPr>
          <w:p w14:paraId="5267FC5C">
            <w:pPr>
              <w:spacing w:line="240" w:lineRule="atLeast"/>
              <w:jc w:val="center"/>
              <w:rPr>
                <w:rFonts w:ascii="方正仿宋_GBK" w:hAnsi="方正仿宋_GBK" w:eastAsia="方正仿宋_GBK" w:cs="方正仿宋_GBK"/>
                <w:sz w:val="24"/>
                <w:szCs w:val="24"/>
                <w:highlight w:val="none"/>
              </w:rPr>
            </w:pPr>
          </w:p>
        </w:tc>
        <w:tc>
          <w:tcPr>
            <w:tcW w:w="1559" w:type="dxa"/>
            <w:vAlign w:val="center"/>
          </w:tcPr>
          <w:p w14:paraId="132D1F38">
            <w:pPr>
              <w:spacing w:line="240" w:lineRule="atLeast"/>
              <w:jc w:val="center"/>
              <w:rPr>
                <w:rFonts w:ascii="方正仿宋_GBK" w:hAnsi="方正仿宋_GBK" w:eastAsia="方正仿宋_GBK" w:cs="方正仿宋_GBK"/>
                <w:sz w:val="24"/>
                <w:szCs w:val="24"/>
                <w:highlight w:val="none"/>
              </w:rPr>
            </w:pPr>
          </w:p>
        </w:tc>
        <w:tc>
          <w:tcPr>
            <w:tcW w:w="1626" w:type="dxa"/>
            <w:vAlign w:val="center"/>
          </w:tcPr>
          <w:p w14:paraId="2B6073BE">
            <w:pPr>
              <w:spacing w:line="240" w:lineRule="atLeast"/>
              <w:jc w:val="center"/>
              <w:rPr>
                <w:rFonts w:ascii="方正仿宋_GBK" w:hAnsi="方正仿宋_GBK" w:eastAsia="方正仿宋_GBK" w:cs="方正仿宋_GBK"/>
                <w:sz w:val="24"/>
                <w:szCs w:val="24"/>
                <w:highlight w:val="none"/>
              </w:rPr>
            </w:pPr>
          </w:p>
        </w:tc>
      </w:tr>
      <w:tr w14:paraId="6714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30D71287">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合计人民币（小写）：</w:t>
            </w:r>
          </w:p>
        </w:tc>
      </w:tr>
      <w:tr w14:paraId="7E6F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993C2C1">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合计人民币（大写）：</w:t>
            </w:r>
          </w:p>
        </w:tc>
      </w:tr>
      <w:tr w14:paraId="0973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077" w:hRule="atLeast"/>
        </w:trPr>
        <w:tc>
          <w:tcPr>
            <w:tcW w:w="9613" w:type="dxa"/>
            <w:gridSpan w:val="8"/>
          </w:tcPr>
          <w:p w14:paraId="7C7CE312">
            <w:pPr>
              <w:keepNext w:val="0"/>
              <w:keepLines w:val="0"/>
              <w:pageBreakBefore w:val="0"/>
              <w:widowControl w:val="0"/>
              <w:numPr>
                <w:ilvl w:val="0"/>
                <w:numId w:val="0"/>
              </w:numPr>
              <w:kinsoku/>
              <w:wordWrap/>
              <w:overflowPunct/>
              <w:topLinePunct w:val="0"/>
              <w:bidi w:val="0"/>
              <w:snapToGrid/>
              <w:spacing w:line="240" w:lineRule="atLeast"/>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kern w:val="2"/>
                <w:sz w:val="24"/>
                <w:szCs w:val="24"/>
                <w:highlight w:val="none"/>
                <w:lang w:val="en-US" w:eastAsia="zh-CN" w:bidi="ar-SA"/>
              </w:rPr>
              <w:t>一、</w:t>
            </w:r>
            <w:r>
              <w:rPr>
                <w:rFonts w:hint="default" w:ascii="Times New Roman" w:hAnsi="Times New Roman" w:eastAsia="方正仿宋_GBK" w:cs="Times New Roman"/>
                <w:sz w:val="24"/>
                <w:szCs w:val="24"/>
                <w:highlight w:val="none"/>
              </w:rPr>
              <w:t>质量要求和技术标准</w:t>
            </w:r>
            <w:r>
              <w:rPr>
                <w:rFonts w:hint="eastAsia" w:eastAsia="方正仿宋_GBK" w:cs="Times New Roman"/>
                <w:sz w:val="24"/>
                <w:szCs w:val="24"/>
                <w:highlight w:val="none"/>
                <w:lang w:eastAsia="zh-CN"/>
              </w:rPr>
              <w:t>：</w:t>
            </w:r>
          </w:p>
          <w:p w14:paraId="36D5F0C5">
            <w:pPr>
              <w:keepNext w:val="0"/>
              <w:keepLines w:val="0"/>
              <w:pageBreakBefore w:val="0"/>
              <w:widowControl w:val="0"/>
              <w:kinsoku/>
              <w:wordWrap/>
              <w:overflowPunct/>
              <w:topLinePunct w:val="0"/>
              <w:bidi w:val="0"/>
              <w:snapToGrid/>
              <w:spacing w:line="240" w:lineRule="atLeast"/>
              <w:ind w:firstLine="480" w:firstLineChars="2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sz w:val="24"/>
                <w:szCs w:val="24"/>
                <w:highlight w:val="none"/>
              </w:rPr>
              <w:t>符合国家/行业相关标准；符合甲方审定的设计方案；表面涂层无脱落、无锈蚀，装饰材料牢固、美观</w:t>
            </w:r>
            <w:r>
              <w:rPr>
                <w:rFonts w:hint="eastAsia" w:ascii="Times New Roman" w:hAnsi="Times New Roman" w:eastAsia="方正仿宋_GBK" w:cs="Times New Roman"/>
                <w:sz w:val="24"/>
                <w:szCs w:val="24"/>
                <w:highlight w:val="none"/>
                <w:lang w:val="en-US" w:eastAsia="zh-CN"/>
              </w:rPr>
              <w:t>且质保期2年。</w:t>
            </w:r>
          </w:p>
        </w:tc>
      </w:tr>
      <w:tr w14:paraId="4D32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29F31B6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二、验收标准、方法：</w:t>
            </w:r>
          </w:p>
          <w:p w14:paraId="01ECF07B">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经甲方现场人员验收并签署验收合格书。</w:t>
            </w:r>
          </w:p>
        </w:tc>
      </w:tr>
      <w:tr w14:paraId="2BA5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172CDFE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2"/>
                <w:sz w:val="24"/>
                <w:szCs w:val="24"/>
                <w:highlight w:val="none"/>
                <w:lang w:val="en-US" w:eastAsia="zh-CN" w:bidi="ar-SA"/>
              </w:rPr>
              <w:t>三、</w:t>
            </w:r>
            <w:r>
              <w:rPr>
                <w:rFonts w:hint="default" w:ascii="Times New Roman" w:hAnsi="Times New Roman" w:eastAsia="方正仿宋_GBK" w:cs="Times New Roman"/>
                <w:sz w:val="24"/>
                <w:szCs w:val="24"/>
                <w:highlight w:val="none"/>
              </w:rPr>
              <w:t>付款方式：</w:t>
            </w:r>
          </w:p>
          <w:p w14:paraId="74DDC96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1.经甲方验收合格后，一次性支付合同金额的100%。</w:t>
            </w:r>
          </w:p>
          <w:p w14:paraId="18AAAE8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480" w:firstLineChars="200"/>
              <w:textAlignment w:val="auto"/>
              <w:rPr>
                <w:rFonts w:hint="default" w:ascii="Times New Roman" w:hAnsi="Times New Roman" w:cs="Times New Roman"/>
                <w:highlight w:val="none"/>
              </w:rPr>
            </w:pPr>
            <w:r>
              <w:rPr>
                <w:rFonts w:hint="default" w:ascii="Times New Roman" w:hAnsi="Times New Roman" w:eastAsia="方正仿宋_GBK" w:cs="Times New Roman"/>
                <w:sz w:val="24"/>
                <w:szCs w:val="24"/>
                <w:highlight w:val="none"/>
              </w:rPr>
              <w:t>2.甲方支付款项前，乙方按甲方要求开具等额增值税专用发票，甲方以转账方式向乙方支付发票等额款项至乙方银行基本账户</w:t>
            </w:r>
            <w:r>
              <w:rPr>
                <w:rFonts w:hint="default" w:ascii="Times New Roman" w:hAnsi="Times New Roman" w:eastAsia="方正仿宋_GBK" w:cs="Times New Roman"/>
                <w:sz w:val="24"/>
                <w:szCs w:val="24"/>
                <w:highlight w:val="none"/>
                <w:lang w:eastAsia="zh-Hans"/>
              </w:rPr>
              <w:t>，</w:t>
            </w:r>
            <w:r>
              <w:rPr>
                <w:rFonts w:hint="default" w:ascii="Times New Roman" w:hAnsi="Times New Roman" w:eastAsia="方正仿宋_GBK" w:cs="Times New Roman"/>
                <w:sz w:val="24"/>
                <w:szCs w:val="24"/>
                <w:highlight w:val="none"/>
                <w:lang w:val="en-US" w:eastAsia="zh-Hans"/>
              </w:rPr>
              <w:t>乙方未按要求开具发票的甲方有权拒绝支付且不承担任何违约责任</w:t>
            </w:r>
            <w:r>
              <w:rPr>
                <w:rFonts w:hint="default" w:ascii="Times New Roman" w:hAnsi="Times New Roman" w:eastAsia="方正仿宋_GBK" w:cs="Times New Roman"/>
                <w:sz w:val="24"/>
                <w:szCs w:val="24"/>
                <w:highlight w:val="none"/>
              </w:rPr>
              <w:t>。</w:t>
            </w:r>
          </w:p>
        </w:tc>
      </w:tr>
      <w:tr w14:paraId="4874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565B90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四、违约责任：</w:t>
            </w:r>
          </w:p>
          <w:p w14:paraId="6B880F7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按《中华人民共和国民法典》、《中华人民共和国政府采购法》执行，或按双方约定。</w:t>
            </w:r>
          </w:p>
          <w:p w14:paraId="470FE832">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1.甲方未按约定提供施工场地、水电接入等必要条件，导致乙方无法按期开工或施工中断的，工期相应顺延</w:t>
            </w:r>
            <w:r>
              <w:rPr>
                <w:rFonts w:hint="default" w:ascii="Times New Roman" w:hAnsi="Times New Roman" w:eastAsia="方正仿宋_GBK" w:cs="Times New Roman"/>
                <w:sz w:val="24"/>
                <w:szCs w:val="24"/>
                <w:highlight w:val="none"/>
                <w:lang w:eastAsia="zh-Hans"/>
              </w:rPr>
              <w:t>。</w:t>
            </w:r>
          </w:p>
          <w:p w14:paraId="6E2B94A8">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 因乙方原因导致工期延误的，每逾期1日，乙方应按合同总价的0.1%向甲方支付违约金，逾期超过15日的，甲方有权解除合同</w:t>
            </w:r>
            <w:r>
              <w:rPr>
                <w:rFonts w:hint="default" w:ascii="Times New Roman" w:hAnsi="Times New Roman" w:eastAsia="方正仿宋_GBK" w:cs="Times New Roman"/>
                <w:sz w:val="24"/>
                <w:szCs w:val="24"/>
                <w:highlight w:val="none"/>
                <w:lang w:val="en-US" w:eastAsia="zh-Hans"/>
              </w:rPr>
              <w:t>且不向乙方支付任何费用，乙方还应向甲方支付合同总价 20% 的违约金，并赔偿甲方因此产生的直接损失（如重新招标费用、工期延误损失等）。</w:t>
            </w:r>
          </w:p>
          <w:p w14:paraId="2D3E45B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 乙方施工质量不符合合同约定或国家/行业标准的，应在甲方通知后 7日 内无偿返工或修复。经两次返修仍不合格的，甲方有权委托第三方整改，费用由乙方承担。</w:t>
            </w:r>
          </w:p>
          <w:p w14:paraId="28BC5CB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 乙方未履行安全生产管理义务，导致发生安全事故的，应承担全部法律责任及赔偿费用（包括医疗、工伤赔偿等）。</w:t>
            </w:r>
          </w:p>
          <w:p w14:paraId="5498C75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 乙方无正当理由单方终止合同的，应向甲方支付合同总价 </w:t>
            </w:r>
            <w:r>
              <w:rPr>
                <w:rFonts w:hint="default" w:ascii="Times New Roman" w:hAnsi="Times New Roman" w:eastAsia="方正仿宋_GBK" w:cs="Times New Roman"/>
                <w:b w:val="0"/>
                <w:bCs w:val="0"/>
                <w:sz w:val="24"/>
                <w:szCs w:val="24"/>
                <w:highlight w:val="none"/>
              </w:rPr>
              <w:t>20%</w:t>
            </w:r>
            <w:r>
              <w:rPr>
                <w:rFonts w:hint="default" w:ascii="Times New Roman" w:hAnsi="Times New Roman" w:eastAsia="方正仿宋_GBK" w:cs="Times New Roman"/>
                <w:sz w:val="24"/>
                <w:szCs w:val="24"/>
                <w:highlight w:val="none"/>
              </w:rPr>
              <w:t> 的违约金，并赔偿甲方因此产生的直接损失（如重新招标费用、工期延误损失等）。</w:t>
            </w:r>
          </w:p>
        </w:tc>
      </w:tr>
      <w:tr w14:paraId="575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67B76B5C">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五、其他约定事项：</w:t>
            </w:r>
          </w:p>
          <w:p w14:paraId="1E7A7C77">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1.招标文件及其澄清文件、投标文件和承诺是本合同不可分割的部分。</w:t>
            </w:r>
          </w:p>
          <w:p w14:paraId="2A9F103E">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2.本合同如发生争议由双方协商解决，协商不成向需方所在地</w:t>
            </w:r>
            <w:r>
              <w:rPr>
                <w:rFonts w:hint="eastAsia" w:ascii="方正仿宋_GBK" w:hAnsi="方正仿宋_GBK" w:eastAsia="方正仿宋_GBK" w:cs="方正仿宋_GBK"/>
                <w:sz w:val="24"/>
                <w:szCs w:val="24"/>
                <w:highlight w:val="none"/>
                <w:lang w:val="en-US" w:eastAsia="zh-Hans"/>
              </w:rPr>
              <w:t>人民法院提起诉讼</w:t>
            </w:r>
            <w:r>
              <w:rPr>
                <w:rFonts w:hint="eastAsia" w:ascii="方正仿宋_GBK" w:hAnsi="方正仿宋_GBK" w:eastAsia="方正仿宋_GBK" w:cs="方正仿宋_GBK"/>
                <w:sz w:val="24"/>
                <w:szCs w:val="24"/>
                <w:highlight w:val="none"/>
              </w:rPr>
              <w:t>。</w:t>
            </w:r>
          </w:p>
          <w:p w14:paraId="1845AE10">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3.本合同一式__份， 需方__份，供方__份，具备同等法律效力。</w:t>
            </w:r>
          </w:p>
          <w:p w14:paraId="05A3982B">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4.其他：</w:t>
            </w:r>
          </w:p>
        </w:tc>
      </w:tr>
      <w:tr w14:paraId="4DC3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F119BFF">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需方：</w:t>
            </w:r>
          </w:p>
          <w:p w14:paraId="6DC12A73">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p>
          <w:p w14:paraId="68B9415B">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联系电话：</w:t>
            </w:r>
          </w:p>
          <w:p w14:paraId="328D5F70">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授权代表：</w:t>
            </w:r>
          </w:p>
        </w:tc>
        <w:tc>
          <w:tcPr>
            <w:tcW w:w="5125" w:type="dxa"/>
            <w:gridSpan w:val="6"/>
          </w:tcPr>
          <w:p w14:paraId="75B94E2C">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供方：</w:t>
            </w:r>
          </w:p>
          <w:p w14:paraId="5C659843">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p>
          <w:p w14:paraId="41A64BEA">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电话：</w:t>
            </w:r>
          </w:p>
          <w:p w14:paraId="2CD05001">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传真：</w:t>
            </w:r>
          </w:p>
          <w:p w14:paraId="0DC97EA4">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w:t>
            </w:r>
          </w:p>
          <w:p w14:paraId="6EC89190">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账号：</w:t>
            </w:r>
          </w:p>
          <w:p w14:paraId="2C8F12B5">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授权代表：</w:t>
            </w:r>
          </w:p>
          <w:p w14:paraId="0D0910B7">
            <w:pPr>
              <w:widowControl/>
              <w:spacing w:line="240" w:lineRule="atLeast"/>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（本栏请用计算机打印以便于准确付款）</w:t>
            </w:r>
          </w:p>
        </w:tc>
      </w:tr>
      <w:tr w14:paraId="6FA2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1A912B99">
            <w:pPr>
              <w:spacing w:line="240" w:lineRule="atLeas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bl>
    <w:p w14:paraId="60820E46">
      <w:pPr>
        <w:spacing w:line="440" w:lineRule="exact"/>
        <w:rPr>
          <w:rFonts w:ascii="方正仿宋_GBK" w:hAnsi="方正仿宋_GBK" w:eastAsia="方正仿宋_GBK" w:cs="方正仿宋_GBK"/>
          <w:sz w:val="24"/>
          <w:highlight w:val="none"/>
        </w:rPr>
      </w:pPr>
    </w:p>
    <w:p w14:paraId="5E58A184">
      <w:pPr>
        <w:pStyle w:val="26"/>
        <w:ind w:firstLine="48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签约时间：           年   月   日         签约地点：</w:t>
      </w:r>
    </w:p>
    <w:p w14:paraId="75ADAAFD">
      <w:pPr>
        <w:pStyle w:val="26"/>
        <w:ind w:firstLine="480"/>
        <w:rPr>
          <w:rFonts w:ascii="方正仿宋_GBK" w:hAnsi="方正仿宋_GBK" w:eastAsia="方正仿宋_GBK" w:cs="方正仿宋_GBK"/>
          <w:highlight w:val="none"/>
        </w:rPr>
      </w:pPr>
    </w:p>
    <w:p w14:paraId="4C2AD230">
      <w:pPr>
        <w:pStyle w:val="26"/>
        <w:ind w:firstLine="480"/>
        <w:rPr>
          <w:rFonts w:ascii="方正仿宋_GBK" w:hAnsi="方正仿宋_GBK" w:eastAsia="方正仿宋_GBK" w:cs="方正仿宋_GBK"/>
          <w:highlight w:val="none"/>
        </w:rPr>
      </w:pPr>
    </w:p>
    <w:p w14:paraId="54BF687F">
      <w:pPr>
        <w:pStyle w:val="26"/>
        <w:ind w:firstLine="480"/>
        <w:rPr>
          <w:rFonts w:ascii="方正仿宋_GBK" w:hAnsi="方正仿宋_GBK" w:eastAsia="方正仿宋_GBK" w:cs="方正仿宋_GBK"/>
          <w:highlight w:val="none"/>
        </w:rPr>
      </w:pPr>
    </w:p>
    <w:p w14:paraId="6E56DB0C">
      <w:pPr>
        <w:pStyle w:val="26"/>
        <w:ind w:firstLine="480"/>
        <w:rPr>
          <w:rFonts w:ascii="方正仿宋_GBK" w:hAnsi="方正仿宋_GBK" w:eastAsia="方正仿宋_GBK" w:cs="方正仿宋_GBK"/>
          <w:highlight w:val="none"/>
        </w:rPr>
      </w:pPr>
    </w:p>
    <w:p w14:paraId="21771C45">
      <w:pPr>
        <w:pStyle w:val="26"/>
        <w:ind w:firstLine="480"/>
        <w:rPr>
          <w:rFonts w:ascii="方正仿宋_GBK" w:hAnsi="方正仿宋_GBK" w:eastAsia="方正仿宋_GBK" w:cs="方正仿宋_GBK"/>
          <w:highlight w:val="none"/>
        </w:rPr>
      </w:pPr>
    </w:p>
    <w:p w14:paraId="04486E80">
      <w:pPr>
        <w:pStyle w:val="8"/>
        <w:spacing w:line="295" w:lineRule="auto"/>
        <w:rPr>
          <w:rFonts w:hint="eastAsia" w:ascii="方正仿宋_GB2312" w:hAnsi="方正仿宋_GB2312" w:eastAsia="方正仿宋_GB2312" w:cs="方正仿宋_GB2312"/>
          <w:highlight w:val="none"/>
        </w:rPr>
      </w:pPr>
    </w:p>
    <w:p w14:paraId="7D8C5C4B">
      <w:pPr>
        <w:pStyle w:val="8"/>
        <w:spacing w:line="245" w:lineRule="auto"/>
        <w:rPr>
          <w:rFonts w:hint="eastAsia" w:ascii="方正仿宋_GB2312" w:hAnsi="方正仿宋_GB2312" w:eastAsia="方正仿宋_GB2312" w:cs="方正仿宋_GB2312"/>
          <w:highlight w:val="none"/>
        </w:rPr>
      </w:pPr>
    </w:p>
    <w:p w14:paraId="68B3D121">
      <w:pPr>
        <w:pStyle w:val="8"/>
        <w:spacing w:line="245" w:lineRule="auto"/>
        <w:rPr>
          <w:rFonts w:hint="eastAsia" w:ascii="方正仿宋_GB2312" w:hAnsi="方正仿宋_GB2312" w:eastAsia="方正仿宋_GB2312" w:cs="方正仿宋_GB2312"/>
          <w:highlight w:val="none"/>
        </w:rPr>
      </w:pPr>
    </w:p>
    <w:p w14:paraId="015701E4">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1DCD52E">
      <w:pPr>
        <w:pStyle w:val="3"/>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第七篇  响应文件编制要求</w:t>
      </w:r>
      <w:bookmarkEnd w:id="158"/>
      <w:bookmarkEnd w:id="159"/>
    </w:p>
    <w:p w14:paraId="49C9DAB5">
      <w:pPr>
        <w:pStyle w:val="4"/>
        <w:spacing w:line="360" w:lineRule="auto"/>
        <w:rPr>
          <w:rFonts w:hint="eastAsia" w:ascii="方正仿宋_GB2312" w:hAnsi="方正仿宋_GB2312" w:eastAsia="方正仿宋_GB2312" w:cs="方正仿宋_GB2312"/>
          <w:highlight w:val="none"/>
        </w:rPr>
      </w:pPr>
      <w:bookmarkStart w:id="160" w:name="_Toc182478349"/>
      <w:r>
        <w:rPr>
          <w:rFonts w:hint="eastAsia" w:ascii="方正仿宋_GB2312" w:hAnsi="方正仿宋_GB2312" w:eastAsia="方正仿宋_GB2312" w:cs="方正仿宋_GB2312"/>
          <w:highlight w:val="none"/>
        </w:rPr>
        <w:t>一、经济部分</w:t>
      </w:r>
      <w:bookmarkEnd w:id="160"/>
    </w:p>
    <w:p w14:paraId="6689B17E">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（一）报价函</w:t>
      </w:r>
    </w:p>
    <w:p w14:paraId="7CB0427C">
      <w:pPr>
        <w:spacing w:line="360" w:lineRule="auto"/>
        <w:ind w:firstLine="480" w:firstLineChars="200"/>
        <w:rPr>
          <w:rFonts w:hint="eastAsia"/>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投标报价明细表</w:t>
      </w:r>
    </w:p>
    <w:p w14:paraId="4C9CECE5">
      <w:pPr>
        <w:pStyle w:val="4"/>
        <w:spacing w:line="360" w:lineRule="auto"/>
        <w:rPr>
          <w:rFonts w:hint="eastAsia" w:ascii="方正仿宋_GB2312" w:hAnsi="方正仿宋_GB2312" w:eastAsia="方正仿宋_GB2312" w:cs="方正仿宋_GB2312"/>
          <w:highlight w:val="none"/>
        </w:rPr>
      </w:pPr>
      <w:bookmarkStart w:id="161" w:name="_Toc182478350"/>
      <w:r>
        <w:rPr>
          <w:rFonts w:hint="eastAsia" w:ascii="方正仿宋_GB2312" w:hAnsi="方正仿宋_GB2312" w:eastAsia="方正仿宋_GB2312" w:cs="方正仿宋_GB2312"/>
          <w:highlight w:val="none"/>
        </w:rPr>
        <w:t>二、服务部分</w:t>
      </w:r>
      <w:bookmarkEnd w:id="161"/>
    </w:p>
    <w:p w14:paraId="4AC816A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8"/>
          <w:highlight w:val="none"/>
        </w:rPr>
        <w:t>服务要求应答</w:t>
      </w:r>
    </w:p>
    <w:p w14:paraId="7E749B1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8"/>
          <w:highlight w:val="none"/>
        </w:rPr>
        <w:t>服务响应偏离表</w:t>
      </w:r>
    </w:p>
    <w:p w14:paraId="7C91A046">
      <w:pPr>
        <w:pStyle w:val="4"/>
        <w:spacing w:line="360" w:lineRule="auto"/>
        <w:rPr>
          <w:rFonts w:hint="eastAsia" w:ascii="方正仿宋_GB2312" w:hAnsi="方正仿宋_GB2312" w:eastAsia="方正仿宋_GB2312" w:cs="方正仿宋_GB2312"/>
          <w:highlight w:val="none"/>
        </w:rPr>
      </w:pPr>
      <w:bookmarkStart w:id="162" w:name="_Toc182478351"/>
      <w:r>
        <w:rPr>
          <w:rFonts w:hint="eastAsia" w:ascii="方正仿宋_GB2312" w:hAnsi="方正仿宋_GB2312" w:eastAsia="方正仿宋_GB2312" w:cs="方正仿宋_GB2312"/>
          <w:highlight w:val="none"/>
        </w:rPr>
        <w:t>三、商务文件</w:t>
      </w:r>
      <w:bookmarkEnd w:id="162"/>
    </w:p>
    <w:p w14:paraId="485D30A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（一）商务响应偏离表</w:t>
      </w:r>
    </w:p>
    <w:p w14:paraId="0E52B745">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（二）其它优惠承诺</w:t>
      </w:r>
    </w:p>
    <w:p w14:paraId="3D0EDAEF">
      <w:pPr>
        <w:pStyle w:val="4"/>
        <w:spacing w:line="360" w:lineRule="auto"/>
        <w:rPr>
          <w:rFonts w:hint="eastAsia" w:ascii="方正仿宋_GB2312" w:hAnsi="方正仿宋_GB2312" w:eastAsia="方正仿宋_GB2312" w:cs="方正仿宋_GB2312"/>
          <w:highlight w:val="none"/>
        </w:rPr>
      </w:pPr>
      <w:bookmarkStart w:id="163" w:name="_Toc182478352"/>
      <w:r>
        <w:rPr>
          <w:rFonts w:hint="eastAsia" w:ascii="方正仿宋_GB2312" w:hAnsi="方正仿宋_GB2312" w:eastAsia="方正仿宋_GB2312" w:cs="方正仿宋_GB2312"/>
          <w:highlight w:val="none"/>
        </w:rPr>
        <w:t>四、资格条件及其他</w:t>
      </w:r>
      <w:bookmarkEnd w:id="163"/>
    </w:p>
    <w:p w14:paraId="53B6D9C8">
      <w:pPr>
        <w:snapToGrid w:val="0"/>
        <w:spacing w:line="360" w:lineRule="auto"/>
        <w:ind w:left="476" w:leftChars="1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（一）法人营业执照（副本）或事业单位法人证书（副本）或个体工商户营业执照或有效的自然人身份证明或社会团体法人登记证书复印件</w:t>
      </w:r>
    </w:p>
    <w:p w14:paraId="3E83FC7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（二）法定代表人身份证明书（格式）</w:t>
      </w:r>
    </w:p>
    <w:p w14:paraId="67D283C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01C0D23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（四）基本资格条件承诺函（格式）</w:t>
      </w:r>
    </w:p>
    <w:p w14:paraId="7ECFC8D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（五）特定资格条件证书或证明文件</w:t>
      </w:r>
    </w:p>
    <w:p w14:paraId="4930BF6C">
      <w:pPr>
        <w:snapToGrid w:val="0"/>
        <w:spacing w:line="360" w:lineRule="auto"/>
        <w:ind w:firstLine="480" w:firstLineChars="200"/>
        <w:rPr>
          <w:rFonts w:hint="eastAsia" w:ascii="方正仿宋_GB2312" w:hAnsi="方正仿宋_GB2312" w:eastAsia="方正仿宋_GB2312" w:cs="方正仿宋_GB2312"/>
          <w:sz w:val="24"/>
          <w:szCs w:val="24"/>
          <w:highlight w:val="none"/>
          <w:bdr w:val="single" w:color="auto" w:sz="4" w:space="0"/>
        </w:rPr>
      </w:pPr>
      <w:r>
        <w:rPr>
          <w:rFonts w:hint="eastAsia" w:ascii="方正仿宋_GB2312" w:hAnsi="方正仿宋_GB2312" w:eastAsia="方正仿宋_GB2312" w:cs="方正仿宋_GB2312"/>
          <w:sz w:val="24"/>
          <w:szCs w:val="24"/>
          <w:highlight w:val="none"/>
          <w:lang w:val="en-US" w:eastAsia="zh-CN"/>
        </w:rPr>
        <w:t>（六）其他资料</w:t>
      </w:r>
    </w:p>
    <w:p w14:paraId="1A1A5B72">
      <w:pPr>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br w:type="page"/>
      </w:r>
    </w:p>
    <w:p w14:paraId="2D9A4CFE">
      <w:pPr>
        <w:spacing w:line="360" w:lineRule="auto"/>
        <w:jc w:val="center"/>
        <w:rPr>
          <w:rFonts w:hint="eastAsia" w:ascii="方正仿宋_GB2312" w:hAnsi="方正仿宋_GB2312" w:eastAsia="方正仿宋_GB2312" w:cs="方正仿宋_GB2312"/>
          <w:b/>
          <w:sz w:val="24"/>
          <w:szCs w:val="24"/>
          <w:highlight w:val="none"/>
        </w:rPr>
      </w:pPr>
    </w:p>
    <w:p w14:paraId="106A5513">
      <w:pPr>
        <w:numPr>
          <w:ilvl w:val="0"/>
          <w:numId w:val="5"/>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经济部分</w:t>
      </w:r>
    </w:p>
    <w:p w14:paraId="77E45AB0">
      <w:pPr>
        <w:spacing w:line="360" w:lineRule="auto"/>
        <w:rPr>
          <w:rFonts w:hint="eastAsia" w:ascii="方正仿宋_GB2312" w:hAnsi="方正仿宋_GB2312" w:eastAsia="方正仿宋_GB2312" w:cs="方正仿宋_GB2312"/>
          <w:bCs/>
          <w:szCs w:val="24"/>
          <w:highlight w:val="none"/>
        </w:rPr>
      </w:pPr>
      <w:r>
        <w:rPr>
          <w:rFonts w:hint="eastAsia" w:ascii="方正仿宋_GB2312" w:hAnsi="方正仿宋_GB2312" w:eastAsia="方正仿宋_GB2312" w:cs="方正仿宋_GB2312"/>
          <w:sz w:val="24"/>
          <w:szCs w:val="18"/>
          <w:highlight w:val="none"/>
        </w:rPr>
        <w:t>（一）报价函</w:t>
      </w:r>
    </w:p>
    <w:p w14:paraId="75A09E0D">
      <w:pPr>
        <w:tabs>
          <w:tab w:val="left" w:pos="6300"/>
        </w:tabs>
        <w:snapToGrid w:val="0"/>
        <w:spacing w:line="360" w:lineRule="auto"/>
        <w:ind w:left="14" w:leftChars="5" w:firstLine="611" w:firstLineChars="191"/>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报价函</w:t>
      </w:r>
    </w:p>
    <w:p w14:paraId="62983D5F">
      <w:pPr>
        <w:tabs>
          <w:tab w:val="left" w:pos="6300"/>
        </w:tabs>
        <w:snapToGrid w:val="0"/>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（代理机构名称）</w:t>
      </w:r>
      <w:r>
        <w:rPr>
          <w:rFonts w:hint="eastAsia" w:ascii="方正仿宋_GB2312" w:hAnsi="方正仿宋_GB2312" w:eastAsia="方正仿宋_GB2312" w:cs="方正仿宋_GB2312"/>
          <w:sz w:val="24"/>
          <w:szCs w:val="24"/>
          <w:highlight w:val="none"/>
        </w:rPr>
        <w:t>：</w:t>
      </w:r>
    </w:p>
    <w:p w14:paraId="365907A4">
      <w:pPr>
        <w:tabs>
          <w:tab w:val="left" w:pos="6300"/>
        </w:tabs>
        <w:snapToGrid w:val="0"/>
        <w:spacing w:line="360" w:lineRule="auto"/>
        <w:ind w:left="14" w:leftChars="5" w:firstLine="458" w:firstLineChars="191"/>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.1、我方已仔细研究了</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（项目名称）竞争性采购文件的全部内容，愿意以人民币（大写）</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u w:val="single"/>
        </w:rPr>
        <w:t xml:space="preserve">           （¥     ）</w:t>
      </w:r>
      <w:r>
        <w:rPr>
          <w:rFonts w:hint="eastAsia" w:ascii="方正仿宋_GB2312" w:hAnsi="方正仿宋_GB2312" w:eastAsia="方正仿宋_GB2312" w:cs="方正仿宋_GB2312"/>
          <w:sz w:val="24"/>
          <w:szCs w:val="24"/>
          <w:highlight w:val="none"/>
        </w:rPr>
        <w:t>的投标总报价进行报价。</w:t>
      </w:r>
    </w:p>
    <w:p w14:paraId="1A057975">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2、我方现提交的响应文件为：响应文件电子文档壹份。</w:t>
      </w:r>
    </w:p>
    <w:p w14:paraId="36534BF1">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3、我方承诺：本次竞采的有效期为90天。</w:t>
      </w:r>
    </w:p>
    <w:p w14:paraId="6AE152DA">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4、我方完全理解和接受贵方竞采采购文件的一切规定和要求及评审办法。</w:t>
      </w:r>
    </w:p>
    <w:p w14:paraId="7B59AD9B">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5、在整个竞采采购过程中，我方若有违规行为，接受按照重庆市政府采购云平台规定给予惩罚。</w:t>
      </w:r>
    </w:p>
    <w:p w14:paraId="7DB4659C">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6、我方若中选，将按照竞采结果签订合同，并且严格履行合同义务。本承诺函将成为合同不可分割的一部分，与合同具有同等的法律效力。</w:t>
      </w:r>
    </w:p>
    <w:p w14:paraId="34464190">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7、我方理解，最低报价不是成交的唯一条件。</w:t>
      </w:r>
    </w:p>
    <w:p w14:paraId="200E0632">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695A44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78B3011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52EF7600">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210D5B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供应商名称（公章）：</w:t>
      </w:r>
    </w:p>
    <w:p w14:paraId="512F26DD">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年   月   日</w:t>
      </w:r>
    </w:p>
    <w:p w14:paraId="25CD4940">
      <w:pPr>
        <w:pStyle w:val="2"/>
        <w:rPr>
          <w:rFonts w:hint="eastAsia" w:ascii="方正仿宋_GB2312" w:hAnsi="方正仿宋_GB2312" w:eastAsia="方正仿宋_GB2312" w:cs="方正仿宋_GB2312"/>
          <w:sz w:val="24"/>
          <w:szCs w:val="24"/>
          <w:highlight w:val="none"/>
        </w:rPr>
      </w:pPr>
    </w:p>
    <w:p w14:paraId="331E64E1">
      <w:pPr>
        <w:rPr>
          <w:rFonts w:hint="eastAsia" w:ascii="方正仿宋_GB2312" w:hAnsi="方正仿宋_GB2312" w:eastAsia="方正仿宋_GB2312" w:cs="方正仿宋_GB2312"/>
          <w:sz w:val="24"/>
          <w:szCs w:val="24"/>
          <w:highlight w:val="none"/>
        </w:rPr>
      </w:pPr>
    </w:p>
    <w:p w14:paraId="25AC6960">
      <w:pP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p>
    <w:p w14:paraId="23F8BD44">
      <w:pP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p>
    <w:p w14:paraId="697AB0BC">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投标报价明细表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295"/>
        <w:gridCol w:w="782"/>
        <w:gridCol w:w="1265"/>
        <w:gridCol w:w="1824"/>
        <w:gridCol w:w="1366"/>
        <w:gridCol w:w="1366"/>
      </w:tblGrid>
      <w:tr w14:paraId="7B1B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59" w:type="dxa"/>
            <w:vAlign w:val="center"/>
          </w:tcPr>
          <w:p w14:paraId="296EB74F">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序号</w:t>
            </w:r>
          </w:p>
        </w:tc>
        <w:tc>
          <w:tcPr>
            <w:tcW w:w="2295" w:type="dxa"/>
            <w:vAlign w:val="center"/>
          </w:tcPr>
          <w:p w14:paraId="1FE6DFE9">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项目名称</w:t>
            </w:r>
          </w:p>
        </w:tc>
        <w:tc>
          <w:tcPr>
            <w:tcW w:w="782" w:type="dxa"/>
            <w:vAlign w:val="center"/>
          </w:tcPr>
          <w:p w14:paraId="2899ECE0">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单位</w:t>
            </w:r>
          </w:p>
        </w:tc>
        <w:tc>
          <w:tcPr>
            <w:tcW w:w="1265" w:type="dxa"/>
            <w:vAlign w:val="center"/>
          </w:tcPr>
          <w:p w14:paraId="7A2C208B">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数量</w:t>
            </w:r>
          </w:p>
        </w:tc>
        <w:tc>
          <w:tcPr>
            <w:tcW w:w="1824" w:type="dxa"/>
            <w:vAlign w:val="center"/>
          </w:tcPr>
          <w:p w14:paraId="5F9E5FDA">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综合单价（元）</w:t>
            </w:r>
          </w:p>
        </w:tc>
        <w:tc>
          <w:tcPr>
            <w:tcW w:w="1366" w:type="dxa"/>
            <w:vAlign w:val="center"/>
          </w:tcPr>
          <w:p w14:paraId="113BCF9D">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合计（元）</w:t>
            </w:r>
          </w:p>
        </w:tc>
        <w:tc>
          <w:tcPr>
            <w:tcW w:w="1366" w:type="dxa"/>
            <w:vAlign w:val="center"/>
          </w:tcPr>
          <w:p w14:paraId="74174DA8">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备注</w:t>
            </w:r>
          </w:p>
        </w:tc>
      </w:tr>
      <w:tr w14:paraId="5886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9" w:type="dxa"/>
          </w:tcPr>
          <w:p w14:paraId="74785FE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w:t>
            </w:r>
          </w:p>
        </w:tc>
        <w:tc>
          <w:tcPr>
            <w:tcW w:w="2295" w:type="dxa"/>
          </w:tcPr>
          <w:p w14:paraId="1029254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绿化撒草籽</w:t>
            </w:r>
          </w:p>
        </w:tc>
        <w:tc>
          <w:tcPr>
            <w:tcW w:w="782" w:type="dxa"/>
          </w:tcPr>
          <w:p w14:paraId="2FD3470C">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265" w:type="dxa"/>
          </w:tcPr>
          <w:p w14:paraId="6FD92F51">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1824" w:type="dxa"/>
          </w:tcPr>
          <w:p w14:paraId="3BCE3E73">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23014AF3">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2314192E">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208B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9" w:type="dxa"/>
          </w:tcPr>
          <w:p w14:paraId="7DC2B5C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2</w:t>
            </w:r>
          </w:p>
        </w:tc>
        <w:tc>
          <w:tcPr>
            <w:tcW w:w="2295" w:type="dxa"/>
          </w:tcPr>
          <w:p w14:paraId="5ECD545B">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网子敷设</w:t>
            </w:r>
          </w:p>
        </w:tc>
        <w:tc>
          <w:tcPr>
            <w:tcW w:w="782" w:type="dxa"/>
          </w:tcPr>
          <w:p w14:paraId="344C8FD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265" w:type="dxa"/>
          </w:tcPr>
          <w:p w14:paraId="00331CA8">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1824" w:type="dxa"/>
          </w:tcPr>
          <w:p w14:paraId="12743A95">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4C6B5D73">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0681DFD0">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49FF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9" w:type="dxa"/>
          </w:tcPr>
          <w:p w14:paraId="2BE40650">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3</w:t>
            </w:r>
          </w:p>
        </w:tc>
        <w:tc>
          <w:tcPr>
            <w:tcW w:w="2295" w:type="dxa"/>
          </w:tcPr>
          <w:p w14:paraId="7042DF58">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人工</w:t>
            </w:r>
          </w:p>
        </w:tc>
        <w:tc>
          <w:tcPr>
            <w:tcW w:w="782" w:type="dxa"/>
          </w:tcPr>
          <w:p w14:paraId="20808F6C">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265" w:type="dxa"/>
          </w:tcPr>
          <w:p w14:paraId="6EA1E84E">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1824" w:type="dxa"/>
          </w:tcPr>
          <w:p w14:paraId="3C72144B">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2F28BF7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030A70B0">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1F2F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59" w:type="dxa"/>
          </w:tcPr>
          <w:p w14:paraId="40743F82">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4</w:t>
            </w:r>
          </w:p>
        </w:tc>
        <w:tc>
          <w:tcPr>
            <w:tcW w:w="2295" w:type="dxa"/>
          </w:tcPr>
          <w:p w14:paraId="00E9BDD9">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机具平场费</w:t>
            </w:r>
          </w:p>
        </w:tc>
        <w:tc>
          <w:tcPr>
            <w:tcW w:w="782" w:type="dxa"/>
          </w:tcPr>
          <w:p w14:paraId="4EE47869">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m²</w:t>
            </w:r>
          </w:p>
        </w:tc>
        <w:tc>
          <w:tcPr>
            <w:tcW w:w="1265" w:type="dxa"/>
          </w:tcPr>
          <w:p w14:paraId="7480FD6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15000</w:t>
            </w:r>
          </w:p>
        </w:tc>
        <w:tc>
          <w:tcPr>
            <w:tcW w:w="1824" w:type="dxa"/>
          </w:tcPr>
          <w:p w14:paraId="06157CB0">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1DE82C8B">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p>
        </w:tc>
        <w:tc>
          <w:tcPr>
            <w:tcW w:w="1366" w:type="dxa"/>
          </w:tcPr>
          <w:p w14:paraId="305FBE23">
            <w:pPr>
              <w:pStyle w:val="2"/>
              <w:rPr>
                <w:rFonts w:hint="default" w:ascii="方正仿宋_GB2312" w:hAnsi="方正仿宋_GB2312" w:eastAsia="方正仿宋_GB2312" w:cs="方正仿宋_GB2312"/>
                <w:b w:val="0"/>
                <w:kern w:val="2"/>
                <w:sz w:val="24"/>
                <w:szCs w:val="24"/>
                <w:highlight w:val="none"/>
                <w:lang w:val="en-US" w:eastAsia="zh-CN" w:bidi="ar-SA"/>
              </w:rPr>
            </w:pPr>
          </w:p>
        </w:tc>
      </w:tr>
      <w:tr w14:paraId="7293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25" w:type="dxa"/>
            <w:gridSpan w:val="5"/>
          </w:tcPr>
          <w:p w14:paraId="453CB236">
            <w:pPr>
              <w:pStyle w:val="2"/>
              <w:spacing w:line="240" w:lineRule="auto"/>
              <w:jc w:val="center"/>
              <w:rPr>
                <w:rFonts w:hint="default" w:ascii="方正仿宋_GB2312" w:hAnsi="方正仿宋_GB2312" w:eastAsia="方正仿宋_GB2312" w:cs="方正仿宋_GB2312"/>
                <w:b w:val="0"/>
                <w:kern w:val="2"/>
                <w:sz w:val="24"/>
                <w:szCs w:val="24"/>
                <w:highlight w:val="none"/>
                <w:lang w:val="en-US" w:eastAsia="zh-CN" w:bidi="ar-SA"/>
              </w:rPr>
            </w:pPr>
            <w:r>
              <w:rPr>
                <w:rFonts w:hint="eastAsia" w:ascii="方正仿宋_GB2312" w:hAnsi="方正仿宋_GB2312" w:eastAsia="方正仿宋_GB2312" w:cs="方正仿宋_GB2312"/>
                <w:b w:val="0"/>
                <w:kern w:val="2"/>
                <w:sz w:val="24"/>
                <w:szCs w:val="24"/>
                <w:highlight w:val="none"/>
                <w:lang w:val="en-US" w:eastAsia="zh-CN" w:bidi="ar-SA"/>
              </w:rPr>
              <w:t>合计</w:t>
            </w:r>
          </w:p>
        </w:tc>
        <w:tc>
          <w:tcPr>
            <w:tcW w:w="2732" w:type="dxa"/>
            <w:gridSpan w:val="2"/>
          </w:tcPr>
          <w:p w14:paraId="29F0C771">
            <w:pPr>
              <w:pStyle w:val="2"/>
              <w:rPr>
                <w:rFonts w:hint="default" w:ascii="方正仿宋_GB2312" w:hAnsi="方正仿宋_GB2312" w:eastAsia="方正仿宋_GB2312" w:cs="方正仿宋_GB2312"/>
                <w:b w:val="0"/>
                <w:kern w:val="2"/>
                <w:sz w:val="24"/>
                <w:szCs w:val="24"/>
                <w:highlight w:val="none"/>
                <w:lang w:val="en-US" w:eastAsia="zh-CN" w:bidi="ar-SA"/>
              </w:rPr>
            </w:pPr>
          </w:p>
        </w:tc>
      </w:tr>
    </w:tbl>
    <w:p w14:paraId="6A8E79D5">
      <w:pPr>
        <w:pStyle w:val="2"/>
        <w:rPr>
          <w:rFonts w:hint="eastAsia"/>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6A994F6D">
      <w:pPr>
        <w:rPr>
          <w:rFonts w:hint="eastAsia" w:ascii="方正仿宋_GB2312" w:hAnsi="方正仿宋_GB2312" w:eastAsia="方正仿宋_GB2312" w:cs="方正仿宋_GB2312"/>
          <w:sz w:val="24"/>
          <w:szCs w:val="24"/>
          <w:highlight w:val="none"/>
        </w:rPr>
      </w:pPr>
    </w:p>
    <w:p w14:paraId="359496B4">
      <w:pPr>
        <w:numPr>
          <w:ilvl w:val="0"/>
          <w:numId w:val="5"/>
        </w:numPr>
        <w:snapToGrid w:val="0"/>
        <w:spacing w:line="360" w:lineRule="auto"/>
        <w:rPr>
          <w:rFonts w:hint="eastAsia" w:ascii="方正仿宋_GB2312" w:hAnsi="方正仿宋_GB2312" w:eastAsia="方正仿宋_GB2312" w:cs="方正仿宋_GB2312"/>
          <w:highlight w:val="none"/>
        </w:rPr>
      </w:pPr>
      <w:bookmarkStart w:id="164" w:name="_Toc486585241"/>
      <w:bookmarkStart w:id="165" w:name="_Toc9090"/>
      <w:bookmarkStart w:id="166" w:name="_Toc486608278"/>
      <w:bookmarkStart w:id="167" w:name="_Toc487204798"/>
      <w:bookmarkStart w:id="168" w:name="_Toc3192"/>
      <w:r>
        <w:rPr>
          <w:rFonts w:hint="eastAsia" w:ascii="方正仿宋_GB2312" w:hAnsi="方正仿宋_GB2312" w:eastAsia="方正仿宋_GB2312" w:cs="方正仿宋_GB2312"/>
          <w:highlight w:val="none"/>
        </w:rPr>
        <w:t>服务部分</w:t>
      </w:r>
      <w:bookmarkEnd w:id="164"/>
      <w:bookmarkEnd w:id="165"/>
      <w:bookmarkEnd w:id="166"/>
      <w:bookmarkEnd w:id="167"/>
      <w:bookmarkEnd w:id="168"/>
    </w:p>
    <w:p w14:paraId="7C6908D4">
      <w:pPr>
        <w:snapToGrid w:val="0"/>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（一）服务方案</w:t>
      </w:r>
    </w:p>
    <w:p w14:paraId="51573754">
      <w:pPr>
        <w:spacing w:line="360" w:lineRule="auto"/>
        <w:rPr>
          <w:rFonts w:hint="eastAsia" w:ascii="方正仿宋_GB2312" w:hAnsi="方正仿宋_GB2312" w:eastAsia="方正仿宋_GB2312" w:cs="方正仿宋_GB2312"/>
          <w:szCs w:val="24"/>
          <w:highlight w:val="none"/>
        </w:rPr>
      </w:pPr>
    </w:p>
    <w:p w14:paraId="7BA16D02">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br w:type="page"/>
      </w:r>
    </w:p>
    <w:p w14:paraId="16124FA7">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t>（二）服务条款差异表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E1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B410B80">
            <w:pPr>
              <w:spacing w:line="36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序号</w:t>
            </w:r>
          </w:p>
        </w:tc>
        <w:tc>
          <w:tcPr>
            <w:tcW w:w="1542" w:type="pct"/>
            <w:vAlign w:val="center"/>
          </w:tcPr>
          <w:p w14:paraId="0F7B289E">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招标要求</w:t>
            </w:r>
          </w:p>
        </w:tc>
        <w:tc>
          <w:tcPr>
            <w:tcW w:w="1600" w:type="pct"/>
            <w:vAlign w:val="center"/>
          </w:tcPr>
          <w:p w14:paraId="048A6BF9">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投标应答</w:t>
            </w:r>
          </w:p>
        </w:tc>
        <w:tc>
          <w:tcPr>
            <w:tcW w:w="1199" w:type="pct"/>
            <w:vAlign w:val="center"/>
          </w:tcPr>
          <w:p w14:paraId="202510B2">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差异说明</w:t>
            </w:r>
          </w:p>
        </w:tc>
      </w:tr>
      <w:tr w14:paraId="3320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7812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FE0C3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5F97D57">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0951C88">
            <w:pPr>
              <w:spacing w:line="360" w:lineRule="auto"/>
              <w:jc w:val="center"/>
              <w:rPr>
                <w:rFonts w:hint="eastAsia" w:ascii="方正仿宋_GB2312" w:hAnsi="方正仿宋_GB2312" w:eastAsia="方正仿宋_GB2312" w:cs="方正仿宋_GB2312"/>
                <w:sz w:val="21"/>
                <w:szCs w:val="21"/>
                <w:highlight w:val="none"/>
              </w:rPr>
            </w:pPr>
          </w:p>
        </w:tc>
      </w:tr>
      <w:tr w14:paraId="1C0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D5DEF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172EE0E">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C6E77CB">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F131A3F">
            <w:pPr>
              <w:spacing w:line="360" w:lineRule="auto"/>
              <w:jc w:val="center"/>
              <w:rPr>
                <w:rFonts w:hint="eastAsia" w:ascii="方正仿宋_GB2312" w:hAnsi="方正仿宋_GB2312" w:eastAsia="方正仿宋_GB2312" w:cs="方正仿宋_GB2312"/>
                <w:sz w:val="21"/>
                <w:szCs w:val="21"/>
                <w:highlight w:val="none"/>
              </w:rPr>
            </w:pPr>
          </w:p>
        </w:tc>
      </w:tr>
      <w:tr w14:paraId="459A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076DC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254538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84B1FFD">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C9E90DC">
            <w:pPr>
              <w:spacing w:line="360" w:lineRule="auto"/>
              <w:jc w:val="center"/>
              <w:rPr>
                <w:rFonts w:hint="eastAsia" w:ascii="方正仿宋_GB2312" w:hAnsi="方正仿宋_GB2312" w:eastAsia="方正仿宋_GB2312" w:cs="方正仿宋_GB2312"/>
                <w:sz w:val="21"/>
                <w:szCs w:val="21"/>
                <w:highlight w:val="none"/>
              </w:rPr>
            </w:pPr>
          </w:p>
        </w:tc>
      </w:tr>
      <w:tr w14:paraId="15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744FF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E4218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C2EEBA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593269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6A60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A18F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3FD6F16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B715DC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02D8571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5D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D9D58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187606C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5AE401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177867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66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174DD0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413431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6DC98C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ECC553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54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ABBD3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BDDEC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8B2C4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FFA9C4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CE5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6FC4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FC3143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E0CB51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225A7B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3E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966C3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02577F0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090D11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002423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7A6ED2C0">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012B111B">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w:t>
      </w:r>
    </w:p>
    <w:p w14:paraId="28E44A59">
      <w:pPr>
        <w:spacing w:line="360" w:lineRule="auto"/>
        <w:ind w:firstLine="720" w:firstLineChars="3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（供应商公章）                               （签署或盖章）</w:t>
      </w:r>
    </w:p>
    <w:p w14:paraId="6D20C099">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20343ED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045A39A3">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1.本表即为对本项目“第二篇  项目服务需求”中所列条款进行比较和响应；</w:t>
      </w:r>
    </w:p>
    <w:p w14:paraId="3395523C">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2.本表可扩展；</w:t>
      </w:r>
    </w:p>
    <w:p w14:paraId="0F7C4E7D">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3.可附相关技术（质量）支撑材料。（格式自定）</w:t>
      </w:r>
    </w:p>
    <w:p w14:paraId="0F9B52C3">
      <w:pPr>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4"/>
          <w:highlight w:val="none"/>
        </w:rPr>
        <w:br w:type="page"/>
      </w:r>
    </w:p>
    <w:p w14:paraId="105FC1DF">
      <w:pPr>
        <w:numPr>
          <w:ilvl w:val="0"/>
          <w:numId w:val="5"/>
        </w:numPr>
        <w:spacing w:line="360" w:lineRule="auto"/>
        <w:rPr>
          <w:rFonts w:hint="eastAsia" w:ascii="方正仿宋_GB2312" w:hAnsi="方正仿宋_GB2312" w:eastAsia="方正仿宋_GB2312" w:cs="方正仿宋_GB2312"/>
          <w:highlight w:val="none"/>
        </w:rPr>
      </w:pPr>
      <w:bookmarkStart w:id="169" w:name="_Toc26494"/>
      <w:bookmarkStart w:id="170" w:name="_Toc4362"/>
      <w:bookmarkStart w:id="171" w:name="_Toc492721039"/>
      <w:bookmarkStart w:id="172" w:name="_Toc22113"/>
      <w:bookmarkStart w:id="173" w:name="_Toc5573"/>
      <w:bookmarkStart w:id="174" w:name="_Toc14954"/>
      <w:bookmarkStart w:id="175" w:name="_Toc493178791"/>
      <w:bookmarkStart w:id="176" w:name="_Toc106030419"/>
      <w:bookmarkStart w:id="177" w:name="_Toc23523"/>
      <w:bookmarkStart w:id="178" w:name="_Toc7069"/>
      <w:bookmarkStart w:id="179" w:name="_Toc32670"/>
      <w:bookmarkStart w:id="180" w:name="_Toc28242"/>
      <w:bookmarkStart w:id="181" w:name="_Toc6786"/>
      <w:bookmarkStart w:id="182" w:name="_Toc10372"/>
      <w:bookmarkStart w:id="183" w:name="_Toc75793542"/>
      <w:bookmarkStart w:id="184" w:name="_Toc17290"/>
      <w:bookmarkStart w:id="185" w:name="_Toc30496"/>
      <w:bookmarkStart w:id="186" w:name="_Toc8958"/>
      <w:r>
        <w:rPr>
          <w:rFonts w:hint="eastAsia" w:ascii="方正仿宋_GB2312" w:hAnsi="方正仿宋_GB2312" w:eastAsia="方正仿宋_GB2312" w:cs="方正仿宋_GB2312"/>
          <w:highlight w:val="none"/>
        </w:rPr>
        <w:t>商务文件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A8ACECF">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（一）商务条款偏离表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CC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EDA13D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序号</w:t>
            </w:r>
          </w:p>
        </w:tc>
        <w:tc>
          <w:tcPr>
            <w:tcW w:w="1541" w:type="pct"/>
            <w:vAlign w:val="center"/>
          </w:tcPr>
          <w:p w14:paraId="35726ED4">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招标商务要求</w:t>
            </w:r>
          </w:p>
        </w:tc>
        <w:tc>
          <w:tcPr>
            <w:tcW w:w="1600" w:type="pct"/>
            <w:vAlign w:val="center"/>
          </w:tcPr>
          <w:p w14:paraId="2A1FBDA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投标商务应答</w:t>
            </w:r>
          </w:p>
        </w:tc>
        <w:tc>
          <w:tcPr>
            <w:tcW w:w="1198" w:type="pct"/>
            <w:vAlign w:val="center"/>
          </w:tcPr>
          <w:p w14:paraId="5EF231F3">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差异说明</w:t>
            </w:r>
          </w:p>
        </w:tc>
      </w:tr>
      <w:tr w14:paraId="321E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F18608F">
            <w:pPr>
              <w:spacing w:line="360" w:lineRule="auto"/>
              <w:rPr>
                <w:rFonts w:hint="eastAsia" w:ascii="方正仿宋_GB2312" w:hAnsi="方正仿宋_GB2312" w:eastAsia="方正仿宋_GB2312" w:cs="方正仿宋_GB2312"/>
                <w:sz w:val="22"/>
                <w:szCs w:val="16"/>
                <w:highlight w:val="none"/>
              </w:rPr>
            </w:pPr>
          </w:p>
        </w:tc>
        <w:tc>
          <w:tcPr>
            <w:tcW w:w="1541" w:type="pct"/>
            <w:vAlign w:val="center"/>
          </w:tcPr>
          <w:p w14:paraId="37BB69CE">
            <w:pPr>
              <w:spacing w:line="360" w:lineRule="auto"/>
              <w:rPr>
                <w:rFonts w:hint="eastAsia" w:ascii="方正仿宋_GB2312" w:hAnsi="方正仿宋_GB2312" w:eastAsia="方正仿宋_GB2312" w:cs="方正仿宋_GB2312"/>
                <w:sz w:val="22"/>
                <w:szCs w:val="16"/>
                <w:highlight w:val="none"/>
              </w:rPr>
            </w:pPr>
          </w:p>
        </w:tc>
        <w:tc>
          <w:tcPr>
            <w:tcW w:w="1600" w:type="pct"/>
            <w:vAlign w:val="center"/>
          </w:tcPr>
          <w:p w14:paraId="00757576">
            <w:pPr>
              <w:spacing w:line="360" w:lineRule="auto"/>
              <w:rPr>
                <w:rFonts w:hint="eastAsia" w:ascii="方正仿宋_GB2312" w:hAnsi="方正仿宋_GB2312" w:eastAsia="方正仿宋_GB2312" w:cs="方正仿宋_GB2312"/>
                <w:sz w:val="22"/>
                <w:szCs w:val="16"/>
                <w:highlight w:val="none"/>
              </w:rPr>
            </w:pPr>
          </w:p>
        </w:tc>
        <w:tc>
          <w:tcPr>
            <w:tcW w:w="1198" w:type="pct"/>
            <w:vAlign w:val="center"/>
          </w:tcPr>
          <w:p w14:paraId="1EAD6AE3">
            <w:pPr>
              <w:spacing w:line="360" w:lineRule="auto"/>
              <w:rPr>
                <w:rFonts w:hint="eastAsia" w:ascii="方正仿宋_GB2312" w:hAnsi="方正仿宋_GB2312" w:eastAsia="方正仿宋_GB2312" w:cs="方正仿宋_GB2312"/>
                <w:sz w:val="22"/>
                <w:szCs w:val="16"/>
                <w:highlight w:val="none"/>
              </w:rPr>
            </w:pPr>
          </w:p>
        </w:tc>
      </w:tr>
      <w:tr w14:paraId="4119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012D59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B44942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00EC5B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4FDF72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9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998F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5864A95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DB8D30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3F94DE0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29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9D18E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61CB57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39B95A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FE695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91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6895F6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0729E6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A27137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8671FB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FA1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2A959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A87638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FCCFCA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18AC2EB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E31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3B80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4C54F5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D89A44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AB0120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586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45F9E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F5E76F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B5DED9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61A36E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707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45852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3D80568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5F212EC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8AA23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B79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83D1A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7638E3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E4483D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C2AE5E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FB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6350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1268F9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FA11DB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2D71F9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4F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3108A0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E913FE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FDEFBE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291ADE8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0E648C3D">
      <w:pPr>
        <w:spacing w:line="360" w:lineRule="auto"/>
        <w:ind w:firstLine="600" w:firstLineChars="250"/>
        <w:rPr>
          <w:rFonts w:hint="eastAsia" w:ascii="方正仿宋_GB2312" w:hAnsi="方正仿宋_GB2312" w:eastAsia="方正仿宋_GB2312" w:cs="方正仿宋_GB2312"/>
          <w:sz w:val="24"/>
          <w:szCs w:val="28"/>
          <w:highlight w:val="none"/>
        </w:rPr>
      </w:pPr>
    </w:p>
    <w:p w14:paraId="46A37BFA">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200EE29F">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（供应商公章）                               （签署或盖章）</w:t>
      </w:r>
    </w:p>
    <w:p w14:paraId="6D147ACC">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331B3C0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6D47B79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1.本表即为对本项目“第三篇 项目商务需求”中所列条款进行比较和响应；</w:t>
      </w:r>
    </w:p>
    <w:p w14:paraId="716D3B75">
      <w:pPr>
        <w:tabs>
          <w:tab w:val="left" w:pos="6300"/>
        </w:tabs>
        <w:snapToGrid w:val="0"/>
        <w:spacing w:line="360" w:lineRule="auto"/>
        <w:ind w:firstLine="57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2.本表可扩展。</w:t>
      </w:r>
    </w:p>
    <w:p w14:paraId="44B61674">
      <w:pPr>
        <w:tabs>
          <w:tab w:val="left" w:pos="6300"/>
        </w:tabs>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8"/>
          <w:highlight w:val="none"/>
        </w:rPr>
        <w:br w:type="page"/>
      </w:r>
      <w:r>
        <w:rPr>
          <w:rFonts w:hint="eastAsia" w:ascii="方正仿宋_GB2312" w:hAnsi="方正仿宋_GB2312" w:eastAsia="方正仿宋_GB2312" w:cs="方正仿宋_GB2312"/>
          <w:sz w:val="24"/>
          <w:szCs w:val="28"/>
          <w:highlight w:val="none"/>
        </w:rPr>
        <w:t>（二）其他优惠承诺</w:t>
      </w:r>
    </w:p>
    <w:p w14:paraId="656E96C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65D1D70">
      <w:pPr>
        <w:spacing w:line="360" w:lineRule="auto"/>
        <w:rPr>
          <w:rFonts w:hint="eastAsia" w:ascii="方正仿宋_GB2312" w:hAnsi="方正仿宋_GB2312" w:eastAsia="方正仿宋_GB2312" w:cs="方正仿宋_GB2312"/>
          <w:highlight w:val="none"/>
        </w:rPr>
      </w:pPr>
      <w:bookmarkStart w:id="187" w:name="_Toc492721038"/>
      <w:bookmarkStart w:id="188" w:name="_Toc28432"/>
      <w:bookmarkStart w:id="189" w:name="_Toc75793544"/>
      <w:bookmarkStart w:id="190" w:name="_Toc4000"/>
      <w:bookmarkStart w:id="191" w:name="_Toc30818"/>
      <w:bookmarkStart w:id="192" w:name="_Toc13249"/>
      <w:bookmarkStart w:id="193" w:name="_Toc16577"/>
      <w:bookmarkStart w:id="194" w:name="_Toc493178793"/>
      <w:bookmarkStart w:id="195" w:name="_Toc106030421"/>
      <w:bookmarkStart w:id="196" w:name="_Toc17848"/>
      <w:bookmarkStart w:id="197" w:name="_Toc23187"/>
      <w:bookmarkStart w:id="198" w:name="_Toc21121"/>
      <w:bookmarkStart w:id="199" w:name="_Toc11324"/>
      <w:bookmarkStart w:id="200" w:name="_Toc6108"/>
      <w:bookmarkStart w:id="201" w:name="_Toc12509"/>
      <w:bookmarkStart w:id="202" w:name="_Toc26381"/>
      <w:bookmarkStart w:id="203" w:name="_Toc17829"/>
      <w:r>
        <w:rPr>
          <w:rFonts w:hint="eastAsia" w:ascii="方正仿宋_GB2312" w:hAnsi="方正仿宋_GB2312" w:eastAsia="方正仿宋_GB2312" w:cs="方正仿宋_GB2312"/>
          <w:highlight w:val="none"/>
        </w:rPr>
        <w:br w:type="page"/>
      </w:r>
    </w:p>
    <w:p w14:paraId="38D2AC4D">
      <w:pPr>
        <w:spacing w:line="360" w:lineRule="auto"/>
        <w:rPr>
          <w:rFonts w:hint="eastAsia" w:ascii="方正仿宋_GB2312" w:hAnsi="方正仿宋_GB2312" w:eastAsia="方正仿宋_GB2312" w:cs="方正仿宋_GB2312"/>
          <w:b/>
          <w:szCs w:val="28"/>
          <w:highlight w:val="none"/>
        </w:rPr>
      </w:pPr>
      <w:r>
        <w:rPr>
          <w:rFonts w:hint="eastAsia" w:ascii="方正仿宋_GB2312" w:hAnsi="方正仿宋_GB2312" w:eastAsia="方正仿宋_GB2312" w:cs="方正仿宋_GB2312"/>
          <w:highlight w:val="none"/>
        </w:rPr>
        <w:t>四、资格</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方正仿宋_GB2312" w:hAnsi="方正仿宋_GB2312" w:eastAsia="方正仿宋_GB2312" w:cs="方正仿宋_GB2312"/>
          <w:highlight w:val="none"/>
        </w:rPr>
        <w:t>条件及其他</w:t>
      </w:r>
    </w:p>
    <w:p w14:paraId="53BC980B">
      <w:pPr>
        <w:spacing w:line="360" w:lineRule="auto"/>
        <w:ind w:firstLine="48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（一）法人营业执照（副本）或事业单位法人证书（副本）或个体工商户营业执照或有效的自然人身份证明或社会团体法人登记证书复印件</w:t>
      </w:r>
    </w:p>
    <w:p w14:paraId="5834816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B6B02ED">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5DB5509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2DEB6F7">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367501F2">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2EFBAA56">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r>
        <w:rPr>
          <w:rFonts w:hint="eastAsia" w:ascii="方正仿宋_GB2312" w:hAnsi="方正仿宋_GB2312" w:eastAsia="方正仿宋_GB2312" w:cs="方正仿宋_GB2312"/>
          <w:sz w:val="24"/>
          <w:highlight w:val="none"/>
        </w:rPr>
        <w:t>（二）法定代表人身份证明书（格式）</w:t>
      </w:r>
    </w:p>
    <w:p w14:paraId="47643C1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CC6941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招标项目名称：</w:t>
      </w:r>
      <w:r>
        <w:rPr>
          <w:rFonts w:hint="eastAsia" w:ascii="方正仿宋_GB2312" w:hAnsi="方正仿宋_GB2312" w:eastAsia="方正仿宋_GB2312" w:cs="方正仿宋_GB2312"/>
          <w:sz w:val="24"/>
          <w:highlight w:val="none"/>
          <w:u w:val="single"/>
        </w:rPr>
        <w:t xml:space="preserve">                                                </w:t>
      </w:r>
    </w:p>
    <w:p w14:paraId="7EAFD1B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9F9A64B">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377A8AF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（法定代表人姓名）</w:t>
      </w:r>
      <w:r>
        <w:rPr>
          <w:rFonts w:hint="eastAsia" w:ascii="方正仿宋_GB2312" w:hAnsi="方正仿宋_GB2312" w:eastAsia="方正仿宋_GB2312" w:cs="方正仿宋_GB2312"/>
          <w:color w:val="000000"/>
          <w:sz w:val="24"/>
          <w:highlight w:val="none"/>
          <w:u w:val="single"/>
        </w:rPr>
        <w:t xml:space="preserve">     </w:t>
      </w:r>
      <w:r>
        <w:rPr>
          <w:rFonts w:hint="eastAsia" w:ascii="方正仿宋_GB2312" w:hAnsi="方正仿宋_GB2312" w:eastAsia="方正仿宋_GB2312" w:cs="方正仿宋_GB2312"/>
          <w:color w:val="000000"/>
          <w:sz w:val="24"/>
          <w:highlight w:val="none"/>
        </w:rPr>
        <w:t>（性别）</w:t>
      </w:r>
      <w:r>
        <w:rPr>
          <w:rFonts w:hint="eastAsia" w:ascii="方正仿宋_GB2312" w:hAnsi="方正仿宋_GB2312" w:eastAsia="方正仿宋_GB2312" w:cs="方正仿宋_GB2312"/>
          <w:sz w:val="24"/>
          <w:highlight w:val="none"/>
        </w:rPr>
        <w:t>在</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（供应商名称）任</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（职务名称）职务，是（供应商名称）</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的法定代表人。</w:t>
      </w:r>
    </w:p>
    <w:p w14:paraId="0E2065E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89688D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特此证明。</w:t>
      </w:r>
    </w:p>
    <w:p w14:paraId="509556C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22F5D29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171975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供应商：</w:t>
      </w:r>
    </w:p>
    <w:p w14:paraId="625004FE">
      <w:pPr>
        <w:tabs>
          <w:tab w:val="left" w:pos="6300"/>
        </w:tabs>
        <w:snapToGrid w:val="0"/>
        <w:spacing w:line="360" w:lineRule="auto"/>
        <w:ind w:firstLine="5848" w:firstLineChars="2437"/>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0AE0A6D1">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039D6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年   月   日</w:t>
      </w:r>
    </w:p>
    <w:p w14:paraId="4C2D590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法定代表人电话：XXXXXXX      电子邮箱：XXXXXX@XXXXX（若授权他人办理并签署投标文件的可不填写）</w:t>
      </w:r>
    </w:p>
    <w:p w14:paraId="4B9B7F3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（附：法定代表人身份证正反面复印件）</w:t>
      </w:r>
    </w:p>
    <w:p w14:paraId="440591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7D17A1A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51BC77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CF8AA2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99FC27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01220B10">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577C057D">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31BB4C6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DAB47B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项目名称：</w:t>
      </w:r>
      <w:r>
        <w:rPr>
          <w:rFonts w:hint="eastAsia" w:ascii="方正仿宋_GB2312" w:hAnsi="方正仿宋_GB2312" w:eastAsia="方正仿宋_GB2312" w:cs="方正仿宋_GB2312"/>
          <w:sz w:val="24"/>
          <w:szCs w:val="24"/>
          <w:highlight w:val="none"/>
          <w:u w:val="single"/>
        </w:rPr>
        <w:t xml:space="preserve">                            </w:t>
      </w:r>
    </w:p>
    <w:p w14:paraId="326FAD3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3A4E7EA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致：</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（采购人名称）：</w:t>
      </w:r>
    </w:p>
    <w:p w14:paraId="111993F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（供应商法定代表人名称）是</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（供应商名称）的法定代表人，特授权</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（被授权人姓名及身份证号码）代表我单位全权办理上述项目的网上竞采、签约等具体工作，并签署全部有关文件、协议及合同。</w:t>
      </w:r>
    </w:p>
    <w:p w14:paraId="6955770B">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我单位对被授权人的签字负全部责任。</w:t>
      </w:r>
    </w:p>
    <w:p w14:paraId="26BB241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在撤消授权的书面通知以前，本授权书一直有效。被授权人在授权书有效期内签署的所有文件不因授权的撤消而失效。</w:t>
      </w:r>
    </w:p>
    <w:p w14:paraId="3819A56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28AE400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9AF44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                                 供应商法定代表人：</w:t>
      </w:r>
    </w:p>
    <w:p w14:paraId="51709D3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（签字或盖章）                                （签字或盖章）</w:t>
      </w:r>
    </w:p>
    <w:p w14:paraId="47476AD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AB8F0B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5D8750D1">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（附：被授权人、法定代表人身份证正反面）</w:t>
      </w:r>
    </w:p>
    <w:p w14:paraId="467BA93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0B515121">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219755E7">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30E41A52">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（供应商公章）</w:t>
      </w:r>
    </w:p>
    <w:p w14:paraId="650346B9">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年   月   日</w:t>
      </w:r>
    </w:p>
    <w:p w14:paraId="46AA99FF">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1562DB7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被授权人电话：XXXXXXX     电子邮箱：XXXXXX@XXXXX（若法定代表人办理并签署响应文件的可不填写）</w:t>
      </w:r>
    </w:p>
    <w:p w14:paraId="36700C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w:t>
      </w:r>
    </w:p>
    <w:p w14:paraId="05511616">
      <w:pPr>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4"/>
          <w:highlight w:val="none"/>
        </w:rPr>
        <w:t>1.若为法定代表人办理并签署响应文件的，不提供此文件。</w:t>
      </w:r>
      <w:r>
        <w:rPr>
          <w:rFonts w:hint="eastAsia" w:ascii="方正仿宋_GB2312" w:hAnsi="方正仿宋_GB2312" w:eastAsia="方正仿宋_GB2312" w:cs="方正仿宋_GB2312"/>
          <w:sz w:val="24"/>
          <w:highlight w:val="none"/>
        </w:rPr>
        <w:br w:type="page"/>
      </w:r>
    </w:p>
    <w:p w14:paraId="7271994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（四）基本资格条件承诺函</w:t>
      </w:r>
    </w:p>
    <w:p w14:paraId="7E590F92">
      <w:pPr>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基本资格条件承诺函</w:t>
      </w:r>
    </w:p>
    <w:p w14:paraId="69F4113E">
      <w:pPr>
        <w:tabs>
          <w:tab w:val="left" w:pos="6300"/>
        </w:tabs>
        <w:snapToGrid w:val="0"/>
        <w:spacing w:line="360" w:lineRule="auto"/>
        <w:rPr>
          <w:rFonts w:hint="eastAsia" w:ascii="方正仿宋_GB2312" w:hAnsi="方正仿宋_GB2312" w:eastAsia="方正仿宋_GB2312" w:cs="方正仿宋_GB2312"/>
          <w:sz w:val="24"/>
          <w:highlight w:val="none"/>
        </w:rPr>
      </w:pPr>
    </w:p>
    <w:p w14:paraId="310760A1">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405FB027">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（供应商名称）郑重承诺：</w:t>
      </w:r>
    </w:p>
    <w:p w14:paraId="689D14C5">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1.我方具有良好的商业信誉和健全的财务会计制度，具有履行合同所必需的设备和专业技术能力，具</w:t>
      </w:r>
      <w:r>
        <w:rPr>
          <w:rFonts w:hint="eastAsia" w:ascii="方正仿宋_GB2312" w:hAnsi="方正仿宋_GB2312" w:eastAsia="方正仿宋_GB2312" w:cs="方正仿宋_GB2312"/>
          <w:sz w:val="24"/>
          <w:highlight w:val="none"/>
          <w:lang w:val="zh-CN"/>
        </w:rPr>
        <w:t>有依法缴纳税收和社会保障金的良好记录</w:t>
      </w:r>
      <w:r>
        <w:rPr>
          <w:rFonts w:hint="eastAsia" w:ascii="方正仿宋_GB2312" w:hAnsi="方正仿宋_GB2312" w:eastAsia="方正仿宋_GB2312" w:cs="方正仿宋_GB2312"/>
          <w:sz w:val="24"/>
          <w:highlight w:val="none"/>
        </w:rPr>
        <w:t>，参加本项目采购活动前三年内无重大违法活动记录。</w:t>
      </w:r>
    </w:p>
    <w:p w14:paraId="31E4CEFB">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2.我方未列入在信用中国网站（www.creditchina.gov.cn）“失信被执行人”、“重大税收违法案件当事人名单”中，也未列入中国政府采购网（www.ccgp.gov.cn）“政府采购严重违法失信行为记录名单”中。</w:t>
      </w:r>
    </w:p>
    <w:p w14:paraId="0C785A8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3.我方在采购项目评审（评标）环节结束后，随时接受采购人、采购代理机构的检查验证，配合提供相关证明材料，证明符合《中华人民共和国政府采购法》规定的供应商基本资格条件。</w:t>
      </w:r>
    </w:p>
    <w:p w14:paraId="7EA11D79">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我方对以上承诺负全部法律责任。</w:t>
      </w:r>
    </w:p>
    <w:p w14:paraId="3998352E">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3A95C698">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p>
    <w:p w14:paraId="28601EFF">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43E5349A">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年   月   日</w:t>
      </w:r>
    </w:p>
    <w:p w14:paraId="63949E9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4548CD10">
      <w:pPr>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br w:type="page"/>
      </w:r>
    </w:p>
    <w:p w14:paraId="4A0E5C1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（五）特定资格条件证书或证明文件</w:t>
      </w:r>
    </w:p>
    <w:p w14:paraId="102560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04F37E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61909AC">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EAE03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8A7CC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FB659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8FC2B61">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220FED0">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F4DF52E">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40E43D3">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BA19346">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4245D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6E63B334">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05ACA5D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7EC59D9">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6CE5C865">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六</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其他资料</w:t>
      </w:r>
    </w:p>
    <w:p w14:paraId="062E2FD2">
      <w:pPr>
        <w:rPr>
          <w:rFonts w:hint="eastAsia" w:ascii="方正仿宋_GB2312" w:hAnsi="方正仿宋_GB2312" w:eastAsia="方正仿宋_GB2312" w:cs="方正仿宋_GB2312"/>
          <w:highlight w:val="none"/>
        </w:rPr>
      </w:pPr>
    </w:p>
    <w:p w14:paraId="2764F52D">
      <w:pPr>
        <w:rPr>
          <w:rFonts w:hint="eastAsia" w:ascii="方正仿宋_GB2312" w:hAnsi="方正仿宋_GB2312" w:eastAsia="方正仿宋_GB2312" w:cs="方正仿宋_GB2312"/>
          <w:highlight w:val="none"/>
        </w:rPr>
      </w:pPr>
    </w:p>
    <w:p w14:paraId="5EC7FBA0">
      <w:pPr>
        <w:rPr>
          <w:rFonts w:hint="eastAsia" w:ascii="方正仿宋_GB2312" w:hAnsi="方正仿宋_GB2312" w:eastAsia="方正仿宋_GB2312" w:cs="方正仿宋_GB2312"/>
          <w:highlight w:val="none"/>
        </w:rPr>
      </w:pPr>
    </w:p>
    <w:p w14:paraId="2650B46D">
      <w:pPr>
        <w:rPr>
          <w:rFonts w:hint="eastAsia" w:ascii="方正仿宋_GB2312" w:hAnsi="方正仿宋_GB2312" w:eastAsia="方正仿宋_GB2312" w:cs="方正仿宋_GB2312"/>
          <w:highlight w:val="none"/>
        </w:rPr>
      </w:pPr>
    </w:p>
    <w:p w14:paraId="6AEB8F8E">
      <w:pPr>
        <w:pStyle w:val="24"/>
        <w:rPr>
          <w:rFonts w:hint="eastAsia" w:ascii="方正仿宋_GB2312" w:hAnsi="方正仿宋_GB2312" w:eastAsia="方正仿宋_GB2312" w:cs="方正仿宋_GB2312"/>
          <w:highlight w:val="none"/>
        </w:rPr>
      </w:pPr>
    </w:p>
    <w:p w14:paraId="45AD279E">
      <w:pPr>
        <w:pStyle w:val="24"/>
        <w:rPr>
          <w:rFonts w:hint="eastAsia" w:ascii="方正仿宋_GB2312" w:hAnsi="方正仿宋_GB2312" w:eastAsia="方正仿宋_GB2312" w:cs="方正仿宋_GB2312"/>
          <w:highlight w:val="none"/>
        </w:rPr>
      </w:pPr>
    </w:p>
    <w:p w14:paraId="5F702EA5">
      <w:pPr>
        <w:pStyle w:val="24"/>
        <w:rPr>
          <w:rFonts w:hint="eastAsia" w:ascii="方正仿宋_GB2312" w:hAnsi="方正仿宋_GB2312" w:eastAsia="方正仿宋_GB2312" w:cs="方正仿宋_GB2312"/>
          <w:highlight w:val="none"/>
        </w:rPr>
      </w:pPr>
    </w:p>
    <w:p w14:paraId="70FA064B">
      <w:pPr>
        <w:rPr>
          <w:rFonts w:hint="eastAsia" w:ascii="方正仿宋_GB2312" w:hAnsi="方正仿宋_GB2312" w:eastAsia="方正仿宋_GB2312" w:cs="方正仿宋_GB2312"/>
          <w:highlight w:val="none"/>
        </w:rPr>
      </w:pPr>
    </w:p>
    <w:p w14:paraId="2F11DC45">
      <w:pPr>
        <w:rPr>
          <w:rFonts w:hint="eastAsia" w:ascii="方正仿宋_GB2312" w:hAnsi="方正仿宋_GB2312" w:eastAsia="方正仿宋_GB2312" w:cs="方正仿宋_GB2312"/>
          <w:highlight w:val="none"/>
        </w:rPr>
      </w:pPr>
    </w:p>
    <w:p w14:paraId="0567360B">
      <w:pPr>
        <w:rPr>
          <w:rFonts w:hint="eastAsia" w:ascii="方正仿宋_GB2312" w:hAnsi="方正仿宋_GB2312" w:eastAsia="方正仿宋_GB2312" w:cs="方正仿宋_GB2312"/>
          <w:highlight w:val="none"/>
        </w:rPr>
      </w:pPr>
    </w:p>
    <w:p w14:paraId="52EE100A">
      <w:pPr>
        <w:rPr>
          <w:rFonts w:hint="eastAsia" w:ascii="方正仿宋_GB2312" w:hAnsi="方正仿宋_GB2312" w:eastAsia="方正仿宋_GB2312" w:cs="方正仿宋_GB2312"/>
          <w:highlight w:val="none"/>
        </w:rPr>
      </w:pPr>
    </w:p>
    <w:p w14:paraId="5E25C9FE">
      <w:pPr>
        <w:rPr>
          <w:rFonts w:hint="eastAsia" w:ascii="方正仿宋_GB2312" w:hAnsi="方正仿宋_GB2312" w:eastAsia="方正仿宋_GB2312" w:cs="方正仿宋_GB2312"/>
          <w:highlight w:val="none"/>
        </w:rPr>
      </w:pPr>
    </w:p>
    <w:p w14:paraId="14699E63">
      <w:pPr>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（结束）</w:t>
      </w:r>
    </w:p>
    <w:p w14:paraId="1687B77A">
      <w:pPr>
        <w:pStyle w:val="6"/>
        <w:spacing w:line="360" w:lineRule="auto"/>
        <w:ind w:left="560"/>
        <w:rPr>
          <w:rFonts w:hint="eastAsia" w:ascii="方正仿宋_GB2312" w:hAnsi="方正仿宋_GB2312" w:eastAsia="方正仿宋_GB2312" w:cs="方正仿宋_GB2312"/>
          <w:sz w:val="24"/>
          <w:szCs w:val="24"/>
          <w:highlight w:val="none"/>
        </w:rPr>
      </w:pPr>
    </w:p>
    <w:p w14:paraId="078AE80A">
      <w:pPr>
        <w:pStyle w:val="6"/>
        <w:spacing w:line="360" w:lineRule="auto"/>
        <w:ind w:left="560"/>
        <w:rPr>
          <w:rFonts w:hint="eastAsia" w:ascii="方正仿宋_GB2312" w:hAnsi="方正仿宋_GB2312" w:eastAsia="方正仿宋_GB2312" w:cs="方正仿宋_GB2312"/>
          <w:sz w:val="24"/>
          <w:szCs w:val="24"/>
          <w:highlight w:val="none"/>
        </w:rPr>
      </w:pPr>
    </w:p>
    <w:p w14:paraId="2DABF1DE">
      <w:pPr>
        <w:spacing w:line="360" w:lineRule="auto"/>
        <w:rPr>
          <w:rFonts w:hint="eastAsia" w:ascii="方正仿宋_GB2312" w:hAnsi="方正仿宋_GB2312" w:eastAsia="方正仿宋_GB2312" w:cs="方正仿宋_GB2312"/>
          <w:sz w:val="24"/>
          <w:szCs w:val="24"/>
          <w:highlight w:val="none"/>
        </w:rPr>
      </w:pP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F99AF327-4CF2-4894-982D-E37213E59B3D}"/>
  </w:font>
  <w:font w:name="方正仿宋_GB2312">
    <w:panose1 w:val="02000000000000000000"/>
    <w:charset w:val="86"/>
    <w:family w:val="auto"/>
    <w:pitch w:val="default"/>
    <w:sig w:usb0="A00002BF" w:usb1="184F6CFA" w:usb2="00000012" w:usb3="00000000" w:csb0="00040001" w:csb1="00000000"/>
    <w:embedRegular r:id="rId2" w:fontKey="{3C630B25-9FBD-45F9-ACFA-42F309912E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294C">
    <w:pPr>
      <w:pStyle w:val="14"/>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3D7D">
    <w:pPr>
      <w:pStyle w:val="14"/>
      <w:framePr w:wrap="around" w:vAnchor="text" w:hAnchor="margin" w:xAlign="center" w:y="1"/>
      <w:rPr>
        <w:rStyle w:val="22"/>
      </w:rPr>
    </w:pPr>
    <w:r>
      <w:fldChar w:fldCharType="begin"/>
    </w:r>
    <w:r>
      <w:rPr>
        <w:rStyle w:val="22"/>
      </w:rPr>
      <w:instrText xml:space="preserve">PAGE  </w:instrText>
    </w:r>
    <w:r>
      <w:fldChar w:fldCharType="end"/>
    </w:r>
  </w:p>
  <w:p w14:paraId="6F49FF25">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B68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AE2C">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950AE2C">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51E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33E0C86">
                          <w:pPr>
                            <w:pStyle w:val="14"/>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33E0C86">
                    <w:pPr>
                      <w:pStyle w:val="14"/>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AD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56C5">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34C51"/>
    <w:multiLevelType w:val="singleLevel"/>
    <w:tmpl w:val="D1434C51"/>
    <w:lvl w:ilvl="0" w:tentative="0">
      <w:start w:val="6"/>
      <w:numFmt w:val="chineseCounting"/>
      <w:suff w:val="space"/>
      <w:lvlText w:val="第%1篇"/>
      <w:lvlJc w:val="left"/>
      <w:rPr>
        <w:rFonts w:hint="eastAsia"/>
      </w:rPr>
    </w:lvl>
  </w:abstractNum>
  <w:abstractNum w:abstractNumId="1">
    <w:nsid w:val="483CD81B"/>
    <w:multiLevelType w:val="singleLevel"/>
    <w:tmpl w:val="483CD81B"/>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6667BD86"/>
    <w:multiLevelType w:val="singleLevel"/>
    <w:tmpl w:val="6667BD86"/>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MzIxNjEzOTlmZjBlMmM4Y2FkNTVhMTBmNWY4Y2UifQ=="/>
  </w:docVars>
  <w:rsids>
    <w:rsidRoot w:val="4DEF5E83"/>
    <w:rsid w:val="000F53B2"/>
    <w:rsid w:val="001113A3"/>
    <w:rsid w:val="00132983"/>
    <w:rsid w:val="0014025F"/>
    <w:rsid w:val="0020267E"/>
    <w:rsid w:val="00256254"/>
    <w:rsid w:val="002A0829"/>
    <w:rsid w:val="002D01E3"/>
    <w:rsid w:val="002D0AAE"/>
    <w:rsid w:val="003000AB"/>
    <w:rsid w:val="00315FC9"/>
    <w:rsid w:val="003229F9"/>
    <w:rsid w:val="00366C18"/>
    <w:rsid w:val="00394DF7"/>
    <w:rsid w:val="003C4F6C"/>
    <w:rsid w:val="003F52ED"/>
    <w:rsid w:val="0041230D"/>
    <w:rsid w:val="004A1673"/>
    <w:rsid w:val="004A3B1B"/>
    <w:rsid w:val="00557D8C"/>
    <w:rsid w:val="00561057"/>
    <w:rsid w:val="005F4542"/>
    <w:rsid w:val="00651ADC"/>
    <w:rsid w:val="006D51E1"/>
    <w:rsid w:val="0075576C"/>
    <w:rsid w:val="009266AD"/>
    <w:rsid w:val="00C335D6"/>
    <w:rsid w:val="00CF6B2B"/>
    <w:rsid w:val="00D02170"/>
    <w:rsid w:val="00D54920"/>
    <w:rsid w:val="00E72388"/>
    <w:rsid w:val="00E822E9"/>
    <w:rsid w:val="00E93B74"/>
    <w:rsid w:val="00EA58DB"/>
    <w:rsid w:val="00EB07BF"/>
    <w:rsid w:val="00EF4BCC"/>
    <w:rsid w:val="00F941FA"/>
    <w:rsid w:val="00F95539"/>
    <w:rsid w:val="010131A7"/>
    <w:rsid w:val="01782C45"/>
    <w:rsid w:val="01DD3C4D"/>
    <w:rsid w:val="035246AA"/>
    <w:rsid w:val="037E30D1"/>
    <w:rsid w:val="03A70F25"/>
    <w:rsid w:val="03AC20C9"/>
    <w:rsid w:val="042E69E2"/>
    <w:rsid w:val="04753F2C"/>
    <w:rsid w:val="056E4905"/>
    <w:rsid w:val="057332A8"/>
    <w:rsid w:val="05AE345A"/>
    <w:rsid w:val="08990A0C"/>
    <w:rsid w:val="0A472228"/>
    <w:rsid w:val="0B3B45F4"/>
    <w:rsid w:val="0D0E7381"/>
    <w:rsid w:val="102B7629"/>
    <w:rsid w:val="106877E7"/>
    <w:rsid w:val="116544B1"/>
    <w:rsid w:val="11C67EB9"/>
    <w:rsid w:val="122C09D5"/>
    <w:rsid w:val="12B35A5A"/>
    <w:rsid w:val="13540CE3"/>
    <w:rsid w:val="14AE0CDA"/>
    <w:rsid w:val="15344EF4"/>
    <w:rsid w:val="15770AE8"/>
    <w:rsid w:val="1957287E"/>
    <w:rsid w:val="19C43ECF"/>
    <w:rsid w:val="1A037E63"/>
    <w:rsid w:val="1A0934ED"/>
    <w:rsid w:val="1A551FDF"/>
    <w:rsid w:val="1BB6167F"/>
    <w:rsid w:val="1C4865E5"/>
    <w:rsid w:val="1C8B4B07"/>
    <w:rsid w:val="1CD048C1"/>
    <w:rsid w:val="1D7A51D2"/>
    <w:rsid w:val="1D925B8A"/>
    <w:rsid w:val="1E2B7565"/>
    <w:rsid w:val="1F7405B1"/>
    <w:rsid w:val="207033FB"/>
    <w:rsid w:val="219D08AB"/>
    <w:rsid w:val="225856E4"/>
    <w:rsid w:val="22E31B89"/>
    <w:rsid w:val="232C638A"/>
    <w:rsid w:val="236723EA"/>
    <w:rsid w:val="24AA7567"/>
    <w:rsid w:val="258242A3"/>
    <w:rsid w:val="25893620"/>
    <w:rsid w:val="27BF5BC8"/>
    <w:rsid w:val="28DF032D"/>
    <w:rsid w:val="2B6C6FC2"/>
    <w:rsid w:val="2CFE2B46"/>
    <w:rsid w:val="2EC93486"/>
    <w:rsid w:val="30A04ED5"/>
    <w:rsid w:val="30FF1B88"/>
    <w:rsid w:val="315C608D"/>
    <w:rsid w:val="3268462F"/>
    <w:rsid w:val="328F34B6"/>
    <w:rsid w:val="32B011BC"/>
    <w:rsid w:val="33B94BEA"/>
    <w:rsid w:val="345B43EB"/>
    <w:rsid w:val="3547648D"/>
    <w:rsid w:val="356544C7"/>
    <w:rsid w:val="3591260B"/>
    <w:rsid w:val="35987B8D"/>
    <w:rsid w:val="3789228D"/>
    <w:rsid w:val="37BB0D1E"/>
    <w:rsid w:val="37F963FF"/>
    <w:rsid w:val="37FD732F"/>
    <w:rsid w:val="39704576"/>
    <w:rsid w:val="3979525D"/>
    <w:rsid w:val="39A24859"/>
    <w:rsid w:val="39DA5E57"/>
    <w:rsid w:val="3A013439"/>
    <w:rsid w:val="3AAF3477"/>
    <w:rsid w:val="3AB160D5"/>
    <w:rsid w:val="3AE86AF1"/>
    <w:rsid w:val="3B284EE3"/>
    <w:rsid w:val="3D6E2D89"/>
    <w:rsid w:val="3D753879"/>
    <w:rsid w:val="3D7D2A20"/>
    <w:rsid w:val="3D8C5D93"/>
    <w:rsid w:val="3DBE08A9"/>
    <w:rsid w:val="3E9A0C6C"/>
    <w:rsid w:val="3ECC10BF"/>
    <w:rsid w:val="3EF0645B"/>
    <w:rsid w:val="3F1B68A5"/>
    <w:rsid w:val="3F387708"/>
    <w:rsid w:val="3F9B413D"/>
    <w:rsid w:val="3FB026E8"/>
    <w:rsid w:val="413F4A95"/>
    <w:rsid w:val="41684B4C"/>
    <w:rsid w:val="419F6289"/>
    <w:rsid w:val="41B85EDE"/>
    <w:rsid w:val="42F41BD9"/>
    <w:rsid w:val="42FC4EA8"/>
    <w:rsid w:val="43FA7557"/>
    <w:rsid w:val="449A441D"/>
    <w:rsid w:val="46B3312C"/>
    <w:rsid w:val="47DB3935"/>
    <w:rsid w:val="49027FE8"/>
    <w:rsid w:val="49CA74E0"/>
    <w:rsid w:val="49E369F5"/>
    <w:rsid w:val="4A363DD4"/>
    <w:rsid w:val="4B594059"/>
    <w:rsid w:val="4BCA6B34"/>
    <w:rsid w:val="4C770C39"/>
    <w:rsid w:val="4C8C608C"/>
    <w:rsid w:val="4D0104F9"/>
    <w:rsid w:val="4D0F047A"/>
    <w:rsid w:val="4DA07A9C"/>
    <w:rsid w:val="4DAC5445"/>
    <w:rsid w:val="4DEF5E83"/>
    <w:rsid w:val="4F0516BA"/>
    <w:rsid w:val="4F126E91"/>
    <w:rsid w:val="4F977F9F"/>
    <w:rsid w:val="4FD322A6"/>
    <w:rsid w:val="4FE45692"/>
    <w:rsid w:val="504852D5"/>
    <w:rsid w:val="50690566"/>
    <w:rsid w:val="50C64757"/>
    <w:rsid w:val="5186459D"/>
    <w:rsid w:val="51C75820"/>
    <w:rsid w:val="525C5004"/>
    <w:rsid w:val="52D73F67"/>
    <w:rsid w:val="52FD2E8D"/>
    <w:rsid w:val="535A7887"/>
    <w:rsid w:val="539C5376"/>
    <w:rsid w:val="53CD66E0"/>
    <w:rsid w:val="543D2BC8"/>
    <w:rsid w:val="55CB16B9"/>
    <w:rsid w:val="56A54175"/>
    <w:rsid w:val="570858F2"/>
    <w:rsid w:val="57377856"/>
    <w:rsid w:val="57C230D5"/>
    <w:rsid w:val="57DC0F5F"/>
    <w:rsid w:val="588C08D1"/>
    <w:rsid w:val="598D1A7E"/>
    <w:rsid w:val="5A180D4E"/>
    <w:rsid w:val="5B4A07A8"/>
    <w:rsid w:val="5B8F3C7E"/>
    <w:rsid w:val="5BF95D22"/>
    <w:rsid w:val="5C5251DF"/>
    <w:rsid w:val="5CAF6290"/>
    <w:rsid w:val="5DFE04B3"/>
    <w:rsid w:val="5F125E59"/>
    <w:rsid w:val="5FE536D5"/>
    <w:rsid w:val="60EE4CAA"/>
    <w:rsid w:val="614F3918"/>
    <w:rsid w:val="61515E49"/>
    <w:rsid w:val="62032BD0"/>
    <w:rsid w:val="6232470C"/>
    <w:rsid w:val="62643AFC"/>
    <w:rsid w:val="640F1ECC"/>
    <w:rsid w:val="64431A72"/>
    <w:rsid w:val="64A15571"/>
    <w:rsid w:val="65F06D2C"/>
    <w:rsid w:val="66BB2590"/>
    <w:rsid w:val="66E203D8"/>
    <w:rsid w:val="67036D57"/>
    <w:rsid w:val="671B7922"/>
    <w:rsid w:val="677F153E"/>
    <w:rsid w:val="683E4D93"/>
    <w:rsid w:val="687C133D"/>
    <w:rsid w:val="690946BA"/>
    <w:rsid w:val="6AE04B74"/>
    <w:rsid w:val="6AF01C56"/>
    <w:rsid w:val="6BAB36BB"/>
    <w:rsid w:val="6C710B23"/>
    <w:rsid w:val="6DF42C99"/>
    <w:rsid w:val="6E0E5660"/>
    <w:rsid w:val="6E1E4550"/>
    <w:rsid w:val="6ECB17A1"/>
    <w:rsid w:val="6F443096"/>
    <w:rsid w:val="6F5778B8"/>
    <w:rsid w:val="703E4B7E"/>
    <w:rsid w:val="70D21129"/>
    <w:rsid w:val="70E51287"/>
    <w:rsid w:val="724E1254"/>
    <w:rsid w:val="731168F2"/>
    <w:rsid w:val="746B3683"/>
    <w:rsid w:val="75F05AFC"/>
    <w:rsid w:val="760A46C0"/>
    <w:rsid w:val="76A446E6"/>
    <w:rsid w:val="777110D9"/>
    <w:rsid w:val="77B00A3C"/>
    <w:rsid w:val="791553F6"/>
    <w:rsid w:val="7973251E"/>
    <w:rsid w:val="79826720"/>
    <w:rsid w:val="799B1910"/>
    <w:rsid w:val="79AE3942"/>
    <w:rsid w:val="7A373298"/>
    <w:rsid w:val="7A41363F"/>
    <w:rsid w:val="7A542AC5"/>
    <w:rsid w:val="7A8477CC"/>
    <w:rsid w:val="7B5628D6"/>
    <w:rsid w:val="7B8E5BDC"/>
    <w:rsid w:val="7C025669"/>
    <w:rsid w:val="7C30163A"/>
    <w:rsid w:val="7C331A1A"/>
    <w:rsid w:val="7C4C02E1"/>
    <w:rsid w:val="7C7D2A53"/>
    <w:rsid w:val="7DE54777"/>
    <w:rsid w:val="7EE534A5"/>
    <w:rsid w:val="7F5A536B"/>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Body Text"/>
    <w:basedOn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0"/>
    <w:pPr>
      <w:ind w:left="840" w:leftChars="400"/>
    </w:p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39"/>
    <w:pPr>
      <w:ind w:left="420" w:leftChars="200"/>
    </w:pPr>
  </w:style>
  <w:style w:type="table" w:styleId="20">
    <w:name w:val="Table Grid"/>
    <w:basedOn w:val="1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99"/>
    <w:rPr>
      <w:color w:val="0000FF"/>
      <w:u w:val="single"/>
    </w:rPr>
  </w:style>
  <w:style w:type="paragraph" w:customStyle="1" w:styleId="2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标题 4 字符"/>
    <w:basedOn w:val="21"/>
    <w:link w:val="5"/>
    <w:semiHidden/>
    <w:qFormat/>
    <w:uiPriority w:val="0"/>
    <w:rPr>
      <w:rFonts w:asciiTheme="majorHAnsi" w:hAnsiTheme="majorHAnsi" w:eastAsiaTheme="majorEastAsia" w:cstheme="majorBidi"/>
      <w:b/>
      <w:bCs/>
      <w:kern w:val="2"/>
      <w:sz w:val="28"/>
      <w:szCs w:val="28"/>
    </w:rPr>
  </w:style>
  <w:style w:type="character" w:customStyle="1" w:styleId="32">
    <w:name w:val="font13"/>
    <w:basedOn w:val="21"/>
    <w:qFormat/>
    <w:uiPriority w:val="0"/>
    <w:rPr>
      <w:rFonts w:hint="default" w:ascii="Times New Roman" w:hAnsi="Times New Roman" w:cs="Times New Roman"/>
      <w:color w:val="000000"/>
      <w:sz w:val="32"/>
      <w:szCs w:val="32"/>
      <w:u w:val="none"/>
    </w:rPr>
  </w:style>
  <w:style w:type="character" w:customStyle="1" w:styleId="33">
    <w:name w:val="font121"/>
    <w:basedOn w:val="21"/>
    <w:qFormat/>
    <w:uiPriority w:val="0"/>
    <w:rPr>
      <w:rFonts w:ascii="方正书宋_GBK" w:hAnsi="方正书宋_GBK" w:eastAsia="方正书宋_GBK" w:cs="方正书宋_GBK"/>
      <w:color w:val="000000"/>
      <w:sz w:val="32"/>
      <w:szCs w:val="32"/>
      <w:u w:val="none"/>
    </w:rPr>
  </w:style>
  <w:style w:type="character" w:customStyle="1" w:styleId="34">
    <w:name w:val="font61"/>
    <w:basedOn w:val="21"/>
    <w:qFormat/>
    <w:uiPriority w:val="0"/>
    <w:rPr>
      <w:rFonts w:ascii="方正仿宋_GBK" w:hAnsi="方正仿宋_GBK" w:eastAsia="方正仿宋_GBK" w:cs="方正仿宋_GBK"/>
      <w:color w:val="000000"/>
      <w:sz w:val="18"/>
      <w:szCs w:val="18"/>
      <w:u w:val="none"/>
    </w:rPr>
  </w:style>
  <w:style w:type="character" w:customStyle="1" w:styleId="35">
    <w:name w:val="font21"/>
    <w:basedOn w:val="21"/>
    <w:qFormat/>
    <w:uiPriority w:val="0"/>
    <w:rPr>
      <w:rFonts w:hint="default" w:ascii="Times New Roman" w:hAnsi="Times New Roman" w:cs="Times New Roman"/>
      <w:color w:val="000000"/>
      <w:sz w:val="18"/>
      <w:szCs w:val="18"/>
      <w:u w:val="none"/>
    </w:rPr>
  </w:style>
  <w:style w:type="character" w:customStyle="1" w:styleId="36">
    <w:name w:val="font132"/>
    <w:basedOn w:val="21"/>
    <w:qFormat/>
    <w:uiPriority w:val="0"/>
    <w:rPr>
      <w:rFonts w:hint="eastAsia" w:ascii="方正仿宋_GBK" w:hAnsi="方正仿宋_GBK" w:eastAsia="方正仿宋_GBK" w:cs="方正仿宋_GBK"/>
      <w:b/>
      <w:bCs/>
      <w:color w:val="000000"/>
      <w:sz w:val="18"/>
      <w:szCs w:val="18"/>
      <w:u w:val="none"/>
    </w:rPr>
  </w:style>
  <w:style w:type="paragraph" w:customStyle="1" w:styleId="37">
    <w:name w:val="Table Text"/>
    <w:basedOn w:val="1"/>
    <w:semiHidden/>
    <w:qFormat/>
    <w:uiPriority w:val="0"/>
    <w:rPr>
      <w:rFonts w:ascii="宋体" w:hAnsi="宋体" w:eastAsia="宋体" w:cs="宋体"/>
      <w:sz w:val="20"/>
      <w:szCs w:val="20"/>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23F09-96A3-4E84-8C59-0A7CE84D10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9013</Words>
  <Characters>9394</Characters>
  <Lines>96</Lines>
  <Paragraphs>27</Paragraphs>
  <TotalTime>5</TotalTime>
  <ScaleCrop>false</ScaleCrop>
  <LinksUpToDate>false</LinksUpToDate>
  <CharactersWithSpaces>9861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2025-01-15T08:20:00Z</dcterms:created>
  <dc:creator>Administrator</dc:creator>
  <cp:lastModifiedBy>x、crazy</cp:lastModifiedBy>
  <cp:lastPrinted>2024-12-10T11:59:00Z</cp:lastPrinted>
  <dcterms:modified xsi:type="dcterms:W3CDTF">2025-07-31T03:31:42Z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0FCA91BD7DB043F28516CDEC29C9E932_13</vt:lpwstr>
  </property>
  <property fmtid="{D5CDD505-2E9C-101B-9397-08002B2CF9AE}" pid="4" name="KSOTemplateDocerSaveRecord">
    <vt:lpwstr>eyJoZGlkIjoiOGUwNmVkY2MwZGI1N2ZhMzU5YzdmOTJmOGQ0ZGEyZDkiLCJ1c2VySWQiOiI1NjIyOTg1NTUifQ==</vt:lpwstr>
  </property>
</Properties>
</file>