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9E2CD">
      <w:pPr>
        <w:jc w:val="center"/>
        <w:rPr>
          <w:rFonts w:ascii="宋体" w:hAnsi="宋体" w:cs="宋体"/>
          <w:highlight w:val="none"/>
        </w:rPr>
      </w:pPr>
    </w:p>
    <w:p w14:paraId="46D15BBD">
      <w:pPr>
        <w:jc w:val="center"/>
        <w:rPr>
          <w:rFonts w:ascii="宋体" w:hAnsi="宋体" w:cs="宋体"/>
          <w:highlight w:val="none"/>
        </w:rPr>
      </w:pPr>
    </w:p>
    <w:p w14:paraId="39F4C6AB">
      <w:pPr>
        <w:spacing w:line="1600" w:lineRule="exact"/>
        <w:jc w:val="center"/>
        <w:rPr>
          <w:rFonts w:ascii="宋体" w:hAnsi="宋体" w:cs="宋体"/>
          <w:sz w:val="130"/>
          <w:szCs w:val="130"/>
          <w:highlight w:val="none"/>
        </w:rPr>
      </w:pPr>
    </w:p>
    <w:p w14:paraId="64658ABF">
      <w:pPr>
        <w:spacing w:line="1600" w:lineRule="exact"/>
        <w:jc w:val="center"/>
        <w:rPr>
          <w:rFonts w:ascii="宋体" w:hAnsi="宋体" w:cs="宋体"/>
          <w:sz w:val="130"/>
          <w:szCs w:val="130"/>
          <w:highlight w:val="none"/>
        </w:rPr>
      </w:pPr>
      <w:r>
        <w:rPr>
          <w:rFonts w:hint="eastAsia" w:ascii="宋体" w:hAnsi="宋体" w:cs="宋体"/>
          <w:sz w:val="130"/>
          <w:szCs w:val="130"/>
          <w:highlight w:val="none"/>
        </w:rPr>
        <w:t>询价通知书</w:t>
      </w:r>
    </w:p>
    <w:p w14:paraId="70E9C895">
      <w:pPr>
        <w:spacing w:line="700" w:lineRule="exact"/>
        <w:jc w:val="center"/>
        <w:rPr>
          <w:rFonts w:ascii="宋体" w:hAnsi="宋体" w:cs="宋体"/>
          <w:sz w:val="32"/>
          <w:highlight w:val="none"/>
        </w:rPr>
      </w:pPr>
    </w:p>
    <w:p w14:paraId="7E21BB74">
      <w:pPr>
        <w:spacing w:line="700" w:lineRule="exact"/>
        <w:jc w:val="center"/>
        <w:rPr>
          <w:rFonts w:ascii="宋体" w:hAnsi="宋体" w:cs="宋体"/>
          <w:sz w:val="32"/>
          <w:highlight w:val="none"/>
        </w:rPr>
      </w:pPr>
    </w:p>
    <w:p w14:paraId="692700A0">
      <w:pPr>
        <w:spacing w:line="700" w:lineRule="exact"/>
        <w:jc w:val="center"/>
        <w:rPr>
          <w:rFonts w:ascii="宋体" w:hAnsi="宋体" w:cs="宋体"/>
          <w:sz w:val="32"/>
          <w:highlight w:val="none"/>
        </w:rPr>
      </w:pPr>
    </w:p>
    <w:p w14:paraId="7BFC17B8">
      <w:pPr>
        <w:spacing w:line="500" w:lineRule="exact"/>
        <w:ind w:firstLine="2340" w:firstLineChars="650"/>
        <w:rPr>
          <w:rFonts w:ascii="宋体" w:hAnsi="宋体" w:cs="宋体"/>
          <w:sz w:val="36"/>
          <w:szCs w:val="36"/>
          <w:highlight w:val="none"/>
        </w:rPr>
      </w:pPr>
      <w:r>
        <w:rPr>
          <w:rFonts w:hint="eastAsia" w:ascii="宋体" w:hAnsi="宋体" w:cs="宋体"/>
          <w:sz w:val="36"/>
          <w:szCs w:val="36"/>
          <w:highlight w:val="none"/>
        </w:rPr>
        <w:t xml:space="preserve"> </w:t>
      </w:r>
    </w:p>
    <w:p w14:paraId="20C1DAF3">
      <w:pPr>
        <w:spacing w:line="500" w:lineRule="exact"/>
        <w:ind w:firstLine="2340" w:firstLineChars="650"/>
        <w:rPr>
          <w:rFonts w:ascii="宋体" w:hAnsi="宋体" w:cs="宋体"/>
          <w:sz w:val="36"/>
          <w:szCs w:val="36"/>
          <w:highlight w:val="none"/>
        </w:rPr>
      </w:pPr>
    </w:p>
    <w:p w14:paraId="0FE61719">
      <w:pPr>
        <w:spacing w:line="700" w:lineRule="exact"/>
        <w:ind w:firstLine="360" w:firstLineChars="100"/>
        <w:rPr>
          <w:rFonts w:ascii="宋体" w:hAnsi="宋体" w:cs="宋体"/>
          <w:color w:val="000000"/>
          <w:sz w:val="36"/>
          <w:szCs w:val="30"/>
          <w:highlight w:val="none"/>
        </w:rPr>
      </w:pPr>
      <w:r>
        <w:rPr>
          <w:rFonts w:hint="eastAsia" w:ascii="宋体" w:hAnsi="宋体" w:cs="宋体"/>
          <w:sz w:val="36"/>
          <w:szCs w:val="36"/>
          <w:highlight w:val="none"/>
        </w:rPr>
        <w:t>询价项目名称：</w:t>
      </w:r>
      <w:r>
        <w:rPr>
          <w:rFonts w:hint="eastAsia" w:ascii="宋体" w:hAnsi="宋体" w:cs="宋体"/>
          <w:color w:val="000000"/>
          <w:sz w:val="36"/>
          <w:szCs w:val="30"/>
          <w:highlight w:val="none"/>
        </w:rPr>
        <w:t>合川区白鹿人才大厦一期工程商品</w:t>
      </w:r>
    </w:p>
    <w:p w14:paraId="7090756F">
      <w:pPr>
        <w:spacing w:line="700" w:lineRule="exact"/>
        <w:ind w:firstLine="2880" w:firstLineChars="800"/>
        <w:rPr>
          <w:rFonts w:ascii="宋体" w:hAnsi="宋体" w:cs="宋体"/>
          <w:sz w:val="36"/>
          <w:szCs w:val="36"/>
          <w:highlight w:val="none"/>
        </w:rPr>
      </w:pPr>
      <w:r>
        <w:rPr>
          <w:rFonts w:hint="eastAsia" w:ascii="宋体" w:hAnsi="宋体" w:cs="宋体"/>
          <w:color w:val="000000"/>
          <w:sz w:val="36"/>
          <w:szCs w:val="30"/>
          <w:highlight w:val="none"/>
        </w:rPr>
        <w:t>混凝土采购项目</w:t>
      </w:r>
    </w:p>
    <w:p w14:paraId="7A0F273D">
      <w:pPr>
        <w:spacing w:line="700" w:lineRule="exact"/>
        <w:jc w:val="center"/>
        <w:rPr>
          <w:rFonts w:ascii="宋体" w:hAnsi="宋体" w:cs="宋体"/>
          <w:b/>
          <w:sz w:val="36"/>
          <w:szCs w:val="36"/>
          <w:highlight w:val="none"/>
        </w:rPr>
      </w:pPr>
    </w:p>
    <w:p w14:paraId="3930ACAB">
      <w:pPr>
        <w:spacing w:line="700" w:lineRule="exact"/>
        <w:jc w:val="center"/>
        <w:rPr>
          <w:rFonts w:ascii="宋体" w:hAnsi="宋体" w:cs="宋体"/>
          <w:b/>
          <w:sz w:val="36"/>
          <w:szCs w:val="36"/>
          <w:highlight w:val="none"/>
        </w:rPr>
      </w:pPr>
    </w:p>
    <w:p w14:paraId="7D799DE4">
      <w:pPr>
        <w:spacing w:line="700" w:lineRule="exact"/>
        <w:rPr>
          <w:rFonts w:ascii="宋体" w:hAnsi="宋体" w:cs="宋体"/>
          <w:b/>
          <w:sz w:val="36"/>
          <w:szCs w:val="36"/>
          <w:highlight w:val="none"/>
        </w:rPr>
      </w:pPr>
    </w:p>
    <w:p w14:paraId="6769585B">
      <w:pPr>
        <w:spacing w:line="700" w:lineRule="exact"/>
        <w:rPr>
          <w:rFonts w:ascii="宋体" w:hAnsi="宋体" w:cs="宋体"/>
          <w:b/>
          <w:sz w:val="36"/>
          <w:szCs w:val="36"/>
          <w:highlight w:val="none"/>
        </w:rPr>
      </w:pPr>
    </w:p>
    <w:p w14:paraId="0DAF5262">
      <w:pPr>
        <w:spacing w:line="500" w:lineRule="exact"/>
        <w:ind w:firstLine="360" w:firstLineChars="100"/>
        <w:rPr>
          <w:rFonts w:ascii="宋体" w:hAnsi="宋体" w:cs="宋体"/>
          <w:sz w:val="36"/>
          <w:szCs w:val="36"/>
          <w:highlight w:val="none"/>
        </w:rPr>
      </w:pPr>
      <w:r>
        <w:rPr>
          <w:rFonts w:hint="eastAsia" w:ascii="宋体" w:hAnsi="宋体" w:cs="宋体"/>
          <w:sz w:val="36"/>
          <w:szCs w:val="36"/>
          <w:highlight w:val="none"/>
        </w:rPr>
        <w:t>采 购 人：</w:t>
      </w:r>
      <w:r>
        <w:rPr>
          <w:rFonts w:hint="eastAsia" w:ascii="宋体" w:hAnsi="宋体" w:cs="宋体"/>
          <w:color w:val="000000"/>
          <w:sz w:val="36"/>
          <w:szCs w:val="30"/>
          <w:highlight w:val="none"/>
        </w:rPr>
        <w:t>重庆市合川区民祺建设发展有限公司</w:t>
      </w:r>
    </w:p>
    <w:p w14:paraId="4EC48DB4">
      <w:pPr>
        <w:spacing w:line="500" w:lineRule="exact"/>
        <w:ind w:firstLine="1080" w:firstLineChars="300"/>
        <w:rPr>
          <w:rFonts w:ascii="宋体" w:hAnsi="宋体" w:cs="宋体"/>
          <w:sz w:val="36"/>
          <w:szCs w:val="36"/>
          <w:highlight w:val="none"/>
        </w:rPr>
      </w:pPr>
    </w:p>
    <w:p w14:paraId="2DC62726">
      <w:pPr>
        <w:spacing w:line="500" w:lineRule="exact"/>
        <w:ind w:firstLine="1080" w:firstLineChars="300"/>
        <w:rPr>
          <w:rFonts w:ascii="宋体" w:hAnsi="宋体" w:cs="宋体"/>
          <w:sz w:val="36"/>
          <w:szCs w:val="36"/>
          <w:highlight w:val="none"/>
        </w:rPr>
      </w:pPr>
    </w:p>
    <w:p w14:paraId="44DE58FC">
      <w:pPr>
        <w:spacing w:line="500" w:lineRule="exact"/>
        <w:ind w:firstLine="360" w:firstLineChars="100"/>
        <w:rPr>
          <w:rFonts w:ascii="宋体" w:hAnsi="宋体" w:cs="宋体"/>
          <w:sz w:val="36"/>
          <w:szCs w:val="36"/>
          <w:highlight w:val="none"/>
        </w:rPr>
      </w:pPr>
      <w:r>
        <w:rPr>
          <w:rFonts w:hint="eastAsia" w:ascii="宋体" w:hAnsi="宋体" w:cs="宋体"/>
          <w:sz w:val="36"/>
          <w:szCs w:val="36"/>
          <w:highlight w:val="none"/>
        </w:rPr>
        <w:t>采购代理机构：重庆盛灏和途商务信息咨询服务有限公司</w:t>
      </w:r>
    </w:p>
    <w:p w14:paraId="71C2550F">
      <w:pPr>
        <w:spacing w:line="500" w:lineRule="exact"/>
        <w:ind w:firstLine="1080" w:firstLineChars="300"/>
        <w:rPr>
          <w:rFonts w:ascii="宋体" w:hAnsi="宋体" w:cs="宋体"/>
          <w:sz w:val="36"/>
          <w:szCs w:val="36"/>
          <w:highlight w:val="none"/>
        </w:rPr>
      </w:pPr>
    </w:p>
    <w:p w14:paraId="589FBEA2">
      <w:pPr>
        <w:spacing w:line="500" w:lineRule="exact"/>
        <w:ind w:firstLine="1080" w:firstLineChars="300"/>
        <w:jc w:val="center"/>
        <w:rPr>
          <w:rFonts w:ascii="宋体" w:hAnsi="宋体" w:cs="宋体"/>
          <w:sz w:val="36"/>
          <w:szCs w:val="36"/>
          <w:highlight w:val="none"/>
        </w:rPr>
      </w:pPr>
      <w:r>
        <w:rPr>
          <w:rFonts w:hint="eastAsia" w:ascii="宋体" w:hAnsi="宋体" w:cs="宋体"/>
          <w:sz w:val="36"/>
          <w:szCs w:val="36"/>
          <w:highlight w:val="none"/>
        </w:rPr>
        <w:t>二○二五年七月</w:t>
      </w:r>
    </w:p>
    <w:p w14:paraId="54F620A9">
      <w:pPr>
        <w:spacing w:line="480" w:lineRule="exact"/>
        <w:outlineLvl w:val="0"/>
        <w:rPr>
          <w:rFonts w:ascii="宋体" w:hAnsi="宋体" w:cs="宋体"/>
          <w:sz w:val="44"/>
          <w:szCs w:val="28"/>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6DE9AAA4">
      <w:pPr>
        <w:spacing w:line="480" w:lineRule="exact"/>
        <w:jc w:val="center"/>
        <w:rPr>
          <w:rFonts w:ascii="宋体" w:hAnsi="宋体" w:cs="宋体"/>
          <w:sz w:val="44"/>
          <w:szCs w:val="28"/>
          <w:highlight w:val="none"/>
        </w:rPr>
      </w:pPr>
      <w:r>
        <w:rPr>
          <w:rFonts w:hint="eastAsia" w:ascii="宋体" w:hAnsi="宋体" w:cs="宋体"/>
          <w:sz w:val="44"/>
          <w:szCs w:val="28"/>
          <w:highlight w:val="none"/>
        </w:rPr>
        <w:t>目   录</w:t>
      </w:r>
    </w:p>
    <w:p w14:paraId="336D8BB5">
      <w:pPr>
        <w:pStyle w:val="16"/>
        <w:tabs>
          <w:tab w:val="right" w:leader="dot" w:pos="9412"/>
        </w:tabs>
        <w:spacing w:line="400" w:lineRule="exact"/>
        <w:rPr>
          <w:rFonts w:ascii="宋体" w:hAnsi="宋体" w:cs="宋体"/>
          <w:sz w:val="24"/>
          <w:szCs w:val="24"/>
          <w:highlight w:val="none"/>
        </w:rPr>
      </w:pP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TOC \o "1-3" \h \z </w:instrText>
      </w:r>
      <w:r>
        <w:rPr>
          <w:rFonts w:hint="eastAsia" w:ascii="宋体" w:hAnsi="宋体" w:cs="宋体"/>
          <w:sz w:val="24"/>
          <w:szCs w:val="24"/>
          <w:highlight w:val="none"/>
        </w:rPr>
        <w:fldChar w:fldCharType="separate"/>
      </w:r>
      <w:r>
        <w:rPr>
          <w:highlight w:val="none"/>
        </w:rPr>
        <w:fldChar w:fldCharType="begin"/>
      </w:r>
      <w:r>
        <w:rPr>
          <w:highlight w:val="none"/>
        </w:rPr>
        <w:instrText xml:space="preserve"> HYPERLINK \l "_Toc25415" </w:instrText>
      </w:r>
      <w:r>
        <w:rPr>
          <w:highlight w:val="none"/>
        </w:rPr>
        <w:fldChar w:fldCharType="separate"/>
      </w:r>
      <w:r>
        <w:rPr>
          <w:rFonts w:hint="eastAsia" w:ascii="宋体" w:hAnsi="宋体" w:cs="宋体"/>
          <w:sz w:val="24"/>
          <w:szCs w:val="24"/>
          <w:highlight w:val="none"/>
        </w:rPr>
        <w:t>第一篇  询价采购邀请书</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_Toc25415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F428EB4">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"_Toc22783" </w:instrText>
      </w:r>
      <w:r>
        <w:rPr>
          <w:highlight w:val="none"/>
        </w:rPr>
        <w:fldChar w:fldCharType="separate"/>
      </w:r>
      <w:r>
        <w:rPr>
          <w:rFonts w:hint="eastAsia" w:ascii="宋体" w:hAnsi="宋体" w:cs="宋体"/>
          <w:bCs/>
          <w:sz w:val="24"/>
          <w:szCs w:val="24"/>
          <w:highlight w:val="none"/>
        </w:rPr>
        <w:t>一、询价内容</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_Toc22783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2390CB7">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"_Toc12638" </w:instrText>
      </w:r>
      <w:r>
        <w:rPr>
          <w:highlight w:val="none"/>
        </w:rPr>
        <w:fldChar w:fldCharType="separate"/>
      </w:r>
      <w:r>
        <w:rPr>
          <w:rFonts w:hint="eastAsia" w:ascii="宋体" w:hAnsi="宋体" w:cs="宋体"/>
          <w:sz w:val="24"/>
          <w:szCs w:val="24"/>
          <w:highlight w:val="none"/>
        </w:rPr>
        <w:t>二、资金来源</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_Toc12638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99339F1">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"_Toc3738" </w:instrText>
      </w:r>
      <w:r>
        <w:rPr>
          <w:highlight w:val="none"/>
        </w:rPr>
        <w:fldChar w:fldCharType="separate"/>
      </w:r>
      <w:r>
        <w:rPr>
          <w:rFonts w:hint="eastAsia" w:ascii="宋体" w:hAnsi="宋体" w:cs="宋体"/>
          <w:sz w:val="24"/>
          <w:szCs w:val="24"/>
          <w:highlight w:val="none"/>
        </w:rPr>
        <w:t>三、供应商资格条件</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_Toc3738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45B0FCE">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"_Toc19214" </w:instrText>
      </w:r>
      <w:r>
        <w:rPr>
          <w:highlight w:val="none"/>
        </w:rPr>
        <w:fldChar w:fldCharType="separate"/>
      </w:r>
      <w:r>
        <w:rPr>
          <w:rFonts w:hint="eastAsia" w:ascii="宋体" w:hAnsi="宋体" w:cs="宋体"/>
          <w:sz w:val="24"/>
          <w:szCs w:val="24"/>
          <w:highlight w:val="none"/>
        </w:rPr>
        <w:t>四、询价有关说明</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_Toc19214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B63C8A4">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"_Toc17321" </w:instrText>
      </w:r>
      <w:r>
        <w:rPr>
          <w:highlight w:val="none"/>
        </w:rPr>
        <w:fldChar w:fldCharType="separate"/>
      </w:r>
      <w:r>
        <w:rPr>
          <w:rFonts w:hint="eastAsia" w:ascii="宋体" w:hAnsi="宋体" w:cs="宋体"/>
          <w:sz w:val="24"/>
          <w:szCs w:val="24"/>
          <w:highlight w:val="none"/>
        </w:rPr>
        <w:t>五、保证金</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_Toc17321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- 3 -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39622B9">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"_Toc17321" </w:instrText>
      </w:r>
      <w:r>
        <w:rPr>
          <w:highlight w:val="none"/>
        </w:rPr>
        <w:fldChar w:fldCharType="separate"/>
      </w:r>
      <w:r>
        <w:rPr>
          <w:rFonts w:hint="eastAsia" w:ascii="宋体" w:hAnsi="宋体" w:cs="宋体"/>
          <w:sz w:val="24"/>
          <w:szCs w:val="24"/>
          <w:highlight w:val="none"/>
        </w:rPr>
        <w:t>六、其它有关规定</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_Toc17321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- 3 -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F69A05B">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"_Toc4255" </w:instrText>
      </w:r>
      <w:r>
        <w:rPr>
          <w:highlight w:val="none"/>
        </w:rPr>
        <w:fldChar w:fldCharType="separate"/>
      </w:r>
      <w:r>
        <w:rPr>
          <w:rFonts w:hint="eastAsia" w:ascii="宋体" w:hAnsi="宋体" w:cs="宋体"/>
          <w:sz w:val="24"/>
          <w:szCs w:val="24"/>
          <w:highlight w:val="none"/>
        </w:rPr>
        <w:t>七、联系方式</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_Toc4255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- 4 -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16E0E78">
      <w:pPr>
        <w:pStyle w:val="16"/>
        <w:tabs>
          <w:tab w:val="right" w:leader="dot" w:pos="9412"/>
        </w:tabs>
        <w:spacing w:line="400" w:lineRule="exact"/>
        <w:rPr>
          <w:rFonts w:ascii="宋体" w:hAnsi="宋体" w:cs="宋体"/>
          <w:sz w:val="24"/>
          <w:szCs w:val="24"/>
          <w:highlight w:val="none"/>
        </w:rPr>
      </w:pPr>
      <w:r>
        <w:rPr>
          <w:highlight w:val="none"/>
        </w:rPr>
        <w:fldChar w:fldCharType="begin"/>
      </w:r>
      <w:r>
        <w:rPr>
          <w:highlight w:val="none"/>
        </w:rPr>
        <w:instrText xml:space="preserve"> HYPERLINK \l "_Toc859" </w:instrText>
      </w:r>
      <w:r>
        <w:rPr>
          <w:highlight w:val="none"/>
        </w:rPr>
        <w:fldChar w:fldCharType="separate"/>
      </w:r>
      <w:r>
        <w:rPr>
          <w:rFonts w:hint="eastAsia" w:ascii="宋体" w:hAnsi="宋体" w:cs="宋体"/>
          <w:sz w:val="24"/>
          <w:szCs w:val="24"/>
          <w:highlight w:val="none"/>
        </w:rPr>
        <w:t>第二篇  询价项目技术（质量）需求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_Toc859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18ADA78">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"_Toc25731" </w:instrText>
      </w:r>
      <w:r>
        <w:rPr>
          <w:highlight w:val="none"/>
        </w:rPr>
        <w:fldChar w:fldCharType="separate"/>
      </w:r>
      <w:r>
        <w:rPr>
          <w:rFonts w:hint="eastAsia" w:ascii="宋体" w:hAnsi="宋体" w:cs="宋体"/>
          <w:sz w:val="24"/>
          <w:szCs w:val="24"/>
          <w:highlight w:val="none"/>
        </w:rPr>
        <w:t>一、项目一览表</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_Toc25731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64515BB">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"_Toc612" </w:instrText>
      </w:r>
      <w:r>
        <w:rPr>
          <w:highlight w:val="none"/>
        </w:rPr>
        <w:fldChar w:fldCharType="separate"/>
      </w:r>
      <w:r>
        <w:rPr>
          <w:rFonts w:hint="eastAsia" w:ascii="宋体" w:hAnsi="宋体" w:cs="宋体"/>
          <w:sz w:val="24"/>
          <w:szCs w:val="24"/>
          <w:highlight w:val="none"/>
        </w:rPr>
        <w:t>二、安全要求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_Toc612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3EA6390">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"_Toc612" </w:instrText>
      </w:r>
      <w:r>
        <w:rPr>
          <w:highlight w:val="none"/>
        </w:rPr>
        <w:fldChar w:fldCharType="separate"/>
      </w:r>
      <w:r>
        <w:rPr>
          <w:rFonts w:hint="eastAsia" w:ascii="宋体" w:hAnsi="宋体" w:cs="宋体"/>
          <w:sz w:val="24"/>
          <w:szCs w:val="24"/>
          <w:highlight w:val="none"/>
        </w:rPr>
        <w:t>三、质量要求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_Toc612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- 5 -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2CA76BD">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"_Toc612" </w:instrText>
      </w:r>
      <w:r>
        <w:rPr>
          <w:highlight w:val="none"/>
        </w:rPr>
        <w:fldChar w:fldCharType="separate"/>
      </w:r>
      <w:r>
        <w:rPr>
          <w:rFonts w:hint="eastAsia" w:ascii="宋体" w:hAnsi="宋体" w:cs="宋体"/>
          <w:sz w:val="24"/>
          <w:szCs w:val="24"/>
          <w:highlight w:val="none"/>
        </w:rPr>
        <w:t>四、踏勘现场</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_Toc612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- 6 -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F78F6F8">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"_Toc612" </w:instrText>
      </w:r>
      <w:r>
        <w:rPr>
          <w:highlight w:val="none"/>
        </w:rPr>
        <w:fldChar w:fldCharType="separate"/>
      </w:r>
      <w:r>
        <w:rPr>
          <w:rFonts w:hint="eastAsia" w:ascii="宋体" w:hAnsi="宋体" w:cs="宋体"/>
          <w:sz w:val="24"/>
          <w:szCs w:val="24"/>
          <w:highlight w:val="none"/>
        </w:rPr>
        <w:t>五、其他要求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_Toc612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- 6 -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594A7F5">
      <w:pPr>
        <w:pStyle w:val="16"/>
        <w:tabs>
          <w:tab w:val="right" w:leader="dot" w:pos="9412"/>
        </w:tabs>
        <w:spacing w:line="400" w:lineRule="exact"/>
        <w:rPr>
          <w:rFonts w:ascii="宋体" w:hAnsi="宋体" w:cs="宋体"/>
          <w:sz w:val="24"/>
          <w:szCs w:val="24"/>
          <w:highlight w:val="none"/>
        </w:rPr>
      </w:pPr>
      <w:r>
        <w:rPr>
          <w:highlight w:val="none"/>
        </w:rPr>
        <w:fldChar w:fldCharType="begin"/>
      </w:r>
      <w:r>
        <w:rPr>
          <w:highlight w:val="none"/>
        </w:rPr>
        <w:instrText xml:space="preserve"> HYPERLINK \l "_Toc23650" </w:instrText>
      </w:r>
      <w:r>
        <w:rPr>
          <w:highlight w:val="none"/>
        </w:rPr>
        <w:fldChar w:fldCharType="separate"/>
      </w:r>
      <w:r>
        <w:rPr>
          <w:rFonts w:hint="eastAsia" w:ascii="宋体" w:hAnsi="宋体" w:cs="宋体"/>
          <w:sz w:val="24"/>
          <w:szCs w:val="24"/>
          <w:highlight w:val="none"/>
        </w:rPr>
        <w:t>第三篇  询价项目服务需求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_Toc23650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BF09E0F">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"_Toc3188" </w:instrText>
      </w:r>
      <w:r>
        <w:rPr>
          <w:highlight w:val="none"/>
        </w:rPr>
        <w:fldChar w:fldCharType="separate"/>
      </w:r>
      <w:r>
        <w:rPr>
          <w:rFonts w:hint="eastAsia" w:ascii="宋体" w:hAnsi="宋体" w:cs="宋体"/>
          <w:sz w:val="24"/>
          <w:szCs w:val="24"/>
          <w:highlight w:val="none"/>
        </w:rPr>
        <w:t>一、供货期、地点及验收方式</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_Toc3188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1125590">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"_Toc30541" </w:instrText>
      </w:r>
      <w:r>
        <w:rPr>
          <w:highlight w:val="none"/>
        </w:rPr>
        <w:fldChar w:fldCharType="separate"/>
      </w:r>
      <w:r>
        <w:rPr>
          <w:rFonts w:hint="eastAsia" w:ascii="宋体" w:hAnsi="宋体" w:cs="宋体"/>
          <w:sz w:val="24"/>
          <w:szCs w:val="24"/>
          <w:highlight w:val="none"/>
        </w:rPr>
        <w:t>二、报价要求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_Toc30541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4199EB9">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"_Toc26121" </w:instrText>
      </w:r>
      <w:r>
        <w:rPr>
          <w:highlight w:val="none"/>
        </w:rPr>
        <w:fldChar w:fldCharType="separate"/>
      </w:r>
      <w:r>
        <w:rPr>
          <w:rFonts w:hint="eastAsia" w:ascii="宋体" w:hAnsi="宋体" w:cs="宋体"/>
          <w:sz w:val="24"/>
          <w:szCs w:val="24"/>
          <w:highlight w:val="none"/>
        </w:rPr>
        <w:t>三、结算原则</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_Toc26121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056A07F">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"_Toc27310" </w:instrText>
      </w:r>
      <w:r>
        <w:rPr>
          <w:highlight w:val="none"/>
        </w:rPr>
        <w:fldChar w:fldCharType="separate"/>
      </w:r>
      <w:r>
        <w:rPr>
          <w:rFonts w:hint="eastAsia" w:ascii="宋体" w:hAnsi="宋体" w:cs="宋体"/>
          <w:sz w:val="24"/>
          <w:szCs w:val="24"/>
          <w:highlight w:val="none"/>
        </w:rPr>
        <w:t>四、付款方式</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_Toc27310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DB2A447">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"_Toc3620" </w:instrText>
      </w:r>
      <w:r>
        <w:rPr>
          <w:highlight w:val="none"/>
        </w:rPr>
        <w:fldChar w:fldCharType="separate"/>
      </w:r>
      <w:r>
        <w:rPr>
          <w:rFonts w:hint="eastAsia" w:ascii="宋体" w:hAnsi="宋体" w:cs="宋体"/>
          <w:sz w:val="24"/>
          <w:szCs w:val="24"/>
          <w:highlight w:val="none"/>
        </w:rPr>
        <w:t>五、履约保证金</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_Toc3620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8CC421E">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"_Toc25532" </w:instrText>
      </w:r>
      <w:r>
        <w:rPr>
          <w:highlight w:val="none"/>
        </w:rPr>
        <w:fldChar w:fldCharType="separate"/>
      </w:r>
      <w:r>
        <w:rPr>
          <w:rFonts w:hint="eastAsia" w:ascii="宋体" w:hAnsi="宋体" w:cs="宋体"/>
          <w:sz w:val="24"/>
          <w:szCs w:val="24"/>
          <w:highlight w:val="none"/>
        </w:rPr>
        <w:t>六、关于转、分包</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_Toc25532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- 7 -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6241A8BB">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"_Toc26231" </w:instrText>
      </w:r>
      <w:r>
        <w:rPr>
          <w:highlight w:val="none"/>
        </w:rPr>
        <w:fldChar w:fldCharType="separate"/>
      </w:r>
      <w:r>
        <w:rPr>
          <w:rFonts w:hint="eastAsia" w:ascii="宋体" w:hAnsi="宋体" w:cs="宋体"/>
          <w:sz w:val="24"/>
          <w:szCs w:val="24"/>
          <w:highlight w:val="none"/>
        </w:rPr>
        <w:t>七、知识产权</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_Toc26231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- 8 -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6FBE6E85">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"_Toc18802" </w:instrText>
      </w:r>
      <w:r>
        <w:rPr>
          <w:highlight w:val="none"/>
        </w:rPr>
        <w:fldChar w:fldCharType="separate"/>
      </w:r>
      <w:r>
        <w:rPr>
          <w:rFonts w:hint="eastAsia" w:ascii="宋体" w:hAnsi="宋体" w:cs="宋体"/>
          <w:sz w:val="24"/>
          <w:szCs w:val="24"/>
          <w:highlight w:val="none"/>
        </w:rPr>
        <w:t>八、其他</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_Toc18802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- 8 -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7906BD9B">
      <w:pPr>
        <w:pStyle w:val="16"/>
        <w:tabs>
          <w:tab w:val="right" w:leader="dot" w:pos="9412"/>
        </w:tabs>
        <w:spacing w:line="400" w:lineRule="exact"/>
        <w:rPr>
          <w:rFonts w:ascii="宋体" w:hAnsi="宋体" w:cs="宋体"/>
          <w:sz w:val="24"/>
          <w:szCs w:val="24"/>
          <w:highlight w:val="none"/>
        </w:rPr>
      </w:pPr>
      <w:r>
        <w:rPr>
          <w:highlight w:val="none"/>
        </w:rPr>
        <w:fldChar w:fldCharType="begin"/>
      </w:r>
      <w:r>
        <w:rPr>
          <w:highlight w:val="none"/>
        </w:rPr>
        <w:instrText xml:space="preserve"> HYPERLINK \l "_Toc15854" </w:instrText>
      </w:r>
      <w:r>
        <w:rPr>
          <w:highlight w:val="none"/>
        </w:rPr>
        <w:fldChar w:fldCharType="separate"/>
      </w:r>
      <w:r>
        <w:rPr>
          <w:rFonts w:hint="eastAsia" w:ascii="宋体" w:hAnsi="宋体" w:cs="宋体"/>
          <w:sz w:val="24"/>
          <w:szCs w:val="24"/>
          <w:highlight w:val="none"/>
        </w:rPr>
        <w:t>第四篇  采购程序、评定成交的标准、无效报价及采购终止</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_Toc15854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- 9 -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38F09BA9">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"_Toc11101" </w:instrText>
      </w:r>
      <w:r>
        <w:rPr>
          <w:highlight w:val="none"/>
        </w:rPr>
        <w:fldChar w:fldCharType="separate"/>
      </w:r>
      <w:r>
        <w:rPr>
          <w:rFonts w:hint="eastAsia" w:ascii="宋体" w:hAnsi="宋体" w:cs="宋体"/>
          <w:sz w:val="24"/>
          <w:szCs w:val="24"/>
          <w:highlight w:val="none"/>
        </w:rPr>
        <w:t>一、采购程序</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_Toc11101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- 9 -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64A3F889">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"_Toc22746" </w:instrText>
      </w:r>
      <w:r>
        <w:rPr>
          <w:highlight w:val="none"/>
        </w:rPr>
        <w:fldChar w:fldCharType="separate"/>
      </w:r>
      <w:r>
        <w:rPr>
          <w:rFonts w:hint="eastAsia" w:ascii="宋体" w:hAnsi="宋体" w:cs="宋体"/>
          <w:sz w:val="24"/>
          <w:szCs w:val="24"/>
          <w:highlight w:val="none"/>
        </w:rPr>
        <w:t>二、评定成交的标准</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_Toc22746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- 10 -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41A2E856">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"_Toc11196" </w:instrText>
      </w:r>
      <w:r>
        <w:rPr>
          <w:highlight w:val="none"/>
        </w:rPr>
        <w:fldChar w:fldCharType="separate"/>
      </w:r>
      <w:r>
        <w:rPr>
          <w:rFonts w:hint="eastAsia" w:ascii="宋体" w:hAnsi="宋体" w:cs="宋体"/>
          <w:sz w:val="24"/>
          <w:szCs w:val="24"/>
          <w:highlight w:val="none"/>
        </w:rPr>
        <w:t>三、无效报价</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_Toc11196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- 10 -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080D8BE9">
      <w:pPr>
        <w:pStyle w:val="18"/>
        <w:tabs>
          <w:tab w:val="right" w:leader="dot" w:pos="9412"/>
        </w:tabs>
        <w:spacing w:line="400" w:lineRule="exact"/>
        <w:ind w:left="560"/>
        <w:rPr>
          <w:rFonts w:ascii="宋体" w:hAnsi="宋体" w:cs="宋体"/>
          <w:sz w:val="24"/>
          <w:szCs w:val="24"/>
          <w:highlight w:val="none"/>
        </w:rPr>
      </w:pPr>
      <w:r>
        <w:rPr>
          <w:highlight w:val="none"/>
        </w:rPr>
        <w:fldChar w:fldCharType="begin"/>
      </w:r>
      <w:r>
        <w:rPr>
          <w:highlight w:val="none"/>
        </w:rPr>
        <w:instrText xml:space="preserve"> HYPERLINK \l "_Toc26571" </w:instrText>
      </w:r>
      <w:r>
        <w:rPr>
          <w:highlight w:val="none"/>
        </w:rPr>
        <w:fldChar w:fldCharType="separate"/>
      </w:r>
      <w:r>
        <w:rPr>
          <w:rFonts w:hint="eastAsia" w:ascii="宋体" w:hAnsi="宋体" w:cs="宋体"/>
          <w:sz w:val="24"/>
          <w:szCs w:val="24"/>
          <w:highlight w:val="none"/>
        </w:rPr>
        <w:t>四、采购终止</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_Toc26571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- 11 -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17C6ABAF">
      <w:pPr>
        <w:pStyle w:val="16"/>
        <w:tabs>
          <w:tab w:val="right" w:leader="dot" w:pos="9412"/>
        </w:tabs>
        <w:spacing w:line="400" w:lineRule="exact"/>
        <w:rPr>
          <w:rFonts w:ascii="宋体" w:hAnsi="宋体" w:cs="宋体"/>
          <w:sz w:val="24"/>
          <w:szCs w:val="24"/>
          <w:highlight w:val="none"/>
        </w:rPr>
      </w:pPr>
      <w:r>
        <w:rPr>
          <w:highlight w:val="none"/>
        </w:rPr>
        <w:fldChar w:fldCharType="begin"/>
      </w:r>
      <w:r>
        <w:rPr>
          <w:highlight w:val="none"/>
        </w:rPr>
        <w:instrText xml:space="preserve"> HYPERLINK \l "_Toc23341" </w:instrText>
      </w:r>
      <w:r>
        <w:rPr>
          <w:highlight w:val="none"/>
        </w:rPr>
        <w:fldChar w:fldCharType="separate"/>
      </w:r>
      <w:r>
        <w:rPr>
          <w:rFonts w:hint="eastAsia" w:ascii="宋体" w:hAnsi="宋体" w:cs="宋体"/>
          <w:sz w:val="24"/>
          <w:szCs w:val="24"/>
          <w:highlight w:val="none"/>
        </w:rPr>
        <w:t>第五篇  供应商须知</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_Toc23341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- 12 -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69495B42">
      <w:pPr>
        <w:pStyle w:val="18"/>
        <w:tabs>
          <w:tab w:val="right" w:leader="dot" w:pos="9412"/>
        </w:tabs>
        <w:spacing w:line="400" w:lineRule="exact"/>
        <w:ind w:left="0" w:leftChars="0"/>
        <w:rPr>
          <w:rFonts w:ascii="宋体" w:hAnsi="宋体" w:cs="宋体"/>
          <w:sz w:val="24"/>
          <w:szCs w:val="24"/>
          <w:highlight w:val="none"/>
        </w:rPr>
      </w:pPr>
      <w:r>
        <w:rPr>
          <w:highlight w:val="none"/>
        </w:rPr>
        <w:fldChar w:fldCharType="begin"/>
      </w:r>
      <w:r>
        <w:rPr>
          <w:highlight w:val="none"/>
        </w:rPr>
        <w:instrText xml:space="preserve"> HYPERLINK \l "_Toc28495" </w:instrText>
      </w:r>
      <w:r>
        <w:rPr>
          <w:highlight w:val="none"/>
        </w:rPr>
        <w:fldChar w:fldCharType="separate"/>
      </w:r>
      <w:r>
        <w:rPr>
          <w:rFonts w:hint="eastAsia" w:ascii="宋体" w:hAnsi="宋体" w:cs="宋体"/>
          <w:sz w:val="24"/>
          <w:szCs w:val="24"/>
          <w:highlight w:val="none"/>
        </w:rPr>
        <w:t>第六篇  合同草案条款</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_Toc28495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- 16 -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273B1303">
      <w:pPr>
        <w:pStyle w:val="18"/>
        <w:tabs>
          <w:tab w:val="right" w:leader="dot" w:pos="9412"/>
        </w:tabs>
        <w:spacing w:line="400" w:lineRule="exact"/>
        <w:ind w:left="0" w:leftChars="0"/>
        <w:rPr>
          <w:rFonts w:ascii="宋体" w:hAnsi="宋体" w:cs="宋体"/>
          <w:sz w:val="24"/>
          <w:szCs w:val="24"/>
          <w:highlight w:val="none"/>
        </w:rPr>
      </w:pPr>
      <w:r>
        <w:rPr>
          <w:highlight w:val="none"/>
        </w:rPr>
        <w:fldChar w:fldCharType="begin"/>
      </w:r>
      <w:r>
        <w:rPr>
          <w:highlight w:val="none"/>
        </w:rPr>
        <w:instrText xml:space="preserve"> HYPERLINK \l "_Toc13560" </w:instrText>
      </w:r>
      <w:r>
        <w:rPr>
          <w:highlight w:val="none"/>
        </w:rPr>
        <w:fldChar w:fldCharType="separate"/>
      </w:r>
      <w:r>
        <w:rPr>
          <w:rFonts w:hint="eastAsia" w:ascii="宋体" w:hAnsi="宋体" w:cs="宋体"/>
          <w:sz w:val="24"/>
          <w:szCs w:val="24"/>
          <w:highlight w:val="none"/>
        </w:rPr>
        <w:t>第七篇  响应文件格式要求</w:t>
      </w:r>
      <w:r>
        <w:rPr>
          <w:rFonts w:hint="eastAsia" w:ascii="宋体" w:hAnsi="宋体" w:cs="宋体"/>
          <w:sz w:val="24"/>
          <w:szCs w:val="24"/>
          <w:highlight w:val="none"/>
        </w:rPr>
        <w:tab/>
      </w:r>
      <w:r>
        <w:rPr>
          <w:rFonts w:hint="eastAsia" w:ascii="宋体" w:hAnsi="宋体" w:cs="宋体"/>
          <w:sz w:val="24"/>
          <w:szCs w:val="24"/>
          <w:highlight w:val="none"/>
        </w:rPr>
        <w:fldChar w:fldCharType="begin" w:fldLock="1"/>
      </w:r>
      <w:r>
        <w:rPr>
          <w:rFonts w:hint="eastAsia" w:ascii="宋体" w:hAnsi="宋体" w:cs="宋体"/>
          <w:sz w:val="24"/>
          <w:szCs w:val="24"/>
          <w:highlight w:val="none"/>
        </w:rPr>
        <w:instrText xml:space="preserve"> PAGEREF _Toc13560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- 21 -</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14:paraId="50CCA65D">
      <w:pPr>
        <w:pStyle w:val="18"/>
        <w:tabs>
          <w:tab w:val="right" w:leader="dot" w:pos="9402"/>
        </w:tabs>
        <w:spacing w:line="480" w:lineRule="exact"/>
        <w:ind w:left="560"/>
        <w:rPr>
          <w:rFonts w:ascii="宋体" w:hAnsi="宋体" w:cs="宋体"/>
          <w:sz w:val="18"/>
          <w:szCs w:val="22"/>
          <w:highlight w:val="none"/>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sz w:val="24"/>
          <w:szCs w:val="24"/>
          <w:highlight w:val="none"/>
        </w:rPr>
        <w:fldChar w:fldCharType="end"/>
      </w:r>
    </w:p>
    <w:p w14:paraId="42B8C2EC">
      <w:pPr>
        <w:pStyle w:val="4"/>
        <w:spacing w:before="0" w:after="0" w:line="360" w:lineRule="auto"/>
        <w:jc w:val="center"/>
        <w:rPr>
          <w:rFonts w:ascii="宋体" w:hAnsi="宋体" w:cs="宋体"/>
          <w:b w:val="0"/>
          <w:sz w:val="36"/>
          <w:szCs w:val="30"/>
          <w:highlight w:val="none"/>
        </w:rPr>
      </w:pPr>
      <w:bookmarkStart w:id="0" w:name="_Toc106034769"/>
      <w:bookmarkStart w:id="1" w:name="_Toc65660329"/>
      <w:bookmarkStart w:id="2" w:name="_Toc12789052"/>
      <w:bookmarkStart w:id="3" w:name="_Toc11641050"/>
      <w:bookmarkStart w:id="4" w:name="_Toc24817"/>
      <w:bookmarkStart w:id="5" w:name="_Toc15726"/>
      <w:bookmarkStart w:id="6" w:name="_Toc24173"/>
      <w:bookmarkStart w:id="7" w:name="_Toc25415"/>
      <w:r>
        <w:rPr>
          <w:rFonts w:hint="eastAsia" w:ascii="宋体" w:hAnsi="宋体" w:cs="宋体"/>
          <w:b w:val="0"/>
          <w:sz w:val="36"/>
          <w:szCs w:val="30"/>
          <w:highlight w:val="none"/>
        </w:rPr>
        <w:t xml:space="preserve">第一篇  </w:t>
      </w:r>
      <w:r>
        <w:rPr>
          <w:rFonts w:hint="eastAsia" w:ascii="宋体" w:hAnsi="宋体" w:cs="宋体"/>
          <w:b w:val="0"/>
          <w:sz w:val="36"/>
          <w:highlight w:val="none"/>
        </w:rPr>
        <w:t>询价采购邀请书</w:t>
      </w:r>
      <w:bookmarkEnd w:id="0"/>
      <w:bookmarkEnd w:id="1"/>
      <w:bookmarkEnd w:id="2"/>
      <w:bookmarkEnd w:id="3"/>
      <w:bookmarkEnd w:id="4"/>
      <w:bookmarkEnd w:id="5"/>
      <w:bookmarkEnd w:id="6"/>
      <w:bookmarkEnd w:id="7"/>
    </w:p>
    <w:p w14:paraId="7BAC2023">
      <w:pPr>
        <w:adjustRightInd w:val="0"/>
        <w:snapToGrid w:val="0"/>
        <w:spacing w:line="400" w:lineRule="exact"/>
        <w:ind w:firstLine="480" w:firstLineChars="200"/>
        <w:rPr>
          <w:rFonts w:ascii="宋体" w:hAnsi="宋体" w:cs="宋体"/>
          <w:sz w:val="24"/>
          <w:szCs w:val="24"/>
          <w:highlight w:val="none"/>
        </w:rPr>
      </w:pPr>
      <w:bookmarkStart w:id="8" w:name="_Toc317775175"/>
      <w:bookmarkStart w:id="9" w:name="_Toc106034770"/>
      <w:bookmarkStart w:id="10" w:name="_Toc7758"/>
      <w:bookmarkStart w:id="11" w:name="_Toc313893526"/>
      <w:bookmarkStart w:id="12" w:name="_Toc26091"/>
      <w:bookmarkStart w:id="13" w:name="_Toc18246"/>
      <w:bookmarkStart w:id="14" w:name="_Toc65660330"/>
      <w:r>
        <w:rPr>
          <w:rFonts w:hint="eastAsia" w:ascii="宋体" w:hAnsi="宋体" w:cs="宋体"/>
          <w:sz w:val="24"/>
          <w:szCs w:val="24"/>
          <w:highlight w:val="none"/>
        </w:rPr>
        <w:t>重庆盛灏和途商务信息咨询服务有限公司（以下简称：采购代理机构）接受重庆市合川区民祺建设发展有限公司（以下简称：采购人）的委托，对</w:t>
      </w:r>
      <w:r>
        <w:rPr>
          <w:rFonts w:hint="eastAsia" w:ascii="宋体" w:hAnsi="宋体" w:cs="宋体"/>
          <w:color w:val="000000"/>
          <w:sz w:val="24"/>
          <w:szCs w:val="24"/>
          <w:highlight w:val="none"/>
        </w:rPr>
        <w:t>合川区白鹿人才大厦一期工程商品混凝土采购项目</w:t>
      </w:r>
      <w:r>
        <w:rPr>
          <w:rFonts w:hint="eastAsia" w:ascii="宋体" w:hAnsi="宋体" w:cs="宋体"/>
          <w:sz w:val="24"/>
          <w:szCs w:val="24"/>
          <w:highlight w:val="none"/>
        </w:rPr>
        <w:t>进行询价采购。欢迎有资格的供应商前来参加。</w:t>
      </w:r>
    </w:p>
    <w:p w14:paraId="5181C030">
      <w:pPr>
        <w:pStyle w:val="5"/>
        <w:adjustRightInd w:val="0"/>
        <w:snapToGrid w:val="0"/>
        <w:spacing w:before="0" w:after="0" w:line="400" w:lineRule="exact"/>
        <w:ind w:firstLine="482" w:firstLineChars="200"/>
        <w:rPr>
          <w:rFonts w:ascii="宋体" w:hAnsi="宋体" w:eastAsia="宋体" w:cs="宋体"/>
          <w:bCs/>
          <w:sz w:val="24"/>
          <w:szCs w:val="24"/>
          <w:highlight w:val="none"/>
        </w:rPr>
      </w:pPr>
      <w:bookmarkStart w:id="15" w:name="_Toc22783"/>
      <w:r>
        <w:rPr>
          <w:rFonts w:hint="eastAsia" w:ascii="宋体" w:hAnsi="宋体" w:eastAsia="宋体" w:cs="宋体"/>
          <w:bCs/>
          <w:sz w:val="24"/>
          <w:szCs w:val="24"/>
          <w:highlight w:val="none"/>
        </w:rPr>
        <w:t>一、询价内容</w:t>
      </w:r>
      <w:bookmarkEnd w:id="8"/>
      <w:bookmarkEnd w:id="9"/>
      <w:bookmarkEnd w:id="10"/>
      <w:bookmarkEnd w:id="11"/>
      <w:bookmarkEnd w:id="12"/>
      <w:bookmarkEnd w:id="13"/>
      <w:bookmarkEnd w:id="14"/>
      <w:bookmarkEnd w:id="15"/>
    </w:p>
    <w:tbl>
      <w:tblPr>
        <w:tblStyle w:val="20"/>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039"/>
        <w:gridCol w:w="851"/>
        <w:gridCol w:w="1829"/>
        <w:gridCol w:w="1431"/>
        <w:gridCol w:w="1569"/>
      </w:tblGrid>
      <w:tr w14:paraId="3095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33" w:type="dxa"/>
            <w:shd w:val="clear" w:color="auto" w:fill="auto"/>
            <w:vAlign w:val="center"/>
          </w:tcPr>
          <w:p w14:paraId="0FC60231">
            <w:pPr>
              <w:widowControl/>
              <w:jc w:val="center"/>
              <w:textAlignment w:val="center"/>
              <w:rPr>
                <w:rFonts w:ascii="宋体" w:hAnsi="宋体" w:cs="宋体"/>
                <w:color w:val="000000"/>
                <w:sz w:val="24"/>
                <w:szCs w:val="24"/>
                <w:highlight w:val="none"/>
              </w:rPr>
            </w:pPr>
            <w:bookmarkStart w:id="16" w:name="_Toc27028"/>
            <w:bookmarkStart w:id="17" w:name="_Toc4424"/>
            <w:bookmarkStart w:id="18" w:name="_Toc12638"/>
            <w:bookmarkStart w:id="19" w:name="_Toc65660331"/>
            <w:bookmarkStart w:id="20" w:name="_Toc106034771"/>
            <w:bookmarkStart w:id="21" w:name="_Toc3256"/>
            <w:bookmarkStart w:id="22" w:name="_Toc373860293"/>
            <w:r>
              <w:rPr>
                <w:rFonts w:hint="eastAsia" w:ascii="宋体" w:hAnsi="宋体" w:cs="宋体"/>
                <w:color w:val="000000"/>
                <w:kern w:val="0"/>
                <w:sz w:val="24"/>
                <w:szCs w:val="24"/>
                <w:highlight w:val="none"/>
                <w:lang w:bidi="ar"/>
              </w:rPr>
              <w:t>序号</w:t>
            </w:r>
          </w:p>
        </w:tc>
        <w:tc>
          <w:tcPr>
            <w:tcW w:w="3039" w:type="dxa"/>
            <w:vAlign w:val="center"/>
          </w:tcPr>
          <w:p w14:paraId="0E7096EF">
            <w:pPr>
              <w:spacing w:line="500" w:lineRule="exact"/>
              <w:jc w:val="center"/>
              <w:rPr>
                <w:rFonts w:ascii="宋体" w:hAnsi="宋体" w:cs="宋体"/>
                <w:sz w:val="24"/>
                <w:szCs w:val="24"/>
                <w:highlight w:val="none"/>
              </w:rPr>
            </w:pPr>
            <w:r>
              <w:rPr>
                <w:rFonts w:hint="eastAsia" w:ascii="宋体" w:hAnsi="宋体" w:cs="宋体"/>
                <w:color w:val="000000"/>
                <w:kern w:val="0"/>
                <w:sz w:val="24"/>
                <w:szCs w:val="24"/>
                <w:highlight w:val="none"/>
                <w:lang w:bidi="ar"/>
              </w:rPr>
              <w:t>材料名称</w:t>
            </w:r>
          </w:p>
        </w:tc>
        <w:tc>
          <w:tcPr>
            <w:tcW w:w="851" w:type="dxa"/>
            <w:vAlign w:val="center"/>
          </w:tcPr>
          <w:p w14:paraId="535AEBF9">
            <w:pPr>
              <w:spacing w:line="500" w:lineRule="exact"/>
              <w:jc w:val="center"/>
              <w:rPr>
                <w:rFonts w:ascii="宋体" w:hAnsi="宋体" w:cs="宋体"/>
                <w:sz w:val="24"/>
                <w:szCs w:val="24"/>
                <w:highlight w:val="none"/>
              </w:rPr>
            </w:pPr>
            <w:r>
              <w:rPr>
                <w:rFonts w:hint="eastAsia" w:ascii="宋体" w:hAnsi="宋体" w:cs="宋体"/>
                <w:sz w:val="24"/>
                <w:szCs w:val="24"/>
                <w:highlight w:val="none"/>
              </w:rPr>
              <w:t>单位</w:t>
            </w:r>
          </w:p>
        </w:tc>
        <w:tc>
          <w:tcPr>
            <w:tcW w:w="1829" w:type="dxa"/>
            <w:vAlign w:val="center"/>
          </w:tcPr>
          <w:p w14:paraId="58AA827A">
            <w:pPr>
              <w:spacing w:line="500" w:lineRule="exact"/>
              <w:jc w:val="center"/>
              <w:rPr>
                <w:rFonts w:ascii="宋体" w:hAnsi="宋体" w:cs="宋体"/>
                <w:sz w:val="24"/>
                <w:szCs w:val="24"/>
                <w:highlight w:val="none"/>
              </w:rPr>
            </w:pPr>
            <w:r>
              <w:rPr>
                <w:rFonts w:hint="eastAsia" w:ascii="宋体" w:hAnsi="宋体" w:cs="宋体"/>
                <w:color w:val="000000"/>
                <w:kern w:val="0"/>
                <w:sz w:val="24"/>
                <w:szCs w:val="24"/>
                <w:highlight w:val="none"/>
                <w:lang w:bidi="ar"/>
              </w:rPr>
              <w:t>工程量</w:t>
            </w:r>
          </w:p>
        </w:tc>
        <w:tc>
          <w:tcPr>
            <w:tcW w:w="1431" w:type="dxa"/>
            <w:vAlign w:val="center"/>
          </w:tcPr>
          <w:p w14:paraId="7A46BEAA">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投标保证金</w:t>
            </w:r>
          </w:p>
          <w:p w14:paraId="299E2A2B">
            <w:pPr>
              <w:adjustRightInd w:val="0"/>
              <w:snapToGrid w:val="0"/>
              <w:jc w:val="center"/>
              <w:rPr>
                <w:rFonts w:ascii="宋体" w:hAnsi="宋体" w:cs="宋体"/>
                <w:sz w:val="24"/>
                <w:szCs w:val="24"/>
                <w:highlight w:val="none"/>
              </w:rPr>
            </w:pPr>
            <w:r>
              <w:rPr>
                <w:rFonts w:hint="eastAsia" w:ascii="宋体" w:hAnsi="宋体" w:cs="宋体"/>
                <w:color w:val="000000"/>
                <w:kern w:val="0"/>
                <w:sz w:val="24"/>
                <w:szCs w:val="24"/>
                <w:highlight w:val="none"/>
                <w:lang w:bidi="ar"/>
              </w:rPr>
              <w:t>（元）</w:t>
            </w:r>
          </w:p>
        </w:tc>
        <w:tc>
          <w:tcPr>
            <w:tcW w:w="1569" w:type="dxa"/>
            <w:vAlign w:val="center"/>
          </w:tcPr>
          <w:p w14:paraId="04647442">
            <w:pPr>
              <w:spacing w:line="500" w:lineRule="exact"/>
              <w:jc w:val="center"/>
              <w:rPr>
                <w:rFonts w:ascii="宋体" w:hAnsi="宋体" w:cs="宋体"/>
                <w:sz w:val="24"/>
                <w:szCs w:val="24"/>
                <w:highlight w:val="none"/>
              </w:rPr>
            </w:pPr>
            <w:r>
              <w:rPr>
                <w:rFonts w:hint="eastAsia" w:ascii="宋体" w:hAnsi="宋体" w:cs="宋体"/>
                <w:sz w:val="24"/>
                <w:szCs w:val="24"/>
                <w:highlight w:val="none"/>
              </w:rPr>
              <w:t>备注</w:t>
            </w:r>
          </w:p>
        </w:tc>
      </w:tr>
      <w:tr w14:paraId="213F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3" w:type="dxa"/>
            <w:shd w:val="clear" w:color="auto" w:fill="auto"/>
            <w:vAlign w:val="center"/>
          </w:tcPr>
          <w:p w14:paraId="320E2322">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3039" w:type="dxa"/>
            <w:vAlign w:val="center"/>
          </w:tcPr>
          <w:p w14:paraId="0629948D">
            <w:pPr>
              <w:jc w:val="center"/>
              <w:rPr>
                <w:rFonts w:ascii="宋体" w:hAnsi="宋体" w:cs="宋体"/>
                <w:sz w:val="24"/>
                <w:szCs w:val="24"/>
                <w:highlight w:val="none"/>
              </w:rPr>
            </w:pPr>
            <w:r>
              <w:rPr>
                <w:rFonts w:hint="eastAsia" w:ascii="宋体" w:hAnsi="宋体" w:cs="宋体"/>
                <w:sz w:val="24"/>
                <w:szCs w:val="24"/>
                <w:highlight w:val="none"/>
              </w:rPr>
              <w:t>商品混凝土C10-20</w:t>
            </w:r>
          </w:p>
        </w:tc>
        <w:tc>
          <w:tcPr>
            <w:tcW w:w="851" w:type="dxa"/>
            <w:vMerge w:val="restart"/>
            <w:vAlign w:val="center"/>
          </w:tcPr>
          <w:p w14:paraId="7C2577DD">
            <w:pPr>
              <w:jc w:val="center"/>
              <w:rPr>
                <w:rFonts w:ascii="宋体" w:hAnsi="宋体" w:cs="宋体"/>
                <w:sz w:val="24"/>
                <w:szCs w:val="24"/>
                <w:highlight w:val="none"/>
              </w:rPr>
            </w:pPr>
            <w:r>
              <w:rPr>
                <w:rFonts w:hint="eastAsia" w:ascii="宋体" w:hAnsi="宋体" w:cs="宋体"/>
                <w:sz w:val="24"/>
                <w:szCs w:val="24"/>
                <w:highlight w:val="none"/>
              </w:rPr>
              <w:t>m³</w:t>
            </w:r>
          </w:p>
        </w:tc>
        <w:tc>
          <w:tcPr>
            <w:tcW w:w="1829" w:type="dxa"/>
            <w:vMerge w:val="restart"/>
            <w:vAlign w:val="center"/>
          </w:tcPr>
          <w:p w14:paraId="76F75E2B">
            <w:pPr>
              <w:jc w:val="center"/>
              <w:rPr>
                <w:rFonts w:ascii="宋体" w:hAnsi="宋体" w:cs="宋体"/>
                <w:sz w:val="24"/>
                <w:szCs w:val="24"/>
                <w:highlight w:val="none"/>
              </w:rPr>
            </w:pPr>
            <w:r>
              <w:rPr>
                <w:rFonts w:hint="eastAsia" w:ascii="宋体" w:hAnsi="宋体" w:cs="宋体"/>
                <w:sz w:val="24"/>
                <w:szCs w:val="24"/>
                <w:highlight w:val="none"/>
              </w:rPr>
              <w:t>约1万立方</w:t>
            </w:r>
          </w:p>
        </w:tc>
        <w:tc>
          <w:tcPr>
            <w:tcW w:w="1431" w:type="dxa"/>
            <w:vMerge w:val="restart"/>
            <w:vAlign w:val="center"/>
          </w:tcPr>
          <w:p w14:paraId="53723D08">
            <w:pPr>
              <w:spacing w:line="500" w:lineRule="exact"/>
              <w:jc w:val="center"/>
              <w:rPr>
                <w:rFonts w:ascii="宋体" w:hAnsi="宋体" w:cs="宋体"/>
                <w:sz w:val="24"/>
                <w:szCs w:val="24"/>
                <w:highlight w:val="none"/>
              </w:rPr>
            </w:pPr>
            <w:r>
              <w:rPr>
                <w:rFonts w:hint="eastAsia" w:ascii="宋体" w:hAnsi="宋体" w:cs="宋体"/>
                <w:sz w:val="24"/>
                <w:szCs w:val="24"/>
                <w:highlight w:val="none"/>
              </w:rPr>
              <w:t>50000</w:t>
            </w:r>
          </w:p>
        </w:tc>
        <w:tc>
          <w:tcPr>
            <w:tcW w:w="1569" w:type="dxa"/>
            <w:vAlign w:val="center"/>
          </w:tcPr>
          <w:p w14:paraId="354228E1">
            <w:pPr>
              <w:spacing w:line="500" w:lineRule="exact"/>
              <w:ind w:firstLine="480" w:firstLineChars="200"/>
              <w:jc w:val="center"/>
              <w:rPr>
                <w:rFonts w:ascii="宋体" w:hAnsi="宋体" w:cs="宋体"/>
                <w:sz w:val="24"/>
                <w:szCs w:val="24"/>
                <w:highlight w:val="none"/>
              </w:rPr>
            </w:pPr>
          </w:p>
        </w:tc>
      </w:tr>
      <w:tr w14:paraId="1B768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3" w:type="dxa"/>
            <w:shd w:val="clear" w:color="auto" w:fill="auto"/>
            <w:vAlign w:val="center"/>
          </w:tcPr>
          <w:p w14:paraId="295F9C25">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2</w:t>
            </w:r>
          </w:p>
        </w:tc>
        <w:tc>
          <w:tcPr>
            <w:tcW w:w="3039" w:type="dxa"/>
            <w:vAlign w:val="center"/>
          </w:tcPr>
          <w:p w14:paraId="00E8FBB2">
            <w:pPr>
              <w:jc w:val="center"/>
              <w:rPr>
                <w:rFonts w:ascii="宋体" w:hAnsi="宋体" w:cs="宋体"/>
                <w:sz w:val="24"/>
                <w:szCs w:val="24"/>
                <w:highlight w:val="none"/>
              </w:rPr>
            </w:pPr>
            <w:r>
              <w:rPr>
                <w:rFonts w:hint="eastAsia" w:ascii="宋体" w:hAnsi="宋体" w:cs="宋体"/>
                <w:sz w:val="24"/>
                <w:szCs w:val="24"/>
                <w:highlight w:val="none"/>
              </w:rPr>
              <w:t>商品混凝土C25</w:t>
            </w:r>
          </w:p>
        </w:tc>
        <w:tc>
          <w:tcPr>
            <w:tcW w:w="851" w:type="dxa"/>
            <w:vMerge w:val="continue"/>
            <w:vAlign w:val="center"/>
          </w:tcPr>
          <w:p w14:paraId="11D83811">
            <w:pPr>
              <w:jc w:val="center"/>
              <w:rPr>
                <w:rFonts w:ascii="宋体" w:hAnsi="宋体" w:cs="宋体"/>
                <w:sz w:val="24"/>
                <w:szCs w:val="24"/>
                <w:highlight w:val="none"/>
              </w:rPr>
            </w:pPr>
          </w:p>
        </w:tc>
        <w:tc>
          <w:tcPr>
            <w:tcW w:w="1829" w:type="dxa"/>
            <w:vMerge w:val="continue"/>
            <w:vAlign w:val="center"/>
          </w:tcPr>
          <w:p w14:paraId="42658D17">
            <w:pPr>
              <w:jc w:val="center"/>
              <w:rPr>
                <w:rFonts w:ascii="宋体" w:hAnsi="宋体" w:cs="宋体"/>
                <w:sz w:val="24"/>
                <w:szCs w:val="24"/>
                <w:highlight w:val="none"/>
              </w:rPr>
            </w:pPr>
          </w:p>
        </w:tc>
        <w:tc>
          <w:tcPr>
            <w:tcW w:w="1431" w:type="dxa"/>
            <w:vMerge w:val="continue"/>
            <w:vAlign w:val="center"/>
          </w:tcPr>
          <w:p w14:paraId="14CE4269">
            <w:pPr>
              <w:spacing w:line="500" w:lineRule="exact"/>
              <w:jc w:val="center"/>
              <w:rPr>
                <w:rFonts w:ascii="宋体" w:hAnsi="宋体" w:cs="宋体"/>
                <w:sz w:val="24"/>
                <w:szCs w:val="24"/>
                <w:highlight w:val="none"/>
              </w:rPr>
            </w:pPr>
          </w:p>
        </w:tc>
        <w:tc>
          <w:tcPr>
            <w:tcW w:w="1569" w:type="dxa"/>
            <w:vAlign w:val="center"/>
          </w:tcPr>
          <w:p w14:paraId="5B4648BD">
            <w:pPr>
              <w:spacing w:line="500" w:lineRule="exact"/>
              <w:ind w:firstLine="480" w:firstLineChars="200"/>
              <w:jc w:val="center"/>
              <w:rPr>
                <w:rFonts w:ascii="宋体" w:hAnsi="宋体" w:cs="宋体"/>
                <w:sz w:val="24"/>
                <w:szCs w:val="24"/>
                <w:highlight w:val="none"/>
              </w:rPr>
            </w:pPr>
          </w:p>
        </w:tc>
      </w:tr>
      <w:tr w14:paraId="06BF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3" w:type="dxa"/>
            <w:shd w:val="clear" w:color="auto" w:fill="auto"/>
            <w:vAlign w:val="center"/>
          </w:tcPr>
          <w:p w14:paraId="3F84F342">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3</w:t>
            </w:r>
          </w:p>
        </w:tc>
        <w:tc>
          <w:tcPr>
            <w:tcW w:w="3039" w:type="dxa"/>
            <w:vAlign w:val="center"/>
          </w:tcPr>
          <w:p w14:paraId="27A4CA11">
            <w:pPr>
              <w:jc w:val="center"/>
              <w:rPr>
                <w:rFonts w:ascii="宋体" w:hAnsi="宋体" w:cs="宋体"/>
                <w:sz w:val="24"/>
                <w:szCs w:val="24"/>
                <w:highlight w:val="none"/>
              </w:rPr>
            </w:pPr>
            <w:r>
              <w:rPr>
                <w:rFonts w:hint="eastAsia" w:ascii="宋体" w:hAnsi="宋体" w:cs="宋体"/>
                <w:sz w:val="24"/>
                <w:szCs w:val="24"/>
                <w:highlight w:val="none"/>
              </w:rPr>
              <w:t>商品混凝土C30</w:t>
            </w:r>
          </w:p>
        </w:tc>
        <w:tc>
          <w:tcPr>
            <w:tcW w:w="851" w:type="dxa"/>
            <w:vMerge w:val="continue"/>
            <w:vAlign w:val="center"/>
          </w:tcPr>
          <w:p w14:paraId="44BE8036">
            <w:pPr>
              <w:jc w:val="center"/>
              <w:rPr>
                <w:rFonts w:ascii="宋体" w:hAnsi="宋体" w:cs="宋体"/>
                <w:sz w:val="24"/>
                <w:szCs w:val="24"/>
                <w:highlight w:val="none"/>
              </w:rPr>
            </w:pPr>
          </w:p>
        </w:tc>
        <w:tc>
          <w:tcPr>
            <w:tcW w:w="1829" w:type="dxa"/>
            <w:vMerge w:val="continue"/>
            <w:vAlign w:val="center"/>
          </w:tcPr>
          <w:p w14:paraId="6E908D33">
            <w:pPr>
              <w:jc w:val="center"/>
              <w:rPr>
                <w:rFonts w:ascii="宋体" w:hAnsi="宋体" w:cs="宋体"/>
                <w:sz w:val="24"/>
                <w:szCs w:val="24"/>
                <w:highlight w:val="none"/>
              </w:rPr>
            </w:pPr>
          </w:p>
        </w:tc>
        <w:tc>
          <w:tcPr>
            <w:tcW w:w="1431" w:type="dxa"/>
            <w:vMerge w:val="continue"/>
            <w:vAlign w:val="center"/>
          </w:tcPr>
          <w:p w14:paraId="7B5D3E67">
            <w:pPr>
              <w:spacing w:line="500" w:lineRule="exact"/>
              <w:ind w:firstLine="480" w:firstLineChars="200"/>
              <w:jc w:val="center"/>
              <w:rPr>
                <w:rFonts w:ascii="宋体" w:hAnsi="宋体" w:cs="宋体"/>
                <w:sz w:val="24"/>
                <w:szCs w:val="24"/>
                <w:highlight w:val="none"/>
              </w:rPr>
            </w:pPr>
          </w:p>
        </w:tc>
        <w:tc>
          <w:tcPr>
            <w:tcW w:w="1569" w:type="dxa"/>
            <w:vAlign w:val="center"/>
          </w:tcPr>
          <w:p w14:paraId="15A510D5">
            <w:pPr>
              <w:spacing w:line="500" w:lineRule="exact"/>
              <w:ind w:firstLine="480" w:firstLineChars="200"/>
              <w:jc w:val="center"/>
              <w:rPr>
                <w:rFonts w:ascii="宋体" w:hAnsi="宋体" w:cs="宋体"/>
                <w:sz w:val="24"/>
                <w:szCs w:val="24"/>
                <w:highlight w:val="none"/>
              </w:rPr>
            </w:pPr>
          </w:p>
        </w:tc>
      </w:tr>
      <w:tr w14:paraId="6DEB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3" w:type="dxa"/>
            <w:shd w:val="clear" w:color="auto" w:fill="auto"/>
            <w:vAlign w:val="center"/>
          </w:tcPr>
          <w:p w14:paraId="454C1BD8">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4</w:t>
            </w:r>
          </w:p>
        </w:tc>
        <w:tc>
          <w:tcPr>
            <w:tcW w:w="3039" w:type="dxa"/>
            <w:vAlign w:val="center"/>
          </w:tcPr>
          <w:p w14:paraId="3BD13648">
            <w:pPr>
              <w:jc w:val="center"/>
              <w:rPr>
                <w:rFonts w:ascii="宋体" w:hAnsi="宋体" w:cs="宋体"/>
                <w:sz w:val="24"/>
                <w:szCs w:val="24"/>
                <w:highlight w:val="none"/>
              </w:rPr>
            </w:pPr>
            <w:r>
              <w:rPr>
                <w:rFonts w:hint="eastAsia" w:ascii="宋体" w:hAnsi="宋体" w:cs="宋体"/>
                <w:sz w:val="24"/>
                <w:szCs w:val="24"/>
                <w:highlight w:val="none"/>
              </w:rPr>
              <w:t>商品混凝土C35</w:t>
            </w:r>
          </w:p>
        </w:tc>
        <w:tc>
          <w:tcPr>
            <w:tcW w:w="851" w:type="dxa"/>
            <w:vMerge w:val="continue"/>
            <w:vAlign w:val="center"/>
          </w:tcPr>
          <w:p w14:paraId="03896665">
            <w:pPr>
              <w:jc w:val="center"/>
              <w:rPr>
                <w:rFonts w:ascii="宋体" w:hAnsi="宋体" w:cs="宋体"/>
                <w:sz w:val="24"/>
                <w:szCs w:val="24"/>
                <w:highlight w:val="none"/>
              </w:rPr>
            </w:pPr>
          </w:p>
        </w:tc>
        <w:tc>
          <w:tcPr>
            <w:tcW w:w="1829" w:type="dxa"/>
            <w:vMerge w:val="continue"/>
            <w:vAlign w:val="center"/>
          </w:tcPr>
          <w:p w14:paraId="72030A4A">
            <w:pPr>
              <w:jc w:val="center"/>
              <w:rPr>
                <w:rFonts w:ascii="宋体" w:hAnsi="宋体" w:cs="宋体"/>
                <w:sz w:val="24"/>
                <w:szCs w:val="24"/>
                <w:highlight w:val="none"/>
              </w:rPr>
            </w:pPr>
          </w:p>
        </w:tc>
        <w:tc>
          <w:tcPr>
            <w:tcW w:w="1431" w:type="dxa"/>
            <w:vMerge w:val="continue"/>
            <w:vAlign w:val="center"/>
          </w:tcPr>
          <w:p w14:paraId="08368C7B">
            <w:pPr>
              <w:spacing w:line="500" w:lineRule="exact"/>
              <w:ind w:firstLine="480" w:firstLineChars="200"/>
              <w:jc w:val="center"/>
              <w:rPr>
                <w:rFonts w:ascii="宋体" w:hAnsi="宋体" w:cs="宋体"/>
                <w:sz w:val="24"/>
                <w:szCs w:val="24"/>
                <w:highlight w:val="none"/>
              </w:rPr>
            </w:pPr>
          </w:p>
        </w:tc>
        <w:tc>
          <w:tcPr>
            <w:tcW w:w="1569" w:type="dxa"/>
            <w:vAlign w:val="center"/>
          </w:tcPr>
          <w:p w14:paraId="61C82B0A">
            <w:pPr>
              <w:spacing w:line="500" w:lineRule="exact"/>
              <w:ind w:firstLine="480" w:firstLineChars="200"/>
              <w:jc w:val="center"/>
              <w:rPr>
                <w:rFonts w:ascii="宋体" w:hAnsi="宋体" w:cs="宋体"/>
                <w:sz w:val="24"/>
                <w:szCs w:val="24"/>
                <w:highlight w:val="none"/>
              </w:rPr>
            </w:pPr>
          </w:p>
        </w:tc>
      </w:tr>
      <w:tr w14:paraId="010A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3" w:type="dxa"/>
            <w:shd w:val="clear" w:color="auto" w:fill="auto"/>
            <w:vAlign w:val="center"/>
          </w:tcPr>
          <w:p w14:paraId="727558F9">
            <w:pPr>
              <w:widowControl/>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5</w:t>
            </w:r>
          </w:p>
        </w:tc>
        <w:tc>
          <w:tcPr>
            <w:tcW w:w="3039" w:type="dxa"/>
            <w:shd w:val="clear" w:color="auto" w:fill="auto"/>
            <w:vAlign w:val="center"/>
          </w:tcPr>
          <w:p w14:paraId="46B39504">
            <w:pPr>
              <w:jc w:val="center"/>
              <w:rPr>
                <w:rFonts w:ascii="宋体" w:hAnsi="宋体" w:cs="宋体"/>
                <w:sz w:val="24"/>
                <w:szCs w:val="24"/>
                <w:highlight w:val="none"/>
              </w:rPr>
            </w:pPr>
            <w:r>
              <w:rPr>
                <w:rFonts w:hint="eastAsia" w:ascii="宋体" w:hAnsi="宋体" w:cs="宋体"/>
                <w:sz w:val="24"/>
                <w:szCs w:val="24"/>
                <w:highlight w:val="none"/>
              </w:rPr>
              <w:t>商品混凝土C40</w:t>
            </w:r>
          </w:p>
        </w:tc>
        <w:tc>
          <w:tcPr>
            <w:tcW w:w="851" w:type="dxa"/>
            <w:vMerge w:val="continue"/>
            <w:vAlign w:val="center"/>
          </w:tcPr>
          <w:p w14:paraId="0A95CB56">
            <w:pPr>
              <w:jc w:val="center"/>
              <w:rPr>
                <w:rFonts w:ascii="宋体" w:hAnsi="宋体" w:cs="宋体"/>
                <w:sz w:val="24"/>
                <w:szCs w:val="24"/>
                <w:highlight w:val="none"/>
              </w:rPr>
            </w:pPr>
          </w:p>
        </w:tc>
        <w:tc>
          <w:tcPr>
            <w:tcW w:w="1829" w:type="dxa"/>
            <w:vMerge w:val="continue"/>
            <w:vAlign w:val="center"/>
          </w:tcPr>
          <w:p w14:paraId="65469266">
            <w:pPr>
              <w:jc w:val="center"/>
              <w:rPr>
                <w:rFonts w:ascii="宋体" w:hAnsi="宋体" w:cs="宋体"/>
                <w:sz w:val="24"/>
                <w:szCs w:val="24"/>
                <w:highlight w:val="none"/>
              </w:rPr>
            </w:pPr>
          </w:p>
        </w:tc>
        <w:tc>
          <w:tcPr>
            <w:tcW w:w="1431" w:type="dxa"/>
            <w:vMerge w:val="continue"/>
            <w:vAlign w:val="center"/>
          </w:tcPr>
          <w:p w14:paraId="10956B75">
            <w:pPr>
              <w:spacing w:line="500" w:lineRule="exact"/>
              <w:ind w:firstLine="480" w:firstLineChars="200"/>
              <w:jc w:val="center"/>
              <w:rPr>
                <w:rFonts w:ascii="宋体" w:hAnsi="宋体" w:cs="宋体"/>
                <w:sz w:val="24"/>
                <w:szCs w:val="24"/>
                <w:highlight w:val="none"/>
              </w:rPr>
            </w:pPr>
          </w:p>
        </w:tc>
        <w:tc>
          <w:tcPr>
            <w:tcW w:w="1569" w:type="dxa"/>
            <w:vAlign w:val="center"/>
          </w:tcPr>
          <w:p w14:paraId="6E7B1A76">
            <w:pPr>
              <w:spacing w:line="500" w:lineRule="exact"/>
              <w:ind w:firstLine="480" w:firstLineChars="200"/>
              <w:jc w:val="center"/>
              <w:rPr>
                <w:rFonts w:ascii="宋体" w:hAnsi="宋体" w:cs="宋体"/>
                <w:sz w:val="24"/>
                <w:szCs w:val="24"/>
                <w:highlight w:val="none"/>
              </w:rPr>
            </w:pPr>
          </w:p>
        </w:tc>
      </w:tr>
      <w:tr w14:paraId="1195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3" w:type="dxa"/>
            <w:shd w:val="clear" w:color="auto" w:fill="auto"/>
            <w:vAlign w:val="center"/>
          </w:tcPr>
          <w:p w14:paraId="7D10B2FA">
            <w:pPr>
              <w:widowControl/>
              <w:jc w:val="center"/>
              <w:textAlignment w:val="center"/>
              <w:rPr>
                <w:color w:val="000000"/>
                <w:sz w:val="24"/>
                <w:szCs w:val="24"/>
                <w:highlight w:val="none"/>
              </w:rPr>
            </w:pPr>
            <w:r>
              <w:rPr>
                <w:rFonts w:hint="eastAsia"/>
                <w:color w:val="000000"/>
                <w:sz w:val="24"/>
                <w:szCs w:val="24"/>
                <w:highlight w:val="none"/>
              </w:rPr>
              <w:t>6</w:t>
            </w:r>
          </w:p>
        </w:tc>
        <w:tc>
          <w:tcPr>
            <w:tcW w:w="3039" w:type="dxa"/>
            <w:shd w:val="clear" w:color="auto" w:fill="auto"/>
            <w:vAlign w:val="center"/>
          </w:tcPr>
          <w:p w14:paraId="165B3C9E">
            <w:pPr>
              <w:jc w:val="center"/>
              <w:rPr>
                <w:rFonts w:ascii="宋体" w:hAnsi="宋体" w:cs="宋体"/>
                <w:sz w:val="24"/>
                <w:szCs w:val="24"/>
                <w:highlight w:val="none"/>
              </w:rPr>
            </w:pPr>
            <w:r>
              <w:rPr>
                <w:rFonts w:hint="eastAsia" w:ascii="宋体" w:hAnsi="宋体" w:cs="宋体"/>
                <w:sz w:val="24"/>
                <w:szCs w:val="24"/>
                <w:highlight w:val="none"/>
              </w:rPr>
              <w:t>商品混凝土C45</w:t>
            </w:r>
          </w:p>
        </w:tc>
        <w:tc>
          <w:tcPr>
            <w:tcW w:w="851" w:type="dxa"/>
            <w:vMerge w:val="continue"/>
            <w:vAlign w:val="center"/>
          </w:tcPr>
          <w:p w14:paraId="3C895065">
            <w:pPr>
              <w:jc w:val="center"/>
              <w:rPr>
                <w:rFonts w:ascii="宋体" w:hAnsi="宋体" w:cs="宋体"/>
                <w:sz w:val="24"/>
                <w:szCs w:val="24"/>
                <w:highlight w:val="none"/>
              </w:rPr>
            </w:pPr>
          </w:p>
        </w:tc>
        <w:tc>
          <w:tcPr>
            <w:tcW w:w="1829" w:type="dxa"/>
            <w:vMerge w:val="continue"/>
            <w:vAlign w:val="center"/>
          </w:tcPr>
          <w:p w14:paraId="733244CB">
            <w:pPr>
              <w:jc w:val="center"/>
              <w:rPr>
                <w:rFonts w:ascii="宋体" w:hAnsi="宋体" w:cs="宋体"/>
                <w:sz w:val="24"/>
                <w:szCs w:val="24"/>
                <w:highlight w:val="none"/>
              </w:rPr>
            </w:pPr>
          </w:p>
        </w:tc>
        <w:tc>
          <w:tcPr>
            <w:tcW w:w="1431" w:type="dxa"/>
            <w:vMerge w:val="continue"/>
            <w:vAlign w:val="center"/>
          </w:tcPr>
          <w:p w14:paraId="2D36BBC6">
            <w:pPr>
              <w:spacing w:line="500" w:lineRule="exact"/>
              <w:ind w:firstLine="480" w:firstLineChars="200"/>
              <w:jc w:val="center"/>
              <w:rPr>
                <w:rFonts w:ascii="宋体" w:hAnsi="宋体" w:cs="宋体"/>
                <w:sz w:val="24"/>
                <w:szCs w:val="24"/>
                <w:highlight w:val="none"/>
              </w:rPr>
            </w:pPr>
          </w:p>
        </w:tc>
        <w:tc>
          <w:tcPr>
            <w:tcW w:w="1569" w:type="dxa"/>
            <w:vAlign w:val="center"/>
          </w:tcPr>
          <w:p w14:paraId="2CD06AC7">
            <w:pPr>
              <w:spacing w:line="500" w:lineRule="exact"/>
              <w:ind w:firstLine="480" w:firstLineChars="200"/>
              <w:jc w:val="center"/>
              <w:rPr>
                <w:rFonts w:ascii="宋体" w:hAnsi="宋体" w:cs="宋体"/>
                <w:sz w:val="24"/>
                <w:szCs w:val="24"/>
                <w:highlight w:val="none"/>
              </w:rPr>
            </w:pPr>
          </w:p>
        </w:tc>
      </w:tr>
      <w:tr w14:paraId="7020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33" w:type="dxa"/>
            <w:shd w:val="clear" w:color="auto" w:fill="auto"/>
            <w:vAlign w:val="center"/>
          </w:tcPr>
          <w:p w14:paraId="1F44F511">
            <w:pPr>
              <w:widowControl/>
              <w:jc w:val="center"/>
              <w:textAlignment w:val="center"/>
              <w:rPr>
                <w:color w:val="000000"/>
                <w:sz w:val="24"/>
                <w:szCs w:val="24"/>
                <w:highlight w:val="none"/>
              </w:rPr>
            </w:pPr>
            <w:r>
              <w:rPr>
                <w:rFonts w:hint="eastAsia"/>
                <w:color w:val="000000"/>
                <w:sz w:val="24"/>
                <w:szCs w:val="24"/>
                <w:highlight w:val="none"/>
              </w:rPr>
              <w:t>7</w:t>
            </w:r>
          </w:p>
        </w:tc>
        <w:tc>
          <w:tcPr>
            <w:tcW w:w="3039" w:type="dxa"/>
            <w:shd w:val="clear" w:color="auto" w:fill="auto"/>
            <w:vAlign w:val="center"/>
          </w:tcPr>
          <w:p w14:paraId="5F998616">
            <w:pPr>
              <w:jc w:val="center"/>
              <w:rPr>
                <w:rFonts w:ascii="宋体" w:hAnsi="宋体" w:cs="宋体"/>
                <w:sz w:val="24"/>
                <w:szCs w:val="24"/>
                <w:highlight w:val="none"/>
              </w:rPr>
            </w:pPr>
            <w:r>
              <w:rPr>
                <w:rFonts w:hint="eastAsia" w:ascii="宋体" w:hAnsi="宋体" w:cs="宋体"/>
                <w:sz w:val="24"/>
                <w:szCs w:val="24"/>
                <w:highlight w:val="none"/>
              </w:rPr>
              <w:t>商品混凝土C50</w:t>
            </w:r>
          </w:p>
        </w:tc>
        <w:tc>
          <w:tcPr>
            <w:tcW w:w="851" w:type="dxa"/>
            <w:vMerge w:val="continue"/>
            <w:vAlign w:val="center"/>
          </w:tcPr>
          <w:p w14:paraId="45DF4A4D">
            <w:pPr>
              <w:jc w:val="center"/>
              <w:rPr>
                <w:rFonts w:ascii="宋体" w:hAnsi="宋体" w:cs="宋体"/>
                <w:sz w:val="24"/>
                <w:szCs w:val="24"/>
                <w:highlight w:val="none"/>
              </w:rPr>
            </w:pPr>
          </w:p>
        </w:tc>
        <w:tc>
          <w:tcPr>
            <w:tcW w:w="1829" w:type="dxa"/>
            <w:vMerge w:val="continue"/>
            <w:vAlign w:val="center"/>
          </w:tcPr>
          <w:p w14:paraId="51AB0ABE">
            <w:pPr>
              <w:jc w:val="center"/>
              <w:rPr>
                <w:rFonts w:ascii="宋体" w:hAnsi="宋体" w:cs="宋体"/>
                <w:sz w:val="24"/>
                <w:szCs w:val="24"/>
                <w:highlight w:val="none"/>
              </w:rPr>
            </w:pPr>
          </w:p>
        </w:tc>
        <w:tc>
          <w:tcPr>
            <w:tcW w:w="1431" w:type="dxa"/>
            <w:vMerge w:val="continue"/>
            <w:vAlign w:val="center"/>
          </w:tcPr>
          <w:p w14:paraId="054CDD2E">
            <w:pPr>
              <w:spacing w:line="500" w:lineRule="exact"/>
              <w:ind w:firstLine="480" w:firstLineChars="200"/>
              <w:jc w:val="center"/>
              <w:rPr>
                <w:rFonts w:ascii="宋体" w:hAnsi="宋体" w:cs="宋体"/>
                <w:sz w:val="24"/>
                <w:szCs w:val="24"/>
                <w:highlight w:val="none"/>
              </w:rPr>
            </w:pPr>
          </w:p>
        </w:tc>
        <w:tc>
          <w:tcPr>
            <w:tcW w:w="1569" w:type="dxa"/>
            <w:vAlign w:val="center"/>
          </w:tcPr>
          <w:p w14:paraId="3A404736">
            <w:pPr>
              <w:spacing w:line="500" w:lineRule="exact"/>
              <w:ind w:firstLine="480" w:firstLineChars="200"/>
              <w:jc w:val="center"/>
              <w:rPr>
                <w:rFonts w:ascii="宋体" w:hAnsi="宋体" w:cs="宋体"/>
                <w:sz w:val="24"/>
                <w:szCs w:val="24"/>
                <w:highlight w:val="none"/>
              </w:rPr>
            </w:pPr>
          </w:p>
        </w:tc>
      </w:tr>
    </w:tbl>
    <w:p w14:paraId="679E5CEC">
      <w:pPr>
        <w:pStyle w:val="5"/>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highlight w:val="none"/>
        </w:rPr>
        <w:t>二、资金来源</w:t>
      </w:r>
      <w:bookmarkEnd w:id="16"/>
      <w:bookmarkEnd w:id="17"/>
      <w:bookmarkEnd w:id="18"/>
      <w:bookmarkEnd w:id="19"/>
      <w:bookmarkEnd w:id="20"/>
      <w:bookmarkEnd w:id="21"/>
    </w:p>
    <w:p w14:paraId="08BDF10A">
      <w:pPr>
        <w:spacing w:line="400" w:lineRule="exact"/>
        <w:ind w:firstLine="480" w:firstLineChars="200"/>
        <w:rPr>
          <w:rFonts w:ascii="宋体" w:hAnsi="宋体" w:cs="宋体"/>
          <w:sz w:val="24"/>
          <w:szCs w:val="24"/>
          <w:highlight w:val="none"/>
        </w:rPr>
      </w:pPr>
      <w:r>
        <w:rPr>
          <w:rFonts w:hint="eastAsia" w:ascii="宋体" w:hAnsi="宋体" w:cs="宋体"/>
          <w:color w:val="000000"/>
          <w:sz w:val="24"/>
          <w:szCs w:val="24"/>
          <w:highlight w:val="none"/>
        </w:rPr>
        <w:t>自筹资金</w:t>
      </w:r>
      <w:r>
        <w:rPr>
          <w:rFonts w:hint="eastAsia" w:ascii="宋体" w:hAnsi="宋体" w:cs="宋体"/>
          <w:sz w:val="24"/>
          <w:szCs w:val="24"/>
          <w:highlight w:val="none"/>
        </w:rPr>
        <w:t>。</w:t>
      </w:r>
    </w:p>
    <w:p w14:paraId="17D740F9">
      <w:pPr>
        <w:pStyle w:val="5"/>
        <w:adjustRightInd w:val="0"/>
        <w:snapToGrid w:val="0"/>
        <w:spacing w:before="0" w:after="0" w:line="400" w:lineRule="exact"/>
        <w:ind w:firstLine="482" w:firstLineChars="200"/>
        <w:rPr>
          <w:rFonts w:ascii="宋体" w:hAnsi="宋体" w:eastAsia="宋体" w:cs="宋体"/>
          <w:sz w:val="24"/>
          <w:highlight w:val="none"/>
        </w:rPr>
      </w:pPr>
      <w:bookmarkStart w:id="23" w:name="_Toc106034772"/>
      <w:bookmarkStart w:id="24" w:name="_Toc18548"/>
      <w:bookmarkStart w:id="25" w:name="_Toc13541"/>
      <w:bookmarkStart w:id="26" w:name="_Toc65660332"/>
      <w:bookmarkStart w:id="27" w:name="_Toc20867"/>
      <w:bookmarkStart w:id="28" w:name="_Toc3738"/>
      <w:bookmarkStart w:id="29" w:name="_Toc64731996"/>
      <w:r>
        <w:rPr>
          <w:rFonts w:hint="eastAsia" w:ascii="宋体" w:hAnsi="宋体" w:eastAsia="宋体" w:cs="宋体"/>
          <w:sz w:val="24"/>
          <w:highlight w:val="none"/>
        </w:rPr>
        <w:t>三、供应商资格条件</w:t>
      </w:r>
      <w:bookmarkEnd w:id="23"/>
      <w:bookmarkEnd w:id="24"/>
      <w:bookmarkEnd w:id="25"/>
      <w:bookmarkEnd w:id="26"/>
      <w:bookmarkEnd w:id="27"/>
      <w:bookmarkEnd w:id="28"/>
      <w:bookmarkEnd w:id="29"/>
    </w:p>
    <w:p w14:paraId="4DAE95C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（一）满足《中华人民共和国政府采购法》第二十二条规定：</w:t>
      </w:r>
    </w:p>
    <w:p w14:paraId="3969D469">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1.具有独立承担民事责任的能力；</w:t>
      </w:r>
    </w:p>
    <w:p w14:paraId="5CC6DF0F">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2.具有良好的商业信誉和健全的财务会计制度；</w:t>
      </w:r>
    </w:p>
    <w:p w14:paraId="5894533A">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3.具有履行合同所必需的设备和专业技术能力；</w:t>
      </w:r>
    </w:p>
    <w:p w14:paraId="78C5B1E5">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4.有依法缴纳税收和社会保障资金的良好记录；</w:t>
      </w:r>
    </w:p>
    <w:p w14:paraId="4C690E4A">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5.参加政府采购活动前三年内，在经营活动中没有重大违法记录；</w:t>
      </w:r>
    </w:p>
    <w:p w14:paraId="2301C589">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6.法律、行政法规规定的其他条件。</w:t>
      </w:r>
    </w:p>
    <w:p w14:paraId="056B688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（二）本项目的特定资格要求：</w:t>
      </w:r>
    </w:p>
    <w:p w14:paraId="59F418AD">
      <w:pPr>
        <w:pStyle w:val="28"/>
        <w:spacing w:before="115" w:line="278" w:lineRule="auto"/>
        <w:ind w:right="103" w:firstLine="480" w:firstLineChars="200"/>
        <w:rPr>
          <w:rFonts w:ascii="宋体" w:hAnsi="宋体" w:cs="宋体"/>
          <w:color w:val="000000"/>
          <w:sz w:val="24"/>
          <w:szCs w:val="24"/>
          <w:highlight w:val="none"/>
        </w:rPr>
      </w:pPr>
      <w:bookmarkStart w:id="30" w:name="_Toc106034773"/>
      <w:bookmarkStart w:id="31" w:name="_Toc1386"/>
      <w:bookmarkStart w:id="32" w:name="_Toc13903"/>
      <w:bookmarkStart w:id="33" w:name="_Toc19214"/>
      <w:bookmarkStart w:id="34" w:name="_Toc65660333"/>
      <w:bookmarkStart w:id="35" w:name="_Toc11908"/>
      <w:r>
        <w:rPr>
          <w:rFonts w:hint="eastAsia" w:ascii="宋体" w:hAnsi="宋体" w:cs="宋体"/>
          <w:color w:val="000000"/>
          <w:sz w:val="24"/>
          <w:szCs w:val="24"/>
          <w:highlight w:val="none"/>
        </w:rPr>
        <w:t>1.具备建设行政主管部门颁发的有效的预拌混凝土专业承包资质（提供有效的资质证书复印件）。</w:t>
      </w:r>
    </w:p>
    <w:p w14:paraId="27E11DD6">
      <w:pPr>
        <w:snapToGrid w:val="0"/>
        <w:spacing w:line="4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2.具备建设行政主管部门颁发的有效的安全生产许可证（提供有效的安全生产许可证复印件）。</w:t>
      </w:r>
    </w:p>
    <w:p w14:paraId="1FF6A662">
      <w:pPr>
        <w:pStyle w:val="5"/>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highlight w:val="none"/>
        </w:rPr>
        <w:t>四、询价有关说明</w:t>
      </w:r>
      <w:bookmarkEnd w:id="22"/>
      <w:bookmarkEnd w:id="30"/>
      <w:bookmarkEnd w:id="31"/>
      <w:bookmarkEnd w:id="32"/>
      <w:bookmarkEnd w:id="33"/>
      <w:bookmarkEnd w:id="34"/>
      <w:bookmarkEnd w:id="35"/>
    </w:p>
    <w:p w14:paraId="6D66CBA4">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（一）供应商应通过行采家（https://www.gec123.com/）登记加入“供应商库”。</w:t>
      </w:r>
    </w:p>
    <w:p w14:paraId="093CA8DC">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（二）凡有意参加询价的供应商，请在“行采家”（https://www.gec123.com）</w:t>
      </w:r>
      <w:r>
        <w:rPr>
          <w:rFonts w:hint="eastAsia" w:ascii="宋体" w:hAnsi="宋体" w:cs="宋体"/>
          <w:sz w:val="24"/>
          <w:szCs w:val="24"/>
          <w:highlight w:val="none"/>
          <w:shd w:val="clear" w:color="auto" w:fill="FFFFFF"/>
        </w:rPr>
        <w:t>下载</w:t>
      </w:r>
      <w:r>
        <w:rPr>
          <w:rFonts w:hint="eastAsia" w:ascii="宋体" w:hAnsi="宋体" w:cs="宋体"/>
          <w:sz w:val="24"/>
          <w:szCs w:val="24"/>
          <w:highlight w:val="none"/>
        </w:rPr>
        <w:t>本项目询价通知书以及图纸、澄清等报价前公布的所有项目资料，无论供应商下载或领取与否，均视为已知晓所有实质性要求内容。</w:t>
      </w:r>
    </w:p>
    <w:p w14:paraId="472E1C0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（三）询价公告期限：自采购公告发布之日</w:t>
      </w:r>
      <w:r>
        <w:rPr>
          <w:rFonts w:hint="eastAsia" w:ascii="宋体" w:hAnsi="宋体" w:cs="宋体"/>
          <w:sz w:val="24"/>
          <w:szCs w:val="24"/>
          <w:highlight w:val="none"/>
        </w:rPr>
        <w:t>起五个工作日</w:t>
      </w:r>
      <w:r>
        <w:rPr>
          <w:rFonts w:hint="eastAsia" w:ascii="宋体" w:hAnsi="宋体" w:cs="宋体"/>
          <w:sz w:val="24"/>
          <w:szCs w:val="24"/>
          <w:highlight w:val="none"/>
        </w:rPr>
        <w:t>。</w:t>
      </w:r>
    </w:p>
    <w:p w14:paraId="03C67FA9">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（四）获取询价通知书期限：</w:t>
      </w:r>
    </w:p>
    <w:p w14:paraId="7B86E96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1.询价通知书提供期限：同询价公告期限。</w:t>
      </w:r>
    </w:p>
    <w:p w14:paraId="4E075A5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报名方式：询价通知书提供期限内，投标供应商将招标文件购买费用汇至以下账户内进行购买。通过汇款方式购买招标文件的，将招标文件汇款凭证（备注混泥土采购）扫描后发送至3755019085@qq.com，否则视为无效。</w:t>
      </w:r>
    </w:p>
    <w:p w14:paraId="542335F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开户名称：重庆盛灏和途商务信息咨询服务有限公司</w:t>
      </w:r>
    </w:p>
    <w:p w14:paraId="2C603CD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开户行：中国农业银行股份有限公司重庆合川财富广场支行</w:t>
      </w:r>
    </w:p>
    <w:p w14:paraId="3587578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帐  号：31150501040005840</w:t>
      </w:r>
    </w:p>
    <w:p w14:paraId="6A5E2C7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3.询价通知书售价：人民币300元/包。</w:t>
      </w:r>
    </w:p>
    <w:p w14:paraId="57C160D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（五）供应商须满足以下两种要件，其响应文件才被接受：</w:t>
      </w:r>
    </w:p>
    <w:p w14:paraId="76828C7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1.保证金在规定时间内到账。                                                                                                                                                                                                                                                                                                                                                                                                                                                                                                                                                                                                                                                                                                                                                                                                                                                                                                                                                                                                                                                                                                                                                                                                                                                                                                                                                                                                                                                                                                                                                                                                                                                                                                                                                                                                                                                                                                                                                                                                                                                                                                                                                                                                                                                                                                                                                                                                                                                                                                                                                                                                                                                                                                                                                                                                                                                                                                                                                                                                                                                                                                                                                                                                                                                                                                                                                                                                                                                                                                                                                                                                                                                                                                                                                                                                                                                                                                                                                                                                                                                                                                                                                                                                  </w:t>
      </w:r>
    </w:p>
    <w:p w14:paraId="128964D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2.在询价文件发售期内购买了询价文件。</w:t>
      </w:r>
    </w:p>
    <w:p w14:paraId="16FDBF8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（六）递交响应文件地点：重庆市合川区南办处南园东路99号20层（会议室）。</w:t>
      </w:r>
    </w:p>
    <w:p w14:paraId="711FD8F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（七）递交响应文件开始时间：2025年8月4日北京时间16:00。</w:t>
      </w:r>
    </w:p>
    <w:p w14:paraId="2CF2DB2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（八）提交响应文件截止时间：2025年8月4日北京时间16:30。</w:t>
      </w:r>
    </w:p>
    <w:p w14:paraId="6E7255C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（九）询价开始时间：2025年8月4日北京时间16:30。</w:t>
      </w:r>
    </w:p>
    <w:p w14:paraId="00B4007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（十）评审地点：重庆市合川区南办处南园东路99号2007室。</w:t>
      </w:r>
    </w:p>
    <w:p w14:paraId="11A0D7A9">
      <w:pPr>
        <w:pStyle w:val="5"/>
        <w:adjustRightInd w:val="0"/>
        <w:snapToGrid w:val="0"/>
        <w:spacing w:before="0" w:after="0" w:line="400" w:lineRule="exact"/>
        <w:ind w:firstLine="482" w:firstLineChars="200"/>
        <w:rPr>
          <w:rFonts w:ascii="宋体" w:hAnsi="宋体" w:eastAsia="宋体" w:cs="宋体"/>
          <w:sz w:val="24"/>
          <w:highlight w:val="none"/>
        </w:rPr>
      </w:pPr>
      <w:bookmarkStart w:id="36" w:name="_Toc65660334"/>
      <w:bookmarkStart w:id="37" w:name="_Toc373860294"/>
      <w:bookmarkStart w:id="38" w:name="_Toc11956"/>
      <w:bookmarkStart w:id="39" w:name="_Toc17321"/>
      <w:bookmarkStart w:id="40" w:name="_Toc521053053"/>
      <w:bookmarkStart w:id="41" w:name="_Toc4638"/>
      <w:bookmarkStart w:id="42" w:name="_Toc106034774"/>
      <w:bookmarkStart w:id="43" w:name="_Toc525047161"/>
      <w:bookmarkStart w:id="44" w:name="_Toc6178"/>
      <w:r>
        <w:rPr>
          <w:rFonts w:hint="eastAsia" w:ascii="宋体" w:hAnsi="宋体" w:eastAsia="宋体" w:cs="宋体"/>
          <w:sz w:val="24"/>
          <w:highlight w:val="none"/>
        </w:rPr>
        <w:t>五、投标保证金</w:t>
      </w:r>
      <w:bookmarkEnd w:id="36"/>
      <w:bookmarkEnd w:id="37"/>
      <w:bookmarkEnd w:id="38"/>
      <w:bookmarkEnd w:id="39"/>
      <w:bookmarkEnd w:id="40"/>
      <w:bookmarkEnd w:id="41"/>
      <w:bookmarkEnd w:id="42"/>
      <w:bookmarkEnd w:id="43"/>
      <w:bookmarkEnd w:id="44"/>
    </w:p>
    <w:p w14:paraId="7486F938">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1.投标保证金应以银行转账等非现金形式提交。为保障资金的安全性和简化手续，建议采用银行转账形式递交投标保证金。</w:t>
      </w:r>
    </w:p>
    <w:p w14:paraId="7C3F363B">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2.供应商须按本项目规定的投标保证金金额和递交方式进行缴纳，各供应商在银行转账（电汇）时，须充分考虑银行转账（电汇）的时间差风险，如同城转账、异地转账或汇款、跨行转账或电汇的时间要求。</w:t>
      </w:r>
    </w:p>
    <w:p w14:paraId="4A2331EC">
      <w:pPr>
        <w:snapToGrid w:val="0"/>
        <w:spacing w:line="400" w:lineRule="exact"/>
        <w:ind w:firstLine="480" w:firstLineChars="200"/>
        <w:rPr>
          <w:rFonts w:ascii="宋体" w:hAnsi="宋体" w:cs="宋体"/>
          <w:sz w:val="24"/>
          <w:szCs w:val="24"/>
          <w:highlight w:val="none"/>
        </w:rPr>
      </w:pPr>
      <w:bookmarkStart w:id="45" w:name="_Toc2916"/>
      <w:r>
        <w:rPr>
          <w:rFonts w:hint="eastAsia" w:ascii="宋体" w:hAnsi="宋体" w:cs="宋体"/>
          <w:sz w:val="24"/>
          <w:szCs w:val="24"/>
          <w:highlight w:val="none"/>
        </w:rPr>
        <w:t>（二）银行转账保证金递交账户</w:t>
      </w:r>
      <w:bookmarkEnd w:id="45"/>
    </w:p>
    <w:p w14:paraId="3D84AEE1">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供应商银行转账递交保证金的到账截止时间为提交响应文件截止时间。</w:t>
      </w:r>
    </w:p>
    <w:p w14:paraId="119F8A6A">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开户名称：重庆盛灏和途商务信息咨询服务有限公司</w:t>
      </w:r>
    </w:p>
    <w:p w14:paraId="06E7A18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开户行：中国农业银行股份有限公司重庆合川财富广场支行</w:t>
      </w:r>
    </w:p>
    <w:p w14:paraId="31BE3077">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帐  号：31150501040005840</w:t>
      </w:r>
    </w:p>
    <w:p w14:paraId="23F6AD0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注：供应商在付款凭证备注栏中注明是“混泥土采购”投标保证金。</w:t>
      </w:r>
    </w:p>
    <w:p w14:paraId="2E427A8D">
      <w:pPr>
        <w:spacing w:line="400" w:lineRule="exact"/>
        <w:ind w:firstLine="480" w:firstLineChars="200"/>
        <w:rPr>
          <w:rFonts w:ascii="宋体" w:hAnsi="宋体" w:cs="宋体"/>
          <w:sz w:val="24"/>
          <w:szCs w:val="24"/>
          <w:highlight w:val="none"/>
        </w:rPr>
      </w:pPr>
      <w:bookmarkStart w:id="46" w:name="_Toc20214"/>
      <w:r>
        <w:rPr>
          <w:rFonts w:hint="eastAsia" w:ascii="宋体" w:hAnsi="宋体" w:cs="宋体"/>
          <w:sz w:val="24"/>
          <w:szCs w:val="24"/>
          <w:highlight w:val="none"/>
        </w:rPr>
        <w:t>（三）投标保证金退还方式</w:t>
      </w:r>
      <w:bookmarkEnd w:id="46"/>
    </w:p>
    <w:p w14:paraId="6C4A975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1.未成交供应商的保证金，采取银行转账方式递交的，在成交通知书发放后，由采购代理机构在五个工作日内按来款渠道直接退还（法律法规规定的不予退还的情形除外)。</w:t>
      </w:r>
    </w:p>
    <w:p w14:paraId="350EBD93">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2.成交供应商的投标保证金，采取银行转账方式递交的，在成交供应商与采购人签订合同后，由采购代理机构在五个工作日内按资金来款渠道直接退还（法律法规规定的不予退还的情形除外)。</w:t>
      </w:r>
    </w:p>
    <w:p w14:paraId="744C9B72">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3.流标项目的投标保证金由采购代理机构在五个工作日内按资金来款渠道直接退还。</w:t>
      </w:r>
    </w:p>
    <w:p w14:paraId="2F7FB1CC">
      <w:pPr>
        <w:ind w:firstLine="482" w:firstLineChars="200"/>
        <w:outlineLvl w:val="1"/>
        <w:rPr>
          <w:rFonts w:ascii="宋体" w:hAnsi="宋体" w:cs="宋体"/>
          <w:b/>
          <w:bCs/>
          <w:sz w:val="24"/>
          <w:highlight w:val="none"/>
        </w:rPr>
      </w:pPr>
      <w:bookmarkStart w:id="47" w:name="_Toc521053055"/>
      <w:bookmarkStart w:id="48" w:name="_Toc6563"/>
      <w:bookmarkStart w:id="49" w:name="_Toc16269"/>
      <w:bookmarkStart w:id="50" w:name="_Toc4728"/>
      <w:bookmarkStart w:id="51" w:name="_Toc106034776"/>
      <w:bookmarkStart w:id="52" w:name="_Toc525047163"/>
      <w:bookmarkStart w:id="53" w:name="_Toc65660336"/>
      <w:r>
        <w:rPr>
          <w:rFonts w:hint="eastAsia" w:ascii="宋体" w:hAnsi="宋体" w:cs="宋体"/>
          <w:b/>
          <w:bCs/>
          <w:sz w:val="24"/>
          <w:highlight w:val="none"/>
        </w:rPr>
        <w:t>六、其它有关规定</w:t>
      </w:r>
      <w:bookmarkEnd w:id="47"/>
      <w:bookmarkEnd w:id="48"/>
      <w:bookmarkEnd w:id="49"/>
      <w:bookmarkEnd w:id="50"/>
      <w:bookmarkEnd w:id="51"/>
      <w:bookmarkEnd w:id="52"/>
      <w:bookmarkEnd w:id="53"/>
    </w:p>
    <w:p w14:paraId="17C23D61">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（一）单位负责人为同一人或者存在直接控股、管理关系的不同供应商，不得参加同一合同项（包）下的政府采购活动，否则均为无效报价。</w:t>
      </w:r>
    </w:p>
    <w:p w14:paraId="2B096038">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（二）为采购项目提供整体设计、规范编制或者项目管理、监理、检测等服务的供应商，不得再参加该采购项目的其他采购活动。</w:t>
      </w:r>
    </w:p>
    <w:p w14:paraId="2F39D05E">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（三）同一合同项（包）下的货物，制造商参与报价的，不得再委托代理商参与报价。</w:t>
      </w:r>
    </w:p>
    <w:p w14:paraId="02C97942">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（四）本项目的澄清文件（如果有）一律在“行采家”（https://www.gec123.com）上发布，请各供应商注意下载；无论供应商下载或领取与否，均视同供应商已知晓本项目澄清文件（如果有）的内容。</w:t>
      </w:r>
    </w:p>
    <w:p w14:paraId="01F9BA95">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（五）超过响应文件截止时间递交的响应文件，恕不接收。</w:t>
      </w:r>
    </w:p>
    <w:p w14:paraId="6A3A04B9">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（六）询价费用：无论询价结果如何，供应商参与本项目询价的所有费用均应由供应商自行承担。</w:t>
      </w:r>
    </w:p>
    <w:p w14:paraId="1A87E9F0">
      <w:pPr>
        <w:snapToGrid w:val="0"/>
        <w:spacing w:line="400" w:lineRule="exact"/>
        <w:ind w:firstLine="361" w:firstLineChars="150"/>
        <w:rPr>
          <w:rFonts w:ascii="宋体" w:hAnsi="宋体" w:cs="宋体"/>
          <w:b/>
          <w:sz w:val="24"/>
          <w:szCs w:val="24"/>
          <w:highlight w:val="none"/>
        </w:rPr>
      </w:pPr>
      <w:r>
        <w:rPr>
          <w:rFonts w:hint="eastAsia" w:ascii="宋体" w:hAnsi="宋体" w:cs="宋体"/>
          <w:b/>
          <w:bCs/>
          <w:sz w:val="24"/>
          <w:szCs w:val="24"/>
          <w:highlight w:val="none"/>
        </w:rPr>
        <w:t>（七）</w:t>
      </w:r>
      <w:r>
        <w:rPr>
          <w:rFonts w:hint="eastAsia" w:ascii="宋体" w:hAnsi="宋体" w:cs="宋体"/>
          <w:b/>
          <w:sz w:val="24"/>
          <w:szCs w:val="24"/>
          <w:highlight w:val="none"/>
        </w:rPr>
        <w:t>本项目不接受联合体参与报价</w:t>
      </w:r>
    </w:p>
    <w:p w14:paraId="2B09E969">
      <w:pPr>
        <w:snapToGrid w:val="0"/>
        <w:spacing w:line="400" w:lineRule="exact"/>
        <w:ind w:firstLine="361" w:firstLineChars="150"/>
        <w:rPr>
          <w:rFonts w:ascii="宋体" w:hAnsi="宋体" w:cs="宋体"/>
          <w:b/>
          <w:sz w:val="24"/>
          <w:szCs w:val="24"/>
          <w:highlight w:val="none"/>
        </w:rPr>
      </w:pPr>
      <w:r>
        <w:rPr>
          <w:rFonts w:hint="eastAsia" w:ascii="宋体" w:hAnsi="宋体" w:cs="宋体"/>
          <w:b/>
          <w:sz w:val="24"/>
          <w:szCs w:val="24"/>
          <w:highlight w:val="none"/>
        </w:rPr>
        <w:t>（八）本项目不接受合同分包</w:t>
      </w:r>
    </w:p>
    <w:p w14:paraId="29A67FC0">
      <w:pPr>
        <w:snapToGrid w:val="0"/>
        <w:spacing w:line="400" w:lineRule="exact"/>
        <w:ind w:firstLine="360" w:firstLineChars="150"/>
        <w:rPr>
          <w:rFonts w:ascii="宋体" w:hAnsi="宋体" w:cs="宋体"/>
          <w:sz w:val="24"/>
          <w:szCs w:val="24"/>
          <w:highlight w:val="none"/>
        </w:rPr>
      </w:pPr>
      <w:r>
        <w:rPr>
          <w:rFonts w:hint="eastAsia" w:ascii="宋体" w:hAnsi="宋体" w:cs="宋体"/>
          <w:bCs/>
          <w:sz w:val="24"/>
          <w:szCs w:val="24"/>
          <w:highlight w:val="none"/>
        </w:rPr>
        <w:t>（九）</w:t>
      </w:r>
      <w:r>
        <w:rPr>
          <w:rFonts w:hint="eastAsia" w:ascii="宋体" w:hAnsi="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次采购活动。</w:t>
      </w:r>
    </w:p>
    <w:p w14:paraId="2FBA9D2D">
      <w:pPr>
        <w:pStyle w:val="5"/>
        <w:adjustRightInd w:val="0"/>
        <w:snapToGrid w:val="0"/>
        <w:spacing w:before="0" w:after="0" w:line="400" w:lineRule="exact"/>
        <w:ind w:firstLine="482" w:firstLineChars="200"/>
        <w:rPr>
          <w:rFonts w:ascii="宋体" w:hAnsi="宋体" w:eastAsia="宋体" w:cs="宋体"/>
          <w:sz w:val="24"/>
          <w:highlight w:val="none"/>
        </w:rPr>
      </w:pPr>
      <w:bookmarkStart w:id="54" w:name="_Toc521053056"/>
      <w:bookmarkStart w:id="55" w:name="_Toc10415"/>
      <w:bookmarkStart w:id="56" w:name="_Toc106034777"/>
      <w:bookmarkStart w:id="57" w:name="_Toc525047164"/>
      <w:bookmarkStart w:id="58" w:name="_Toc4255"/>
      <w:bookmarkStart w:id="59" w:name="_Toc1552"/>
      <w:bookmarkStart w:id="60" w:name="_Toc1733"/>
      <w:bookmarkStart w:id="61" w:name="_Toc65660337"/>
      <w:r>
        <w:rPr>
          <w:rFonts w:hint="eastAsia" w:ascii="宋体" w:hAnsi="宋体" w:eastAsia="宋体" w:cs="宋体"/>
          <w:sz w:val="24"/>
          <w:highlight w:val="none"/>
        </w:rPr>
        <w:t>七、联系方式</w:t>
      </w:r>
      <w:bookmarkEnd w:id="54"/>
      <w:bookmarkEnd w:id="55"/>
      <w:bookmarkEnd w:id="56"/>
      <w:bookmarkEnd w:id="57"/>
      <w:bookmarkEnd w:id="58"/>
      <w:bookmarkEnd w:id="59"/>
      <w:bookmarkEnd w:id="60"/>
      <w:bookmarkEnd w:id="61"/>
    </w:p>
    <w:p w14:paraId="1D65A318">
      <w:pPr>
        <w:spacing w:line="380" w:lineRule="exact"/>
        <w:ind w:firstLine="480" w:firstLineChars="200"/>
        <w:rPr>
          <w:rFonts w:ascii="宋体" w:hAnsi="宋体" w:cs="宋体"/>
          <w:sz w:val="24"/>
          <w:szCs w:val="24"/>
          <w:highlight w:val="none"/>
        </w:rPr>
      </w:pPr>
      <w:bookmarkStart w:id="62" w:name="_Toc29610"/>
      <w:r>
        <w:rPr>
          <w:rFonts w:hint="eastAsia" w:ascii="宋体" w:hAnsi="宋体" w:cs="宋体"/>
          <w:sz w:val="24"/>
          <w:szCs w:val="24"/>
          <w:highlight w:val="none"/>
        </w:rPr>
        <w:t>（一）招标人：</w:t>
      </w:r>
      <w:bookmarkEnd w:id="62"/>
      <w:r>
        <w:rPr>
          <w:rFonts w:hint="eastAsia" w:ascii="宋体" w:hAnsi="宋体" w:cs="宋体"/>
          <w:sz w:val="24"/>
          <w:szCs w:val="24"/>
          <w:highlight w:val="none"/>
        </w:rPr>
        <w:t>重庆市合川区民祺建设发展有限公司</w:t>
      </w:r>
    </w:p>
    <w:p w14:paraId="0DCE2C75">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联系人：谢老师</w:t>
      </w:r>
    </w:p>
    <w:p w14:paraId="2EABD60E">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电 话：023-42871492</w:t>
      </w:r>
    </w:p>
    <w:p w14:paraId="242BE1A7">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址：重庆市合川区南办处南园东路99号2006室</w:t>
      </w:r>
    </w:p>
    <w:p w14:paraId="34B8B511">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（二）采购代理机构：重庆盛灏和途商务信息咨询服务有限公司</w:t>
      </w:r>
    </w:p>
    <w:p w14:paraId="74ABB20B">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联系人：何老师</w:t>
      </w:r>
    </w:p>
    <w:p w14:paraId="0DDD1A71">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电  话：15823303335</w:t>
      </w:r>
    </w:p>
    <w:p w14:paraId="062208F8">
      <w:pPr>
        <w:spacing w:line="380" w:lineRule="exact"/>
        <w:ind w:firstLine="480" w:firstLineChars="200"/>
        <w:rPr>
          <w:rFonts w:ascii="宋体" w:hAnsi="宋体" w:cs="宋体"/>
          <w:sz w:val="24"/>
          <w:szCs w:val="24"/>
          <w:highlight w:val="none"/>
        </w:rPr>
      </w:pPr>
      <w:r>
        <w:rPr>
          <w:rFonts w:hint="eastAsia" w:ascii="宋体" w:hAnsi="宋体" w:cs="宋体"/>
          <w:sz w:val="24"/>
          <w:szCs w:val="24"/>
          <w:highlight w:val="none"/>
        </w:rPr>
        <w:t>地  址：重庆市合川区希尔安大道1233号附5号2-18</w:t>
      </w:r>
    </w:p>
    <w:p w14:paraId="70D07A3A">
      <w:pPr>
        <w:snapToGrid w:val="0"/>
        <w:spacing w:line="400" w:lineRule="exact"/>
        <w:ind w:firstLine="480" w:firstLineChars="200"/>
        <w:rPr>
          <w:rFonts w:ascii="宋体" w:hAnsi="宋体" w:cs="宋体"/>
          <w:sz w:val="24"/>
          <w:szCs w:val="24"/>
          <w:highlight w:val="none"/>
        </w:rPr>
      </w:pPr>
    </w:p>
    <w:p w14:paraId="5FB72301">
      <w:pPr>
        <w:snapToGrid w:val="0"/>
        <w:spacing w:line="400" w:lineRule="exact"/>
        <w:ind w:firstLine="480" w:firstLineChars="200"/>
        <w:rPr>
          <w:rFonts w:ascii="宋体" w:hAnsi="宋体" w:cs="宋体"/>
          <w:sz w:val="24"/>
          <w:szCs w:val="24"/>
          <w:highlight w:val="none"/>
        </w:rPr>
      </w:pPr>
    </w:p>
    <w:p w14:paraId="3AB8A824">
      <w:pPr>
        <w:pStyle w:val="4"/>
        <w:spacing w:before="0" w:after="0" w:line="360" w:lineRule="auto"/>
        <w:jc w:val="center"/>
        <w:rPr>
          <w:rFonts w:ascii="宋体" w:hAnsi="宋体" w:cs="宋体"/>
          <w:sz w:val="24"/>
          <w:highlight w:val="none"/>
        </w:rPr>
      </w:pPr>
      <w:r>
        <w:rPr>
          <w:rFonts w:hint="eastAsia" w:ascii="宋体" w:hAnsi="宋体" w:cs="宋体"/>
          <w:b w:val="0"/>
          <w:sz w:val="36"/>
          <w:szCs w:val="30"/>
          <w:highlight w:val="none"/>
        </w:rPr>
        <w:br w:type="page"/>
      </w:r>
      <w:bookmarkStart w:id="63" w:name="_Toc859"/>
      <w:r>
        <w:rPr>
          <w:rFonts w:hint="eastAsia" w:ascii="宋体" w:hAnsi="宋体" w:cs="宋体"/>
          <w:b w:val="0"/>
          <w:sz w:val="36"/>
          <w:szCs w:val="30"/>
          <w:highlight w:val="none"/>
        </w:rPr>
        <w:t>第二篇  询价项目技术（质量）需求</w:t>
      </w:r>
      <w:bookmarkEnd w:id="63"/>
      <w:bookmarkStart w:id="64" w:name="_Toc24129"/>
      <w:bookmarkStart w:id="65" w:name="_Toc446"/>
      <w:bookmarkStart w:id="66" w:name="_Toc26971"/>
      <w:bookmarkStart w:id="67" w:name="_Toc106034779"/>
      <w:bookmarkStart w:id="68" w:name="_Toc65660339"/>
    </w:p>
    <w:bookmarkEnd w:id="64"/>
    <w:bookmarkEnd w:id="65"/>
    <w:bookmarkEnd w:id="66"/>
    <w:bookmarkEnd w:id="67"/>
    <w:bookmarkEnd w:id="68"/>
    <w:p w14:paraId="6C29F845">
      <w:pPr>
        <w:snapToGrid w:val="0"/>
        <w:spacing w:line="400" w:lineRule="exact"/>
        <w:ind w:firstLine="482" w:firstLineChars="200"/>
        <w:rPr>
          <w:rFonts w:ascii="宋体" w:hAnsi="宋体" w:cs="宋体"/>
          <w:b/>
          <w:bCs/>
          <w:color w:val="000000"/>
          <w:sz w:val="24"/>
          <w:szCs w:val="24"/>
          <w:highlight w:val="none"/>
        </w:rPr>
      </w:pPr>
      <w:bookmarkStart w:id="69" w:name="_Toc8319"/>
      <w:bookmarkStart w:id="70" w:name="_Toc17838_WPSOffice_Level2"/>
      <w:bookmarkStart w:id="71" w:name="_Toc345321101"/>
      <w:bookmarkStart w:id="72" w:name="_Toc427852462"/>
      <w:r>
        <w:rPr>
          <w:rFonts w:hint="eastAsia" w:ascii="宋体" w:hAnsi="宋体" w:cs="宋体"/>
          <w:b/>
          <w:bCs/>
          <w:color w:val="000000"/>
          <w:sz w:val="24"/>
          <w:szCs w:val="24"/>
          <w:highlight w:val="none"/>
        </w:rPr>
        <w:t>一、项目一览表</w:t>
      </w:r>
      <w:bookmarkEnd w:id="69"/>
      <w:bookmarkEnd w:id="70"/>
    </w:p>
    <w:tbl>
      <w:tblPr>
        <w:tblStyle w:val="2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985"/>
        <w:gridCol w:w="850"/>
        <w:gridCol w:w="1985"/>
        <w:gridCol w:w="1788"/>
        <w:gridCol w:w="1755"/>
      </w:tblGrid>
      <w:tr w14:paraId="3AA6B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shd w:val="clear" w:color="auto" w:fill="auto"/>
            <w:vAlign w:val="center"/>
          </w:tcPr>
          <w:p w14:paraId="71798149">
            <w:pPr>
              <w:widowControl/>
              <w:adjustRightInd w:val="0"/>
              <w:snapToGrid w:val="0"/>
              <w:jc w:val="center"/>
              <w:textAlignment w:val="center"/>
              <w:rPr>
                <w:rFonts w:ascii="宋体" w:hAnsi="宋体" w:cs="宋体"/>
                <w:color w:val="000000"/>
                <w:sz w:val="24"/>
                <w:szCs w:val="24"/>
                <w:highlight w:val="none"/>
              </w:rPr>
            </w:pPr>
            <w:bookmarkStart w:id="73" w:name="_Toc5413"/>
            <w:bookmarkStart w:id="74" w:name="_Toc13624_WPSOffice_Level2"/>
            <w:r>
              <w:rPr>
                <w:rFonts w:hint="eastAsia" w:ascii="宋体" w:hAnsi="宋体" w:cs="宋体"/>
                <w:color w:val="000000"/>
                <w:kern w:val="0"/>
                <w:sz w:val="24"/>
                <w:szCs w:val="24"/>
                <w:highlight w:val="none"/>
                <w:lang w:bidi="ar"/>
              </w:rPr>
              <w:t>序号</w:t>
            </w:r>
          </w:p>
        </w:tc>
        <w:tc>
          <w:tcPr>
            <w:tcW w:w="1985" w:type="dxa"/>
            <w:vAlign w:val="center"/>
          </w:tcPr>
          <w:p w14:paraId="57F1BCB5">
            <w:pPr>
              <w:adjustRightInd w:val="0"/>
              <w:snapToGrid w:val="0"/>
              <w:jc w:val="center"/>
              <w:rPr>
                <w:rFonts w:ascii="宋体" w:hAnsi="宋体" w:cs="宋体"/>
                <w:sz w:val="24"/>
                <w:szCs w:val="24"/>
                <w:highlight w:val="none"/>
              </w:rPr>
            </w:pPr>
            <w:r>
              <w:rPr>
                <w:rFonts w:hint="eastAsia" w:ascii="宋体" w:hAnsi="宋体" w:cs="宋体"/>
                <w:color w:val="000000"/>
                <w:kern w:val="0"/>
                <w:sz w:val="24"/>
                <w:szCs w:val="24"/>
                <w:highlight w:val="none"/>
                <w:lang w:bidi="ar"/>
              </w:rPr>
              <w:t>材料名称</w:t>
            </w:r>
          </w:p>
        </w:tc>
        <w:tc>
          <w:tcPr>
            <w:tcW w:w="850" w:type="dxa"/>
            <w:vAlign w:val="center"/>
          </w:tcPr>
          <w:p w14:paraId="0918AE7B">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单位</w:t>
            </w:r>
          </w:p>
        </w:tc>
        <w:tc>
          <w:tcPr>
            <w:tcW w:w="1985" w:type="dxa"/>
            <w:vAlign w:val="center"/>
          </w:tcPr>
          <w:p w14:paraId="4BB1C9E2">
            <w:pPr>
              <w:adjustRightInd w:val="0"/>
              <w:snapToGrid w:val="0"/>
              <w:jc w:val="center"/>
              <w:rPr>
                <w:rFonts w:ascii="宋体" w:hAnsi="宋体" w:cs="宋体"/>
                <w:sz w:val="24"/>
                <w:szCs w:val="24"/>
                <w:highlight w:val="none"/>
              </w:rPr>
            </w:pPr>
            <w:r>
              <w:rPr>
                <w:rFonts w:hint="eastAsia" w:ascii="宋体" w:hAnsi="宋体" w:cs="宋体"/>
                <w:color w:val="000000"/>
                <w:kern w:val="0"/>
                <w:sz w:val="24"/>
                <w:szCs w:val="24"/>
                <w:highlight w:val="none"/>
                <w:lang w:bidi="ar"/>
              </w:rPr>
              <w:t>单价最高限价（元）</w:t>
            </w:r>
          </w:p>
        </w:tc>
        <w:tc>
          <w:tcPr>
            <w:tcW w:w="1788" w:type="dxa"/>
            <w:vAlign w:val="center"/>
          </w:tcPr>
          <w:p w14:paraId="7A72A669">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暂定数量</w:t>
            </w:r>
          </w:p>
        </w:tc>
        <w:tc>
          <w:tcPr>
            <w:tcW w:w="1755" w:type="dxa"/>
            <w:vAlign w:val="center"/>
          </w:tcPr>
          <w:p w14:paraId="62BE969B">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招采合价</w:t>
            </w:r>
          </w:p>
        </w:tc>
      </w:tr>
      <w:tr w14:paraId="23B9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shd w:val="clear" w:color="auto" w:fill="auto"/>
            <w:vAlign w:val="center"/>
          </w:tcPr>
          <w:p w14:paraId="2A6BF4C2">
            <w:pPr>
              <w:widowControl/>
              <w:adjustRightInd w:val="0"/>
              <w:snapToGrid w:val="0"/>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1985" w:type="dxa"/>
            <w:vAlign w:val="center"/>
          </w:tcPr>
          <w:p w14:paraId="385A1B04">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商品混凝土C30</w:t>
            </w:r>
          </w:p>
        </w:tc>
        <w:tc>
          <w:tcPr>
            <w:tcW w:w="850" w:type="dxa"/>
            <w:vAlign w:val="center"/>
          </w:tcPr>
          <w:p w14:paraId="1ED08CBD">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m³</w:t>
            </w:r>
          </w:p>
        </w:tc>
        <w:tc>
          <w:tcPr>
            <w:tcW w:w="1985" w:type="dxa"/>
            <w:vAlign w:val="center"/>
          </w:tcPr>
          <w:p w14:paraId="2238E56B">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280.00</w:t>
            </w:r>
          </w:p>
        </w:tc>
        <w:tc>
          <w:tcPr>
            <w:tcW w:w="1788" w:type="dxa"/>
            <w:vAlign w:val="center"/>
          </w:tcPr>
          <w:p w14:paraId="29A021B5">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1755" w:type="dxa"/>
            <w:vAlign w:val="center"/>
          </w:tcPr>
          <w:p w14:paraId="6B1EAB90">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280.00</w:t>
            </w:r>
          </w:p>
        </w:tc>
      </w:tr>
      <w:tr w14:paraId="0D40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7" w:type="dxa"/>
            <w:gridSpan w:val="5"/>
            <w:shd w:val="clear" w:color="auto" w:fill="auto"/>
            <w:vAlign w:val="center"/>
          </w:tcPr>
          <w:p w14:paraId="1954B573">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暂定总价</w:t>
            </w:r>
          </w:p>
        </w:tc>
        <w:tc>
          <w:tcPr>
            <w:tcW w:w="1755" w:type="dxa"/>
            <w:vAlign w:val="center"/>
          </w:tcPr>
          <w:p w14:paraId="49E6DCEA">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280.00</w:t>
            </w:r>
          </w:p>
        </w:tc>
      </w:tr>
      <w:tr w14:paraId="46C6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2" w:type="dxa"/>
            <w:gridSpan w:val="6"/>
            <w:shd w:val="clear" w:color="auto" w:fill="auto"/>
            <w:vAlign w:val="center"/>
          </w:tcPr>
          <w:p w14:paraId="2F64C49A">
            <w:pPr>
              <w:pStyle w:val="2"/>
              <w:numPr>
                <w:ilvl w:val="0"/>
                <w:numId w:val="0"/>
              </w:numPr>
              <w:ind w:firstLine="480" w:firstLineChars="200"/>
              <w:rPr>
                <w:rFonts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注：</w:t>
            </w:r>
          </w:p>
          <w:p w14:paraId="6E2FAB0F">
            <w:pPr>
              <w:pStyle w:val="2"/>
              <w:numPr>
                <w:ilvl w:val="0"/>
                <w:numId w:val="0"/>
              </w:numPr>
              <w:ind w:firstLine="480" w:firstLineChars="200"/>
              <w:rPr>
                <w:rFonts w:ascii="宋体" w:hAnsi="宋体" w:eastAsia="宋体" w:cs="宋体"/>
                <w:b w:val="0"/>
                <w:kern w:val="2"/>
                <w:sz w:val="24"/>
                <w:szCs w:val="24"/>
                <w:highlight w:val="none"/>
              </w:rPr>
            </w:pPr>
            <w:r>
              <w:rPr>
                <w:rFonts w:ascii="宋体" w:hAnsi="宋体" w:eastAsia="宋体" w:cs="宋体"/>
                <w:b w:val="0"/>
                <w:kern w:val="2"/>
                <w:sz w:val="24"/>
                <w:szCs w:val="24"/>
                <w:highlight w:val="none"/>
              </w:rPr>
              <w:t>1.</w:t>
            </w:r>
            <w:r>
              <w:rPr>
                <w:rFonts w:hint="eastAsia" w:ascii="宋体" w:hAnsi="宋体" w:eastAsia="宋体" w:cs="宋体"/>
                <w:b w:val="0"/>
                <w:kern w:val="2"/>
                <w:sz w:val="24"/>
                <w:szCs w:val="24"/>
                <w:highlight w:val="none"/>
              </w:rPr>
              <w:t>实际使用商品混凝土品种以现场申请为准，包含普通预拌商品混凝土C10-40，部分存在外加剂。</w:t>
            </w:r>
          </w:p>
          <w:p w14:paraId="0A1EC51E">
            <w:pPr>
              <w:pStyle w:val="2"/>
              <w:numPr>
                <w:ilvl w:val="0"/>
                <w:numId w:val="0"/>
              </w:numPr>
              <w:ind w:firstLine="480" w:firstLineChars="200"/>
              <w:rPr>
                <w:rFonts w:ascii="宋体" w:hAnsi="宋体" w:eastAsia="宋体" w:cs="宋体"/>
                <w:b w:val="0"/>
                <w:kern w:val="2"/>
                <w:sz w:val="24"/>
                <w:szCs w:val="24"/>
                <w:highlight w:val="none"/>
              </w:rPr>
            </w:pPr>
            <w:r>
              <w:rPr>
                <w:rFonts w:ascii="宋体" w:hAnsi="宋体" w:eastAsia="宋体" w:cs="宋体"/>
                <w:b w:val="0"/>
                <w:kern w:val="2"/>
                <w:sz w:val="24"/>
                <w:szCs w:val="24"/>
                <w:highlight w:val="none"/>
              </w:rPr>
              <w:t>2.</w:t>
            </w:r>
            <w:r>
              <w:rPr>
                <w:rFonts w:hint="eastAsia" w:ascii="宋体" w:hAnsi="宋体" w:eastAsia="宋体" w:cs="宋体"/>
                <w:b w:val="0"/>
                <w:kern w:val="2"/>
                <w:sz w:val="24"/>
                <w:szCs w:val="24"/>
                <w:highlight w:val="none"/>
              </w:rPr>
              <w:t>本次报价仅填报商品混凝土C30单价，该单价为基准单价。</w:t>
            </w:r>
          </w:p>
          <w:p w14:paraId="762AB357">
            <w:pPr>
              <w:ind w:firstLine="480" w:firstLineChars="200"/>
              <w:rPr>
                <w:sz w:val="24"/>
                <w:szCs w:val="24"/>
                <w:highlight w:val="none"/>
              </w:rPr>
            </w:pPr>
            <w:r>
              <w:rPr>
                <w:sz w:val="24"/>
                <w:szCs w:val="24"/>
                <w:highlight w:val="none"/>
              </w:rPr>
              <w:t>3.</w:t>
            </w:r>
            <w:r>
              <w:rPr>
                <w:rFonts w:hint="eastAsia"/>
                <w:sz w:val="24"/>
                <w:szCs w:val="24"/>
                <w:highlight w:val="none"/>
              </w:rPr>
              <w:t>不同</w:t>
            </w:r>
            <w:r>
              <w:rPr>
                <w:sz w:val="24"/>
                <w:szCs w:val="24"/>
                <w:highlight w:val="none"/>
              </w:rPr>
              <w:t>标号混凝土之间单价的调整：C10-20单价为基准单价-16.00元/m³；C25单价为基准单价-8.00元/m³；C35单价为基准单价+8.00元/m³；C40单价为基准单价+</w:t>
            </w:r>
            <w:r>
              <w:rPr>
                <w:rFonts w:hint="eastAsia"/>
                <w:sz w:val="24"/>
                <w:szCs w:val="24"/>
                <w:highlight w:val="none"/>
              </w:rPr>
              <w:t>25</w:t>
            </w:r>
            <w:r>
              <w:rPr>
                <w:sz w:val="24"/>
                <w:szCs w:val="24"/>
                <w:highlight w:val="none"/>
              </w:rPr>
              <w:t>.00元/m³；C45单价为基准单价+</w:t>
            </w:r>
            <w:r>
              <w:rPr>
                <w:rFonts w:hint="eastAsia"/>
                <w:sz w:val="24"/>
                <w:szCs w:val="24"/>
                <w:highlight w:val="none"/>
              </w:rPr>
              <w:t>42</w:t>
            </w:r>
            <w:r>
              <w:rPr>
                <w:sz w:val="24"/>
                <w:szCs w:val="24"/>
                <w:highlight w:val="none"/>
              </w:rPr>
              <w:t>.00元/m³；C50单价为基准单价+</w:t>
            </w:r>
            <w:r>
              <w:rPr>
                <w:rFonts w:hint="eastAsia"/>
                <w:sz w:val="24"/>
                <w:szCs w:val="24"/>
                <w:highlight w:val="none"/>
              </w:rPr>
              <w:t>60</w:t>
            </w:r>
            <w:r>
              <w:rPr>
                <w:sz w:val="24"/>
                <w:szCs w:val="24"/>
                <w:highlight w:val="none"/>
              </w:rPr>
              <w:t>.00元/m³。</w:t>
            </w:r>
          </w:p>
          <w:p w14:paraId="44B51763">
            <w:pPr>
              <w:pStyle w:val="2"/>
              <w:numPr>
                <w:ilvl w:val="0"/>
                <w:numId w:val="0"/>
              </w:numPr>
              <w:ind w:firstLine="480" w:firstLineChars="200"/>
              <w:rPr>
                <w:rFonts w:ascii="宋体" w:hAnsi="宋体" w:eastAsia="宋体" w:cs="宋体"/>
                <w:b w:val="0"/>
                <w:kern w:val="2"/>
                <w:sz w:val="24"/>
                <w:szCs w:val="24"/>
                <w:highlight w:val="none"/>
              </w:rPr>
            </w:pPr>
            <w:r>
              <w:rPr>
                <w:rFonts w:ascii="宋体" w:hAnsi="宋体" w:eastAsia="宋体" w:cs="宋体"/>
                <w:b w:val="0"/>
                <w:kern w:val="2"/>
                <w:sz w:val="24"/>
                <w:szCs w:val="24"/>
                <w:highlight w:val="none"/>
              </w:rPr>
              <w:t>4.</w:t>
            </w:r>
            <w:r>
              <w:rPr>
                <w:rFonts w:hint="eastAsia" w:ascii="宋体" w:hAnsi="宋体" w:eastAsia="宋体" w:cs="宋体"/>
                <w:b w:val="0"/>
                <w:kern w:val="2"/>
                <w:sz w:val="24"/>
                <w:szCs w:val="24"/>
                <w:highlight w:val="none"/>
              </w:rPr>
              <w:t>存在特殊混凝土或外加剂要求时，在执行以上第2、3条基础上，单机调整如下：水下混凝土、细石混凝土、3天早强剂、7天早强剂单价+20.00元/m³；P6抗渗单价+35.00元/m³；P8抗渗单价+38.00元/m³。</w:t>
            </w:r>
          </w:p>
          <w:p w14:paraId="6D44E5F3">
            <w:pPr>
              <w:pStyle w:val="2"/>
              <w:numPr>
                <w:ilvl w:val="0"/>
                <w:numId w:val="0"/>
              </w:numPr>
              <w:ind w:firstLine="480" w:firstLineChars="200"/>
              <w:rPr>
                <w:rFonts w:ascii="宋体" w:hAnsi="宋体" w:eastAsia="宋体" w:cs="宋体"/>
                <w:b w:val="0"/>
                <w:kern w:val="2"/>
                <w:sz w:val="24"/>
                <w:szCs w:val="24"/>
                <w:highlight w:val="none"/>
              </w:rPr>
            </w:pPr>
            <w:r>
              <w:rPr>
                <w:rFonts w:ascii="宋体" w:hAnsi="宋体" w:eastAsia="宋体" w:cs="宋体"/>
                <w:b w:val="0"/>
                <w:kern w:val="2"/>
                <w:sz w:val="24"/>
                <w:szCs w:val="24"/>
                <w:highlight w:val="none"/>
              </w:rPr>
              <w:t>5.</w:t>
            </w:r>
            <w:r>
              <w:rPr>
                <w:rFonts w:hint="eastAsia" w:ascii="宋体" w:hAnsi="宋体" w:eastAsia="宋体" w:cs="宋体"/>
                <w:b w:val="0"/>
                <w:kern w:val="2"/>
                <w:sz w:val="24"/>
                <w:szCs w:val="24"/>
                <w:highlight w:val="none"/>
              </w:rPr>
              <w:t>以上单价为人民币报价，包含：材料费、运输费及损耗、装卸费、混凝土泵车费、混凝土泵送费、管理费、保险、利润、风险、税金等与项目有关的一切费用。</w:t>
            </w:r>
          </w:p>
          <w:p w14:paraId="635D4BAF">
            <w:pPr>
              <w:pStyle w:val="2"/>
              <w:numPr>
                <w:ilvl w:val="0"/>
                <w:numId w:val="0"/>
              </w:numPr>
              <w:ind w:firstLine="480" w:firstLineChars="200"/>
              <w:rPr>
                <w:rFonts w:ascii="宋体" w:hAnsi="宋体" w:eastAsia="宋体" w:cs="宋体"/>
                <w:highlight w:val="none"/>
              </w:rPr>
            </w:pPr>
            <w:r>
              <w:rPr>
                <w:rFonts w:ascii="宋体" w:hAnsi="宋体" w:eastAsia="宋体" w:cs="宋体"/>
                <w:b w:val="0"/>
                <w:kern w:val="2"/>
                <w:sz w:val="24"/>
                <w:szCs w:val="24"/>
                <w:highlight w:val="none"/>
              </w:rPr>
              <w:t>6.</w:t>
            </w:r>
            <w:r>
              <w:rPr>
                <w:rFonts w:hint="eastAsia" w:ascii="宋体" w:hAnsi="宋体" w:eastAsia="宋体" w:cs="宋体"/>
                <w:b w:val="0"/>
                <w:kern w:val="2"/>
                <w:sz w:val="24"/>
                <w:szCs w:val="24"/>
                <w:highlight w:val="none"/>
              </w:rPr>
              <w:t>以上单价包含提供3%增值税发票的费用。</w:t>
            </w:r>
          </w:p>
        </w:tc>
      </w:tr>
      <w:bookmarkEnd w:id="71"/>
      <w:bookmarkEnd w:id="72"/>
      <w:bookmarkEnd w:id="73"/>
      <w:bookmarkEnd w:id="74"/>
    </w:tbl>
    <w:p w14:paraId="07C6903C">
      <w:pPr>
        <w:pStyle w:val="6"/>
        <w:spacing w:before="0" w:after="0" w:line="400" w:lineRule="exact"/>
        <w:ind w:firstLine="482" w:firstLineChars="200"/>
        <w:rPr>
          <w:rFonts w:ascii="宋体" w:hAnsi="宋体" w:cs="宋体"/>
          <w:sz w:val="24"/>
          <w:szCs w:val="24"/>
          <w:highlight w:val="none"/>
        </w:rPr>
      </w:pPr>
      <w:bookmarkStart w:id="75" w:name="_Toc54879126"/>
      <w:bookmarkStart w:id="76" w:name="_Toc452"/>
      <w:bookmarkStart w:id="77" w:name="_Toc55403967"/>
      <w:bookmarkStart w:id="78" w:name="_Toc3102"/>
      <w:r>
        <w:rPr>
          <w:rFonts w:hint="eastAsia" w:ascii="宋体" w:hAnsi="宋体" w:cs="宋体"/>
          <w:sz w:val="24"/>
          <w:szCs w:val="24"/>
          <w:highlight w:val="none"/>
        </w:rPr>
        <w:t>二、安全要求</w:t>
      </w:r>
      <w:bookmarkEnd w:id="75"/>
      <w:bookmarkEnd w:id="76"/>
      <w:bookmarkEnd w:id="77"/>
      <w:bookmarkEnd w:id="78"/>
    </w:p>
    <w:p w14:paraId="6BE2B74F">
      <w:pPr>
        <w:spacing w:line="400" w:lineRule="exact"/>
        <w:ind w:firstLine="480" w:firstLineChars="200"/>
        <w:rPr>
          <w:rFonts w:ascii="宋体" w:hAnsi="宋体" w:cs="宋体"/>
          <w:sz w:val="24"/>
          <w:szCs w:val="24"/>
          <w:highlight w:val="none"/>
        </w:rPr>
      </w:pPr>
      <w:bookmarkStart w:id="79" w:name="auto_fouce_1"/>
      <w:r>
        <w:rPr>
          <w:rFonts w:hint="eastAsia" w:ascii="宋体" w:hAnsi="宋体" w:cs="宋体"/>
          <w:sz w:val="24"/>
          <w:szCs w:val="24"/>
          <w:highlight w:val="none"/>
        </w:rPr>
        <w:t>供应商应遵守安全生产的有关管理规定，严格按照安全标准组织实施，采取必要的安全防护措施，消除隐患。供应商应配合采购人安全管理要求，接受采购人现场安全检查和整改建议。</w:t>
      </w:r>
      <w:bookmarkEnd w:id="79"/>
      <w:r>
        <w:rPr>
          <w:rFonts w:hint="eastAsia" w:ascii="宋体" w:hAnsi="宋体" w:cs="宋体"/>
          <w:sz w:val="24"/>
          <w:szCs w:val="24"/>
          <w:highlight w:val="none"/>
        </w:rPr>
        <w:t>在供货过程中由于供应商管理或安全措施不力造成周边环境破坏或事故责任和因此发生的费用，由供应商承担。</w:t>
      </w:r>
      <w:bookmarkStart w:id="80" w:name="auto_fouce_2"/>
      <w:r>
        <w:rPr>
          <w:rFonts w:hint="eastAsia" w:ascii="宋体" w:hAnsi="宋体" w:cs="宋体"/>
          <w:sz w:val="24"/>
          <w:szCs w:val="24"/>
          <w:highlight w:val="none"/>
        </w:rPr>
        <w:t>供应商负责进入现场实施人员及财物安全，发生任何因供应商原因导致的伤亡事故与采购人无关，供应商自行解决并承担相应的法律责任和财产损失。</w:t>
      </w:r>
      <w:bookmarkEnd w:id="80"/>
      <w:r>
        <w:rPr>
          <w:rFonts w:hint="eastAsia" w:ascii="宋体" w:hAnsi="宋体" w:cs="宋体"/>
          <w:sz w:val="24"/>
          <w:szCs w:val="24"/>
          <w:highlight w:val="none"/>
        </w:rPr>
        <w:t>如因施工导致第三人人身、财产损失由供应商承担赔偿责任。</w:t>
      </w:r>
      <w:bookmarkStart w:id="81" w:name="_Toc49960014"/>
    </w:p>
    <w:p w14:paraId="336DBB26">
      <w:pPr>
        <w:pStyle w:val="6"/>
        <w:spacing w:before="0" w:after="0" w:line="400" w:lineRule="exact"/>
        <w:ind w:firstLine="482" w:firstLineChars="200"/>
        <w:rPr>
          <w:rFonts w:ascii="宋体" w:hAnsi="宋体" w:cs="宋体"/>
          <w:sz w:val="24"/>
          <w:szCs w:val="24"/>
          <w:highlight w:val="none"/>
        </w:rPr>
      </w:pPr>
      <w:bookmarkStart w:id="82" w:name="_Toc17606"/>
      <w:bookmarkStart w:id="83" w:name="_Toc26151"/>
      <w:r>
        <w:rPr>
          <w:rFonts w:hint="eastAsia" w:ascii="宋体" w:hAnsi="宋体" w:cs="宋体"/>
          <w:sz w:val="24"/>
          <w:szCs w:val="24"/>
          <w:highlight w:val="none"/>
        </w:rPr>
        <w:t>三、质量要求</w:t>
      </w:r>
      <w:bookmarkEnd w:id="82"/>
      <w:bookmarkEnd w:id="83"/>
    </w:p>
    <w:p w14:paraId="7CE5D22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w:t>
      </w:r>
      <w:bookmarkStart w:id="84" w:name="auto_fouce_3"/>
      <w:r>
        <w:rPr>
          <w:rFonts w:hint="eastAsia" w:ascii="宋体" w:hAnsi="宋体" w:cs="宋体"/>
          <w:sz w:val="24"/>
          <w:szCs w:val="24"/>
          <w:highlight w:val="none"/>
        </w:rPr>
        <w:t>商品混凝土的质量要求和检验应符合《预拌混凝土》GB/T14902-2012、《混凝土质量控制标准》GB50164-2011、《混凝土强度检验评定标准》GB/T50107-2010、《混凝土结构工程施工质量验收规范》GB50204-2015、《混凝土耐久性检验评定标准》JGJ/T193-2009等规定，其强度等级、塌落度、初凝时间、缓凝时间、外加剂等应满足项目设计图纸要求。混凝土质量检测方法、抽检批次、样品送检、复检及不合格品的处理方式，均应在合同中予以明确约定，若发生质量争议，优先以有资质第三方检测机构的检测结果为准。</w:t>
      </w:r>
      <w:bookmarkEnd w:id="84"/>
    </w:p>
    <w:p w14:paraId="58DAF74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2.商品混凝土在运输过程中，严禁加水。</w:t>
      </w:r>
    </w:p>
    <w:p w14:paraId="5CE3579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3.商品混凝土应随车提供符合要求的减水剂。</w:t>
      </w:r>
    </w:p>
    <w:p w14:paraId="0D8DAC5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4.商品混凝土外加剂应满足《混凝土外加剂》GB8076-2008、《混凝土外加剂应用技术规范》GB50119-2013等规定。</w:t>
      </w:r>
      <w:r>
        <w:rPr>
          <w:rFonts w:hint="eastAsia" w:ascii="宋体" w:hAnsi="宋体" w:cs="宋体"/>
          <w:sz w:val="24"/>
          <w:szCs w:val="24"/>
          <w:highlight w:val="none"/>
        </w:rPr>
        <w:t xml:space="preserve"> </w:t>
      </w:r>
    </w:p>
    <w:p w14:paraId="18CB5AD1">
      <w:pPr>
        <w:pStyle w:val="6"/>
        <w:spacing w:before="0" w:after="0" w:line="400" w:lineRule="exact"/>
        <w:ind w:firstLine="482" w:firstLineChars="200"/>
        <w:rPr>
          <w:rFonts w:ascii="宋体" w:hAnsi="宋体" w:cs="宋体"/>
          <w:sz w:val="24"/>
          <w:szCs w:val="24"/>
          <w:highlight w:val="none"/>
        </w:rPr>
      </w:pPr>
      <w:bookmarkStart w:id="85" w:name="_Toc13129"/>
      <w:bookmarkStart w:id="86" w:name="_Toc8052"/>
      <w:r>
        <w:rPr>
          <w:rFonts w:hint="eastAsia" w:ascii="宋体" w:hAnsi="宋体" w:cs="宋体"/>
          <w:sz w:val="24"/>
          <w:szCs w:val="24"/>
          <w:highlight w:val="none"/>
        </w:rPr>
        <w:t>四、踏勘现场</w:t>
      </w:r>
      <w:bookmarkEnd w:id="85"/>
      <w:bookmarkEnd w:id="86"/>
    </w:p>
    <w:p w14:paraId="1B79F31D">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各供应商自行现场踏勘，以便获取本项目编制响应文件和签署合同所需的所有数据。踏勘现场所发生的所有费用（包含因踏勘现场而造成的死亡、人身伤害、财产损失和产生的其他费用）均由供应商自行承担。供应商一旦中标，供应商不得以不完全了解施工现场情况为借口而提出额外赔偿，或延长工期等要求。</w:t>
      </w:r>
    </w:p>
    <w:p w14:paraId="069B5197">
      <w:pPr>
        <w:pStyle w:val="6"/>
        <w:spacing w:before="0" w:after="0" w:line="400" w:lineRule="exact"/>
        <w:ind w:firstLine="482" w:firstLineChars="200"/>
        <w:rPr>
          <w:rFonts w:ascii="宋体" w:hAnsi="宋体" w:cs="宋体"/>
          <w:sz w:val="24"/>
          <w:szCs w:val="24"/>
          <w:highlight w:val="none"/>
        </w:rPr>
      </w:pPr>
      <w:bookmarkStart w:id="87" w:name="_Toc54879127"/>
      <w:bookmarkStart w:id="88" w:name="_Toc55403968"/>
      <w:bookmarkStart w:id="89" w:name="_Toc25336"/>
      <w:bookmarkStart w:id="90" w:name="_Toc17197"/>
      <w:r>
        <w:rPr>
          <w:rFonts w:hint="eastAsia" w:ascii="宋体" w:hAnsi="宋体" w:cs="宋体"/>
          <w:sz w:val="24"/>
          <w:szCs w:val="24"/>
          <w:highlight w:val="none"/>
        </w:rPr>
        <w:t>五、其他要求</w:t>
      </w:r>
      <w:bookmarkEnd w:id="81"/>
      <w:bookmarkEnd w:id="87"/>
      <w:bookmarkEnd w:id="88"/>
      <w:bookmarkEnd w:id="89"/>
      <w:bookmarkEnd w:id="90"/>
    </w:p>
    <w:p w14:paraId="1CEEC973">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（一）供应商须严格按照比选文件项目清单计价表逐项填报清单单价，清单各项单价不得超出采购人给出的限价，否则为无效报价。</w:t>
      </w:r>
    </w:p>
    <w:p w14:paraId="20D37E5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（二）供应商若成为成交供应商，应严格按照采购人发出的需求计划表进行供货，不得擅自修改供货内容，采购人要求的除外。</w:t>
      </w:r>
    </w:p>
    <w:p w14:paraId="15D6649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（三）成交供应商的工作人员在为采购人的服务期间，因疾病、工伤、意外伤害、疾病传染、劳动保护、职业病等所产生的一切费用，均由成交供应商自行负责。</w:t>
      </w:r>
    </w:p>
    <w:p w14:paraId="0913F0F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433B680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（五）成交供应商人员因自身工作失误造成货物、现场、人员及其他损失由成交供应商自行负责，采购人不承担责任。</w:t>
      </w:r>
    </w:p>
    <w:p w14:paraId="7519CA31">
      <w:pPr>
        <w:spacing w:line="400" w:lineRule="exact"/>
        <w:ind w:firstLine="480" w:firstLineChars="200"/>
        <w:rPr>
          <w:rFonts w:ascii="宋体" w:hAnsi="宋体" w:cs="宋体"/>
          <w:sz w:val="24"/>
          <w:szCs w:val="24"/>
          <w:highlight w:val="none"/>
        </w:rPr>
        <w:sectPr>
          <w:footerReference r:id="rId8" w:type="default"/>
          <w:footerReference r:id="rId9" w:type="even"/>
          <w:pgSz w:w="11907" w:h="16840"/>
          <w:pgMar w:top="1440" w:right="1080" w:bottom="1440" w:left="1080" w:header="964" w:footer="992" w:gutter="0"/>
          <w:pgNumType w:fmt="numberInDash"/>
          <w:cols w:space="720" w:num="1"/>
          <w:docGrid w:linePitch="312" w:charSpace="0"/>
        </w:sectPr>
      </w:pPr>
      <w:r>
        <w:rPr>
          <w:rFonts w:hint="eastAsia" w:ascii="宋体" w:hAnsi="宋体" w:cs="宋体"/>
          <w:sz w:val="24"/>
          <w:szCs w:val="24"/>
          <w:highlight w:val="none"/>
        </w:rPr>
        <w:t>（六）</w:t>
      </w:r>
      <w:bookmarkStart w:id="91" w:name="auto_fouce_4"/>
      <w:r>
        <w:rPr>
          <w:rFonts w:hint="eastAsia" w:ascii="宋体" w:hAnsi="宋体" w:cs="宋体"/>
          <w:sz w:val="24"/>
          <w:szCs w:val="24"/>
          <w:highlight w:val="none"/>
        </w:rPr>
        <w:t>采购人有权进一步核查投标人在投标文件中的提供的资料，供应商应积极配合采购人调查、核查工作，及时提供所需资料。</w:t>
      </w:r>
      <w:bookmarkEnd w:id="91"/>
      <w:r>
        <w:rPr>
          <w:rFonts w:hint="eastAsia" w:ascii="宋体" w:hAnsi="宋体" w:cs="宋体"/>
          <w:sz w:val="24"/>
          <w:szCs w:val="24"/>
          <w:highlight w:val="none"/>
        </w:rPr>
        <w:t>，若在评标期间有投标人投诉并经查实或评标委员会发现投标人提供了虚假资料，评标委员会将对投标人的投标文件作废标处理；若在评标结果公示期间或合同比选过程中有投标人投诉或经采购人核查并经查实发现作为中标候选人的投标人提供了虚假资料，采购人将取消其中标资格；若在合同实施期间发现投标人提供了虚假资料，</w:t>
      </w:r>
      <w:bookmarkStart w:id="92" w:name="auto_fouce_5"/>
      <w:r>
        <w:rPr>
          <w:rFonts w:hint="eastAsia" w:ascii="宋体" w:hAnsi="宋体" w:cs="宋体"/>
          <w:sz w:val="24"/>
          <w:szCs w:val="24"/>
          <w:highlight w:val="none"/>
        </w:rPr>
        <w:t>采购人将没收投标保证金或履约保证金作为违约金。情节严重的将上报监管部门，按相关政策处理。供应商因提供虚假资料给采购人造成损失的，还应承担相应的赔偿责任。</w:t>
      </w:r>
      <w:bookmarkEnd w:id="92"/>
    </w:p>
    <w:p w14:paraId="197C06E4">
      <w:pPr>
        <w:pStyle w:val="4"/>
        <w:spacing w:before="0" w:after="0" w:line="360" w:lineRule="auto"/>
        <w:ind w:firstLine="2520" w:firstLineChars="700"/>
        <w:rPr>
          <w:rFonts w:ascii="宋体" w:hAnsi="宋体" w:cs="宋体"/>
          <w:b w:val="0"/>
          <w:sz w:val="36"/>
          <w:szCs w:val="30"/>
          <w:highlight w:val="none"/>
        </w:rPr>
      </w:pPr>
      <w:bookmarkStart w:id="93" w:name="_Toc65660341"/>
      <w:bookmarkStart w:id="94" w:name="_Toc523"/>
      <w:bookmarkStart w:id="95" w:name="_Toc15492"/>
      <w:bookmarkStart w:id="96" w:name="_Toc13356"/>
      <w:bookmarkStart w:id="97" w:name="_Toc23650"/>
      <w:bookmarkStart w:id="98" w:name="_Toc106034781"/>
      <w:r>
        <w:rPr>
          <w:rFonts w:hint="eastAsia" w:ascii="宋体" w:hAnsi="宋体" w:cs="宋体"/>
          <w:b w:val="0"/>
          <w:sz w:val="36"/>
          <w:szCs w:val="30"/>
          <w:highlight w:val="none"/>
        </w:rPr>
        <w:t>第三篇  询价项目服务</w:t>
      </w:r>
      <w:bookmarkEnd w:id="93"/>
      <w:bookmarkEnd w:id="94"/>
      <w:bookmarkEnd w:id="95"/>
      <w:bookmarkEnd w:id="96"/>
      <w:r>
        <w:rPr>
          <w:rFonts w:hint="eastAsia" w:ascii="宋体" w:hAnsi="宋体" w:cs="宋体"/>
          <w:b w:val="0"/>
          <w:sz w:val="36"/>
          <w:szCs w:val="30"/>
          <w:highlight w:val="none"/>
        </w:rPr>
        <w:t>需求</w:t>
      </w:r>
      <w:bookmarkEnd w:id="97"/>
      <w:bookmarkEnd w:id="98"/>
    </w:p>
    <w:p w14:paraId="724314A4">
      <w:pPr>
        <w:pStyle w:val="6"/>
        <w:keepNext w:val="0"/>
        <w:keepLines w:val="0"/>
        <w:pageBreakBefore w:val="0"/>
        <w:widowControl w:val="0"/>
        <w:kinsoku/>
        <w:wordWrap/>
        <w:overflowPunct/>
        <w:topLinePunct w:val="0"/>
        <w:autoSpaceDE/>
        <w:autoSpaceDN/>
        <w:bidi w:val="0"/>
        <w:adjustRightInd/>
        <w:spacing w:before="0" w:after="0" w:line="400" w:lineRule="exact"/>
        <w:ind w:firstLine="482" w:firstLineChars="200"/>
        <w:textAlignment w:val="auto"/>
        <w:rPr>
          <w:rFonts w:ascii="宋体" w:hAnsi="宋体" w:cs="宋体"/>
          <w:sz w:val="24"/>
          <w:szCs w:val="24"/>
          <w:highlight w:val="none"/>
        </w:rPr>
      </w:pPr>
      <w:bookmarkStart w:id="99" w:name="_Toc15748_WPSOffice_Level2"/>
      <w:bookmarkStart w:id="100" w:name="_Toc96613725"/>
      <w:bookmarkStart w:id="101" w:name="_Toc96512239"/>
      <w:bookmarkStart w:id="102" w:name="_Toc342913389"/>
      <w:r>
        <w:rPr>
          <w:rFonts w:hint="eastAsia" w:ascii="宋体" w:hAnsi="宋体" w:cs="宋体"/>
          <w:sz w:val="24"/>
          <w:szCs w:val="24"/>
          <w:highlight w:val="none"/>
        </w:rPr>
        <w:t>一、供货期、供货地点及验收方式</w:t>
      </w:r>
    </w:p>
    <w:p w14:paraId="55031131">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bCs/>
          <w:sz w:val="24"/>
          <w:szCs w:val="24"/>
          <w:highlight w:val="none"/>
        </w:rPr>
      </w:pPr>
      <w:bookmarkStart w:id="103" w:name="auto_fouce_6"/>
      <w:r>
        <w:rPr>
          <w:rFonts w:hint="eastAsia" w:ascii="宋体" w:hAnsi="宋体" w:cs="宋体"/>
          <w:b w:val="0"/>
          <w:bCs/>
          <w:sz w:val="24"/>
          <w:szCs w:val="24"/>
          <w:highlight w:val="none"/>
        </w:rPr>
        <w:t>（一）供货期：</w:t>
      </w:r>
      <w:r>
        <w:rPr>
          <w:rFonts w:hint="eastAsia" w:ascii="宋体" w:hAnsi="宋体" w:cs="宋体"/>
          <w:b w:val="0"/>
          <w:bCs/>
          <w:sz w:val="24"/>
          <w:szCs w:val="24"/>
          <w:highlight w:val="none"/>
        </w:rPr>
        <w:t>200日历天。供应商须启动备用搅拌站联供机制，确保供应不中断。</w:t>
      </w:r>
      <w:bookmarkEnd w:id="103"/>
    </w:p>
    <w:p w14:paraId="54AEE3D3">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bCs/>
          <w:sz w:val="24"/>
          <w:szCs w:val="24"/>
          <w:highlight w:val="none"/>
        </w:rPr>
      </w:pPr>
      <w:r>
        <w:rPr>
          <w:rFonts w:hint="eastAsia" w:ascii="宋体" w:hAnsi="宋体" w:cs="宋体"/>
          <w:b w:val="0"/>
          <w:bCs/>
          <w:sz w:val="24"/>
          <w:szCs w:val="24"/>
          <w:highlight w:val="none"/>
        </w:rPr>
        <w:t>（二）供货地点：采购人指定地点(合川区白鹿人才大厦一期工程现场)。</w:t>
      </w:r>
    </w:p>
    <w:p w14:paraId="291C9BC8">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bCs/>
          <w:sz w:val="24"/>
          <w:szCs w:val="24"/>
          <w:highlight w:val="none"/>
        </w:rPr>
      </w:pPr>
      <w:r>
        <w:rPr>
          <w:rFonts w:hint="eastAsia" w:ascii="宋体" w:hAnsi="宋体" w:cs="宋体"/>
          <w:b w:val="0"/>
          <w:bCs/>
          <w:sz w:val="24"/>
          <w:szCs w:val="24"/>
          <w:highlight w:val="none"/>
        </w:rPr>
        <w:t>（三）验收方式：</w:t>
      </w:r>
    </w:p>
    <w:p w14:paraId="4D388589">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sz w:val="24"/>
          <w:szCs w:val="24"/>
          <w:highlight w:val="none"/>
        </w:rPr>
      </w:pPr>
      <w:r>
        <w:rPr>
          <w:rFonts w:hint="eastAsia" w:ascii="宋体" w:hAnsi="宋体" w:cs="宋体"/>
          <w:b w:val="0"/>
          <w:sz w:val="24"/>
          <w:szCs w:val="24"/>
          <w:highlight w:val="none"/>
        </w:rPr>
        <w:t>1、</w:t>
      </w:r>
      <w:bookmarkStart w:id="104" w:name="auto_fouce_7"/>
      <w:r>
        <w:rPr>
          <w:rFonts w:hint="eastAsia" w:ascii="宋体" w:hAnsi="宋体" w:cs="宋体"/>
          <w:b w:val="0"/>
          <w:sz w:val="24"/>
          <w:szCs w:val="24"/>
          <w:highlight w:val="none"/>
        </w:rPr>
        <w:t>货物到达现场后，成交供应商应在使用单位人员在场情况下当面点清当批次货物，双方签字确认。采购人有权对到场混凝土进行抽样检测，检测合格后方可办理最终验收手续。若检测不合格，采购人有权拒收并要求供应商无条件更换或返工，相关费用由供应商承担。</w:t>
      </w:r>
      <w:bookmarkEnd w:id="104"/>
    </w:p>
    <w:p w14:paraId="0B05862E">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sz w:val="24"/>
          <w:szCs w:val="24"/>
          <w:highlight w:val="none"/>
        </w:rPr>
      </w:pPr>
      <w:bookmarkStart w:id="105" w:name="auto_fouce_8"/>
      <w:r>
        <w:rPr>
          <w:rFonts w:hint="eastAsia" w:ascii="宋体" w:hAnsi="宋体" w:cs="宋体"/>
          <w:b w:val="0"/>
          <w:sz w:val="24"/>
          <w:szCs w:val="24"/>
          <w:highlight w:val="none"/>
        </w:rPr>
        <w:t>2、如采购人需要对货物进行抽检，供应商须无条件进行配合，抽检费用由供应商承担，检测结果符合GB/T14902等国家标准且达到设计强度等级要求方可验收。</w:t>
      </w:r>
      <w:bookmarkEnd w:id="105"/>
    </w:p>
    <w:p w14:paraId="0D160012">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sz w:val="24"/>
          <w:szCs w:val="24"/>
          <w:highlight w:val="none"/>
        </w:rPr>
      </w:pPr>
      <w:r>
        <w:rPr>
          <w:rFonts w:hint="eastAsia" w:ascii="宋体" w:hAnsi="宋体" w:cs="宋体"/>
          <w:b w:val="0"/>
          <w:sz w:val="24"/>
          <w:szCs w:val="24"/>
          <w:highlight w:val="none"/>
        </w:rPr>
        <w:t>3、供应商供货产品必须符合现行国家、地方、行业标准。</w:t>
      </w:r>
    </w:p>
    <w:p w14:paraId="5102BC3F">
      <w:pPr>
        <w:pStyle w:val="6"/>
        <w:keepNext w:val="0"/>
        <w:keepLines w:val="0"/>
        <w:pageBreakBefore w:val="0"/>
        <w:widowControl w:val="0"/>
        <w:kinsoku/>
        <w:wordWrap/>
        <w:overflowPunct/>
        <w:topLinePunct w:val="0"/>
        <w:autoSpaceDE/>
        <w:autoSpaceDN/>
        <w:bidi w:val="0"/>
        <w:adjustRightInd/>
        <w:spacing w:before="0" w:after="0" w:line="400" w:lineRule="exact"/>
        <w:ind w:firstLine="482" w:firstLineChars="200"/>
        <w:textAlignment w:val="auto"/>
        <w:rPr>
          <w:rFonts w:ascii="宋体" w:hAnsi="宋体" w:cs="宋体"/>
          <w:sz w:val="24"/>
          <w:szCs w:val="24"/>
          <w:highlight w:val="none"/>
        </w:rPr>
      </w:pPr>
      <w:r>
        <w:rPr>
          <w:rFonts w:hint="eastAsia" w:ascii="宋体" w:hAnsi="宋体" w:cs="宋体"/>
          <w:sz w:val="24"/>
          <w:szCs w:val="24"/>
          <w:highlight w:val="none"/>
        </w:rPr>
        <w:t>二、报价要求</w:t>
      </w:r>
      <w:bookmarkEnd w:id="99"/>
      <w:bookmarkEnd w:id="100"/>
      <w:bookmarkEnd w:id="101"/>
    </w:p>
    <w:p w14:paraId="4682BA88">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ascii="宋体" w:hAnsi="宋体" w:cs="宋体"/>
          <w:bCs/>
          <w:sz w:val="24"/>
          <w:szCs w:val="24"/>
          <w:highlight w:val="none"/>
        </w:rPr>
      </w:pPr>
      <w:bookmarkStart w:id="106" w:name="_Toc25825"/>
      <w:bookmarkStart w:id="107" w:name="_Toc96613726"/>
      <w:bookmarkStart w:id="108" w:name="_Toc96512240"/>
      <w:bookmarkStart w:id="109" w:name="_Toc13229_WPSOffice_Level2"/>
      <w:r>
        <w:rPr>
          <w:rFonts w:hint="eastAsia" w:ascii="宋体" w:hAnsi="宋体" w:cs="宋体"/>
          <w:bCs/>
          <w:sz w:val="24"/>
          <w:szCs w:val="24"/>
          <w:highlight w:val="none"/>
        </w:rPr>
        <w:t>本次报价为人民币报价，包含：</w:t>
      </w:r>
      <w:r>
        <w:rPr>
          <w:rFonts w:hint="eastAsia" w:ascii="宋体" w:hAnsi="宋体" w:cs="宋体"/>
          <w:spacing w:val="-3"/>
          <w:sz w:val="24"/>
          <w:szCs w:val="24"/>
          <w:highlight w:val="none"/>
        </w:rPr>
        <w:t>材料费、运输费及损耗、装</w:t>
      </w:r>
      <w:r>
        <w:rPr>
          <w:rFonts w:hint="eastAsia" w:ascii="宋体" w:hAnsi="宋体" w:cs="宋体"/>
          <w:spacing w:val="1"/>
          <w:sz w:val="24"/>
          <w:szCs w:val="24"/>
          <w:highlight w:val="none"/>
        </w:rPr>
        <w:t>卸费、混凝土泵车费、混凝土泵送费、管理费、</w:t>
      </w:r>
      <w:r>
        <w:rPr>
          <w:rFonts w:hint="eastAsia" w:ascii="宋体" w:hAnsi="宋体" w:cs="宋体"/>
          <w:sz w:val="24"/>
          <w:szCs w:val="24"/>
          <w:highlight w:val="none"/>
        </w:rPr>
        <w:t>保</w:t>
      </w:r>
      <w:r>
        <w:rPr>
          <w:rFonts w:hint="eastAsia" w:ascii="宋体" w:hAnsi="宋体" w:cs="宋体"/>
          <w:spacing w:val="1"/>
          <w:sz w:val="24"/>
          <w:szCs w:val="24"/>
          <w:highlight w:val="none"/>
        </w:rPr>
        <w:t>险、利润、税金等与项目有关的一切费用。</w:t>
      </w:r>
      <w:bookmarkStart w:id="110" w:name="auto_fouce_9"/>
      <w:r>
        <w:rPr>
          <w:rFonts w:hint="eastAsia" w:ascii="宋体" w:hAnsi="宋体" w:cs="宋体"/>
          <w:bCs/>
          <w:sz w:val="24"/>
          <w:szCs w:val="24"/>
          <w:highlight w:val="none"/>
        </w:rPr>
        <w:t>因成交供应商自身原因造成漏报、少报皆由其自行承担责任，采购人不再补偿。因供应商原因导致采购人或第三方遭受损失的，供应商应承担全部赔偿责任。</w:t>
      </w:r>
      <w:bookmarkEnd w:id="110"/>
    </w:p>
    <w:p w14:paraId="43D4B2E1">
      <w:pPr>
        <w:pStyle w:val="6"/>
        <w:keepNext w:val="0"/>
        <w:keepLines w:val="0"/>
        <w:pageBreakBefore w:val="0"/>
        <w:widowControl w:val="0"/>
        <w:kinsoku/>
        <w:wordWrap/>
        <w:overflowPunct/>
        <w:topLinePunct w:val="0"/>
        <w:autoSpaceDE/>
        <w:autoSpaceDN/>
        <w:bidi w:val="0"/>
        <w:adjustRightInd/>
        <w:spacing w:before="0" w:after="0" w:line="400" w:lineRule="exact"/>
        <w:ind w:firstLine="482" w:firstLineChars="200"/>
        <w:textAlignment w:val="auto"/>
        <w:rPr>
          <w:rFonts w:ascii="宋体" w:hAnsi="宋体" w:cs="宋体"/>
          <w:sz w:val="24"/>
          <w:szCs w:val="24"/>
          <w:highlight w:val="none"/>
        </w:rPr>
      </w:pPr>
      <w:r>
        <w:rPr>
          <w:rFonts w:hint="eastAsia" w:ascii="宋体" w:hAnsi="宋体" w:cs="宋体"/>
          <w:sz w:val="24"/>
          <w:szCs w:val="24"/>
          <w:highlight w:val="none"/>
        </w:rPr>
        <w:t>三、结算原则</w:t>
      </w:r>
      <w:bookmarkEnd w:id="106"/>
    </w:p>
    <w:p w14:paraId="5379A663">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sz w:val="24"/>
          <w:szCs w:val="24"/>
          <w:highlight w:val="none"/>
        </w:rPr>
      </w:pPr>
      <w:bookmarkStart w:id="111" w:name="_Toc7374"/>
      <w:r>
        <w:rPr>
          <w:rFonts w:hint="eastAsia" w:ascii="宋体" w:hAnsi="宋体" w:cs="宋体"/>
          <w:b w:val="0"/>
          <w:sz w:val="24"/>
          <w:szCs w:val="24"/>
          <w:highlight w:val="none"/>
        </w:rPr>
        <w:t>1、具体结算方式如下：结算（中标单价±标号、外加剂等价格调整）*各品类实际成交数量。</w:t>
      </w:r>
      <w:bookmarkEnd w:id="111"/>
    </w:p>
    <w:p w14:paraId="169C6F41">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sz w:val="24"/>
          <w:szCs w:val="24"/>
          <w:highlight w:val="none"/>
        </w:rPr>
      </w:pPr>
      <w:bookmarkStart w:id="112" w:name="_Toc8419"/>
      <w:r>
        <w:rPr>
          <w:rFonts w:hint="eastAsia" w:ascii="宋体" w:hAnsi="宋体" w:cs="宋体"/>
          <w:b w:val="0"/>
          <w:sz w:val="24"/>
          <w:szCs w:val="24"/>
          <w:highlight w:val="none"/>
        </w:rPr>
        <w:t>2、</w:t>
      </w:r>
      <w:r>
        <w:rPr>
          <w:rFonts w:hint="eastAsia" w:ascii="宋体" w:hAnsi="宋体" w:cs="宋体"/>
          <w:sz w:val="24"/>
          <w:szCs w:val="24"/>
          <w:highlight w:val="none"/>
        </w:rPr>
        <w:t>除国家政策性要求调整外，本次采购中标后单价不再因其他因素调整。</w:t>
      </w:r>
    </w:p>
    <w:p w14:paraId="6E5FCD27">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sz w:val="24"/>
          <w:szCs w:val="24"/>
          <w:highlight w:val="none"/>
        </w:rPr>
      </w:pPr>
      <w:r>
        <w:rPr>
          <w:rFonts w:hint="eastAsia" w:ascii="宋体" w:hAnsi="宋体" w:cs="宋体"/>
          <w:b w:val="0"/>
          <w:sz w:val="24"/>
          <w:szCs w:val="24"/>
          <w:highlight w:val="none"/>
        </w:rPr>
        <w:t>注：</w:t>
      </w:r>
      <w:bookmarkStart w:id="113" w:name="auto_fouce_10"/>
      <w:r>
        <w:rPr>
          <w:rFonts w:hint="eastAsia" w:ascii="宋体" w:hAnsi="宋体" w:cs="宋体"/>
          <w:b w:val="0"/>
          <w:sz w:val="24"/>
          <w:szCs w:val="24"/>
          <w:highlight w:val="none"/>
        </w:rPr>
        <w:t>各品类货物实际成交数量以采购人签收确认为准。</w:t>
      </w:r>
      <w:bookmarkEnd w:id="112"/>
      <w:bookmarkEnd w:id="113"/>
    </w:p>
    <w:p w14:paraId="0F18A7C6">
      <w:pPr>
        <w:pStyle w:val="6"/>
        <w:keepNext w:val="0"/>
        <w:keepLines w:val="0"/>
        <w:pageBreakBefore w:val="0"/>
        <w:widowControl w:val="0"/>
        <w:kinsoku/>
        <w:wordWrap/>
        <w:overflowPunct/>
        <w:topLinePunct w:val="0"/>
        <w:autoSpaceDE/>
        <w:autoSpaceDN/>
        <w:bidi w:val="0"/>
        <w:adjustRightInd/>
        <w:spacing w:before="0" w:after="0" w:line="400" w:lineRule="exact"/>
        <w:ind w:firstLine="482" w:firstLineChars="200"/>
        <w:textAlignment w:val="auto"/>
        <w:rPr>
          <w:rFonts w:ascii="宋体" w:hAnsi="宋体" w:cs="宋体"/>
          <w:sz w:val="24"/>
          <w:szCs w:val="24"/>
          <w:highlight w:val="none"/>
        </w:rPr>
      </w:pPr>
      <w:r>
        <w:rPr>
          <w:rFonts w:hint="eastAsia" w:ascii="宋体" w:hAnsi="宋体" w:cs="宋体"/>
          <w:sz w:val="24"/>
          <w:szCs w:val="24"/>
          <w:highlight w:val="none"/>
        </w:rPr>
        <w:t>四、付款方式</w:t>
      </w:r>
      <w:bookmarkEnd w:id="107"/>
      <w:bookmarkEnd w:id="108"/>
      <w:bookmarkEnd w:id="109"/>
    </w:p>
    <w:p w14:paraId="40441E25">
      <w:pPr>
        <w:pStyle w:val="6"/>
        <w:keepNext w:val="0"/>
        <w:keepLines w:val="0"/>
        <w:pageBreakBefore w:val="0"/>
        <w:widowControl w:val="0"/>
        <w:kinsoku/>
        <w:wordWrap/>
        <w:overflowPunct/>
        <w:topLinePunct w:val="0"/>
        <w:autoSpaceDE/>
        <w:autoSpaceDN/>
        <w:bidi w:val="0"/>
        <w:adjustRightInd/>
        <w:spacing w:before="0" w:after="0" w:line="400" w:lineRule="exact"/>
        <w:ind w:firstLine="480" w:firstLineChars="200"/>
        <w:textAlignment w:val="auto"/>
        <w:rPr>
          <w:rFonts w:ascii="宋体" w:hAnsi="宋体" w:cs="宋体"/>
          <w:b w:val="0"/>
          <w:sz w:val="24"/>
          <w:highlight w:val="none"/>
        </w:rPr>
      </w:pPr>
      <w:bookmarkStart w:id="114" w:name="_Toc96512241"/>
      <w:bookmarkStart w:id="115" w:name="_Toc96613727"/>
      <w:bookmarkStart w:id="116" w:name="_Toc13944_WPSOffice_Level2"/>
      <w:r>
        <w:rPr>
          <w:rFonts w:hint="eastAsia" w:ascii="宋体" w:hAnsi="宋体" w:cs="宋体"/>
          <w:b w:val="0"/>
          <w:sz w:val="24"/>
          <w:highlight w:val="none"/>
        </w:rPr>
        <w:t>先货后款，按月结算，次月结算上月费用。成交供应商按照上月供货总量、合同单价制作结算单，双方签字盖章确认后，成交供应商向采购人提供结算对应金额的增值税专用发票（税率3%），</w:t>
      </w:r>
      <w:bookmarkStart w:id="117" w:name="auto_fouce_11"/>
      <w:r>
        <w:rPr>
          <w:rFonts w:hint="eastAsia" w:ascii="宋体" w:hAnsi="宋体" w:cs="宋体"/>
          <w:b w:val="0"/>
          <w:sz w:val="24"/>
          <w:highlight w:val="none"/>
        </w:rPr>
        <w:t>采购人收到全部付款申请资料（含发票、经双方确认的结算单据等）后10个工作日内全额支付货款。</w:t>
      </w:r>
      <w:bookmarkEnd w:id="117"/>
    </w:p>
    <w:p w14:paraId="678DDA2B">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ascii="宋体" w:hAnsi="宋体" w:cs="宋体"/>
          <w:b/>
          <w:bCs/>
          <w:kern w:val="0"/>
          <w:sz w:val="24"/>
          <w:highlight w:val="none"/>
        </w:rPr>
      </w:pPr>
      <w:r>
        <w:rPr>
          <w:rFonts w:hint="eastAsia" w:ascii="宋体" w:hAnsi="宋体" w:cs="宋体"/>
          <w:b/>
          <w:bCs/>
          <w:kern w:val="0"/>
          <w:sz w:val="24"/>
          <w:highlight w:val="none"/>
        </w:rPr>
        <w:t>五、履约保证金</w:t>
      </w:r>
    </w:p>
    <w:p w14:paraId="342B5151">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outlineLvl w:val="2"/>
        <w:rPr>
          <w:rFonts w:ascii="宋体" w:hAnsi="宋体" w:cs="宋体"/>
          <w:sz w:val="24"/>
          <w:highlight w:val="none"/>
        </w:rPr>
      </w:pPr>
      <w:r>
        <w:rPr>
          <w:rFonts w:hint="eastAsia" w:ascii="宋体" w:hAnsi="宋体" w:cs="宋体"/>
          <w:sz w:val="24"/>
          <w:highlight w:val="none"/>
        </w:rPr>
        <w:t>合同签订时，成交供应商向采购人指定账户缴纳300000元（大写：叁拾万元整）作为履约保证金（履约保证金缴纳方式：以支票、汇票、本票或者金融机构、担保机构出具的保函等非现金形式提交，其中保函须为不可撤销且见索即付）。对逾期未足额缴纳履约保证金的，视为放弃中标人资格。</w:t>
      </w:r>
      <w:bookmarkStart w:id="118" w:name="auto_fouce_12"/>
      <w:r>
        <w:rPr>
          <w:rFonts w:hint="eastAsia" w:ascii="宋体" w:hAnsi="宋体" w:cs="宋体"/>
          <w:sz w:val="24"/>
          <w:highlight w:val="none"/>
        </w:rPr>
        <w:t>项目供货经采购人验收合格且供应商无违约行为，提交完整退付申请资料（包括但不限于验收合格证明、供货完成确认单、结算单、发票、无质量争议声明、无拖欠甲方及第三方款项承诺函等）后，采购人10个工作日内按程序退还履约保证金。</w:t>
      </w:r>
      <w:bookmarkEnd w:id="118"/>
      <w:bookmarkStart w:id="119" w:name="auto_fouce_13"/>
      <w:r>
        <w:rPr>
          <w:rFonts w:hint="eastAsia" w:ascii="宋体" w:hAnsi="宋体" w:cs="宋体"/>
          <w:sz w:val="24"/>
          <w:highlight w:val="none"/>
        </w:rPr>
        <w:t>若供应商未能按采购人要求完成供货，或存在严重违约、质量不合格、转包、分包等情形，采购人有权不予退还履约保证金，并可据此追究供应商进一步违约责任。</w:t>
      </w:r>
      <w:bookmarkEnd w:id="119"/>
    </w:p>
    <w:p w14:paraId="37ED8AB5">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ascii="宋体" w:hAnsi="宋体" w:cs="宋体"/>
          <w:b/>
          <w:bCs/>
          <w:sz w:val="24"/>
          <w:szCs w:val="24"/>
          <w:highlight w:val="none"/>
        </w:rPr>
      </w:pPr>
      <w:r>
        <w:rPr>
          <w:rFonts w:hint="eastAsia" w:ascii="宋体" w:hAnsi="宋体" w:cs="宋体"/>
          <w:b/>
          <w:bCs/>
          <w:sz w:val="24"/>
          <w:szCs w:val="24"/>
          <w:highlight w:val="none"/>
        </w:rPr>
        <w:t>六、关于转、分包</w:t>
      </w:r>
    </w:p>
    <w:p w14:paraId="460AAB7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szCs w:val="24"/>
          <w:highlight w:val="none"/>
        </w:rPr>
      </w:pPr>
      <w:bookmarkStart w:id="120" w:name="auto_fouce_14"/>
      <w:r>
        <w:rPr>
          <w:rFonts w:hint="eastAsia" w:ascii="宋体" w:hAnsi="宋体" w:cs="宋体"/>
          <w:sz w:val="24"/>
          <w:szCs w:val="24"/>
          <w:highlight w:val="none"/>
        </w:rPr>
        <w:t>成交供应商未经采购人书面同意，不得将本项目转、分包给第三方，如成交供应商将本项目转、分包给第三方的，采购人有权解除合同，同时没收履约保证金，因此给采购人造成的损失应由供应商承担赔偿责任。但因产能不足需临时性调配关联企业产能的，应提前三个工作日书面通知采购人并提供调配企业的资质证明文件。</w:t>
      </w:r>
      <w:bookmarkEnd w:id="120"/>
    </w:p>
    <w:p w14:paraId="34B6DB66">
      <w:pPr>
        <w:pStyle w:val="6"/>
        <w:keepNext w:val="0"/>
        <w:keepLines w:val="0"/>
        <w:pageBreakBefore w:val="0"/>
        <w:widowControl w:val="0"/>
        <w:kinsoku/>
        <w:wordWrap/>
        <w:overflowPunct/>
        <w:topLinePunct w:val="0"/>
        <w:autoSpaceDE/>
        <w:autoSpaceDN/>
        <w:bidi w:val="0"/>
        <w:adjustRightInd/>
        <w:spacing w:before="0" w:after="0" w:line="400" w:lineRule="exact"/>
        <w:ind w:firstLine="482" w:firstLineChars="200"/>
        <w:textAlignment w:val="auto"/>
        <w:rPr>
          <w:rFonts w:ascii="宋体" w:hAnsi="宋体" w:cs="宋体"/>
          <w:sz w:val="24"/>
          <w:szCs w:val="24"/>
          <w:highlight w:val="none"/>
        </w:rPr>
      </w:pPr>
      <w:r>
        <w:rPr>
          <w:rFonts w:hint="eastAsia" w:ascii="宋体" w:hAnsi="宋体" w:cs="宋体"/>
          <w:sz w:val="24"/>
          <w:szCs w:val="24"/>
          <w:highlight w:val="none"/>
        </w:rPr>
        <w:t>七、知识产权</w:t>
      </w:r>
      <w:bookmarkEnd w:id="114"/>
      <w:bookmarkEnd w:id="115"/>
      <w:bookmarkEnd w:id="116"/>
    </w:p>
    <w:p w14:paraId="1A51071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采购人在中华人民共和国境内使用成交供应商提供的服务时免受第三方提出的侵犯其专利权或其它知识产权的起诉。</w:t>
      </w:r>
      <w:bookmarkStart w:id="121" w:name="auto_fouce_15"/>
      <w:r>
        <w:rPr>
          <w:rFonts w:hint="eastAsia" w:ascii="宋体" w:hAnsi="宋体" w:cs="宋体"/>
          <w:sz w:val="24"/>
          <w:szCs w:val="24"/>
          <w:highlight w:val="none"/>
        </w:rPr>
        <w:t>如发生第三方知识产权主张，供应商应在接到通知后3日内妥善解决，并承担因此产生的全部法律费用及赔偿。同时，供应商应及时采取措施消除影响，确保采购人正常使用不受影响。如采购人因此遭受损失，供应商应予以全额赔偿。</w:t>
      </w:r>
      <w:bookmarkEnd w:id="121"/>
    </w:p>
    <w:p w14:paraId="4E87E7AD">
      <w:pPr>
        <w:pStyle w:val="6"/>
        <w:keepNext w:val="0"/>
        <w:keepLines w:val="0"/>
        <w:pageBreakBefore w:val="0"/>
        <w:widowControl w:val="0"/>
        <w:kinsoku/>
        <w:wordWrap/>
        <w:overflowPunct/>
        <w:topLinePunct w:val="0"/>
        <w:autoSpaceDE/>
        <w:autoSpaceDN/>
        <w:bidi w:val="0"/>
        <w:adjustRightInd/>
        <w:spacing w:before="0" w:after="0" w:line="400" w:lineRule="exact"/>
        <w:ind w:firstLine="482" w:firstLineChars="200"/>
        <w:textAlignment w:val="auto"/>
        <w:rPr>
          <w:rFonts w:ascii="宋体" w:hAnsi="宋体" w:cs="宋体"/>
          <w:sz w:val="24"/>
          <w:szCs w:val="24"/>
          <w:highlight w:val="none"/>
        </w:rPr>
      </w:pPr>
      <w:bookmarkStart w:id="122" w:name="_Toc3055_WPSOffice_Level2"/>
      <w:bookmarkStart w:id="123" w:name="_Toc96613729"/>
      <w:bookmarkStart w:id="124" w:name="_Toc96512243"/>
      <w:r>
        <w:rPr>
          <w:rFonts w:hint="eastAsia" w:ascii="宋体" w:hAnsi="宋体" w:cs="宋体"/>
          <w:sz w:val="24"/>
          <w:szCs w:val="24"/>
          <w:highlight w:val="none"/>
        </w:rPr>
        <w:t>八、其他</w:t>
      </w:r>
      <w:bookmarkEnd w:id="122"/>
      <w:bookmarkEnd w:id="123"/>
      <w:bookmarkEnd w:id="124"/>
    </w:p>
    <w:p w14:paraId="23365C8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szCs w:val="24"/>
          <w:highlight w:val="none"/>
        </w:rPr>
      </w:pPr>
      <w:bookmarkStart w:id="125" w:name="auto_fouce_16"/>
      <w:r>
        <w:rPr>
          <w:rFonts w:hint="eastAsia" w:ascii="宋体" w:hAnsi="宋体" w:cs="宋体"/>
          <w:sz w:val="24"/>
          <w:szCs w:val="24"/>
          <w:highlight w:val="none"/>
        </w:rPr>
        <w:t>其他未尽事宜由供需双方在采购合同中详细约定。合同履行过程中如需变更，应由双方协商一致并签署书面补充协议，补充协议与本合同具有同等法律效力。</w:t>
      </w:r>
      <w:bookmarkEnd w:id="125"/>
    </w:p>
    <w:p w14:paraId="611A06EF">
      <w:pPr>
        <w:pStyle w:val="4"/>
        <w:spacing w:before="0" w:after="0" w:line="360" w:lineRule="auto"/>
        <w:jc w:val="center"/>
        <w:rPr>
          <w:rFonts w:ascii="宋体" w:hAnsi="宋体" w:cs="宋体"/>
          <w:b w:val="0"/>
          <w:sz w:val="36"/>
          <w:szCs w:val="30"/>
          <w:highlight w:val="none"/>
        </w:rPr>
      </w:pPr>
      <w:r>
        <w:rPr>
          <w:rFonts w:hint="eastAsia" w:ascii="宋体" w:hAnsi="宋体" w:cs="宋体"/>
          <w:b w:val="0"/>
          <w:sz w:val="36"/>
          <w:szCs w:val="30"/>
          <w:highlight w:val="none"/>
        </w:rPr>
        <w:br w:type="page"/>
      </w:r>
      <w:bookmarkStart w:id="126" w:name="_Toc24195"/>
      <w:bookmarkStart w:id="127" w:name="_Toc106034789"/>
      <w:bookmarkStart w:id="128" w:name="_Toc16123"/>
      <w:bookmarkStart w:id="129" w:name="_Toc15854"/>
      <w:bookmarkStart w:id="130" w:name="_Toc31282"/>
      <w:bookmarkStart w:id="131" w:name="_Toc65660349"/>
      <w:r>
        <w:rPr>
          <w:rFonts w:hint="eastAsia" w:ascii="宋体" w:hAnsi="宋体" w:cs="宋体"/>
          <w:b w:val="0"/>
          <w:sz w:val="36"/>
          <w:szCs w:val="30"/>
          <w:highlight w:val="none"/>
        </w:rPr>
        <w:t>第四篇  采购程序、评定成交的标准、无效报价及采购终止</w:t>
      </w:r>
      <w:bookmarkEnd w:id="126"/>
      <w:bookmarkEnd w:id="127"/>
      <w:bookmarkEnd w:id="128"/>
      <w:bookmarkEnd w:id="129"/>
      <w:bookmarkEnd w:id="130"/>
      <w:bookmarkEnd w:id="131"/>
    </w:p>
    <w:p w14:paraId="76DD0897">
      <w:pPr>
        <w:pStyle w:val="5"/>
        <w:adjustRightInd w:val="0"/>
        <w:snapToGrid w:val="0"/>
        <w:spacing w:before="0" w:after="0" w:line="400" w:lineRule="exact"/>
        <w:ind w:firstLine="482" w:firstLineChars="200"/>
        <w:rPr>
          <w:rFonts w:ascii="宋体" w:hAnsi="宋体" w:eastAsia="宋体" w:cs="宋体"/>
          <w:sz w:val="24"/>
          <w:highlight w:val="none"/>
        </w:rPr>
      </w:pPr>
      <w:bookmarkStart w:id="132" w:name="_Toc64732012"/>
      <w:bookmarkStart w:id="133" w:name="_Toc11101"/>
      <w:bookmarkStart w:id="134" w:name="_Toc9361"/>
      <w:bookmarkStart w:id="135" w:name="_Toc106034790"/>
      <w:bookmarkStart w:id="136" w:name="_Toc27932"/>
      <w:bookmarkStart w:id="137" w:name="_Toc65660350"/>
      <w:bookmarkStart w:id="138" w:name="_Toc5167"/>
      <w:r>
        <w:rPr>
          <w:rFonts w:hint="eastAsia" w:ascii="宋体" w:hAnsi="宋体" w:eastAsia="宋体" w:cs="宋体"/>
          <w:sz w:val="24"/>
          <w:highlight w:val="none"/>
        </w:rPr>
        <w:t>一、采购程序</w:t>
      </w:r>
      <w:bookmarkEnd w:id="132"/>
      <w:bookmarkEnd w:id="133"/>
      <w:bookmarkEnd w:id="134"/>
      <w:bookmarkEnd w:id="135"/>
      <w:bookmarkEnd w:id="136"/>
      <w:bookmarkEnd w:id="137"/>
      <w:bookmarkEnd w:id="138"/>
    </w:p>
    <w:p w14:paraId="0FD600E4">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（一）询价按询价通知书规定的时间和地点进行。</w:t>
      </w:r>
    </w:p>
    <w:p w14:paraId="232B03F0">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（二）由本项目询价小组对各供应商的资格条件、实质性响应等进行审查。 </w:t>
      </w:r>
    </w:p>
    <w:p w14:paraId="3094A501">
      <w:pPr>
        <w:snapToGrid w:val="0"/>
        <w:spacing w:line="400" w:lineRule="exact"/>
        <w:ind w:firstLine="480" w:firstLineChars="200"/>
        <w:rPr>
          <w:rFonts w:ascii="宋体" w:hAnsi="宋体" w:cs="宋体"/>
          <w:kern w:val="0"/>
          <w:sz w:val="24"/>
          <w:szCs w:val="24"/>
          <w:highlight w:val="none"/>
        </w:rPr>
      </w:pPr>
      <w:r>
        <w:rPr>
          <w:rFonts w:hint="eastAsia" w:ascii="宋体" w:hAnsi="宋体" w:cs="宋体"/>
          <w:sz w:val="24"/>
          <w:szCs w:val="24"/>
          <w:highlight w:val="none"/>
        </w:rPr>
        <w:t>1.资格性审查。依据法律法规和询价通知书的规定，对响应文件中的资格证明材料、保证金等进行审查。资格性审查内容如下：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01D7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0EEA9B1">
            <w:pPr>
              <w:jc w:val="center"/>
              <w:rPr>
                <w:rFonts w:ascii="宋体" w:hAnsi="宋体" w:cs="宋体"/>
                <w:b/>
                <w:kern w:val="0"/>
                <w:sz w:val="21"/>
                <w:szCs w:val="21"/>
                <w:highlight w:val="none"/>
              </w:rPr>
            </w:pPr>
            <w:r>
              <w:rPr>
                <w:rFonts w:hint="eastAsia" w:ascii="宋体" w:hAnsi="宋体" w:cs="宋体"/>
                <w:b/>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7C56CF5C">
            <w:pPr>
              <w:jc w:val="center"/>
              <w:rPr>
                <w:rFonts w:ascii="宋体" w:hAnsi="宋体" w:cs="宋体"/>
                <w:b/>
                <w:kern w:val="0"/>
                <w:sz w:val="21"/>
                <w:szCs w:val="21"/>
                <w:highlight w:val="none"/>
              </w:rPr>
            </w:pPr>
            <w:r>
              <w:rPr>
                <w:rFonts w:hint="eastAsia" w:ascii="宋体" w:hAnsi="宋体" w:cs="宋体"/>
                <w:b/>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62344CBC">
            <w:pPr>
              <w:jc w:val="center"/>
              <w:rPr>
                <w:rFonts w:ascii="宋体" w:hAnsi="宋体" w:cs="宋体"/>
                <w:b/>
                <w:kern w:val="0"/>
                <w:sz w:val="21"/>
                <w:szCs w:val="21"/>
                <w:highlight w:val="none"/>
              </w:rPr>
            </w:pPr>
            <w:r>
              <w:rPr>
                <w:rFonts w:hint="eastAsia" w:ascii="宋体" w:hAnsi="宋体" w:cs="宋体"/>
                <w:b/>
                <w:kern w:val="0"/>
                <w:sz w:val="21"/>
                <w:szCs w:val="21"/>
                <w:highlight w:val="none"/>
              </w:rPr>
              <w:t>检查内容</w:t>
            </w:r>
          </w:p>
        </w:tc>
      </w:tr>
      <w:tr w14:paraId="3FA1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7ECA48C">
            <w:pPr>
              <w:jc w:val="center"/>
              <w:rPr>
                <w:rFonts w:ascii="宋体" w:hAnsi="宋体" w:cs="宋体"/>
                <w:sz w:val="21"/>
                <w:szCs w:val="21"/>
                <w:highlight w:val="none"/>
              </w:rPr>
            </w:pPr>
            <w:r>
              <w:rPr>
                <w:rFonts w:hint="eastAsia" w:ascii="宋体" w:hAnsi="宋体" w:cs="宋体"/>
                <w:sz w:val="21"/>
                <w:szCs w:val="21"/>
                <w:highlight w:val="none"/>
              </w:rPr>
              <w:t>（一）</w:t>
            </w:r>
          </w:p>
        </w:tc>
        <w:tc>
          <w:tcPr>
            <w:tcW w:w="709" w:type="dxa"/>
            <w:vMerge w:val="restart"/>
            <w:vAlign w:val="center"/>
          </w:tcPr>
          <w:p w14:paraId="1B511FCF">
            <w:pPr>
              <w:rPr>
                <w:rFonts w:ascii="宋体" w:hAnsi="宋体" w:cs="宋体"/>
                <w:sz w:val="21"/>
                <w:szCs w:val="21"/>
                <w:highlight w:val="none"/>
                <w:lang w:val="zh-CN"/>
              </w:rPr>
            </w:pPr>
            <w:r>
              <w:rPr>
                <w:rFonts w:hint="eastAsia" w:ascii="宋体" w:hAnsi="宋体" w:cs="宋体"/>
                <w:sz w:val="21"/>
                <w:szCs w:val="21"/>
                <w:highlight w:val="none"/>
                <w:lang w:val="zh-CN"/>
              </w:rPr>
              <w:t>《中华人民共和国政府采购法》第二十二条规定</w:t>
            </w:r>
          </w:p>
        </w:tc>
        <w:tc>
          <w:tcPr>
            <w:tcW w:w="2835" w:type="dxa"/>
            <w:vAlign w:val="center"/>
          </w:tcPr>
          <w:p w14:paraId="7384D448">
            <w:pPr>
              <w:rPr>
                <w:rFonts w:ascii="宋体" w:hAnsi="宋体" w:cs="宋体"/>
                <w:sz w:val="21"/>
                <w:szCs w:val="21"/>
                <w:highlight w:val="none"/>
              </w:rPr>
            </w:pPr>
            <w:r>
              <w:rPr>
                <w:rFonts w:hint="eastAsia" w:ascii="宋体" w:hAnsi="宋体" w:cs="宋体"/>
                <w:sz w:val="21"/>
                <w:szCs w:val="21"/>
                <w:highlight w:val="none"/>
              </w:rPr>
              <w:t>1.具有独立承担民事责任的能力</w:t>
            </w:r>
          </w:p>
        </w:tc>
        <w:tc>
          <w:tcPr>
            <w:tcW w:w="5267" w:type="dxa"/>
            <w:vAlign w:val="center"/>
          </w:tcPr>
          <w:p w14:paraId="15312EC2">
            <w:pPr>
              <w:rPr>
                <w:rFonts w:ascii="宋体" w:hAnsi="宋体" w:cs="宋体"/>
                <w:sz w:val="21"/>
                <w:szCs w:val="21"/>
                <w:highlight w:val="none"/>
              </w:rPr>
            </w:pPr>
            <w:r>
              <w:rPr>
                <w:rFonts w:hint="eastAsia" w:ascii="宋体" w:hAnsi="宋体" w:cs="宋体"/>
                <w:sz w:val="21"/>
                <w:szCs w:val="21"/>
                <w:highlight w:val="none"/>
              </w:rPr>
              <w:t xml:space="preserve">1.供应商法人营业执照（副本）或事业单位法人证书（副本）或个体工商户营业执照或有效的自然人身份证明或社会团体法人登记证书（提供复印件）。 </w:t>
            </w:r>
          </w:p>
          <w:p w14:paraId="5034BE27">
            <w:pPr>
              <w:rPr>
                <w:rFonts w:ascii="宋体" w:hAnsi="宋体" w:cs="宋体"/>
                <w:sz w:val="21"/>
                <w:szCs w:val="21"/>
                <w:highlight w:val="none"/>
              </w:rPr>
            </w:pPr>
            <w:r>
              <w:rPr>
                <w:rFonts w:hint="eastAsia" w:ascii="宋体" w:hAnsi="宋体" w:cs="宋体"/>
                <w:sz w:val="21"/>
                <w:szCs w:val="21"/>
                <w:highlight w:val="none"/>
              </w:rPr>
              <w:t>2.供应商法定代表人身份证明和法定代表人授权代表委托书。</w:t>
            </w:r>
          </w:p>
        </w:tc>
      </w:tr>
      <w:tr w14:paraId="65D1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305DDCC">
            <w:pPr>
              <w:jc w:val="center"/>
              <w:rPr>
                <w:rFonts w:ascii="宋体" w:hAnsi="宋体" w:cs="宋体"/>
                <w:sz w:val="21"/>
                <w:szCs w:val="21"/>
                <w:highlight w:val="none"/>
              </w:rPr>
            </w:pPr>
          </w:p>
        </w:tc>
        <w:tc>
          <w:tcPr>
            <w:tcW w:w="709" w:type="dxa"/>
            <w:vMerge w:val="continue"/>
            <w:vAlign w:val="center"/>
          </w:tcPr>
          <w:p w14:paraId="0929B59F">
            <w:pPr>
              <w:rPr>
                <w:rFonts w:ascii="宋体" w:hAnsi="宋体" w:cs="宋体"/>
                <w:sz w:val="21"/>
                <w:szCs w:val="21"/>
                <w:highlight w:val="none"/>
                <w:lang w:val="zh-CN"/>
              </w:rPr>
            </w:pPr>
          </w:p>
        </w:tc>
        <w:tc>
          <w:tcPr>
            <w:tcW w:w="2835" w:type="dxa"/>
            <w:vAlign w:val="center"/>
          </w:tcPr>
          <w:p w14:paraId="7BB50E6A">
            <w:pPr>
              <w:rPr>
                <w:rFonts w:ascii="宋体" w:hAnsi="宋体" w:cs="宋体"/>
                <w:sz w:val="21"/>
                <w:szCs w:val="21"/>
                <w:highlight w:val="none"/>
              </w:rPr>
            </w:pPr>
            <w:r>
              <w:rPr>
                <w:rFonts w:hint="eastAsia" w:ascii="宋体" w:hAnsi="宋体" w:cs="宋体"/>
                <w:sz w:val="21"/>
                <w:szCs w:val="21"/>
                <w:highlight w:val="none"/>
                <w:lang w:val="zh-CN"/>
              </w:rPr>
              <w:t>2.</w:t>
            </w:r>
            <w:r>
              <w:rPr>
                <w:rFonts w:hint="eastAsia" w:ascii="宋体" w:hAnsi="宋体" w:cs="宋体"/>
                <w:sz w:val="21"/>
                <w:szCs w:val="21"/>
                <w:highlight w:val="none"/>
              </w:rPr>
              <w:t>具有良好的商业信誉和健全的财务会计制度</w:t>
            </w:r>
          </w:p>
        </w:tc>
        <w:tc>
          <w:tcPr>
            <w:tcW w:w="5267" w:type="dxa"/>
            <w:vMerge w:val="restart"/>
            <w:vAlign w:val="center"/>
          </w:tcPr>
          <w:p w14:paraId="2C208ABD">
            <w:pPr>
              <w:rPr>
                <w:rFonts w:ascii="宋体" w:hAnsi="宋体" w:cs="宋体"/>
                <w:b/>
                <w:sz w:val="21"/>
                <w:szCs w:val="21"/>
                <w:highlight w:val="none"/>
              </w:rPr>
            </w:pPr>
            <w:r>
              <w:rPr>
                <w:rFonts w:hint="eastAsia" w:ascii="宋体" w:hAnsi="宋体" w:cs="宋体"/>
                <w:sz w:val="21"/>
                <w:szCs w:val="21"/>
                <w:highlight w:val="none"/>
              </w:rPr>
              <w:t>供应商提供“基本资格条件承诺函”（格式详见第七篇）</w:t>
            </w:r>
          </w:p>
        </w:tc>
      </w:tr>
      <w:tr w14:paraId="6F05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BD008C5">
            <w:pPr>
              <w:jc w:val="center"/>
              <w:rPr>
                <w:rFonts w:ascii="宋体" w:hAnsi="宋体" w:cs="宋体"/>
                <w:sz w:val="21"/>
                <w:szCs w:val="21"/>
                <w:highlight w:val="none"/>
              </w:rPr>
            </w:pPr>
          </w:p>
        </w:tc>
        <w:tc>
          <w:tcPr>
            <w:tcW w:w="709" w:type="dxa"/>
            <w:vMerge w:val="continue"/>
            <w:vAlign w:val="center"/>
          </w:tcPr>
          <w:p w14:paraId="1070CFE0">
            <w:pPr>
              <w:rPr>
                <w:rFonts w:ascii="宋体" w:hAnsi="宋体" w:cs="宋体"/>
                <w:sz w:val="21"/>
                <w:szCs w:val="21"/>
                <w:highlight w:val="none"/>
                <w:lang w:val="zh-CN"/>
              </w:rPr>
            </w:pPr>
          </w:p>
        </w:tc>
        <w:tc>
          <w:tcPr>
            <w:tcW w:w="2835" w:type="dxa"/>
            <w:vAlign w:val="center"/>
          </w:tcPr>
          <w:p w14:paraId="1163AEB2">
            <w:pPr>
              <w:rPr>
                <w:rFonts w:ascii="宋体" w:hAnsi="宋体" w:cs="宋体"/>
                <w:sz w:val="21"/>
                <w:szCs w:val="21"/>
                <w:highlight w:val="none"/>
                <w:lang w:val="zh-CN"/>
              </w:rPr>
            </w:pPr>
            <w:r>
              <w:rPr>
                <w:rFonts w:hint="eastAsia" w:ascii="宋体" w:hAnsi="宋体" w:cs="宋体"/>
                <w:sz w:val="21"/>
                <w:szCs w:val="21"/>
                <w:highlight w:val="none"/>
                <w:lang w:val="zh-CN"/>
              </w:rPr>
              <w:t>3.具有履行合同所必需的设备和专业技术能力</w:t>
            </w:r>
          </w:p>
        </w:tc>
        <w:tc>
          <w:tcPr>
            <w:tcW w:w="5267" w:type="dxa"/>
            <w:vMerge w:val="continue"/>
            <w:vAlign w:val="center"/>
          </w:tcPr>
          <w:p w14:paraId="4CFA7A1C">
            <w:pPr>
              <w:rPr>
                <w:rFonts w:ascii="宋体" w:hAnsi="宋体" w:cs="宋体"/>
                <w:sz w:val="21"/>
                <w:szCs w:val="21"/>
                <w:highlight w:val="none"/>
              </w:rPr>
            </w:pPr>
          </w:p>
        </w:tc>
      </w:tr>
      <w:tr w14:paraId="2FF6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D1D3F0D">
            <w:pPr>
              <w:jc w:val="center"/>
              <w:rPr>
                <w:rFonts w:ascii="宋体" w:hAnsi="宋体" w:cs="宋体"/>
                <w:sz w:val="21"/>
                <w:szCs w:val="21"/>
                <w:highlight w:val="none"/>
              </w:rPr>
            </w:pPr>
          </w:p>
        </w:tc>
        <w:tc>
          <w:tcPr>
            <w:tcW w:w="709" w:type="dxa"/>
            <w:vMerge w:val="continue"/>
            <w:vAlign w:val="center"/>
          </w:tcPr>
          <w:p w14:paraId="1EE91BE4">
            <w:pPr>
              <w:rPr>
                <w:rFonts w:ascii="宋体" w:hAnsi="宋体" w:cs="宋体"/>
                <w:sz w:val="21"/>
                <w:szCs w:val="21"/>
                <w:highlight w:val="none"/>
                <w:lang w:val="zh-CN"/>
              </w:rPr>
            </w:pPr>
          </w:p>
        </w:tc>
        <w:tc>
          <w:tcPr>
            <w:tcW w:w="2835" w:type="dxa"/>
            <w:vAlign w:val="center"/>
          </w:tcPr>
          <w:p w14:paraId="19FEBD59">
            <w:pPr>
              <w:rPr>
                <w:rFonts w:ascii="宋体" w:hAnsi="宋体" w:cs="宋体"/>
                <w:sz w:val="21"/>
                <w:szCs w:val="21"/>
                <w:highlight w:val="none"/>
                <w:lang w:val="zh-CN"/>
              </w:rPr>
            </w:pPr>
            <w:r>
              <w:rPr>
                <w:rFonts w:hint="eastAsia" w:ascii="宋体" w:hAnsi="宋体" w:cs="宋体"/>
                <w:sz w:val="21"/>
                <w:szCs w:val="21"/>
                <w:highlight w:val="none"/>
                <w:lang w:val="zh-CN"/>
              </w:rPr>
              <w:t>4.有依法缴纳税收和社会保障金的良好记录</w:t>
            </w:r>
          </w:p>
        </w:tc>
        <w:tc>
          <w:tcPr>
            <w:tcW w:w="5267" w:type="dxa"/>
            <w:vMerge w:val="continue"/>
            <w:vAlign w:val="center"/>
          </w:tcPr>
          <w:p w14:paraId="411EFE18">
            <w:pPr>
              <w:rPr>
                <w:rFonts w:ascii="宋体" w:hAnsi="宋体" w:cs="宋体"/>
                <w:sz w:val="21"/>
                <w:szCs w:val="21"/>
                <w:highlight w:val="none"/>
              </w:rPr>
            </w:pPr>
          </w:p>
        </w:tc>
      </w:tr>
      <w:tr w14:paraId="7406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E0A7241">
            <w:pPr>
              <w:jc w:val="center"/>
              <w:rPr>
                <w:rFonts w:ascii="宋体" w:hAnsi="宋体" w:cs="宋体"/>
                <w:sz w:val="21"/>
                <w:szCs w:val="21"/>
                <w:highlight w:val="none"/>
              </w:rPr>
            </w:pPr>
          </w:p>
        </w:tc>
        <w:tc>
          <w:tcPr>
            <w:tcW w:w="709" w:type="dxa"/>
            <w:vMerge w:val="continue"/>
            <w:vAlign w:val="center"/>
          </w:tcPr>
          <w:p w14:paraId="28AC8EE0">
            <w:pPr>
              <w:rPr>
                <w:rFonts w:ascii="宋体" w:hAnsi="宋体" w:cs="宋体"/>
                <w:sz w:val="21"/>
                <w:szCs w:val="21"/>
                <w:highlight w:val="none"/>
                <w:lang w:val="zh-CN"/>
              </w:rPr>
            </w:pPr>
          </w:p>
        </w:tc>
        <w:tc>
          <w:tcPr>
            <w:tcW w:w="2835" w:type="dxa"/>
            <w:vAlign w:val="center"/>
          </w:tcPr>
          <w:p w14:paraId="7AFFF4F4">
            <w:pPr>
              <w:rPr>
                <w:rFonts w:ascii="宋体" w:hAnsi="宋体" w:cs="宋体"/>
                <w:sz w:val="21"/>
                <w:szCs w:val="21"/>
                <w:highlight w:val="none"/>
                <w:lang w:val="zh-CN"/>
              </w:rPr>
            </w:pPr>
            <w:r>
              <w:rPr>
                <w:rFonts w:hint="eastAsia" w:ascii="宋体" w:hAnsi="宋体" w:cs="宋体"/>
                <w:sz w:val="21"/>
                <w:szCs w:val="21"/>
                <w:highlight w:val="none"/>
              </w:rPr>
              <w:t>5.参加政府采购活动前三年内，在经营活动中没有重大违法记录</w:t>
            </w:r>
          </w:p>
        </w:tc>
        <w:tc>
          <w:tcPr>
            <w:tcW w:w="5267" w:type="dxa"/>
            <w:vMerge w:val="continue"/>
            <w:vAlign w:val="center"/>
          </w:tcPr>
          <w:p w14:paraId="7496CA4D">
            <w:pPr>
              <w:rPr>
                <w:rFonts w:ascii="宋体" w:hAnsi="宋体" w:cs="宋体"/>
                <w:b/>
                <w:sz w:val="21"/>
                <w:szCs w:val="21"/>
                <w:highlight w:val="none"/>
              </w:rPr>
            </w:pPr>
          </w:p>
        </w:tc>
      </w:tr>
      <w:tr w14:paraId="0F09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D4C6B3B">
            <w:pPr>
              <w:jc w:val="center"/>
              <w:rPr>
                <w:rFonts w:ascii="宋体" w:hAnsi="宋体" w:cs="宋体"/>
                <w:sz w:val="21"/>
                <w:szCs w:val="21"/>
                <w:highlight w:val="none"/>
              </w:rPr>
            </w:pPr>
          </w:p>
        </w:tc>
        <w:tc>
          <w:tcPr>
            <w:tcW w:w="709" w:type="dxa"/>
            <w:vMerge w:val="continue"/>
            <w:vAlign w:val="center"/>
          </w:tcPr>
          <w:p w14:paraId="0996030D">
            <w:pPr>
              <w:rPr>
                <w:rFonts w:ascii="宋体" w:hAnsi="宋体" w:cs="宋体"/>
                <w:sz w:val="21"/>
                <w:szCs w:val="21"/>
                <w:highlight w:val="none"/>
              </w:rPr>
            </w:pPr>
          </w:p>
        </w:tc>
        <w:tc>
          <w:tcPr>
            <w:tcW w:w="2835" w:type="dxa"/>
            <w:vAlign w:val="center"/>
          </w:tcPr>
          <w:p w14:paraId="22802ADC">
            <w:pPr>
              <w:rPr>
                <w:rFonts w:ascii="宋体" w:hAnsi="宋体" w:cs="宋体"/>
                <w:sz w:val="21"/>
                <w:szCs w:val="21"/>
                <w:highlight w:val="none"/>
              </w:rPr>
            </w:pPr>
            <w:r>
              <w:rPr>
                <w:rFonts w:hint="eastAsia" w:ascii="宋体" w:hAnsi="宋体" w:cs="宋体"/>
                <w:sz w:val="21"/>
                <w:szCs w:val="21"/>
                <w:highlight w:val="none"/>
              </w:rPr>
              <w:t>6.法律、行政法规规定的其他条件</w:t>
            </w:r>
          </w:p>
        </w:tc>
        <w:tc>
          <w:tcPr>
            <w:tcW w:w="5267" w:type="dxa"/>
            <w:vAlign w:val="center"/>
          </w:tcPr>
          <w:p w14:paraId="4578BFC0">
            <w:pPr>
              <w:rPr>
                <w:rFonts w:ascii="宋体" w:hAnsi="宋体" w:cs="宋体"/>
                <w:sz w:val="21"/>
                <w:szCs w:val="21"/>
                <w:highlight w:val="none"/>
              </w:rPr>
            </w:pPr>
          </w:p>
        </w:tc>
      </w:tr>
      <w:tr w14:paraId="3737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F0A9D45">
            <w:pPr>
              <w:jc w:val="center"/>
              <w:rPr>
                <w:rFonts w:ascii="宋体" w:hAnsi="宋体" w:cs="宋体"/>
                <w:sz w:val="21"/>
                <w:szCs w:val="21"/>
                <w:highlight w:val="none"/>
              </w:rPr>
            </w:pPr>
          </w:p>
        </w:tc>
        <w:tc>
          <w:tcPr>
            <w:tcW w:w="709" w:type="dxa"/>
            <w:vMerge w:val="continue"/>
            <w:vAlign w:val="center"/>
          </w:tcPr>
          <w:p w14:paraId="74175CAF">
            <w:pPr>
              <w:rPr>
                <w:rFonts w:ascii="宋体" w:hAnsi="宋体" w:cs="宋体"/>
                <w:sz w:val="21"/>
                <w:szCs w:val="21"/>
                <w:highlight w:val="none"/>
              </w:rPr>
            </w:pPr>
          </w:p>
        </w:tc>
        <w:tc>
          <w:tcPr>
            <w:tcW w:w="2835" w:type="dxa"/>
            <w:vAlign w:val="center"/>
          </w:tcPr>
          <w:p w14:paraId="73986EB1">
            <w:pPr>
              <w:rPr>
                <w:rFonts w:ascii="宋体" w:hAnsi="宋体" w:cs="宋体"/>
                <w:sz w:val="21"/>
                <w:szCs w:val="21"/>
                <w:highlight w:val="none"/>
              </w:rPr>
            </w:pPr>
            <w:r>
              <w:rPr>
                <w:rFonts w:hint="eastAsia" w:ascii="宋体" w:hAnsi="宋体" w:cs="宋体"/>
                <w:sz w:val="21"/>
                <w:szCs w:val="21"/>
                <w:highlight w:val="none"/>
              </w:rPr>
              <w:t>7.本项目的特定资格要求</w:t>
            </w:r>
          </w:p>
        </w:tc>
        <w:tc>
          <w:tcPr>
            <w:tcW w:w="5267" w:type="dxa"/>
            <w:vAlign w:val="center"/>
          </w:tcPr>
          <w:p w14:paraId="4B18EBAB">
            <w:pPr>
              <w:rPr>
                <w:rFonts w:ascii="宋体" w:hAnsi="宋体" w:cs="宋体"/>
                <w:sz w:val="21"/>
                <w:szCs w:val="21"/>
                <w:highlight w:val="none"/>
              </w:rPr>
            </w:pPr>
            <w:r>
              <w:rPr>
                <w:rFonts w:hint="eastAsia" w:ascii="宋体" w:hAnsi="宋体" w:cs="宋体"/>
                <w:sz w:val="21"/>
                <w:szCs w:val="21"/>
                <w:highlight w:val="none"/>
              </w:rPr>
              <w:t>按“第一篇三、供应商资格要求（三）本项目的特定资格要求”的要求提交（如果有）。</w:t>
            </w:r>
          </w:p>
        </w:tc>
      </w:tr>
      <w:tr w14:paraId="6D1E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619F714">
            <w:pPr>
              <w:jc w:val="center"/>
              <w:rPr>
                <w:rFonts w:ascii="宋体" w:hAnsi="宋体" w:cs="宋体"/>
                <w:sz w:val="21"/>
                <w:szCs w:val="21"/>
                <w:highlight w:val="none"/>
              </w:rPr>
            </w:pPr>
            <w:r>
              <w:rPr>
                <w:rFonts w:hint="eastAsia" w:ascii="宋体" w:hAnsi="宋体" w:cs="宋体"/>
                <w:sz w:val="21"/>
                <w:szCs w:val="21"/>
                <w:highlight w:val="none"/>
              </w:rPr>
              <w:t>（二）</w:t>
            </w:r>
          </w:p>
        </w:tc>
        <w:tc>
          <w:tcPr>
            <w:tcW w:w="3544" w:type="dxa"/>
            <w:gridSpan w:val="2"/>
            <w:vAlign w:val="center"/>
          </w:tcPr>
          <w:p w14:paraId="514990DC">
            <w:pPr>
              <w:rPr>
                <w:rFonts w:ascii="宋体" w:hAnsi="宋体" w:cs="宋体"/>
                <w:sz w:val="21"/>
                <w:szCs w:val="21"/>
                <w:highlight w:val="none"/>
              </w:rPr>
            </w:pPr>
            <w:r>
              <w:rPr>
                <w:rFonts w:hint="eastAsia" w:ascii="宋体" w:hAnsi="宋体" w:cs="宋体"/>
                <w:sz w:val="21"/>
                <w:szCs w:val="21"/>
                <w:highlight w:val="none"/>
              </w:rPr>
              <w:t>落实政府采购政策需满足的资格要求</w:t>
            </w:r>
          </w:p>
        </w:tc>
        <w:tc>
          <w:tcPr>
            <w:tcW w:w="5267" w:type="dxa"/>
            <w:vAlign w:val="center"/>
          </w:tcPr>
          <w:p w14:paraId="0B4864FE">
            <w:pPr>
              <w:rPr>
                <w:rFonts w:ascii="宋体" w:hAnsi="宋体" w:cs="宋体"/>
                <w:sz w:val="21"/>
                <w:szCs w:val="21"/>
                <w:highlight w:val="none"/>
              </w:rPr>
            </w:pPr>
            <w:r>
              <w:rPr>
                <w:rFonts w:hint="eastAsia" w:ascii="宋体" w:hAnsi="宋体" w:cs="宋体"/>
                <w:sz w:val="21"/>
                <w:szCs w:val="21"/>
                <w:highlight w:val="none"/>
              </w:rPr>
              <w:t>按“第一篇三、供应商资格要求（二）落实政府采购政策需满足的资格要求”的要求提交（如果有）。</w:t>
            </w:r>
          </w:p>
        </w:tc>
      </w:tr>
      <w:tr w14:paraId="1E26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4860FFA">
            <w:pPr>
              <w:jc w:val="center"/>
              <w:rPr>
                <w:rFonts w:ascii="宋体" w:hAnsi="宋体" w:cs="宋体"/>
                <w:sz w:val="21"/>
                <w:szCs w:val="21"/>
                <w:highlight w:val="none"/>
              </w:rPr>
            </w:pPr>
            <w:r>
              <w:rPr>
                <w:rFonts w:hint="eastAsia" w:ascii="宋体" w:hAnsi="宋体" w:cs="宋体"/>
                <w:sz w:val="21"/>
                <w:szCs w:val="21"/>
                <w:highlight w:val="none"/>
              </w:rPr>
              <w:t>（三）</w:t>
            </w:r>
          </w:p>
        </w:tc>
        <w:tc>
          <w:tcPr>
            <w:tcW w:w="3544" w:type="dxa"/>
            <w:gridSpan w:val="2"/>
          </w:tcPr>
          <w:p w14:paraId="2B2C089F">
            <w:pPr>
              <w:jc w:val="left"/>
              <w:rPr>
                <w:rFonts w:ascii="宋体" w:hAnsi="宋体" w:cs="宋体"/>
                <w:sz w:val="21"/>
                <w:szCs w:val="21"/>
                <w:highlight w:val="none"/>
              </w:rPr>
            </w:pPr>
            <w:r>
              <w:rPr>
                <w:rFonts w:hint="eastAsia" w:ascii="宋体" w:hAnsi="宋体" w:cs="宋体"/>
                <w:sz w:val="21"/>
                <w:szCs w:val="21"/>
                <w:highlight w:val="none"/>
              </w:rPr>
              <w:t>保证金</w:t>
            </w:r>
          </w:p>
        </w:tc>
        <w:tc>
          <w:tcPr>
            <w:tcW w:w="5267" w:type="dxa"/>
          </w:tcPr>
          <w:p w14:paraId="7A386FFD">
            <w:pPr>
              <w:rPr>
                <w:rFonts w:ascii="宋体" w:hAnsi="宋体" w:cs="宋体"/>
                <w:sz w:val="21"/>
                <w:szCs w:val="21"/>
                <w:highlight w:val="none"/>
              </w:rPr>
            </w:pPr>
            <w:r>
              <w:rPr>
                <w:rFonts w:hint="eastAsia" w:ascii="宋体" w:hAnsi="宋体" w:cs="宋体"/>
                <w:sz w:val="21"/>
                <w:szCs w:val="21"/>
                <w:highlight w:val="none"/>
              </w:rPr>
              <w:t>按照询价通知书要求足额交纳所参与包的保证金。</w:t>
            </w:r>
          </w:p>
        </w:tc>
      </w:tr>
    </w:tbl>
    <w:p w14:paraId="72F84252">
      <w:pPr>
        <w:snapToGri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注：</w:t>
      </w:r>
    </w:p>
    <w:p w14:paraId="34C9DF5B">
      <w:pPr>
        <w:snapToGrid w:val="0"/>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fldChar w:fldCharType="begin"/>
      </w:r>
      <w:r>
        <w:rPr>
          <w:rFonts w:hint="eastAsia" w:ascii="宋体" w:hAnsi="宋体" w:cs="宋体"/>
          <w:kern w:val="0"/>
          <w:sz w:val="24"/>
          <w:szCs w:val="24"/>
          <w:highlight w:val="none"/>
        </w:rPr>
        <w:instrText xml:space="preserve"> eq \o\ac(○,</w:instrText>
      </w:r>
      <w:r>
        <w:rPr>
          <w:rFonts w:hint="eastAsia" w:ascii="宋体" w:hAnsi="宋体" w:cs="宋体"/>
          <w:kern w:val="0"/>
          <w:position w:val="3"/>
          <w:sz w:val="16"/>
          <w:szCs w:val="24"/>
          <w:highlight w:val="none"/>
        </w:rPr>
        <w:instrText xml:space="preserve">1</w:instrText>
      </w:r>
      <w:r>
        <w:rPr>
          <w:rFonts w:hint="eastAsia" w:ascii="宋体" w:hAnsi="宋体" w:cs="宋体"/>
          <w:kern w:val="0"/>
          <w:sz w:val="24"/>
          <w:szCs w:val="24"/>
          <w:highlight w:val="none"/>
        </w:rPr>
        <w:instrText xml:space="preserve">)</w:instrTex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E5D5EA5">
      <w:pPr>
        <w:snapToGrid w:val="0"/>
        <w:spacing w:line="400" w:lineRule="exact"/>
        <w:ind w:firstLine="480" w:firstLineChars="200"/>
        <w:rPr>
          <w:rFonts w:ascii="宋体" w:hAnsi="宋体" w:cs="宋体"/>
          <w:kern w:val="0"/>
          <w:sz w:val="24"/>
          <w:szCs w:val="24"/>
          <w:highlight w:val="none"/>
        </w:rPr>
      </w:pPr>
      <w:r>
        <w:rPr>
          <w:rFonts w:hint="eastAsia" w:ascii="宋体" w:hAnsi="宋体" w:cs="宋体"/>
          <w:sz w:val="24"/>
          <w:szCs w:val="24"/>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4A0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1A11BD2">
            <w:pPr>
              <w:jc w:val="center"/>
              <w:rPr>
                <w:rFonts w:ascii="宋体" w:hAnsi="宋体" w:cs="宋体"/>
                <w:b/>
                <w:kern w:val="0"/>
                <w:sz w:val="21"/>
                <w:szCs w:val="21"/>
                <w:highlight w:val="none"/>
              </w:rPr>
            </w:pPr>
            <w:r>
              <w:rPr>
                <w:rFonts w:hint="eastAsia" w:ascii="宋体" w:hAnsi="宋体" w:cs="宋体"/>
                <w:b/>
                <w:kern w:val="0"/>
                <w:sz w:val="21"/>
                <w:szCs w:val="21"/>
                <w:highlight w:val="none"/>
              </w:rPr>
              <w:t>序号</w:t>
            </w:r>
          </w:p>
        </w:tc>
        <w:tc>
          <w:tcPr>
            <w:tcW w:w="2694" w:type="dxa"/>
            <w:vAlign w:val="center"/>
          </w:tcPr>
          <w:p w14:paraId="502C6165">
            <w:pPr>
              <w:jc w:val="center"/>
              <w:rPr>
                <w:rFonts w:ascii="宋体" w:hAnsi="宋体" w:cs="宋体"/>
                <w:b/>
                <w:kern w:val="0"/>
                <w:sz w:val="21"/>
                <w:szCs w:val="21"/>
                <w:highlight w:val="none"/>
              </w:rPr>
            </w:pPr>
            <w:r>
              <w:rPr>
                <w:rFonts w:hint="eastAsia" w:ascii="宋体" w:hAnsi="宋体" w:cs="宋体"/>
                <w:b/>
                <w:kern w:val="0"/>
                <w:sz w:val="21"/>
                <w:szCs w:val="21"/>
                <w:highlight w:val="none"/>
              </w:rPr>
              <w:t>审查因素</w:t>
            </w:r>
          </w:p>
        </w:tc>
        <w:tc>
          <w:tcPr>
            <w:tcW w:w="6259" w:type="dxa"/>
            <w:vAlign w:val="center"/>
          </w:tcPr>
          <w:p w14:paraId="2992D918">
            <w:pPr>
              <w:jc w:val="center"/>
              <w:rPr>
                <w:rFonts w:ascii="宋体" w:hAnsi="宋体" w:cs="宋体"/>
                <w:b/>
                <w:kern w:val="0"/>
                <w:sz w:val="21"/>
                <w:szCs w:val="21"/>
                <w:highlight w:val="none"/>
              </w:rPr>
            </w:pPr>
            <w:r>
              <w:rPr>
                <w:rFonts w:hint="eastAsia" w:ascii="宋体" w:hAnsi="宋体" w:cs="宋体"/>
                <w:b/>
                <w:kern w:val="0"/>
                <w:sz w:val="21"/>
                <w:szCs w:val="21"/>
                <w:highlight w:val="none"/>
              </w:rPr>
              <w:t>审查标准</w:t>
            </w:r>
          </w:p>
        </w:tc>
      </w:tr>
      <w:tr w14:paraId="71D1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1E11765">
            <w:pPr>
              <w:jc w:val="center"/>
              <w:rPr>
                <w:rFonts w:ascii="宋体" w:hAnsi="宋体" w:cs="宋体"/>
                <w:kern w:val="0"/>
                <w:sz w:val="21"/>
                <w:szCs w:val="21"/>
                <w:highlight w:val="none"/>
              </w:rPr>
            </w:pPr>
            <w:r>
              <w:rPr>
                <w:rFonts w:hint="eastAsia" w:ascii="宋体" w:hAnsi="宋体" w:cs="宋体"/>
                <w:kern w:val="0"/>
                <w:sz w:val="21"/>
                <w:szCs w:val="21"/>
                <w:highlight w:val="none"/>
              </w:rPr>
              <w:t>1</w:t>
            </w:r>
          </w:p>
        </w:tc>
        <w:tc>
          <w:tcPr>
            <w:tcW w:w="2694" w:type="dxa"/>
            <w:vAlign w:val="center"/>
          </w:tcPr>
          <w:p w14:paraId="6F32C9A1">
            <w:pPr>
              <w:rPr>
                <w:rFonts w:ascii="宋体" w:hAnsi="宋体" w:cs="宋体"/>
                <w:kern w:val="0"/>
                <w:sz w:val="21"/>
                <w:szCs w:val="21"/>
                <w:highlight w:val="none"/>
              </w:rPr>
            </w:pPr>
            <w:r>
              <w:rPr>
                <w:rFonts w:hint="eastAsia" w:ascii="宋体" w:hAnsi="宋体" w:cs="宋体"/>
                <w:sz w:val="21"/>
                <w:szCs w:val="21"/>
                <w:highlight w:val="none"/>
              </w:rPr>
              <w:t>响应文件签署或盖章</w:t>
            </w:r>
          </w:p>
        </w:tc>
        <w:tc>
          <w:tcPr>
            <w:tcW w:w="6259" w:type="dxa"/>
            <w:vAlign w:val="center"/>
          </w:tcPr>
          <w:p w14:paraId="6DCD8AEF">
            <w:pPr>
              <w:rPr>
                <w:rFonts w:ascii="宋体" w:hAnsi="宋体" w:cs="宋体"/>
                <w:kern w:val="0"/>
                <w:sz w:val="21"/>
                <w:szCs w:val="21"/>
                <w:highlight w:val="none"/>
              </w:rPr>
            </w:pPr>
            <w:r>
              <w:rPr>
                <w:rFonts w:hint="eastAsia" w:ascii="宋体" w:hAnsi="宋体" w:cs="宋体"/>
                <w:sz w:val="21"/>
                <w:szCs w:val="21"/>
                <w:highlight w:val="none"/>
              </w:rPr>
              <w:t>按“第七篇响应文件格式要求”要求签署或盖章</w:t>
            </w:r>
          </w:p>
        </w:tc>
      </w:tr>
      <w:tr w14:paraId="607A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64A92E5">
            <w:pPr>
              <w:jc w:val="center"/>
              <w:rPr>
                <w:rFonts w:ascii="宋体" w:hAnsi="宋体" w:cs="宋体"/>
                <w:kern w:val="0"/>
                <w:sz w:val="21"/>
                <w:szCs w:val="21"/>
                <w:highlight w:val="none"/>
              </w:rPr>
            </w:pPr>
          </w:p>
        </w:tc>
        <w:tc>
          <w:tcPr>
            <w:tcW w:w="2694" w:type="dxa"/>
            <w:vAlign w:val="center"/>
          </w:tcPr>
          <w:p w14:paraId="1E721865">
            <w:pPr>
              <w:rPr>
                <w:rFonts w:ascii="宋体" w:hAnsi="宋体" w:cs="宋体"/>
                <w:sz w:val="21"/>
                <w:szCs w:val="21"/>
                <w:highlight w:val="none"/>
              </w:rPr>
            </w:pPr>
            <w:r>
              <w:rPr>
                <w:rFonts w:hint="eastAsia" w:ascii="宋体" w:hAnsi="宋体" w:cs="宋体"/>
                <w:sz w:val="21"/>
                <w:szCs w:val="21"/>
                <w:highlight w:val="none"/>
              </w:rPr>
              <w:t>法定代表人身份证明及授权委托书</w:t>
            </w:r>
          </w:p>
        </w:tc>
        <w:tc>
          <w:tcPr>
            <w:tcW w:w="6259" w:type="dxa"/>
            <w:vAlign w:val="center"/>
          </w:tcPr>
          <w:p w14:paraId="2BF62CEA">
            <w:pPr>
              <w:rPr>
                <w:rFonts w:ascii="宋体" w:hAnsi="宋体" w:cs="宋体"/>
                <w:sz w:val="21"/>
                <w:szCs w:val="21"/>
                <w:highlight w:val="none"/>
              </w:rPr>
            </w:pPr>
            <w:r>
              <w:rPr>
                <w:rFonts w:hint="eastAsia" w:ascii="宋体" w:hAnsi="宋体" w:cs="宋体"/>
                <w:sz w:val="21"/>
                <w:szCs w:val="21"/>
                <w:highlight w:val="none"/>
              </w:rPr>
              <w:t>法定代表人身份证明及授权委托书有效，符合询价通知书规定的格式，签署或盖章齐全。</w:t>
            </w:r>
          </w:p>
        </w:tc>
      </w:tr>
      <w:tr w14:paraId="0A66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19F2029">
            <w:pPr>
              <w:jc w:val="center"/>
              <w:rPr>
                <w:rFonts w:ascii="宋体" w:hAnsi="宋体" w:cs="宋体"/>
                <w:kern w:val="0"/>
                <w:sz w:val="21"/>
                <w:szCs w:val="21"/>
                <w:highlight w:val="none"/>
              </w:rPr>
            </w:pPr>
          </w:p>
        </w:tc>
        <w:tc>
          <w:tcPr>
            <w:tcW w:w="2694" w:type="dxa"/>
            <w:vAlign w:val="center"/>
          </w:tcPr>
          <w:p w14:paraId="26B7057D">
            <w:pPr>
              <w:rPr>
                <w:rFonts w:ascii="宋体" w:hAnsi="宋体" w:cs="宋体"/>
                <w:sz w:val="21"/>
                <w:szCs w:val="21"/>
                <w:highlight w:val="none"/>
                <w:lang w:val="zh-CN"/>
              </w:rPr>
            </w:pPr>
            <w:r>
              <w:rPr>
                <w:rFonts w:hint="eastAsia" w:ascii="宋体" w:hAnsi="宋体" w:cs="宋体"/>
                <w:sz w:val="21"/>
                <w:szCs w:val="21"/>
                <w:highlight w:val="none"/>
              </w:rPr>
              <w:t>响应</w:t>
            </w:r>
            <w:r>
              <w:rPr>
                <w:rFonts w:hint="eastAsia" w:ascii="宋体" w:hAnsi="宋体" w:cs="宋体"/>
                <w:sz w:val="21"/>
                <w:szCs w:val="21"/>
                <w:highlight w:val="none"/>
                <w:lang w:val="zh-CN"/>
              </w:rPr>
              <w:t>方案</w:t>
            </w:r>
          </w:p>
        </w:tc>
        <w:tc>
          <w:tcPr>
            <w:tcW w:w="6259" w:type="dxa"/>
            <w:vAlign w:val="center"/>
          </w:tcPr>
          <w:p w14:paraId="4F177E47">
            <w:pPr>
              <w:rPr>
                <w:rFonts w:ascii="宋体" w:hAnsi="宋体" w:cs="宋体"/>
                <w:kern w:val="0"/>
                <w:sz w:val="21"/>
                <w:szCs w:val="21"/>
                <w:highlight w:val="none"/>
              </w:rPr>
            </w:pPr>
            <w:r>
              <w:rPr>
                <w:rFonts w:hint="eastAsia" w:ascii="宋体" w:hAnsi="宋体" w:cs="宋体"/>
                <w:sz w:val="21"/>
                <w:szCs w:val="21"/>
                <w:highlight w:val="none"/>
                <w:lang w:val="zh-CN"/>
              </w:rPr>
              <w:t>只能有一个</w:t>
            </w:r>
            <w:r>
              <w:rPr>
                <w:rFonts w:hint="eastAsia" w:ascii="宋体" w:hAnsi="宋体" w:cs="宋体"/>
                <w:sz w:val="21"/>
                <w:szCs w:val="21"/>
                <w:highlight w:val="none"/>
              </w:rPr>
              <w:t>响应</w:t>
            </w:r>
            <w:r>
              <w:rPr>
                <w:rFonts w:hint="eastAsia" w:ascii="宋体" w:hAnsi="宋体" w:cs="宋体"/>
                <w:sz w:val="21"/>
                <w:szCs w:val="21"/>
                <w:highlight w:val="none"/>
                <w:lang w:val="zh-CN"/>
              </w:rPr>
              <w:t>方案。</w:t>
            </w:r>
          </w:p>
        </w:tc>
      </w:tr>
      <w:tr w14:paraId="3AD4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6F63077B">
            <w:pPr>
              <w:jc w:val="center"/>
              <w:rPr>
                <w:rFonts w:ascii="宋体" w:hAnsi="宋体" w:cs="宋体"/>
                <w:kern w:val="0"/>
                <w:sz w:val="21"/>
                <w:szCs w:val="21"/>
                <w:highlight w:val="none"/>
              </w:rPr>
            </w:pPr>
          </w:p>
        </w:tc>
        <w:tc>
          <w:tcPr>
            <w:tcW w:w="2694" w:type="dxa"/>
            <w:vAlign w:val="center"/>
          </w:tcPr>
          <w:p w14:paraId="186D7D39">
            <w:pPr>
              <w:rPr>
                <w:rFonts w:ascii="宋体" w:hAnsi="宋体" w:cs="宋体"/>
                <w:sz w:val="21"/>
                <w:szCs w:val="21"/>
                <w:highlight w:val="none"/>
                <w:lang w:val="zh-CN"/>
              </w:rPr>
            </w:pPr>
            <w:r>
              <w:rPr>
                <w:rFonts w:hint="eastAsia" w:ascii="宋体" w:hAnsi="宋体" w:cs="宋体"/>
                <w:sz w:val="21"/>
                <w:szCs w:val="21"/>
                <w:highlight w:val="none"/>
              </w:rPr>
              <w:t>报价唯一</w:t>
            </w:r>
          </w:p>
        </w:tc>
        <w:tc>
          <w:tcPr>
            <w:tcW w:w="6259" w:type="dxa"/>
            <w:vAlign w:val="center"/>
          </w:tcPr>
          <w:p w14:paraId="531E3B70">
            <w:pPr>
              <w:rPr>
                <w:rFonts w:ascii="宋体" w:hAnsi="宋体" w:cs="宋体"/>
                <w:kern w:val="0"/>
                <w:sz w:val="21"/>
                <w:szCs w:val="21"/>
                <w:highlight w:val="none"/>
              </w:rPr>
            </w:pPr>
            <w:r>
              <w:rPr>
                <w:rFonts w:hint="eastAsia" w:ascii="宋体" w:hAnsi="宋体" w:cs="宋体"/>
                <w:sz w:val="21"/>
                <w:szCs w:val="21"/>
                <w:highlight w:val="none"/>
              </w:rPr>
              <w:t>只能有一个有效报价，不得提交选择性报价。</w:t>
            </w:r>
          </w:p>
        </w:tc>
      </w:tr>
      <w:tr w14:paraId="603C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5D522F32">
            <w:pPr>
              <w:jc w:val="center"/>
              <w:rPr>
                <w:rFonts w:ascii="宋体" w:hAnsi="宋体" w:cs="宋体"/>
                <w:kern w:val="0"/>
                <w:sz w:val="21"/>
                <w:szCs w:val="21"/>
                <w:highlight w:val="none"/>
              </w:rPr>
            </w:pPr>
            <w:r>
              <w:rPr>
                <w:rFonts w:hint="eastAsia" w:ascii="宋体" w:hAnsi="宋体" w:cs="宋体"/>
                <w:kern w:val="0"/>
                <w:sz w:val="21"/>
                <w:szCs w:val="21"/>
                <w:highlight w:val="none"/>
              </w:rPr>
              <w:t>2</w:t>
            </w:r>
          </w:p>
        </w:tc>
        <w:tc>
          <w:tcPr>
            <w:tcW w:w="2694" w:type="dxa"/>
            <w:vAlign w:val="center"/>
          </w:tcPr>
          <w:p w14:paraId="24830ED7">
            <w:pPr>
              <w:rPr>
                <w:rFonts w:ascii="宋体" w:hAnsi="宋体" w:cs="宋体"/>
                <w:kern w:val="0"/>
                <w:sz w:val="21"/>
                <w:szCs w:val="21"/>
                <w:highlight w:val="none"/>
              </w:rPr>
            </w:pPr>
            <w:r>
              <w:rPr>
                <w:rFonts w:hint="eastAsia" w:ascii="宋体" w:hAnsi="宋体" w:cs="宋体"/>
                <w:sz w:val="21"/>
                <w:szCs w:val="21"/>
                <w:highlight w:val="none"/>
              </w:rPr>
              <w:t>响应文件</w:t>
            </w:r>
            <w:r>
              <w:rPr>
                <w:rFonts w:hint="eastAsia" w:ascii="宋体" w:hAnsi="宋体" w:cs="宋体"/>
                <w:sz w:val="21"/>
                <w:szCs w:val="21"/>
                <w:highlight w:val="none"/>
                <w:lang w:val="zh-CN"/>
              </w:rPr>
              <w:t>份数</w:t>
            </w:r>
          </w:p>
        </w:tc>
        <w:tc>
          <w:tcPr>
            <w:tcW w:w="6259" w:type="dxa"/>
            <w:vAlign w:val="center"/>
          </w:tcPr>
          <w:p w14:paraId="1085D134">
            <w:pPr>
              <w:rPr>
                <w:rFonts w:ascii="宋体" w:hAnsi="宋体" w:cs="宋体"/>
                <w:kern w:val="0"/>
                <w:sz w:val="21"/>
                <w:szCs w:val="21"/>
                <w:highlight w:val="none"/>
              </w:rPr>
            </w:pPr>
            <w:r>
              <w:rPr>
                <w:rFonts w:hint="eastAsia" w:ascii="宋体" w:hAnsi="宋体" w:cs="宋体"/>
                <w:sz w:val="21"/>
                <w:szCs w:val="21"/>
                <w:highlight w:val="none"/>
              </w:rPr>
              <w:t>响应文件</w:t>
            </w:r>
            <w:r>
              <w:rPr>
                <w:rFonts w:hint="eastAsia" w:ascii="宋体" w:hAnsi="宋体" w:cs="宋体"/>
                <w:sz w:val="21"/>
                <w:szCs w:val="21"/>
                <w:highlight w:val="none"/>
                <w:lang w:val="zh-CN"/>
              </w:rPr>
              <w:t>正、副本数量符合</w:t>
            </w:r>
            <w:r>
              <w:rPr>
                <w:rFonts w:hint="eastAsia" w:ascii="宋体" w:hAnsi="宋体" w:cs="宋体"/>
                <w:sz w:val="21"/>
                <w:szCs w:val="21"/>
                <w:highlight w:val="none"/>
              </w:rPr>
              <w:t>询价通知书</w:t>
            </w:r>
            <w:r>
              <w:rPr>
                <w:rFonts w:hint="eastAsia" w:ascii="宋体" w:hAnsi="宋体" w:cs="宋体"/>
                <w:sz w:val="21"/>
                <w:szCs w:val="21"/>
                <w:highlight w:val="none"/>
                <w:lang w:val="zh-CN"/>
              </w:rPr>
              <w:t>要求。</w:t>
            </w:r>
          </w:p>
        </w:tc>
      </w:tr>
      <w:tr w14:paraId="694D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A4CF6B5">
            <w:pPr>
              <w:jc w:val="center"/>
              <w:rPr>
                <w:rFonts w:ascii="宋体" w:hAnsi="宋体" w:cs="宋体"/>
                <w:kern w:val="0"/>
                <w:sz w:val="21"/>
                <w:szCs w:val="21"/>
                <w:highlight w:val="none"/>
              </w:rPr>
            </w:pPr>
            <w:r>
              <w:rPr>
                <w:rFonts w:hint="eastAsia" w:ascii="宋体" w:hAnsi="宋体" w:cs="宋体"/>
                <w:kern w:val="0"/>
                <w:sz w:val="21"/>
                <w:szCs w:val="21"/>
                <w:highlight w:val="none"/>
              </w:rPr>
              <w:t>3</w:t>
            </w:r>
          </w:p>
        </w:tc>
        <w:tc>
          <w:tcPr>
            <w:tcW w:w="2694" w:type="dxa"/>
            <w:vAlign w:val="center"/>
          </w:tcPr>
          <w:p w14:paraId="5DA4B7AE">
            <w:pPr>
              <w:rPr>
                <w:rFonts w:ascii="宋体" w:hAnsi="宋体" w:cs="宋体"/>
                <w:kern w:val="0"/>
                <w:sz w:val="21"/>
                <w:szCs w:val="21"/>
                <w:highlight w:val="none"/>
              </w:rPr>
            </w:pPr>
            <w:r>
              <w:rPr>
                <w:rFonts w:hint="eastAsia" w:ascii="宋体" w:hAnsi="宋体" w:cs="宋体"/>
                <w:kern w:val="0"/>
                <w:sz w:val="21"/>
                <w:szCs w:val="21"/>
                <w:highlight w:val="none"/>
              </w:rPr>
              <w:t>响应文件内容</w:t>
            </w:r>
          </w:p>
        </w:tc>
        <w:tc>
          <w:tcPr>
            <w:tcW w:w="6259" w:type="dxa"/>
            <w:vAlign w:val="center"/>
          </w:tcPr>
          <w:p w14:paraId="71999C1D">
            <w:pPr>
              <w:pStyle w:val="11"/>
              <w:rPr>
                <w:rFonts w:ascii="宋体" w:hAnsi="宋体" w:cs="宋体"/>
                <w:kern w:val="0"/>
                <w:sz w:val="21"/>
                <w:szCs w:val="21"/>
                <w:highlight w:val="none"/>
              </w:rPr>
            </w:pPr>
            <w:r>
              <w:rPr>
                <w:rFonts w:hint="eastAsia" w:ascii="宋体" w:hAnsi="宋体" w:cs="宋体"/>
                <w:kern w:val="0"/>
                <w:sz w:val="21"/>
                <w:szCs w:val="21"/>
                <w:highlight w:val="none"/>
              </w:rPr>
              <w:t>对询价通知书第二篇、第三篇全部询价内容进行实质性响应。</w:t>
            </w:r>
          </w:p>
        </w:tc>
      </w:tr>
      <w:tr w14:paraId="6F91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1B0960B">
            <w:pPr>
              <w:jc w:val="center"/>
              <w:rPr>
                <w:rFonts w:ascii="宋体" w:hAnsi="宋体" w:cs="宋体"/>
                <w:kern w:val="0"/>
                <w:sz w:val="21"/>
                <w:szCs w:val="21"/>
                <w:highlight w:val="none"/>
              </w:rPr>
            </w:pPr>
          </w:p>
        </w:tc>
        <w:tc>
          <w:tcPr>
            <w:tcW w:w="2694" w:type="dxa"/>
            <w:vAlign w:val="center"/>
          </w:tcPr>
          <w:p w14:paraId="34AAD547">
            <w:pPr>
              <w:rPr>
                <w:rFonts w:ascii="宋体" w:hAnsi="宋体" w:cs="宋体"/>
                <w:kern w:val="0"/>
                <w:sz w:val="21"/>
                <w:szCs w:val="21"/>
                <w:highlight w:val="none"/>
              </w:rPr>
            </w:pPr>
            <w:r>
              <w:rPr>
                <w:rFonts w:hint="eastAsia" w:ascii="宋体" w:hAnsi="宋体" w:cs="宋体"/>
                <w:kern w:val="0"/>
                <w:sz w:val="21"/>
                <w:szCs w:val="21"/>
                <w:highlight w:val="none"/>
              </w:rPr>
              <w:t>询价有效期</w:t>
            </w:r>
          </w:p>
        </w:tc>
        <w:tc>
          <w:tcPr>
            <w:tcW w:w="6259" w:type="dxa"/>
            <w:vAlign w:val="center"/>
          </w:tcPr>
          <w:p w14:paraId="2BED58DA">
            <w:pPr>
              <w:rPr>
                <w:rFonts w:ascii="宋体" w:hAnsi="宋体" w:cs="宋体"/>
                <w:kern w:val="0"/>
                <w:sz w:val="21"/>
                <w:szCs w:val="21"/>
                <w:highlight w:val="none"/>
              </w:rPr>
            </w:pPr>
            <w:r>
              <w:rPr>
                <w:rFonts w:hint="eastAsia" w:ascii="宋体" w:hAnsi="宋体" w:cs="宋体"/>
                <w:kern w:val="0"/>
                <w:sz w:val="21"/>
                <w:szCs w:val="21"/>
                <w:highlight w:val="none"/>
              </w:rPr>
              <w:t>响应文件及有关承诺文件有效期为提交响应文件截止时间起90天。</w:t>
            </w:r>
          </w:p>
        </w:tc>
      </w:tr>
    </w:tbl>
    <w:p w14:paraId="07C0EBCF">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DBAD6B2">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681EA82F">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（四）评审的依据为询价通知书和响应文件（含有效的补充文件）。询价小组判断响应文件对询价通知书的响应，仅基于响应文件本身而不靠外部证据。</w:t>
      </w:r>
    </w:p>
    <w:p w14:paraId="768480B9">
      <w:pPr>
        <w:pStyle w:val="5"/>
        <w:adjustRightInd w:val="0"/>
        <w:snapToGrid w:val="0"/>
        <w:spacing w:before="0" w:after="0" w:line="400" w:lineRule="exact"/>
        <w:ind w:firstLine="482" w:firstLineChars="200"/>
        <w:rPr>
          <w:rFonts w:ascii="宋体" w:hAnsi="宋体" w:eastAsia="宋体" w:cs="宋体"/>
          <w:sz w:val="24"/>
          <w:highlight w:val="none"/>
        </w:rPr>
      </w:pPr>
      <w:bookmarkStart w:id="139" w:name="_Toc64732013"/>
      <w:bookmarkStart w:id="140" w:name="_Toc65660351"/>
      <w:bookmarkStart w:id="141" w:name="_Toc5149"/>
      <w:bookmarkStart w:id="142" w:name="_Toc11713"/>
      <w:bookmarkStart w:id="143" w:name="_Toc30639"/>
      <w:bookmarkStart w:id="144" w:name="_Toc106034791"/>
      <w:bookmarkStart w:id="145" w:name="_Toc22746"/>
      <w:r>
        <w:rPr>
          <w:rFonts w:hint="eastAsia" w:ascii="宋体" w:hAnsi="宋体" w:eastAsia="宋体" w:cs="宋体"/>
          <w:sz w:val="24"/>
          <w:highlight w:val="none"/>
        </w:rPr>
        <w:t>二、评定成交的标准</w:t>
      </w:r>
      <w:bookmarkEnd w:id="139"/>
      <w:bookmarkEnd w:id="140"/>
      <w:bookmarkEnd w:id="141"/>
      <w:bookmarkEnd w:id="142"/>
      <w:bookmarkEnd w:id="143"/>
      <w:bookmarkEnd w:id="144"/>
      <w:bookmarkEnd w:id="145"/>
    </w:p>
    <w:p w14:paraId="0167277B">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（一）询价小组将依照本询价通知书相关规定对技术（质量）和服务均能满足实质性响应要求的供应商所提交的报价按照由低到高的顺序提出3名以上成交候选人，并编写评审报告。</w:t>
      </w:r>
    </w:p>
    <w:p w14:paraId="70480BB1">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（二）若供应商的报价相同，按技术（质量）的优劣顺序排列；以上相同的，按服务条款的优劣顺序排列；以上都相同的由采购人委托评审</w:t>
      </w:r>
      <w:r>
        <w:rPr>
          <w:rFonts w:hint="eastAsia" w:ascii="宋体" w:hAnsi="宋体" w:cs="宋体"/>
          <w:sz w:val="24"/>
          <w:szCs w:val="24"/>
          <w:highlight w:val="none"/>
          <w:lang w:val="en-US" w:eastAsia="zh-CN"/>
        </w:rPr>
        <w:t>小组</w:t>
      </w:r>
      <w:bookmarkStart w:id="302" w:name="_GoBack"/>
      <w:bookmarkEnd w:id="302"/>
      <w:r>
        <w:rPr>
          <w:rFonts w:hint="eastAsia" w:ascii="宋体" w:hAnsi="宋体" w:cs="宋体"/>
          <w:sz w:val="24"/>
          <w:szCs w:val="24"/>
          <w:highlight w:val="none"/>
        </w:rPr>
        <w:t>随机抽取。</w:t>
      </w:r>
    </w:p>
    <w:p w14:paraId="730A855D">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（三）成交价格=成交供应商的报价。</w:t>
      </w:r>
    </w:p>
    <w:p w14:paraId="2799FB5D">
      <w:pPr>
        <w:pStyle w:val="5"/>
        <w:adjustRightInd w:val="0"/>
        <w:snapToGrid w:val="0"/>
        <w:spacing w:before="0" w:after="0" w:line="400" w:lineRule="exact"/>
        <w:ind w:firstLine="482" w:firstLineChars="200"/>
        <w:rPr>
          <w:rFonts w:ascii="宋体" w:hAnsi="宋体" w:eastAsia="宋体" w:cs="宋体"/>
          <w:sz w:val="24"/>
          <w:highlight w:val="none"/>
        </w:rPr>
      </w:pPr>
      <w:bookmarkStart w:id="146" w:name="_Toc29113"/>
      <w:bookmarkStart w:id="147" w:name="_Toc65660352"/>
      <w:bookmarkStart w:id="148" w:name="_Toc12644"/>
      <w:bookmarkStart w:id="149" w:name="_Toc11196"/>
      <w:bookmarkStart w:id="150" w:name="_Toc19473"/>
      <w:bookmarkStart w:id="151" w:name="_Toc106034792"/>
      <w:r>
        <w:rPr>
          <w:rFonts w:hint="eastAsia" w:ascii="宋体" w:hAnsi="宋体" w:eastAsia="宋体" w:cs="宋体"/>
          <w:sz w:val="24"/>
          <w:highlight w:val="none"/>
        </w:rPr>
        <w:t>三、无效</w:t>
      </w:r>
      <w:bookmarkEnd w:id="146"/>
      <w:bookmarkEnd w:id="147"/>
      <w:bookmarkEnd w:id="148"/>
      <w:r>
        <w:rPr>
          <w:rFonts w:hint="eastAsia" w:ascii="宋体" w:hAnsi="宋体" w:eastAsia="宋体" w:cs="宋体"/>
          <w:sz w:val="24"/>
          <w:highlight w:val="none"/>
        </w:rPr>
        <w:t>报价</w:t>
      </w:r>
      <w:bookmarkEnd w:id="149"/>
      <w:bookmarkEnd w:id="150"/>
      <w:bookmarkEnd w:id="151"/>
    </w:p>
    <w:p w14:paraId="1AD630E6">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供应商发生以下条款情况之一者，视为无效报价：</w:t>
      </w:r>
    </w:p>
    <w:p w14:paraId="72BF88C7">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（一）供应商不符合规定的资格条件的；</w:t>
      </w:r>
    </w:p>
    <w:p w14:paraId="0914DE7A">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（二）供应商未通过实质性响应审查的；</w:t>
      </w:r>
    </w:p>
    <w:p w14:paraId="414B09AB">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（三）供应商未在保证金到账截止时间前足额交纳所参与包保证金的；</w:t>
      </w:r>
    </w:p>
    <w:p w14:paraId="41A41907">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（四）供应商所提交的响应文件未按“第七篇响应文件格式要求”要求签署或盖章的；</w:t>
      </w:r>
    </w:p>
    <w:p w14:paraId="58A5DA95">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（五）供应商的报价超过采购预算或最高限价的；</w:t>
      </w:r>
    </w:p>
    <w:p w14:paraId="0477218B">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（六）供应商不接受询价小组修正后的价格的；</w:t>
      </w:r>
    </w:p>
    <w:p w14:paraId="42E2AF09">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（七）单位负责人为同一人或者存在直接控股、管理关系的不同供应商，参加同一合同项（包）报价的；</w:t>
      </w:r>
    </w:p>
    <w:p w14:paraId="39CF82D6">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（八）为采购项目提供整体设计、规范编制或者项目管理、监理、检测等服务的供应商再参加该采购项目的其他采购活动的；</w:t>
      </w:r>
    </w:p>
    <w:p w14:paraId="250BC8FC">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（九）同一合同项（包）下的货物，制造商参与报价，再委托代理商参与报价的；</w:t>
      </w:r>
    </w:p>
    <w:p w14:paraId="178986EB">
      <w:pPr>
        <w:pStyle w:val="12"/>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（十）供应商响应文件内容有与国家现行法律法规相违背的内容，或附有采购人无法接受条件的；</w:t>
      </w:r>
    </w:p>
    <w:p w14:paraId="268CB43A">
      <w:pPr>
        <w:pStyle w:val="12"/>
        <w:spacing w:line="400" w:lineRule="exact"/>
        <w:rPr>
          <w:rFonts w:ascii="宋体" w:hAnsi="宋体" w:cs="宋体"/>
          <w:sz w:val="24"/>
          <w:szCs w:val="24"/>
          <w:highlight w:val="none"/>
        </w:rPr>
      </w:pPr>
      <w:r>
        <w:rPr>
          <w:rFonts w:hint="eastAsia" w:ascii="宋体" w:hAnsi="宋体" w:cs="宋体"/>
          <w:sz w:val="24"/>
          <w:szCs w:val="24"/>
          <w:highlight w:val="none"/>
        </w:rPr>
        <w:t>（十一）法律、法规和询价通知书规定的其他无效情形。</w:t>
      </w:r>
    </w:p>
    <w:p w14:paraId="72EE15AB">
      <w:pPr>
        <w:pStyle w:val="5"/>
        <w:adjustRightInd w:val="0"/>
        <w:snapToGrid w:val="0"/>
        <w:spacing w:before="0" w:after="0" w:line="400" w:lineRule="exact"/>
        <w:ind w:firstLine="482" w:firstLineChars="200"/>
        <w:rPr>
          <w:rFonts w:ascii="宋体" w:hAnsi="宋体" w:eastAsia="宋体" w:cs="宋体"/>
          <w:sz w:val="24"/>
          <w:highlight w:val="none"/>
        </w:rPr>
      </w:pPr>
      <w:bookmarkStart w:id="152" w:name="_Toc22716"/>
      <w:bookmarkStart w:id="153" w:name="_Toc26571"/>
      <w:bookmarkStart w:id="154" w:name="_Toc28422"/>
      <w:bookmarkStart w:id="155" w:name="_Toc65660353"/>
      <w:bookmarkStart w:id="156" w:name="_Toc106034793"/>
      <w:bookmarkStart w:id="157" w:name="_Toc29298"/>
      <w:r>
        <w:rPr>
          <w:rFonts w:hint="eastAsia" w:ascii="宋体" w:hAnsi="宋体" w:eastAsia="宋体" w:cs="宋体"/>
          <w:sz w:val="24"/>
          <w:highlight w:val="none"/>
        </w:rPr>
        <w:t>四、采购终止</w:t>
      </w:r>
      <w:bookmarkEnd w:id="152"/>
      <w:bookmarkEnd w:id="153"/>
      <w:bookmarkEnd w:id="154"/>
      <w:bookmarkEnd w:id="155"/>
      <w:bookmarkEnd w:id="156"/>
      <w:bookmarkEnd w:id="157"/>
    </w:p>
    <w:p w14:paraId="129C5B76">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出现下列情形之一的，采购人或者采购代理机构应当终止询价采购活动，发布项目终止公告并说明原因，重新开展采购活动：</w:t>
      </w:r>
    </w:p>
    <w:p w14:paraId="08A6BCBD">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（一）因情况变化，不再符合规定的询价采购方式适用情形的；</w:t>
      </w:r>
    </w:p>
    <w:p w14:paraId="4F289FCC">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（二）出现影响采购公正的违法、违规行为的；</w:t>
      </w:r>
    </w:p>
    <w:p w14:paraId="0F33011F">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（三）在采购过程中符合竞争要求的供应商或者报价未超过采购预算的供应商不足3家的。</w:t>
      </w:r>
    </w:p>
    <w:p w14:paraId="7C041AC9">
      <w:pPr>
        <w:pStyle w:val="4"/>
        <w:spacing w:before="0" w:after="0" w:line="360" w:lineRule="auto"/>
        <w:jc w:val="center"/>
        <w:rPr>
          <w:rFonts w:ascii="宋体" w:hAnsi="宋体" w:cs="宋体"/>
          <w:b w:val="0"/>
          <w:sz w:val="36"/>
          <w:szCs w:val="30"/>
          <w:highlight w:val="none"/>
        </w:rPr>
      </w:pPr>
      <w:r>
        <w:rPr>
          <w:rFonts w:hint="eastAsia" w:ascii="宋体" w:hAnsi="宋体" w:cs="宋体"/>
          <w:sz w:val="24"/>
          <w:szCs w:val="24"/>
          <w:highlight w:val="none"/>
        </w:rPr>
        <w:br w:type="page"/>
      </w:r>
      <w:bookmarkStart w:id="158" w:name="_Toc65660354"/>
      <w:bookmarkStart w:id="159" w:name="_Toc106034794"/>
      <w:bookmarkStart w:id="160" w:name="_Toc20055"/>
      <w:bookmarkStart w:id="161" w:name="_Toc8916"/>
      <w:bookmarkStart w:id="162" w:name="_Toc10768"/>
      <w:bookmarkStart w:id="163" w:name="_Toc23341"/>
      <w:r>
        <w:rPr>
          <w:rFonts w:hint="eastAsia" w:ascii="宋体" w:hAnsi="宋体" w:cs="宋体"/>
          <w:b w:val="0"/>
          <w:sz w:val="36"/>
          <w:szCs w:val="30"/>
          <w:highlight w:val="none"/>
        </w:rPr>
        <w:t>第五篇  供应商须知</w:t>
      </w:r>
      <w:bookmarkEnd w:id="158"/>
      <w:bookmarkEnd w:id="159"/>
      <w:bookmarkEnd w:id="160"/>
      <w:bookmarkEnd w:id="161"/>
      <w:bookmarkEnd w:id="162"/>
      <w:bookmarkEnd w:id="163"/>
    </w:p>
    <w:p w14:paraId="1DE29C57">
      <w:pPr>
        <w:pStyle w:val="5"/>
        <w:adjustRightInd w:val="0"/>
        <w:snapToGrid w:val="0"/>
        <w:spacing w:before="0" w:after="0" w:line="400" w:lineRule="exact"/>
        <w:ind w:firstLine="482" w:firstLineChars="200"/>
        <w:rPr>
          <w:rFonts w:ascii="宋体" w:hAnsi="宋体" w:eastAsia="宋体" w:cs="宋体"/>
          <w:sz w:val="24"/>
          <w:highlight w:val="none"/>
        </w:rPr>
      </w:pPr>
      <w:bookmarkStart w:id="164" w:name="_Toc65660355"/>
      <w:bookmarkStart w:id="165" w:name="_Toc16524"/>
      <w:bookmarkStart w:id="166" w:name="_Toc106034795"/>
      <w:bookmarkStart w:id="167" w:name="_Toc5290"/>
      <w:bookmarkStart w:id="168" w:name="_Toc2864"/>
      <w:bookmarkStart w:id="169" w:name="_Toc14123"/>
      <w:r>
        <w:rPr>
          <w:rFonts w:hint="eastAsia" w:ascii="宋体" w:hAnsi="宋体" w:eastAsia="宋体" w:cs="宋体"/>
          <w:sz w:val="24"/>
          <w:highlight w:val="none"/>
        </w:rPr>
        <w:t>一、询价费用</w:t>
      </w:r>
      <w:bookmarkEnd w:id="164"/>
      <w:bookmarkEnd w:id="165"/>
      <w:bookmarkEnd w:id="166"/>
      <w:bookmarkEnd w:id="167"/>
      <w:bookmarkEnd w:id="168"/>
      <w:bookmarkEnd w:id="169"/>
    </w:p>
    <w:p w14:paraId="0352561D">
      <w:pPr>
        <w:pStyle w:val="27"/>
        <w:spacing w:line="400" w:lineRule="exact"/>
        <w:ind w:firstLine="480" w:firstLineChars="200"/>
        <w:rPr>
          <w:rFonts w:hAnsi="宋体" w:cs="宋体"/>
          <w:sz w:val="24"/>
          <w:szCs w:val="24"/>
          <w:highlight w:val="none"/>
        </w:rPr>
      </w:pPr>
      <w:r>
        <w:rPr>
          <w:rFonts w:hint="eastAsia" w:hAnsi="宋体" w:cs="宋体"/>
          <w:sz w:val="24"/>
          <w:szCs w:val="24"/>
          <w:highlight w:val="none"/>
        </w:rPr>
        <w:t>参与报价的供应商应承担其编制响应文件与递交响应文件所涉及的一切费用，不论询价结果如何，采购人和采购代理机构在任何情况下无义务也无责任承担这些费用。</w:t>
      </w:r>
    </w:p>
    <w:p w14:paraId="18C88659">
      <w:pPr>
        <w:pStyle w:val="5"/>
        <w:adjustRightInd w:val="0"/>
        <w:snapToGrid w:val="0"/>
        <w:spacing w:before="0" w:after="0" w:line="400" w:lineRule="exact"/>
        <w:ind w:firstLine="482" w:firstLineChars="200"/>
        <w:rPr>
          <w:rFonts w:ascii="宋体" w:hAnsi="宋体" w:eastAsia="宋体" w:cs="宋体"/>
          <w:sz w:val="24"/>
          <w:highlight w:val="none"/>
        </w:rPr>
      </w:pPr>
      <w:bookmarkStart w:id="170" w:name="_Toc9650"/>
      <w:bookmarkStart w:id="171" w:name="_Toc106034796"/>
      <w:bookmarkStart w:id="172" w:name="_Toc5915"/>
      <w:bookmarkStart w:id="173" w:name="_Toc31739"/>
      <w:bookmarkStart w:id="174" w:name="_Toc65660356"/>
      <w:bookmarkStart w:id="175" w:name="_Toc31070"/>
      <w:r>
        <w:rPr>
          <w:rFonts w:hint="eastAsia" w:ascii="宋体" w:hAnsi="宋体" w:eastAsia="宋体" w:cs="宋体"/>
          <w:sz w:val="24"/>
          <w:highlight w:val="none"/>
        </w:rPr>
        <w:t>二、询价通知书</w:t>
      </w:r>
      <w:bookmarkEnd w:id="170"/>
      <w:bookmarkEnd w:id="171"/>
      <w:bookmarkEnd w:id="172"/>
      <w:bookmarkEnd w:id="173"/>
      <w:bookmarkEnd w:id="174"/>
      <w:bookmarkEnd w:id="175"/>
      <w:r>
        <w:rPr>
          <w:rFonts w:hint="eastAsia" w:ascii="宋体" w:hAnsi="宋体" w:eastAsia="宋体" w:cs="宋体"/>
          <w:sz w:val="24"/>
          <w:highlight w:val="none"/>
        </w:rPr>
        <w:tab/>
      </w:r>
    </w:p>
    <w:p w14:paraId="4FA49C05">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（一）询价通知书由询价采购邀请书、询价项目技术（质量）需求、询价项目服务需求、采购程序、评定成交的标准、无效报价及采购终止、供应商须知、合同草案条款、响应文件格式要求七部分组成。</w:t>
      </w:r>
    </w:p>
    <w:p w14:paraId="77B9018D">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（二）采购人（或采购代理机构）所作的一切有效的书面通知、修改及补充，都是询价通知书不可分割的部分。</w:t>
      </w:r>
    </w:p>
    <w:p w14:paraId="3BB1DD8E">
      <w:pPr>
        <w:pStyle w:val="5"/>
        <w:adjustRightInd w:val="0"/>
        <w:snapToGrid w:val="0"/>
        <w:spacing w:before="0" w:after="0" w:line="400" w:lineRule="exact"/>
        <w:ind w:firstLine="482" w:firstLineChars="200"/>
        <w:rPr>
          <w:rFonts w:ascii="宋体" w:hAnsi="宋体" w:eastAsia="宋体" w:cs="宋体"/>
          <w:sz w:val="24"/>
          <w:highlight w:val="none"/>
        </w:rPr>
      </w:pPr>
      <w:bookmarkStart w:id="176" w:name="_Toc9532"/>
      <w:bookmarkStart w:id="177" w:name="_Toc1922"/>
      <w:bookmarkStart w:id="178" w:name="_Toc65660357"/>
      <w:bookmarkStart w:id="179" w:name="_Toc9159"/>
      <w:bookmarkStart w:id="180" w:name="_Toc106034797"/>
      <w:bookmarkStart w:id="181" w:name="_Toc3061"/>
      <w:r>
        <w:rPr>
          <w:rFonts w:hint="eastAsia" w:ascii="宋体" w:hAnsi="宋体" w:eastAsia="宋体" w:cs="宋体"/>
          <w:sz w:val="24"/>
          <w:highlight w:val="none"/>
        </w:rPr>
        <w:t>三、报价要求</w:t>
      </w:r>
      <w:bookmarkEnd w:id="176"/>
      <w:bookmarkEnd w:id="177"/>
      <w:bookmarkEnd w:id="178"/>
      <w:bookmarkEnd w:id="179"/>
      <w:bookmarkEnd w:id="180"/>
      <w:bookmarkEnd w:id="181"/>
    </w:p>
    <w:p w14:paraId="7409858B">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（一）响应文件</w:t>
      </w:r>
    </w:p>
    <w:p w14:paraId="56F9C7A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供应商应当按照询价通知书的要求编制响应文件，并对询价通知书提出的要求和条件作出实质性响应，响应文件原则上采用软面订本。</w:t>
      </w:r>
    </w:p>
    <w:p w14:paraId="66121D6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1.响应文件组成</w:t>
      </w:r>
    </w:p>
    <w:p w14:paraId="36766B4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550F88E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3.报价有效期：响应文件及有关承诺文件有效期为提交响应文件截止时间起90天。</w:t>
      </w:r>
    </w:p>
    <w:p w14:paraId="0E20D8A0">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（二）保证金：</w:t>
      </w:r>
    </w:p>
    <w:p w14:paraId="309490E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1.供应商提交保证金金额和方式详见“</w:t>
      </w:r>
      <w:r>
        <w:rPr>
          <w:rFonts w:hint="eastAsia" w:ascii="宋体" w:hAnsi="宋体" w:cs="宋体"/>
          <w:b/>
          <w:sz w:val="24"/>
          <w:szCs w:val="24"/>
          <w:highlight w:val="none"/>
          <w:u w:val="single"/>
        </w:rPr>
        <w:t>第一篇  五、保证金”</w:t>
      </w:r>
      <w:r>
        <w:rPr>
          <w:rFonts w:hint="eastAsia" w:ascii="宋体" w:hAnsi="宋体" w:cs="宋体"/>
          <w:sz w:val="24"/>
          <w:szCs w:val="24"/>
          <w:highlight w:val="none"/>
        </w:rPr>
        <w:t>；</w:t>
      </w:r>
    </w:p>
    <w:p w14:paraId="4A337872">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2.发生以下情况之一者，保证金不予退还：</w:t>
      </w:r>
    </w:p>
    <w:p w14:paraId="4916A40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2.1供应商在提交响应文件截止时间后撤回响应文件的；</w:t>
      </w:r>
    </w:p>
    <w:p w14:paraId="5BC7B3C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2.2供应商在响应文件中提供虚假材料的；</w:t>
      </w:r>
    </w:p>
    <w:p w14:paraId="518DB32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2.3除因不可抗力或询价通知书认可的情形以外，成交供应商不与采购人签订合同的；</w:t>
      </w:r>
    </w:p>
    <w:p w14:paraId="43E6C73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2.4供应商与采购人、其他供应商或者采购代理机构恶意串通的；</w:t>
      </w:r>
    </w:p>
    <w:p w14:paraId="0308D11D">
      <w:pPr>
        <w:spacing w:line="400" w:lineRule="exact"/>
        <w:ind w:firstLine="480" w:firstLineChars="200"/>
        <w:rPr>
          <w:rFonts w:ascii="宋体" w:hAnsi="宋体" w:cs="宋体"/>
          <w:sz w:val="24"/>
          <w:szCs w:val="24"/>
          <w:highlight w:val="none"/>
        </w:rPr>
      </w:pPr>
      <w:bookmarkStart w:id="182" w:name="auto_fouce_17"/>
      <w:r>
        <w:rPr>
          <w:rFonts w:hint="eastAsia" w:ascii="宋体" w:hAnsi="宋体" w:cs="宋体"/>
          <w:sz w:val="24"/>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bookmarkEnd w:id="182"/>
    </w:p>
    <w:p w14:paraId="33BDDFE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highlight w:val="none"/>
        </w:rPr>
        <w:t>保证金的有效期限在</w:t>
      </w:r>
      <w:r>
        <w:rPr>
          <w:rFonts w:hint="eastAsia" w:ascii="宋体" w:hAnsi="宋体" w:cs="宋体"/>
          <w:sz w:val="24"/>
          <w:szCs w:val="24"/>
          <w:highlight w:val="none"/>
        </w:rPr>
        <w:t>报价有效期</w:t>
      </w:r>
      <w:r>
        <w:rPr>
          <w:rFonts w:hint="eastAsia" w:ascii="宋体" w:hAnsi="宋体" w:cs="宋体"/>
          <w:sz w:val="24"/>
          <w:highlight w:val="none"/>
        </w:rPr>
        <w:t>过后三十天继续有效。</w:t>
      </w:r>
    </w:p>
    <w:p w14:paraId="3ACD1B8B">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（三）修正错误</w:t>
      </w:r>
    </w:p>
    <w:p w14:paraId="773EB18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若供应商所递交的响应文件或报价中的价格出现大写金额和小写金额不一致的错误，以大写金额修正为准。</w:t>
      </w:r>
    </w:p>
    <w:p w14:paraId="6CD5F24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52A32BF2">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（四）提交响应文件的份数和签署</w:t>
      </w:r>
    </w:p>
    <w:p w14:paraId="5A5BC55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1.响应文件一式贰份，其中正本一份，副本一份；副本可为正本的复印件，应与正本一致，如出现不一致情况以正本为准。</w:t>
      </w:r>
    </w:p>
    <w:p w14:paraId="7D187EA6">
      <w:pPr>
        <w:snapToGrid w:val="0"/>
        <w:spacing w:line="400" w:lineRule="exact"/>
        <w:ind w:firstLine="480" w:firstLineChars="200"/>
        <w:rPr>
          <w:rFonts w:ascii="宋体" w:hAnsi="宋体" w:cs="宋体"/>
          <w:sz w:val="24"/>
          <w:highlight w:val="none"/>
        </w:rPr>
      </w:pPr>
      <w:r>
        <w:rPr>
          <w:rFonts w:hint="eastAsia" w:ascii="宋体" w:hAnsi="宋体" w:cs="宋体"/>
          <w:sz w:val="24"/>
          <w:szCs w:val="24"/>
          <w:highlight w:val="none"/>
        </w:rPr>
        <w:t>2.</w:t>
      </w:r>
      <w:r>
        <w:rPr>
          <w:rFonts w:hint="eastAsia" w:ascii="宋体" w:hAnsi="宋体" w:cs="宋体"/>
          <w:sz w:val="24"/>
          <w:highlight w:val="none"/>
        </w:rPr>
        <w:t>在响应文件正本中，询价通知书第七篇响应文件格式中规定签署、盖章的地方必须按其规定签署、盖章。</w:t>
      </w:r>
    </w:p>
    <w:p w14:paraId="0A7B5FAD">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3.若供应商对响应文件的错处作必要修改，则应在修改处加盖供应商公章或由法定代表人（或其授权代表）或自然人</w:t>
      </w:r>
      <w:r>
        <w:rPr>
          <w:rFonts w:hint="eastAsia" w:ascii="宋体" w:hAnsi="宋体" w:cs="宋体"/>
          <w:sz w:val="24"/>
          <w:szCs w:val="24"/>
          <w:highlight w:val="none"/>
        </w:rPr>
        <w:t>（供应商为自然人）签署</w:t>
      </w:r>
      <w:r>
        <w:rPr>
          <w:rFonts w:hint="eastAsia" w:ascii="宋体" w:hAnsi="宋体" w:cs="宋体"/>
          <w:sz w:val="24"/>
          <w:highlight w:val="none"/>
        </w:rPr>
        <w:t>确认。</w:t>
      </w:r>
    </w:p>
    <w:p w14:paraId="34F783D7">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4.电报、电话、传真形式的响应文件概不接受。</w:t>
      </w:r>
    </w:p>
    <w:p w14:paraId="545367EE">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（五）响应文件的递交</w:t>
      </w:r>
    </w:p>
    <w:p w14:paraId="7DFFB4D3">
      <w:pPr>
        <w:pStyle w:val="10"/>
        <w:spacing w:line="400" w:lineRule="exact"/>
        <w:ind w:firstLine="480" w:firstLineChars="200"/>
        <w:rPr>
          <w:rFonts w:hAnsi="宋体" w:cs="宋体"/>
          <w:sz w:val="24"/>
          <w:highlight w:val="none"/>
        </w:rPr>
      </w:pPr>
      <w:r>
        <w:rPr>
          <w:rFonts w:hint="eastAsia" w:hAnsi="宋体" w:cs="宋体"/>
          <w:sz w:val="24"/>
          <w:szCs w:val="24"/>
          <w:highlight w:val="none"/>
        </w:rPr>
        <w:t>响应文件的正本、副本均应密封送达报价地点，应在封套上注明询价项目名称、供应商名称。若正本、副本分别进行密封的，还应在封套上注明“正本”、“副本”字样。</w:t>
      </w:r>
    </w:p>
    <w:p w14:paraId="2A9C40A7">
      <w:pPr>
        <w:snapToGrid w:val="0"/>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（六）响应文件语言：简体中文</w:t>
      </w:r>
    </w:p>
    <w:p w14:paraId="6629AD2C">
      <w:pPr>
        <w:pStyle w:val="5"/>
        <w:adjustRightInd w:val="0"/>
        <w:snapToGrid w:val="0"/>
        <w:spacing w:before="0" w:after="0" w:line="400" w:lineRule="exact"/>
        <w:ind w:firstLine="482" w:firstLineChars="200"/>
        <w:rPr>
          <w:rFonts w:ascii="宋体" w:hAnsi="宋体" w:eastAsia="宋体" w:cs="宋体"/>
          <w:sz w:val="24"/>
          <w:highlight w:val="none"/>
        </w:rPr>
      </w:pPr>
      <w:bookmarkStart w:id="183" w:name="_Toc14702"/>
      <w:bookmarkStart w:id="184" w:name="_Toc6242"/>
      <w:bookmarkStart w:id="185" w:name="_Toc106034798"/>
      <w:bookmarkStart w:id="186" w:name="_Toc6397"/>
      <w:bookmarkStart w:id="187" w:name="_Toc10172"/>
      <w:bookmarkStart w:id="188" w:name="_Toc65660358"/>
      <w:r>
        <w:rPr>
          <w:rFonts w:hint="eastAsia" w:ascii="宋体" w:hAnsi="宋体" w:eastAsia="宋体" w:cs="宋体"/>
          <w:sz w:val="24"/>
          <w:highlight w:val="none"/>
        </w:rPr>
        <w:t>四、成交供应商的确定和变更</w:t>
      </w:r>
      <w:bookmarkEnd w:id="183"/>
      <w:bookmarkEnd w:id="184"/>
      <w:bookmarkEnd w:id="185"/>
      <w:bookmarkEnd w:id="186"/>
      <w:bookmarkEnd w:id="187"/>
      <w:bookmarkEnd w:id="188"/>
    </w:p>
    <w:p w14:paraId="62F62E4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22ABD64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（二）成交供应商的变更</w:t>
      </w:r>
    </w:p>
    <w:p w14:paraId="01EE41B3">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14:paraId="119A34CA">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2.成交供应商无充分理由放弃成交的，采购人将向同级财政部门报告，财政部门将根据相关法律法规的规定进行处理。</w:t>
      </w:r>
    </w:p>
    <w:p w14:paraId="68F68879">
      <w:pPr>
        <w:pStyle w:val="5"/>
        <w:adjustRightInd w:val="0"/>
        <w:snapToGrid w:val="0"/>
        <w:spacing w:before="0" w:after="0" w:line="400" w:lineRule="exact"/>
        <w:ind w:firstLine="482" w:firstLineChars="200"/>
        <w:rPr>
          <w:rFonts w:ascii="宋体" w:hAnsi="宋体" w:eastAsia="宋体" w:cs="宋体"/>
          <w:sz w:val="24"/>
          <w:highlight w:val="none"/>
        </w:rPr>
      </w:pPr>
      <w:bookmarkStart w:id="189" w:name="_Toc17831"/>
      <w:bookmarkStart w:id="190" w:name="_Toc10504"/>
      <w:bookmarkStart w:id="191" w:name="_Toc29821"/>
      <w:bookmarkStart w:id="192" w:name="_Toc65660359"/>
      <w:bookmarkStart w:id="193" w:name="_Toc106034799"/>
      <w:bookmarkStart w:id="194" w:name="_Toc1092"/>
      <w:r>
        <w:rPr>
          <w:rFonts w:hint="eastAsia" w:ascii="宋体" w:hAnsi="宋体" w:eastAsia="宋体" w:cs="宋体"/>
          <w:sz w:val="24"/>
          <w:highlight w:val="none"/>
        </w:rPr>
        <w:t>五、成交通知</w:t>
      </w:r>
      <w:bookmarkEnd w:id="189"/>
      <w:bookmarkEnd w:id="190"/>
      <w:bookmarkEnd w:id="191"/>
      <w:bookmarkEnd w:id="192"/>
      <w:bookmarkEnd w:id="193"/>
      <w:bookmarkEnd w:id="194"/>
    </w:p>
    <w:p w14:paraId="61DB67E9">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（一）成交供应商确定后，采购代理机构将在“行采家”</w:t>
      </w:r>
      <w:r>
        <w:rPr>
          <w:rFonts w:hint="eastAsia" w:ascii="宋体" w:hAnsi="宋体" w:cs="宋体"/>
          <w:sz w:val="24"/>
          <w:szCs w:val="24"/>
          <w:highlight w:val="none"/>
          <w:shd w:val="clear" w:color="auto" w:fill="FFFFFF"/>
        </w:rPr>
        <w:t>（</w:t>
      </w:r>
      <w:r>
        <w:rPr>
          <w:rFonts w:hint="eastAsia" w:ascii="宋体" w:hAnsi="宋体" w:cs="宋体"/>
          <w:i/>
          <w:iCs/>
          <w:sz w:val="24"/>
          <w:szCs w:val="24"/>
          <w:highlight w:val="none"/>
          <w:shd w:val="clear" w:color="auto" w:fill="FFFFFF"/>
        </w:rPr>
        <w:t>https://www.gec123.com）</w:t>
      </w:r>
      <w:r>
        <w:rPr>
          <w:rFonts w:hint="eastAsia" w:ascii="宋体" w:hAnsi="宋体" w:cs="宋体"/>
          <w:sz w:val="24"/>
          <w:szCs w:val="24"/>
          <w:highlight w:val="none"/>
        </w:rPr>
        <w:t>上发布成交结果公告。</w:t>
      </w:r>
    </w:p>
    <w:p w14:paraId="659252EB">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（二）结果公告发出同时，采购代理机构将以书面形式发出《成交通知书》。《成交通知书》一经发出即发生法律效力。</w:t>
      </w:r>
    </w:p>
    <w:p w14:paraId="5343284E">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（三）《成交通知书》将作为签订合同的依据。</w:t>
      </w:r>
    </w:p>
    <w:p w14:paraId="2C92F367">
      <w:pPr>
        <w:pStyle w:val="5"/>
        <w:adjustRightInd w:val="0"/>
        <w:snapToGrid w:val="0"/>
        <w:spacing w:before="0" w:after="0" w:line="400" w:lineRule="exact"/>
        <w:ind w:firstLine="482" w:firstLineChars="200"/>
        <w:rPr>
          <w:rFonts w:ascii="宋体" w:hAnsi="宋体" w:eastAsia="宋体" w:cs="宋体"/>
          <w:sz w:val="24"/>
          <w:highlight w:val="none"/>
        </w:rPr>
      </w:pPr>
      <w:bookmarkStart w:id="195" w:name="_Toc30909"/>
      <w:bookmarkStart w:id="196" w:name="_Toc31082"/>
      <w:bookmarkStart w:id="197" w:name="_Toc65660360"/>
      <w:bookmarkStart w:id="198" w:name="_Toc19127"/>
      <w:bookmarkStart w:id="199" w:name="_Toc1010"/>
      <w:bookmarkStart w:id="200" w:name="_Toc106034800"/>
      <w:r>
        <w:rPr>
          <w:rFonts w:hint="eastAsia" w:ascii="宋体" w:hAnsi="宋体" w:eastAsia="宋体" w:cs="宋体"/>
          <w:sz w:val="24"/>
          <w:highlight w:val="none"/>
        </w:rPr>
        <w:t>六、关于质疑</w:t>
      </w:r>
      <w:bookmarkEnd w:id="195"/>
      <w:bookmarkEnd w:id="196"/>
      <w:bookmarkEnd w:id="197"/>
      <w:bookmarkEnd w:id="198"/>
      <w:bookmarkEnd w:id="199"/>
      <w:bookmarkEnd w:id="200"/>
    </w:p>
    <w:p w14:paraId="665FD914">
      <w:pPr>
        <w:spacing w:line="400" w:lineRule="exact"/>
        <w:ind w:right="12" w:firstLine="480"/>
        <w:rPr>
          <w:rFonts w:ascii="宋体" w:hAnsi="宋体" w:cs="宋体"/>
          <w:sz w:val="24"/>
          <w:highlight w:val="none"/>
        </w:rPr>
      </w:pPr>
      <w:r>
        <w:rPr>
          <w:rFonts w:hint="eastAsia" w:ascii="宋体" w:hAnsi="宋体" w:cs="宋体"/>
          <w:sz w:val="24"/>
          <w:highlight w:val="none"/>
        </w:rPr>
        <w:t>供应商认为采购文件、采购过程和成交结果使自己的权益收到伤害的，可向采购人或采购代理机构以书面形式提出质疑。</w:t>
      </w:r>
    </w:p>
    <w:p w14:paraId="38532029">
      <w:pPr>
        <w:spacing w:line="400" w:lineRule="exact"/>
        <w:ind w:right="12" w:firstLine="480"/>
        <w:rPr>
          <w:rFonts w:ascii="宋体" w:hAnsi="宋体" w:cs="宋体"/>
          <w:sz w:val="24"/>
          <w:highlight w:val="none"/>
        </w:rPr>
      </w:pPr>
      <w:r>
        <w:rPr>
          <w:rFonts w:hint="eastAsia" w:ascii="宋体" w:hAnsi="宋体" w:cs="宋体"/>
          <w:sz w:val="24"/>
          <w:highlight w:val="none"/>
        </w:rPr>
        <w:t xml:space="preserve">提出质疑的应当是参与所质疑项目采购活动的供应商。 </w:t>
      </w:r>
    </w:p>
    <w:p w14:paraId="2CAA77BC">
      <w:pPr>
        <w:spacing w:line="400" w:lineRule="exact"/>
        <w:ind w:right="12" w:firstLine="480"/>
        <w:rPr>
          <w:rFonts w:ascii="宋体" w:hAnsi="宋体" w:cs="宋体"/>
          <w:sz w:val="24"/>
          <w:highlight w:val="none"/>
        </w:rPr>
      </w:pPr>
      <w:r>
        <w:rPr>
          <w:rFonts w:hint="eastAsia" w:ascii="宋体" w:hAnsi="宋体" w:cs="宋体"/>
          <w:sz w:val="24"/>
          <w:highlight w:val="none"/>
        </w:rPr>
        <w:t>1.质疑时限、内容</w:t>
      </w:r>
    </w:p>
    <w:p w14:paraId="5E838BED">
      <w:pPr>
        <w:spacing w:line="400" w:lineRule="exact"/>
        <w:ind w:right="12" w:firstLine="480"/>
        <w:rPr>
          <w:rFonts w:ascii="宋体" w:hAnsi="宋体" w:cs="宋体"/>
          <w:sz w:val="24"/>
          <w:highlight w:val="none"/>
        </w:rPr>
      </w:pPr>
      <w:r>
        <w:rPr>
          <w:rFonts w:hint="eastAsia" w:ascii="宋体" w:hAnsi="宋体" w:cs="宋体"/>
          <w:sz w:val="24"/>
          <w:highlight w:val="none"/>
        </w:rPr>
        <w:t>1.1供应商认为采购文件、采购过程、成交结果使自己的权益受到损害的，可以在知道或者应知其权益受到损害之日起7个工作日内，以书面形式向采购人、采购代理机构提出质疑。</w:t>
      </w:r>
    </w:p>
    <w:p w14:paraId="5CB77FA0">
      <w:pPr>
        <w:spacing w:line="400" w:lineRule="exact"/>
        <w:ind w:right="12" w:firstLine="480"/>
        <w:rPr>
          <w:rFonts w:ascii="宋体" w:hAnsi="宋体" w:cs="宋体"/>
          <w:sz w:val="24"/>
          <w:highlight w:val="none"/>
        </w:rPr>
      </w:pPr>
      <w:r>
        <w:rPr>
          <w:rFonts w:hint="eastAsia" w:ascii="宋体" w:hAnsi="宋体" w:cs="宋体"/>
          <w:sz w:val="24"/>
          <w:highlight w:val="none"/>
        </w:rPr>
        <w:t>1.2供应商提出质疑应当提交质疑函和必要的证明材料，质疑函应当包括下列内容：</w:t>
      </w:r>
    </w:p>
    <w:p w14:paraId="14BBF7F9">
      <w:pPr>
        <w:spacing w:line="400" w:lineRule="exact"/>
        <w:ind w:right="12" w:firstLine="480"/>
        <w:rPr>
          <w:rFonts w:ascii="宋体" w:hAnsi="宋体" w:cs="宋体"/>
          <w:sz w:val="24"/>
          <w:highlight w:val="none"/>
        </w:rPr>
      </w:pPr>
      <w:r>
        <w:rPr>
          <w:rFonts w:hint="eastAsia" w:ascii="宋体" w:hAnsi="宋体" w:cs="宋体"/>
          <w:sz w:val="24"/>
          <w:highlight w:val="none"/>
        </w:rPr>
        <w:t>1.2.1供应商的姓名或者名称、地址、邮编、联系人及联系电话；</w:t>
      </w:r>
    </w:p>
    <w:p w14:paraId="65FC8A50">
      <w:pPr>
        <w:spacing w:line="400" w:lineRule="exact"/>
        <w:ind w:right="12" w:firstLine="480"/>
        <w:rPr>
          <w:rFonts w:ascii="宋体" w:hAnsi="宋体" w:cs="宋体"/>
          <w:sz w:val="24"/>
          <w:highlight w:val="none"/>
        </w:rPr>
      </w:pPr>
      <w:r>
        <w:rPr>
          <w:rFonts w:hint="eastAsia" w:ascii="宋体" w:hAnsi="宋体" w:cs="宋体"/>
          <w:sz w:val="24"/>
          <w:highlight w:val="none"/>
        </w:rPr>
        <w:t>1.2.2</w:t>
      </w:r>
      <w:r>
        <w:rPr>
          <w:rFonts w:hint="eastAsia" w:ascii="宋体" w:hAnsi="宋体" w:cs="宋体"/>
          <w:sz w:val="24"/>
          <w:szCs w:val="24"/>
          <w:highlight w:val="none"/>
        </w:rPr>
        <w:t>质疑项目的项目名称、项目号以及采购执行编号</w:t>
      </w:r>
      <w:r>
        <w:rPr>
          <w:rFonts w:hint="eastAsia" w:ascii="宋体" w:hAnsi="宋体" w:cs="宋体"/>
          <w:sz w:val="24"/>
          <w:highlight w:val="none"/>
        </w:rPr>
        <w:t>；</w:t>
      </w:r>
    </w:p>
    <w:p w14:paraId="4DD10A13">
      <w:pPr>
        <w:spacing w:line="400" w:lineRule="exact"/>
        <w:ind w:right="12" w:firstLine="480"/>
        <w:rPr>
          <w:rFonts w:ascii="宋体" w:hAnsi="宋体" w:cs="宋体"/>
          <w:sz w:val="24"/>
          <w:highlight w:val="none"/>
        </w:rPr>
      </w:pPr>
      <w:r>
        <w:rPr>
          <w:rFonts w:hint="eastAsia" w:ascii="宋体" w:hAnsi="宋体" w:cs="宋体"/>
          <w:sz w:val="24"/>
          <w:highlight w:val="none"/>
        </w:rPr>
        <w:t>1.2.3具体、明确的质疑事项和与质疑事项相关的请求；</w:t>
      </w:r>
    </w:p>
    <w:p w14:paraId="74EB966C">
      <w:pPr>
        <w:spacing w:line="400" w:lineRule="exact"/>
        <w:ind w:right="12" w:firstLine="480"/>
        <w:rPr>
          <w:rFonts w:ascii="宋体" w:hAnsi="宋体" w:cs="宋体"/>
          <w:sz w:val="24"/>
          <w:highlight w:val="none"/>
        </w:rPr>
      </w:pPr>
      <w:r>
        <w:rPr>
          <w:rFonts w:hint="eastAsia" w:ascii="宋体" w:hAnsi="宋体" w:cs="宋体"/>
          <w:sz w:val="24"/>
          <w:highlight w:val="none"/>
        </w:rPr>
        <w:t>1.2.4事实依据；</w:t>
      </w:r>
    </w:p>
    <w:p w14:paraId="0BA8993F">
      <w:pPr>
        <w:spacing w:line="400" w:lineRule="exact"/>
        <w:ind w:right="12" w:firstLine="480"/>
        <w:rPr>
          <w:rFonts w:ascii="宋体" w:hAnsi="宋体" w:cs="宋体"/>
          <w:sz w:val="24"/>
          <w:highlight w:val="none"/>
        </w:rPr>
      </w:pPr>
      <w:r>
        <w:rPr>
          <w:rFonts w:hint="eastAsia" w:ascii="宋体" w:hAnsi="宋体" w:cs="宋体"/>
          <w:sz w:val="24"/>
          <w:highlight w:val="none"/>
        </w:rPr>
        <w:t>1.2.5必要的法律依据；</w:t>
      </w:r>
    </w:p>
    <w:p w14:paraId="465C87A0">
      <w:pPr>
        <w:spacing w:line="400" w:lineRule="exact"/>
        <w:ind w:right="12" w:firstLine="480"/>
        <w:rPr>
          <w:rFonts w:ascii="宋体" w:hAnsi="宋体" w:cs="宋体"/>
          <w:sz w:val="24"/>
          <w:highlight w:val="none"/>
        </w:rPr>
      </w:pPr>
      <w:r>
        <w:rPr>
          <w:rFonts w:hint="eastAsia" w:ascii="宋体" w:hAnsi="宋体" w:cs="宋体"/>
          <w:sz w:val="24"/>
          <w:highlight w:val="none"/>
        </w:rPr>
        <w:t>1.2.6提出质疑的日期；</w:t>
      </w:r>
    </w:p>
    <w:p w14:paraId="3F7B153A">
      <w:pPr>
        <w:spacing w:line="400" w:lineRule="exact"/>
        <w:ind w:right="12" w:firstLine="480"/>
        <w:rPr>
          <w:rFonts w:ascii="宋体" w:hAnsi="宋体" w:cs="宋体"/>
          <w:sz w:val="24"/>
          <w:highlight w:val="none"/>
        </w:rPr>
      </w:pPr>
      <w:r>
        <w:rPr>
          <w:rFonts w:hint="eastAsia" w:ascii="宋体" w:hAnsi="宋体" w:cs="宋体"/>
          <w:sz w:val="24"/>
          <w:highlight w:val="none"/>
        </w:rPr>
        <w:t>1.2.7营业执照（或事业单位法人证书，或个体工商户营业执照或有效的自然人身份证明）复印件；</w:t>
      </w:r>
    </w:p>
    <w:p w14:paraId="7ACA6DB1">
      <w:pPr>
        <w:spacing w:line="400" w:lineRule="exact"/>
        <w:ind w:right="12" w:firstLine="480"/>
        <w:rPr>
          <w:rFonts w:ascii="宋体" w:hAnsi="宋体" w:cs="宋体"/>
          <w:sz w:val="24"/>
          <w:highlight w:val="none"/>
        </w:rPr>
      </w:pPr>
      <w:r>
        <w:rPr>
          <w:rFonts w:hint="eastAsia" w:ascii="宋体" w:hAnsi="宋体" w:cs="宋体"/>
          <w:sz w:val="24"/>
          <w:highlight w:val="none"/>
        </w:rPr>
        <w:t>1.2.8法定代表人授权委托书原件、法定代表人身份证复印件和其授权代表的身份证复印件（供应商为自然人的提供自然人身份证复印件）；</w:t>
      </w:r>
    </w:p>
    <w:p w14:paraId="3CD4CF89">
      <w:pPr>
        <w:spacing w:line="400" w:lineRule="exact"/>
        <w:ind w:right="12" w:firstLine="480"/>
        <w:rPr>
          <w:rFonts w:ascii="宋体" w:hAnsi="宋体" w:cs="宋体"/>
          <w:sz w:val="24"/>
          <w:highlight w:val="none"/>
        </w:rPr>
      </w:pPr>
      <w:r>
        <w:rPr>
          <w:rFonts w:hint="eastAsia" w:ascii="宋体" w:hAnsi="宋体" w:cs="宋体"/>
          <w:sz w:val="24"/>
          <w:highlight w:val="none"/>
        </w:rPr>
        <w:t>1.3供应商为自然人的，质疑函应当由本人签字；供应商为法人或者其他组织的，质疑函应当由法定代表人、主要负责人，或者其授权代表签字或者盖章，并加盖公章。</w:t>
      </w:r>
    </w:p>
    <w:p w14:paraId="20D2E271">
      <w:pPr>
        <w:spacing w:line="400" w:lineRule="exact"/>
        <w:ind w:right="12" w:firstLine="480"/>
        <w:rPr>
          <w:rFonts w:ascii="宋体" w:hAnsi="宋体" w:cs="宋体"/>
          <w:sz w:val="24"/>
          <w:highlight w:val="none"/>
        </w:rPr>
      </w:pPr>
      <w:r>
        <w:rPr>
          <w:rFonts w:hint="eastAsia" w:ascii="宋体" w:hAnsi="宋体" w:cs="宋体"/>
          <w:sz w:val="24"/>
          <w:highlight w:val="none"/>
        </w:rPr>
        <w:t>2.质疑答复</w:t>
      </w:r>
    </w:p>
    <w:p w14:paraId="6AC3C646">
      <w:pPr>
        <w:spacing w:line="400" w:lineRule="exact"/>
        <w:ind w:right="12" w:firstLine="480"/>
        <w:rPr>
          <w:rFonts w:ascii="宋体" w:hAnsi="宋体" w:cs="宋体"/>
          <w:sz w:val="24"/>
          <w:highlight w:val="none"/>
        </w:rPr>
      </w:pPr>
      <w:r>
        <w:rPr>
          <w:rFonts w:hint="eastAsia" w:ascii="宋体" w:hAnsi="宋体" w:cs="宋体"/>
          <w:sz w:val="24"/>
          <w:highlight w:val="none"/>
        </w:rPr>
        <w:t>采购人、采购代理机构应当在收到供应商的书面质疑后七个工作日内作出答复，并以书面形式通知质疑供应商和其他有关供应商。</w:t>
      </w:r>
    </w:p>
    <w:p w14:paraId="52646DDB">
      <w:pPr>
        <w:spacing w:line="400" w:lineRule="exact"/>
        <w:ind w:right="12" w:firstLine="480"/>
        <w:rPr>
          <w:rFonts w:ascii="宋体" w:hAnsi="宋体" w:cs="宋体"/>
          <w:sz w:val="24"/>
          <w:highlight w:val="none"/>
        </w:rPr>
      </w:pPr>
      <w:r>
        <w:rPr>
          <w:rFonts w:hint="eastAsia" w:ascii="宋体" w:hAnsi="宋体" w:cs="宋体"/>
          <w:sz w:val="24"/>
          <w:highlight w:val="none"/>
        </w:rPr>
        <w:t>3.其他</w:t>
      </w:r>
    </w:p>
    <w:p w14:paraId="257F82DD">
      <w:pPr>
        <w:spacing w:line="400" w:lineRule="exact"/>
        <w:ind w:right="12" w:firstLine="480"/>
        <w:rPr>
          <w:rFonts w:ascii="宋体" w:hAnsi="宋体" w:cs="宋体"/>
          <w:sz w:val="24"/>
          <w:highlight w:val="none"/>
        </w:rPr>
      </w:pPr>
      <w:r>
        <w:rPr>
          <w:rFonts w:hint="eastAsia" w:ascii="宋体" w:hAnsi="宋体" w:cs="宋体"/>
          <w:sz w:val="24"/>
          <w:highlight w:val="none"/>
        </w:rPr>
        <w:t>3.1供应商应按照《政府采购质疑和投诉办法》（财政部令第94号）及相关法律法规要求，在法定质疑期内一次性提出针对同一采购程序环节的质疑。</w:t>
      </w:r>
    </w:p>
    <w:p w14:paraId="7AE737EA">
      <w:pPr>
        <w:spacing w:line="400" w:lineRule="exact"/>
        <w:ind w:right="12" w:firstLine="480"/>
        <w:rPr>
          <w:rFonts w:ascii="宋体" w:hAnsi="宋体" w:cs="宋体"/>
          <w:sz w:val="24"/>
          <w:highlight w:val="none"/>
        </w:rPr>
      </w:pPr>
      <w:r>
        <w:rPr>
          <w:rFonts w:hint="eastAsia" w:ascii="宋体" w:hAnsi="宋体" w:cs="宋体"/>
          <w:sz w:val="24"/>
          <w:highlight w:val="none"/>
        </w:rPr>
        <w:t>3.2质疑函范本可在财政部门户网站和中国政府采购网下载。</w:t>
      </w:r>
    </w:p>
    <w:p w14:paraId="4417698E">
      <w:pPr>
        <w:snapToGrid w:val="0"/>
        <w:spacing w:line="400" w:lineRule="exact"/>
        <w:ind w:firstLine="480" w:firstLineChars="200"/>
        <w:rPr>
          <w:rFonts w:ascii="宋体" w:hAnsi="宋体" w:cs="宋体"/>
          <w:sz w:val="24"/>
          <w:highlight w:val="none"/>
        </w:rPr>
      </w:pPr>
      <w:bookmarkStart w:id="201" w:name="_Toc23778"/>
      <w:bookmarkStart w:id="202" w:name="_Toc106034801"/>
      <w:bookmarkStart w:id="203" w:name="_Toc19083"/>
      <w:bookmarkStart w:id="204" w:name="_Toc3127"/>
      <w:bookmarkStart w:id="205" w:name="_Toc16648"/>
      <w:bookmarkStart w:id="206" w:name="_Toc65660361"/>
      <w:r>
        <w:rPr>
          <w:rFonts w:hint="eastAsia" w:ascii="宋体" w:hAnsi="宋体" w:cs="宋体"/>
          <w:sz w:val="24"/>
          <w:highlight w:val="none"/>
        </w:rPr>
        <w:t>（二）投诉</w:t>
      </w:r>
    </w:p>
    <w:p w14:paraId="5B2F58B9">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1.供应商对采购人、采购代理机构的答复不满意，或者采购人、采购代理机构未在规定时间内作出答复的，可以在答复期满后15个工作日内按照相关法律法规向主管部门提起投诉。</w:t>
      </w:r>
    </w:p>
    <w:p w14:paraId="02817567">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2.供应商应按照《政府采购质疑和投诉办法》（财政部令第94号）及相关法律法规要求递交投诉书和必要的证明材料。投诉书范本可在财政部门户网站和中国政府采购网下载。</w:t>
      </w:r>
    </w:p>
    <w:p w14:paraId="01CD8169">
      <w:pPr>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3.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8949A04">
      <w:pPr>
        <w:pStyle w:val="5"/>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highlight w:val="none"/>
        </w:rPr>
        <w:t>七、签订合同</w:t>
      </w:r>
      <w:bookmarkEnd w:id="201"/>
      <w:bookmarkEnd w:id="202"/>
      <w:bookmarkEnd w:id="203"/>
      <w:bookmarkEnd w:id="204"/>
      <w:bookmarkEnd w:id="205"/>
      <w:bookmarkEnd w:id="206"/>
    </w:p>
    <w:p w14:paraId="45CC212F">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w:t>
      </w:r>
      <w:r>
        <w:rPr>
          <w:rFonts w:hint="eastAsia" w:ascii="宋体" w:hAnsi="宋体" w:cs="宋体"/>
          <w:sz w:val="24"/>
          <w:highlight w:val="none"/>
        </w:rPr>
        <w:t>采购人原则上应在成交通知书发出之日起二十日内和成交供应商签订政府采购合同，无正当理由不得拒绝或拖延合同签订</w:t>
      </w:r>
      <w:r>
        <w:rPr>
          <w:rFonts w:hint="eastAsia" w:ascii="宋体" w:hAnsi="宋体" w:cs="宋体"/>
          <w:sz w:val="24"/>
          <w:szCs w:val="24"/>
          <w:highlight w:val="none"/>
        </w:rPr>
        <w:t>。所签订的合同不得对询价通知书和供应商的响应文件作实质性修改。其他未尽事宜由采购人和成交供应商在采购合同中详细约定。</w:t>
      </w:r>
    </w:p>
    <w:p w14:paraId="521705BC">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（二）询价通知书、供应商的响应文件及澄清文件等，均为签订政府采购合同的依据。</w:t>
      </w:r>
    </w:p>
    <w:p w14:paraId="5DAF5B2E">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（三）合同生效条款由供需双方约定，法律、行政法规规定应当办理批准、登记等手续后生效的合同，依照其规定。</w:t>
      </w:r>
    </w:p>
    <w:p w14:paraId="20260753">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（四）合同原则上应按照《重庆市政府采购合同》签订，相关单位要求适用合同通用格式版本的，应按其要求另行签订其他合同。</w:t>
      </w:r>
    </w:p>
    <w:p w14:paraId="18B3A822">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（五）采购人要求成交供应商提供履约保证金的，应当在询价通知书中予以约定。成交供应商履约完毕后，采购人根据采购文件规定无息退还其履约保证金。</w:t>
      </w:r>
    </w:p>
    <w:p w14:paraId="663218FC">
      <w:pPr>
        <w:pStyle w:val="5"/>
        <w:adjustRightInd w:val="0"/>
        <w:snapToGrid w:val="0"/>
        <w:spacing w:before="0" w:after="0" w:line="400" w:lineRule="exact"/>
        <w:ind w:firstLine="482" w:firstLineChars="200"/>
        <w:rPr>
          <w:rFonts w:ascii="宋体" w:hAnsi="宋体" w:eastAsia="宋体" w:cs="宋体"/>
          <w:sz w:val="24"/>
          <w:highlight w:val="none"/>
        </w:rPr>
      </w:pPr>
      <w:bookmarkStart w:id="207" w:name="_Toc19824"/>
      <w:bookmarkStart w:id="208" w:name="_Toc77"/>
      <w:bookmarkStart w:id="209" w:name="_Toc106034802"/>
      <w:r>
        <w:rPr>
          <w:rFonts w:hint="eastAsia" w:ascii="宋体" w:hAnsi="宋体" w:eastAsia="宋体" w:cs="宋体"/>
          <w:sz w:val="24"/>
          <w:highlight w:val="none"/>
        </w:rPr>
        <w:t>八、项目验收</w:t>
      </w:r>
      <w:bookmarkEnd w:id="207"/>
      <w:bookmarkEnd w:id="208"/>
      <w:bookmarkEnd w:id="209"/>
    </w:p>
    <w:p w14:paraId="0FC26929">
      <w:pPr>
        <w:spacing w:line="400" w:lineRule="exact"/>
        <w:ind w:firstLine="360" w:firstLineChars="150"/>
        <w:rPr>
          <w:rFonts w:ascii="宋体" w:hAnsi="宋体" w:cs="宋体"/>
          <w:sz w:val="24"/>
          <w:szCs w:val="24"/>
          <w:highlight w:val="none"/>
        </w:rPr>
      </w:pPr>
      <w:r>
        <w:rPr>
          <w:rFonts w:hint="eastAsia" w:ascii="宋体" w:hAnsi="宋体" w:cs="宋体"/>
          <w:sz w:val="24"/>
          <w:highlight w:val="none"/>
        </w:rPr>
        <w:t>合同执行完毕，采购人或采购代理机构原则上应在7个工作日内组织履约情况验收，不</w:t>
      </w:r>
      <w:r>
        <w:rPr>
          <w:rFonts w:hint="eastAsia" w:ascii="宋体" w:hAnsi="宋体" w:cs="宋体"/>
          <w:sz w:val="24"/>
          <w:szCs w:val="24"/>
          <w:highlight w:val="none"/>
        </w:rPr>
        <w:t>得无故拖延或附加额外条件。</w:t>
      </w:r>
    </w:p>
    <w:p w14:paraId="43ECE02B">
      <w:pPr>
        <w:spacing w:line="400" w:lineRule="exact"/>
        <w:ind w:firstLine="361" w:firstLineChars="150"/>
        <w:rPr>
          <w:rFonts w:ascii="宋体" w:hAnsi="宋体" w:cs="宋体"/>
          <w:b/>
          <w:bCs/>
          <w:sz w:val="24"/>
          <w:szCs w:val="24"/>
          <w:highlight w:val="none"/>
        </w:rPr>
      </w:pPr>
      <w:bookmarkStart w:id="210" w:name="_Toc2438"/>
      <w:bookmarkStart w:id="211" w:name="_Toc65660362"/>
      <w:bookmarkStart w:id="212" w:name="_Toc32594"/>
      <w:bookmarkStart w:id="213" w:name="_Toc3704"/>
      <w:bookmarkStart w:id="214" w:name="_Toc29513"/>
      <w:bookmarkStart w:id="215" w:name="_Toc106034803"/>
      <w:bookmarkStart w:id="216" w:name="_Toc27254_WPSOffice_Level2"/>
      <w:bookmarkStart w:id="217" w:name="_Toc26183"/>
      <w:r>
        <w:rPr>
          <w:rFonts w:hint="eastAsia" w:ascii="宋体" w:hAnsi="宋体" w:cs="宋体"/>
          <w:b/>
          <w:bCs/>
          <w:sz w:val="24"/>
          <w:szCs w:val="24"/>
          <w:highlight w:val="none"/>
        </w:rPr>
        <w:t>九、采购代理服务费</w:t>
      </w:r>
      <w:bookmarkEnd w:id="210"/>
      <w:bookmarkEnd w:id="211"/>
      <w:bookmarkEnd w:id="212"/>
      <w:bookmarkEnd w:id="213"/>
      <w:bookmarkEnd w:id="214"/>
      <w:bookmarkEnd w:id="215"/>
      <w:bookmarkEnd w:id="216"/>
      <w:bookmarkEnd w:id="217"/>
    </w:p>
    <w:p w14:paraId="0C77055D">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（一）成交供应商在结果公示发出后七个工作日内向采购代理机构缴纳采购代理服务费人民币14650元。</w:t>
      </w:r>
    </w:p>
    <w:p w14:paraId="65EB1AEE">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（二）采购代理服务费缴纳账号：</w:t>
      </w:r>
    </w:p>
    <w:p w14:paraId="7DC8D817">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开户名称：重庆盛灏和途商务信息咨询服务有限公司</w:t>
      </w:r>
    </w:p>
    <w:p w14:paraId="3379A5CB">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开户行：中国农业银行股份有限公司重庆合川财富广场支行</w:t>
      </w:r>
    </w:p>
    <w:p w14:paraId="6E13BDBE">
      <w:pPr>
        <w:spacing w:line="400" w:lineRule="exact"/>
        <w:ind w:firstLine="360" w:firstLineChars="150"/>
        <w:rPr>
          <w:rFonts w:ascii="宋体" w:hAnsi="宋体" w:cs="宋体"/>
          <w:sz w:val="24"/>
          <w:szCs w:val="24"/>
          <w:highlight w:val="none"/>
        </w:rPr>
      </w:pPr>
      <w:r>
        <w:rPr>
          <w:rFonts w:hint="eastAsia" w:ascii="宋体" w:hAnsi="宋体" w:cs="宋体"/>
          <w:sz w:val="24"/>
          <w:szCs w:val="24"/>
          <w:highlight w:val="none"/>
        </w:rPr>
        <w:t>帐  号：31150501040005840</w:t>
      </w:r>
    </w:p>
    <w:p w14:paraId="6201F484">
      <w:pPr>
        <w:spacing w:line="400" w:lineRule="exact"/>
        <w:ind w:firstLine="360" w:firstLineChars="150"/>
        <w:rPr>
          <w:rFonts w:ascii="宋体" w:hAnsi="宋体" w:cs="宋体"/>
          <w:sz w:val="24"/>
          <w:szCs w:val="24"/>
          <w:highlight w:val="none"/>
        </w:rPr>
      </w:pPr>
    </w:p>
    <w:p w14:paraId="7E639F28">
      <w:pPr>
        <w:spacing w:line="360" w:lineRule="auto"/>
        <w:ind w:firstLine="480" w:firstLineChars="200"/>
        <w:rPr>
          <w:rFonts w:ascii="宋体" w:hAnsi="宋体" w:cs="宋体"/>
          <w:sz w:val="24"/>
          <w:szCs w:val="24"/>
          <w:highlight w:val="none"/>
        </w:rPr>
        <w:sectPr>
          <w:pgSz w:w="11907" w:h="16840"/>
          <w:pgMar w:top="1134" w:right="1191" w:bottom="1134" w:left="1304" w:header="964" w:footer="992" w:gutter="0"/>
          <w:pgNumType w:fmt="numberInDash"/>
          <w:cols w:space="720" w:num="1"/>
          <w:docGrid w:linePitch="312" w:charSpace="0"/>
        </w:sectPr>
      </w:pPr>
    </w:p>
    <w:bookmarkEnd w:id="102"/>
    <w:p w14:paraId="5FEEB119">
      <w:pPr>
        <w:pStyle w:val="5"/>
        <w:spacing w:before="0" w:after="0" w:line="360" w:lineRule="auto"/>
        <w:jc w:val="center"/>
        <w:rPr>
          <w:rFonts w:ascii="宋体" w:hAnsi="宋体" w:eastAsia="宋体" w:cs="宋体"/>
          <w:highlight w:val="none"/>
        </w:rPr>
      </w:pPr>
      <w:bookmarkStart w:id="218" w:name="_Toc12789059"/>
      <w:bookmarkStart w:id="219" w:name="_Toc11641055"/>
      <w:bookmarkStart w:id="220" w:name="_Toc65660365"/>
      <w:bookmarkStart w:id="221" w:name="_Toc28495"/>
      <w:bookmarkStart w:id="222" w:name="_Toc10599"/>
      <w:bookmarkStart w:id="223" w:name="_Toc106034806"/>
      <w:bookmarkStart w:id="224" w:name="_Toc14861"/>
      <w:bookmarkStart w:id="225" w:name="_Toc28162"/>
      <w:r>
        <w:rPr>
          <w:rFonts w:hint="eastAsia" w:ascii="宋体" w:hAnsi="宋体" w:eastAsia="宋体" w:cs="宋体"/>
          <w:b w:val="0"/>
          <w:sz w:val="36"/>
          <w:szCs w:val="30"/>
          <w:highlight w:val="none"/>
        </w:rPr>
        <w:t xml:space="preserve">第六篇  </w:t>
      </w:r>
      <w:bookmarkEnd w:id="218"/>
      <w:bookmarkEnd w:id="219"/>
      <w:r>
        <w:rPr>
          <w:rFonts w:hint="eastAsia" w:ascii="宋体" w:hAnsi="宋体" w:eastAsia="宋体" w:cs="宋体"/>
          <w:b w:val="0"/>
          <w:sz w:val="36"/>
          <w:szCs w:val="30"/>
          <w:highlight w:val="none"/>
        </w:rPr>
        <w:t>合同草案条款</w:t>
      </w:r>
      <w:bookmarkEnd w:id="220"/>
      <w:bookmarkEnd w:id="221"/>
      <w:bookmarkEnd w:id="222"/>
      <w:bookmarkEnd w:id="223"/>
      <w:bookmarkEnd w:id="224"/>
      <w:bookmarkEnd w:id="225"/>
    </w:p>
    <w:p w14:paraId="4D0DB673">
      <w:pPr>
        <w:jc w:val="center"/>
        <w:rPr>
          <w:b/>
          <w:sz w:val="36"/>
          <w:szCs w:val="36"/>
          <w:highlight w:val="none"/>
        </w:rPr>
      </w:pPr>
      <w:bookmarkStart w:id="226" w:name="_Hlt41879464"/>
      <w:bookmarkEnd w:id="226"/>
      <w:bookmarkStart w:id="227" w:name="_Toc23764521"/>
      <w:bookmarkStart w:id="228" w:name="_Toc9538"/>
      <w:bookmarkStart w:id="229" w:name="_Toc106034807"/>
      <w:bookmarkStart w:id="230" w:name="_Toc13560"/>
      <w:bookmarkStart w:id="231" w:name="_Toc65660378"/>
      <w:bookmarkStart w:id="232" w:name="_Toc18521"/>
      <w:bookmarkStart w:id="233" w:name="_Toc12789072"/>
      <w:bookmarkStart w:id="234" w:name="_Toc6968"/>
      <w:r>
        <w:rPr>
          <w:b/>
          <w:sz w:val="36"/>
          <w:szCs w:val="36"/>
          <w:highlight w:val="none"/>
        </w:rPr>
        <w:t>建筑工程预拌商品混凝土供应合同</w:t>
      </w:r>
    </w:p>
    <w:p w14:paraId="2433516F">
      <w:pPr>
        <w:spacing w:line="500" w:lineRule="exact"/>
        <w:ind w:firstLine="4560" w:firstLineChars="1900"/>
        <w:rPr>
          <w:sz w:val="24"/>
          <w:szCs w:val="24"/>
          <w:highlight w:val="none"/>
        </w:rPr>
      </w:pPr>
      <w:r>
        <w:rPr>
          <w:sz w:val="24"/>
          <w:szCs w:val="24"/>
          <w:highlight w:val="none"/>
        </w:rPr>
        <w:t>合同编号：（202  ）第    号</w:t>
      </w:r>
    </w:p>
    <w:p w14:paraId="5FA29306">
      <w:pPr>
        <w:adjustRightInd w:val="0"/>
        <w:snapToGrid w:val="0"/>
        <w:spacing w:line="400" w:lineRule="exact"/>
        <w:rPr>
          <w:sz w:val="24"/>
          <w:szCs w:val="24"/>
          <w:highlight w:val="none"/>
        </w:rPr>
      </w:pPr>
      <w:r>
        <w:rPr>
          <w:sz w:val="24"/>
          <w:szCs w:val="24"/>
          <w:highlight w:val="none"/>
        </w:rPr>
        <w:t>甲方：重庆市合川区民祺建设发展有限公司</w:t>
      </w:r>
    </w:p>
    <w:p w14:paraId="68741629">
      <w:pPr>
        <w:adjustRightInd w:val="0"/>
        <w:snapToGrid w:val="0"/>
        <w:spacing w:line="400" w:lineRule="exact"/>
        <w:rPr>
          <w:sz w:val="24"/>
          <w:szCs w:val="24"/>
          <w:highlight w:val="none"/>
        </w:rPr>
      </w:pPr>
      <w:r>
        <w:rPr>
          <w:sz w:val="24"/>
          <w:szCs w:val="24"/>
          <w:highlight w:val="none"/>
        </w:rPr>
        <w:t>乙方：</w:t>
      </w:r>
    </w:p>
    <w:p w14:paraId="36BAB70E">
      <w:pPr>
        <w:adjustRightInd w:val="0"/>
        <w:snapToGrid w:val="0"/>
        <w:spacing w:line="400" w:lineRule="exact"/>
        <w:ind w:firstLine="464" w:firstLineChars="200"/>
        <w:rPr>
          <w:spacing w:val="-4"/>
          <w:sz w:val="24"/>
          <w:szCs w:val="24"/>
          <w:highlight w:val="none"/>
        </w:rPr>
      </w:pPr>
      <w:r>
        <w:rPr>
          <w:spacing w:val="-4"/>
          <w:sz w:val="24"/>
          <w:szCs w:val="24"/>
          <w:highlight w:val="none"/>
        </w:rPr>
        <w:t>根据《中国人民共和国民法典》和《重庆市建筑管理条例》的有关规定，结合重庆市建设工程推广使用预拌商品混凝土（下称“混凝土”）的具体情况，本着公平公正，平等互利，协商一致的原则，合同双方就工程所需的混凝土买卖等相关事宜取得一致意见，自愿签订本合同，以明确合同双方的权利与义务。</w:t>
      </w:r>
    </w:p>
    <w:p w14:paraId="787D25B0">
      <w:pPr>
        <w:adjustRightInd w:val="0"/>
        <w:snapToGrid w:val="0"/>
        <w:spacing w:line="400" w:lineRule="exact"/>
        <w:ind w:firstLine="361" w:firstLineChars="150"/>
        <w:rPr>
          <w:b/>
          <w:sz w:val="24"/>
          <w:szCs w:val="24"/>
          <w:highlight w:val="none"/>
        </w:rPr>
      </w:pPr>
      <w:r>
        <w:rPr>
          <w:b/>
          <w:sz w:val="24"/>
          <w:szCs w:val="24"/>
          <w:highlight w:val="none"/>
        </w:rPr>
        <w:t>第一条 甲方工程的基本概况</w:t>
      </w:r>
    </w:p>
    <w:p w14:paraId="4CF1F0D7">
      <w:pPr>
        <w:adjustRightInd w:val="0"/>
        <w:snapToGrid w:val="0"/>
        <w:spacing w:line="400" w:lineRule="exact"/>
        <w:ind w:firstLine="480" w:firstLineChars="200"/>
        <w:rPr>
          <w:sz w:val="24"/>
          <w:szCs w:val="24"/>
          <w:highlight w:val="none"/>
        </w:rPr>
      </w:pPr>
      <w:r>
        <w:rPr>
          <w:sz w:val="24"/>
          <w:szCs w:val="24"/>
          <w:highlight w:val="none"/>
        </w:rPr>
        <w:t>1.1 工程名称：合川区白鹿山人才大厦项目一期工程</w:t>
      </w:r>
    </w:p>
    <w:p w14:paraId="41510AF5">
      <w:pPr>
        <w:adjustRightInd w:val="0"/>
        <w:snapToGrid w:val="0"/>
        <w:spacing w:line="400" w:lineRule="exact"/>
        <w:ind w:firstLine="480" w:firstLineChars="200"/>
        <w:rPr>
          <w:sz w:val="24"/>
          <w:szCs w:val="24"/>
          <w:highlight w:val="none"/>
        </w:rPr>
      </w:pPr>
      <w:r>
        <w:rPr>
          <w:sz w:val="24"/>
          <w:szCs w:val="24"/>
          <w:highlight w:val="none"/>
        </w:rPr>
        <w:t>1.2 工程地点：合川区内</w:t>
      </w:r>
    </w:p>
    <w:p w14:paraId="62DFFCF2">
      <w:pPr>
        <w:tabs>
          <w:tab w:val="left" w:pos="3180"/>
        </w:tabs>
        <w:adjustRightInd w:val="0"/>
        <w:snapToGrid w:val="0"/>
        <w:spacing w:line="400" w:lineRule="exact"/>
        <w:ind w:firstLine="480" w:firstLineChars="200"/>
        <w:rPr>
          <w:sz w:val="24"/>
          <w:szCs w:val="24"/>
          <w:highlight w:val="none"/>
        </w:rPr>
      </w:pPr>
      <w:r>
        <w:rPr>
          <w:sz w:val="24"/>
          <w:szCs w:val="24"/>
          <w:highlight w:val="none"/>
        </w:rPr>
        <w:t>1.3 工程概况：本工程主要内容为</w:t>
      </w:r>
      <w:r>
        <w:rPr>
          <w:sz w:val="24"/>
          <w:szCs w:val="24"/>
          <w:highlight w:val="none"/>
          <w:lang w:val="zh-CN"/>
        </w:rPr>
        <w:t>拟建设8F/-1F 建筑1栋，占地面积约 5184平方米（约7.8亩），总建筑面积约 1.35万平方米。</w:t>
      </w:r>
      <w:r>
        <w:rPr>
          <w:sz w:val="24"/>
          <w:szCs w:val="24"/>
          <w:highlight w:val="none"/>
        </w:rPr>
        <w:tab/>
      </w:r>
    </w:p>
    <w:p w14:paraId="2C494CB0">
      <w:pPr>
        <w:tabs>
          <w:tab w:val="left" w:pos="8475"/>
        </w:tabs>
        <w:adjustRightInd w:val="0"/>
        <w:snapToGrid w:val="0"/>
        <w:spacing w:line="400" w:lineRule="exact"/>
        <w:ind w:firstLine="482" w:firstLineChars="200"/>
        <w:rPr>
          <w:b/>
          <w:sz w:val="24"/>
          <w:szCs w:val="24"/>
          <w:highlight w:val="none"/>
        </w:rPr>
      </w:pPr>
      <w:r>
        <w:rPr>
          <w:b/>
          <w:sz w:val="24"/>
          <w:szCs w:val="24"/>
          <w:highlight w:val="none"/>
        </w:rPr>
        <w:t>第二条 预拌混凝土供应品种及结算单价</w:t>
      </w:r>
    </w:p>
    <w:p w14:paraId="5E0CBDEC">
      <w:pPr>
        <w:adjustRightInd w:val="0"/>
        <w:snapToGrid w:val="0"/>
        <w:spacing w:line="400" w:lineRule="exact"/>
        <w:ind w:firstLine="480" w:firstLineChars="200"/>
        <w:rPr>
          <w:sz w:val="24"/>
          <w:szCs w:val="24"/>
          <w:highlight w:val="none"/>
        </w:rPr>
      </w:pPr>
      <w:r>
        <w:rPr>
          <w:sz w:val="24"/>
          <w:szCs w:val="24"/>
          <w:highlight w:val="none"/>
        </w:rPr>
        <w:t>2.1 甲方向乙方订购预拌商品混凝土，结算单价如下表：</w:t>
      </w:r>
    </w:p>
    <w:p w14:paraId="072DA6EB">
      <w:pPr>
        <w:pStyle w:val="2"/>
        <w:numPr>
          <w:ilvl w:val="0"/>
          <w:numId w:val="0"/>
        </w:numPr>
        <w:spacing w:line="400" w:lineRule="exact"/>
        <w:ind w:left="360"/>
        <w:rPr>
          <w:rFonts w:ascii="Times New Roman" w:hAnsi="Times New Roman" w:eastAsia="宋体"/>
          <w:kern w:val="2"/>
          <w:sz w:val="24"/>
          <w:szCs w:val="24"/>
          <w:highlight w:val="none"/>
        </w:rPr>
      </w:pPr>
      <w:r>
        <w:rPr>
          <w:rFonts w:ascii="Times New Roman" w:hAnsi="Times New Roman" w:eastAsia="宋体"/>
          <w:kern w:val="2"/>
          <w:sz w:val="24"/>
          <w:szCs w:val="24"/>
          <w:highlight w:val="none"/>
        </w:rPr>
        <w:t>预拌混凝土供应订购清单</w:t>
      </w:r>
    </w:p>
    <w:tbl>
      <w:tblPr>
        <w:tblStyle w:val="2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835"/>
        <w:gridCol w:w="1020"/>
        <w:gridCol w:w="2753"/>
        <w:gridCol w:w="1755"/>
      </w:tblGrid>
      <w:tr w14:paraId="0F23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69" w:type="dxa"/>
            <w:shd w:val="clear" w:color="auto" w:fill="auto"/>
            <w:vAlign w:val="center"/>
          </w:tcPr>
          <w:p w14:paraId="2256D171">
            <w:pPr>
              <w:widowControl/>
              <w:adjustRightInd w:val="0"/>
              <w:snapToGrid w:val="0"/>
              <w:jc w:val="center"/>
              <w:textAlignment w:val="center"/>
              <w:rPr>
                <w:color w:val="000000"/>
                <w:sz w:val="24"/>
                <w:szCs w:val="24"/>
                <w:highlight w:val="none"/>
              </w:rPr>
            </w:pPr>
            <w:r>
              <w:rPr>
                <w:color w:val="000000"/>
                <w:kern w:val="0"/>
                <w:sz w:val="24"/>
                <w:szCs w:val="24"/>
                <w:highlight w:val="none"/>
                <w:lang w:bidi="ar"/>
              </w:rPr>
              <w:t>序号</w:t>
            </w:r>
          </w:p>
        </w:tc>
        <w:tc>
          <w:tcPr>
            <w:tcW w:w="2835" w:type="dxa"/>
            <w:vAlign w:val="center"/>
          </w:tcPr>
          <w:p w14:paraId="259D6DD0">
            <w:pPr>
              <w:adjustRightInd w:val="0"/>
              <w:snapToGrid w:val="0"/>
              <w:jc w:val="center"/>
              <w:rPr>
                <w:sz w:val="24"/>
                <w:szCs w:val="24"/>
                <w:highlight w:val="none"/>
              </w:rPr>
            </w:pPr>
            <w:r>
              <w:rPr>
                <w:color w:val="000000"/>
                <w:kern w:val="0"/>
                <w:sz w:val="24"/>
                <w:szCs w:val="24"/>
                <w:highlight w:val="none"/>
                <w:lang w:bidi="ar"/>
              </w:rPr>
              <w:t>材料名称</w:t>
            </w:r>
          </w:p>
        </w:tc>
        <w:tc>
          <w:tcPr>
            <w:tcW w:w="1020" w:type="dxa"/>
            <w:vAlign w:val="center"/>
          </w:tcPr>
          <w:p w14:paraId="3706D22D">
            <w:pPr>
              <w:adjustRightInd w:val="0"/>
              <w:snapToGrid w:val="0"/>
              <w:jc w:val="center"/>
              <w:rPr>
                <w:sz w:val="24"/>
                <w:szCs w:val="24"/>
                <w:highlight w:val="none"/>
              </w:rPr>
            </w:pPr>
            <w:r>
              <w:rPr>
                <w:sz w:val="24"/>
                <w:szCs w:val="24"/>
                <w:highlight w:val="none"/>
              </w:rPr>
              <w:t>单位</w:t>
            </w:r>
          </w:p>
        </w:tc>
        <w:tc>
          <w:tcPr>
            <w:tcW w:w="2753" w:type="dxa"/>
            <w:vAlign w:val="center"/>
          </w:tcPr>
          <w:p w14:paraId="7F8BDF8D">
            <w:pPr>
              <w:adjustRightInd w:val="0"/>
              <w:snapToGrid w:val="0"/>
              <w:jc w:val="center"/>
              <w:rPr>
                <w:sz w:val="24"/>
                <w:szCs w:val="24"/>
                <w:highlight w:val="none"/>
              </w:rPr>
            </w:pPr>
            <w:r>
              <w:rPr>
                <w:color w:val="000000"/>
                <w:kern w:val="0"/>
                <w:sz w:val="24"/>
                <w:szCs w:val="24"/>
                <w:highlight w:val="none"/>
                <w:lang w:bidi="ar"/>
              </w:rPr>
              <w:t>含税合同单价（元）</w:t>
            </w:r>
          </w:p>
        </w:tc>
        <w:tc>
          <w:tcPr>
            <w:tcW w:w="1755" w:type="dxa"/>
            <w:vAlign w:val="center"/>
          </w:tcPr>
          <w:p w14:paraId="0049BD58">
            <w:pPr>
              <w:adjustRightInd w:val="0"/>
              <w:snapToGrid w:val="0"/>
              <w:jc w:val="center"/>
              <w:rPr>
                <w:sz w:val="24"/>
                <w:szCs w:val="24"/>
                <w:highlight w:val="none"/>
              </w:rPr>
            </w:pPr>
            <w:r>
              <w:rPr>
                <w:sz w:val="24"/>
                <w:szCs w:val="24"/>
                <w:highlight w:val="none"/>
              </w:rPr>
              <w:t>备注</w:t>
            </w:r>
          </w:p>
        </w:tc>
      </w:tr>
      <w:tr w14:paraId="5159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69" w:type="dxa"/>
            <w:shd w:val="clear" w:color="auto" w:fill="auto"/>
            <w:vAlign w:val="center"/>
          </w:tcPr>
          <w:p w14:paraId="520864C6">
            <w:pPr>
              <w:widowControl/>
              <w:adjustRightInd w:val="0"/>
              <w:snapToGrid w:val="0"/>
              <w:jc w:val="center"/>
              <w:textAlignment w:val="center"/>
              <w:rPr>
                <w:color w:val="000000"/>
                <w:sz w:val="24"/>
                <w:szCs w:val="24"/>
                <w:highlight w:val="none"/>
              </w:rPr>
            </w:pPr>
            <w:r>
              <w:rPr>
                <w:color w:val="000000"/>
                <w:sz w:val="24"/>
                <w:szCs w:val="24"/>
                <w:highlight w:val="none"/>
              </w:rPr>
              <w:t>1</w:t>
            </w:r>
          </w:p>
        </w:tc>
        <w:tc>
          <w:tcPr>
            <w:tcW w:w="2835" w:type="dxa"/>
            <w:vAlign w:val="center"/>
          </w:tcPr>
          <w:p w14:paraId="5932F7B8">
            <w:pPr>
              <w:adjustRightInd w:val="0"/>
              <w:snapToGrid w:val="0"/>
              <w:jc w:val="center"/>
              <w:rPr>
                <w:sz w:val="24"/>
                <w:szCs w:val="24"/>
                <w:highlight w:val="none"/>
              </w:rPr>
            </w:pPr>
            <w:r>
              <w:rPr>
                <w:sz w:val="24"/>
                <w:szCs w:val="24"/>
                <w:highlight w:val="none"/>
              </w:rPr>
              <w:t>普通商品混凝土C30</w:t>
            </w:r>
          </w:p>
        </w:tc>
        <w:tc>
          <w:tcPr>
            <w:tcW w:w="1020" w:type="dxa"/>
            <w:vAlign w:val="center"/>
          </w:tcPr>
          <w:p w14:paraId="464238AA">
            <w:pPr>
              <w:adjustRightInd w:val="0"/>
              <w:snapToGrid w:val="0"/>
              <w:jc w:val="center"/>
              <w:rPr>
                <w:sz w:val="24"/>
                <w:szCs w:val="24"/>
                <w:highlight w:val="none"/>
              </w:rPr>
            </w:pPr>
            <w:r>
              <w:rPr>
                <w:sz w:val="24"/>
                <w:szCs w:val="24"/>
                <w:highlight w:val="none"/>
              </w:rPr>
              <w:t>m³</w:t>
            </w:r>
          </w:p>
        </w:tc>
        <w:tc>
          <w:tcPr>
            <w:tcW w:w="2753" w:type="dxa"/>
            <w:vAlign w:val="center"/>
          </w:tcPr>
          <w:p w14:paraId="6585C5D9">
            <w:pPr>
              <w:adjustRightInd w:val="0"/>
              <w:snapToGrid w:val="0"/>
              <w:jc w:val="center"/>
              <w:rPr>
                <w:sz w:val="24"/>
                <w:szCs w:val="24"/>
                <w:highlight w:val="none"/>
              </w:rPr>
            </w:pPr>
          </w:p>
        </w:tc>
        <w:tc>
          <w:tcPr>
            <w:tcW w:w="1755" w:type="dxa"/>
            <w:vAlign w:val="center"/>
          </w:tcPr>
          <w:p w14:paraId="725F9001">
            <w:pPr>
              <w:adjustRightInd w:val="0"/>
              <w:snapToGrid w:val="0"/>
              <w:jc w:val="center"/>
              <w:rPr>
                <w:sz w:val="24"/>
                <w:szCs w:val="24"/>
                <w:highlight w:val="none"/>
              </w:rPr>
            </w:pPr>
          </w:p>
        </w:tc>
      </w:tr>
      <w:tr w14:paraId="43A9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2" w:type="dxa"/>
            <w:gridSpan w:val="5"/>
            <w:shd w:val="clear" w:color="auto" w:fill="auto"/>
            <w:vAlign w:val="center"/>
          </w:tcPr>
          <w:p w14:paraId="2B8B2ED7">
            <w:pPr>
              <w:adjustRightInd w:val="0"/>
              <w:snapToGrid w:val="0"/>
              <w:spacing w:line="360" w:lineRule="exact"/>
              <w:ind w:firstLine="480" w:firstLineChars="200"/>
              <w:rPr>
                <w:sz w:val="24"/>
                <w:szCs w:val="24"/>
                <w:highlight w:val="none"/>
              </w:rPr>
            </w:pPr>
            <w:r>
              <w:rPr>
                <w:sz w:val="24"/>
                <w:szCs w:val="24"/>
                <w:highlight w:val="none"/>
              </w:rPr>
              <w:t>注：</w:t>
            </w:r>
          </w:p>
          <w:p w14:paraId="30E05B1C">
            <w:pPr>
              <w:adjustRightInd w:val="0"/>
              <w:snapToGrid w:val="0"/>
              <w:spacing w:line="360" w:lineRule="exact"/>
              <w:ind w:firstLine="480" w:firstLineChars="200"/>
              <w:rPr>
                <w:sz w:val="24"/>
                <w:szCs w:val="24"/>
                <w:highlight w:val="none"/>
              </w:rPr>
            </w:pPr>
            <w:r>
              <w:rPr>
                <w:sz w:val="24"/>
                <w:szCs w:val="24"/>
                <w:highlight w:val="none"/>
              </w:rPr>
              <w:t>1.实际使用商品混凝土品种以现场申请为准，包含普通预拌商品混凝土C10-</w:t>
            </w:r>
            <w:r>
              <w:rPr>
                <w:rFonts w:hint="eastAsia"/>
                <w:sz w:val="24"/>
                <w:szCs w:val="24"/>
                <w:highlight w:val="none"/>
              </w:rPr>
              <w:t>5</w:t>
            </w:r>
            <w:r>
              <w:rPr>
                <w:sz w:val="24"/>
                <w:szCs w:val="24"/>
                <w:highlight w:val="none"/>
              </w:rPr>
              <w:t>0，部分存在外加剂。</w:t>
            </w:r>
          </w:p>
          <w:p w14:paraId="7408011B">
            <w:pPr>
              <w:adjustRightInd w:val="0"/>
              <w:snapToGrid w:val="0"/>
              <w:spacing w:line="360" w:lineRule="exact"/>
              <w:ind w:firstLine="480" w:firstLineChars="200"/>
              <w:rPr>
                <w:sz w:val="24"/>
                <w:szCs w:val="24"/>
                <w:highlight w:val="none"/>
              </w:rPr>
            </w:pPr>
            <w:r>
              <w:rPr>
                <w:sz w:val="24"/>
                <w:szCs w:val="24"/>
                <w:highlight w:val="none"/>
              </w:rPr>
              <w:t>2.本合同仅体现普通预拌商品混凝土C30的单价，该单价为基准单价。</w:t>
            </w:r>
          </w:p>
          <w:p w14:paraId="5C7AE6B2">
            <w:pPr>
              <w:adjustRightInd w:val="0"/>
              <w:snapToGrid w:val="0"/>
              <w:spacing w:line="360" w:lineRule="exact"/>
              <w:ind w:firstLine="480" w:firstLineChars="200"/>
              <w:rPr>
                <w:sz w:val="24"/>
                <w:szCs w:val="24"/>
                <w:highlight w:val="none"/>
              </w:rPr>
            </w:pPr>
            <w:r>
              <w:rPr>
                <w:sz w:val="24"/>
                <w:szCs w:val="24"/>
                <w:highlight w:val="none"/>
              </w:rPr>
              <w:t>3.</w:t>
            </w:r>
            <w:r>
              <w:rPr>
                <w:rFonts w:hint="eastAsia"/>
                <w:sz w:val="24"/>
                <w:szCs w:val="24"/>
                <w:highlight w:val="none"/>
              </w:rPr>
              <w:t>不同</w:t>
            </w:r>
            <w:r>
              <w:rPr>
                <w:sz w:val="24"/>
                <w:szCs w:val="24"/>
                <w:highlight w:val="none"/>
              </w:rPr>
              <w:t>标号混凝土之间单价的调整：C10-20单价为基准单价-16.00元/m³；C25单价为基准单价-8.00元/m³；C35单价为基准单价+8.00元/m³；C40单价为基准单价+</w:t>
            </w:r>
            <w:r>
              <w:rPr>
                <w:rFonts w:hint="eastAsia"/>
                <w:sz w:val="24"/>
                <w:szCs w:val="24"/>
                <w:highlight w:val="none"/>
              </w:rPr>
              <w:t>25</w:t>
            </w:r>
            <w:r>
              <w:rPr>
                <w:sz w:val="24"/>
                <w:szCs w:val="24"/>
                <w:highlight w:val="none"/>
              </w:rPr>
              <w:t>.00元/m³；C45单价为基准单价+</w:t>
            </w:r>
            <w:r>
              <w:rPr>
                <w:rFonts w:hint="eastAsia"/>
                <w:sz w:val="24"/>
                <w:szCs w:val="24"/>
                <w:highlight w:val="none"/>
              </w:rPr>
              <w:t>42</w:t>
            </w:r>
            <w:r>
              <w:rPr>
                <w:sz w:val="24"/>
                <w:szCs w:val="24"/>
                <w:highlight w:val="none"/>
              </w:rPr>
              <w:t>.00元/m³；C50单价为基准单价+</w:t>
            </w:r>
            <w:r>
              <w:rPr>
                <w:rFonts w:hint="eastAsia"/>
                <w:sz w:val="24"/>
                <w:szCs w:val="24"/>
                <w:highlight w:val="none"/>
              </w:rPr>
              <w:t>60</w:t>
            </w:r>
            <w:r>
              <w:rPr>
                <w:sz w:val="24"/>
                <w:szCs w:val="24"/>
                <w:highlight w:val="none"/>
              </w:rPr>
              <w:t>.00元/m³。</w:t>
            </w:r>
          </w:p>
          <w:p w14:paraId="5BE8EAE1">
            <w:pPr>
              <w:adjustRightInd w:val="0"/>
              <w:snapToGrid w:val="0"/>
              <w:spacing w:line="360" w:lineRule="exact"/>
              <w:ind w:firstLine="480" w:firstLineChars="200"/>
              <w:rPr>
                <w:sz w:val="24"/>
                <w:szCs w:val="24"/>
                <w:highlight w:val="none"/>
              </w:rPr>
            </w:pPr>
            <w:r>
              <w:rPr>
                <w:sz w:val="24"/>
                <w:szCs w:val="24"/>
                <w:highlight w:val="none"/>
              </w:rPr>
              <w:t>4.存在特殊混凝土或外加剂要求时，在执行以上第2、3条基础上，单机调整如下：水下混凝土、细石混凝土、3天早强剂、7天早强剂单价+20.00元/m³；P6抗渗单价+35.00元/m³；P8抗渗单价+38.00元/m³。</w:t>
            </w:r>
          </w:p>
          <w:p w14:paraId="13564DFA">
            <w:pPr>
              <w:adjustRightInd w:val="0"/>
              <w:snapToGrid w:val="0"/>
              <w:spacing w:line="360" w:lineRule="exact"/>
              <w:ind w:firstLine="480" w:firstLineChars="200"/>
              <w:rPr>
                <w:sz w:val="24"/>
                <w:szCs w:val="24"/>
                <w:highlight w:val="none"/>
              </w:rPr>
            </w:pPr>
            <w:r>
              <w:rPr>
                <w:sz w:val="24"/>
                <w:szCs w:val="24"/>
                <w:highlight w:val="none"/>
              </w:rPr>
              <w:t>5.以上单价为人民币报价，包含：材料费、运输费及损耗、装卸费、</w:t>
            </w:r>
            <w:r>
              <w:rPr>
                <w:rFonts w:hint="eastAsia"/>
                <w:sz w:val="24"/>
                <w:szCs w:val="24"/>
                <w:highlight w:val="none"/>
              </w:rPr>
              <w:t>各类</w:t>
            </w:r>
            <w:r>
              <w:rPr>
                <w:sz w:val="24"/>
                <w:szCs w:val="24"/>
                <w:highlight w:val="none"/>
              </w:rPr>
              <w:t>泵车费、泵送费、管理费、保险、利润、风险、税金等与项目有关的一切费用。</w:t>
            </w:r>
          </w:p>
          <w:p w14:paraId="7335CED4">
            <w:pPr>
              <w:adjustRightInd w:val="0"/>
              <w:snapToGrid w:val="0"/>
              <w:spacing w:line="360" w:lineRule="exact"/>
              <w:ind w:firstLine="480" w:firstLineChars="200"/>
              <w:rPr>
                <w:sz w:val="24"/>
                <w:szCs w:val="24"/>
                <w:highlight w:val="none"/>
              </w:rPr>
            </w:pPr>
            <w:r>
              <w:rPr>
                <w:sz w:val="24"/>
                <w:szCs w:val="24"/>
                <w:highlight w:val="none"/>
              </w:rPr>
              <w:t>6.以上单价包含提供3%增值税发票的费用。</w:t>
            </w:r>
          </w:p>
          <w:p w14:paraId="65DEFF3A">
            <w:pPr>
              <w:adjustRightInd w:val="0"/>
              <w:snapToGrid w:val="0"/>
              <w:spacing w:line="360" w:lineRule="exact"/>
              <w:ind w:firstLine="480" w:firstLineChars="200"/>
              <w:rPr>
                <w:highlight w:val="none"/>
              </w:rPr>
            </w:pPr>
            <w:r>
              <w:rPr>
                <w:sz w:val="24"/>
                <w:szCs w:val="24"/>
                <w:highlight w:val="none"/>
              </w:rPr>
              <w:t>7.</w:t>
            </w:r>
            <w:r>
              <w:rPr>
                <w:sz w:val="24"/>
                <w:szCs w:val="24"/>
                <w:highlight w:val="none"/>
              </w:rPr>
              <w:t>在合同执行期间，</w:t>
            </w:r>
            <w:bookmarkStart w:id="235" w:name="auto_fouce_18"/>
            <w:r>
              <w:rPr>
                <w:sz w:val="24"/>
                <w:szCs w:val="24"/>
                <w:highlight w:val="none"/>
              </w:rPr>
              <w:t>除国家政策性要求调整</w:t>
            </w:r>
            <w:r>
              <w:rPr>
                <w:rFonts w:hint="eastAsia"/>
                <w:sz w:val="24"/>
                <w:szCs w:val="24"/>
                <w:highlight w:val="none"/>
              </w:rPr>
              <w:t>（如国家或地方政府发布的涉及混凝土原材料价格、税费、运输等强制性调整政策）</w:t>
            </w:r>
            <w:r>
              <w:rPr>
                <w:sz w:val="24"/>
                <w:szCs w:val="24"/>
                <w:highlight w:val="none"/>
              </w:rPr>
              <w:t>外，本合同单价不再因其他因素调整。</w:t>
            </w:r>
            <w:r>
              <w:rPr>
                <w:rFonts w:hint="eastAsia"/>
                <w:sz w:val="24"/>
                <w:szCs w:val="24"/>
                <w:highlight w:val="none"/>
              </w:rPr>
              <w:t>若发生政策性调整，双方应根据政策文件内容协商调整单价，调整幅度以政策文件为准。</w:t>
            </w:r>
            <w:bookmarkEnd w:id="235"/>
          </w:p>
        </w:tc>
      </w:tr>
    </w:tbl>
    <w:p w14:paraId="7369C077">
      <w:pPr>
        <w:adjustRightInd w:val="0"/>
        <w:snapToGrid w:val="0"/>
        <w:spacing w:line="400" w:lineRule="exact"/>
        <w:ind w:firstLine="482" w:firstLineChars="200"/>
        <w:rPr>
          <w:b/>
          <w:sz w:val="24"/>
          <w:szCs w:val="24"/>
          <w:highlight w:val="none"/>
        </w:rPr>
      </w:pPr>
      <w:r>
        <w:rPr>
          <w:b/>
          <w:sz w:val="24"/>
          <w:szCs w:val="24"/>
          <w:highlight w:val="none"/>
        </w:rPr>
        <w:t>第三条 交货地点、时间及要求</w:t>
      </w:r>
    </w:p>
    <w:p w14:paraId="2ECDB649">
      <w:pPr>
        <w:adjustRightInd w:val="0"/>
        <w:snapToGrid w:val="0"/>
        <w:spacing w:line="400" w:lineRule="exact"/>
        <w:ind w:firstLine="480" w:firstLineChars="200"/>
        <w:rPr>
          <w:sz w:val="24"/>
          <w:szCs w:val="24"/>
          <w:highlight w:val="none"/>
        </w:rPr>
      </w:pPr>
      <w:r>
        <w:rPr>
          <w:sz w:val="24"/>
          <w:szCs w:val="24"/>
          <w:highlight w:val="none"/>
        </w:rPr>
        <w:t>3.1 交货地点：合川区白鹿山人才大厦项目一期工程施工现场。</w:t>
      </w:r>
    </w:p>
    <w:p w14:paraId="35B11A41">
      <w:pPr>
        <w:adjustRightInd w:val="0"/>
        <w:snapToGrid w:val="0"/>
        <w:spacing w:line="400" w:lineRule="exact"/>
        <w:ind w:firstLine="480" w:firstLineChars="200"/>
        <w:rPr>
          <w:sz w:val="24"/>
          <w:szCs w:val="24"/>
          <w:highlight w:val="none"/>
        </w:rPr>
      </w:pPr>
      <w:r>
        <w:rPr>
          <w:sz w:val="24"/>
          <w:szCs w:val="24"/>
          <w:highlight w:val="none"/>
        </w:rPr>
        <w:t>3.2甲方向乙方提供其所需产品的名称、材质、产品规格、数量，乙方按照甲方要求进行供货。</w:t>
      </w:r>
      <w:r>
        <w:rPr>
          <w:sz w:val="24"/>
          <w:szCs w:val="24"/>
          <w:highlight w:val="none"/>
        </w:rPr>
        <w:t>甲方提前一天预通知乙方具体</w:t>
      </w:r>
      <w:r>
        <w:rPr>
          <w:rFonts w:hint="eastAsia"/>
          <w:sz w:val="24"/>
          <w:szCs w:val="24"/>
          <w:highlight w:val="none"/>
        </w:rPr>
        <w:t>供应</w:t>
      </w:r>
      <w:r>
        <w:rPr>
          <w:sz w:val="24"/>
          <w:szCs w:val="24"/>
          <w:highlight w:val="none"/>
        </w:rPr>
        <w:t>时间、地点、</w:t>
      </w:r>
      <w:r>
        <w:rPr>
          <w:rFonts w:hint="eastAsia"/>
          <w:sz w:val="24"/>
          <w:szCs w:val="24"/>
          <w:highlight w:val="none"/>
        </w:rPr>
        <w:t>规格</w:t>
      </w:r>
      <w:r>
        <w:rPr>
          <w:sz w:val="24"/>
          <w:szCs w:val="24"/>
          <w:highlight w:val="none"/>
        </w:rPr>
        <w:t>、外掺剂及泵送方式等相关要求，次日</w:t>
      </w:r>
      <w:bookmarkStart w:id="236" w:name="auto_fouce_19"/>
      <w:r>
        <w:rPr>
          <w:sz w:val="24"/>
          <w:szCs w:val="24"/>
          <w:highlight w:val="none"/>
        </w:rPr>
        <w:t>乙方在接到甲方通知具体施工时间后2小时内按要求组织产品运输至甲方指定地点完成交付</w:t>
      </w:r>
      <w:bookmarkEnd w:id="236"/>
      <w:r>
        <w:rPr>
          <w:sz w:val="24"/>
          <w:szCs w:val="24"/>
          <w:highlight w:val="none"/>
        </w:rPr>
        <w:t>；各批次供货地点存在差异，乙方应听从甲方指令和要求、且不得以此为由要求甲方另行支付费用。</w:t>
      </w:r>
    </w:p>
    <w:p w14:paraId="2DF024ED">
      <w:pPr>
        <w:adjustRightInd w:val="0"/>
        <w:snapToGrid w:val="0"/>
        <w:spacing w:line="400" w:lineRule="exact"/>
        <w:ind w:firstLine="482" w:firstLineChars="200"/>
        <w:rPr>
          <w:b/>
          <w:sz w:val="24"/>
          <w:szCs w:val="24"/>
          <w:highlight w:val="none"/>
        </w:rPr>
      </w:pPr>
      <w:r>
        <w:rPr>
          <w:b/>
          <w:sz w:val="24"/>
          <w:szCs w:val="24"/>
          <w:highlight w:val="none"/>
        </w:rPr>
        <w:t>第四条 混凝土的计量确认办法：</w:t>
      </w:r>
    </w:p>
    <w:p w14:paraId="078EB8E0">
      <w:pPr>
        <w:adjustRightInd w:val="0"/>
        <w:snapToGrid w:val="0"/>
        <w:spacing w:line="400" w:lineRule="exact"/>
        <w:ind w:firstLine="480" w:firstLineChars="200"/>
        <w:rPr>
          <w:sz w:val="24"/>
          <w:szCs w:val="24"/>
          <w:highlight w:val="none"/>
        </w:rPr>
      </w:pPr>
      <w:r>
        <w:rPr>
          <w:sz w:val="24"/>
          <w:szCs w:val="24"/>
          <w:highlight w:val="none"/>
        </w:rPr>
        <w:t xml:space="preserve">4.1 </w:t>
      </w:r>
      <w:bookmarkStart w:id="237" w:name="auto_fouce_20"/>
      <w:r>
        <w:rPr>
          <w:sz w:val="24"/>
          <w:szCs w:val="24"/>
          <w:highlight w:val="none"/>
        </w:rPr>
        <w:t>混凝土供应数量的确认</w:t>
      </w:r>
      <w:r>
        <w:rPr>
          <w:rFonts w:hint="eastAsia"/>
          <w:sz w:val="24"/>
          <w:szCs w:val="24"/>
          <w:highlight w:val="none"/>
        </w:rPr>
        <w:t>以</w:t>
      </w:r>
      <w:r>
        <w:rPr>
          <w:sz w:val="24"/>
          <w:szCs w:val="24"/>
          <w:highlight w:val="none"/>
        </w:rPr>
        <w:t>乙方运到甲方施工现场</w:t>
      </w:r>
      <w:r>
        <w:rPr>
          <w:rFonts w:hint="eastAsia"/>
          <w:sz w:val="24"/>
          <w:szCs w:val="24"/>
          <w:highlight w:val="none"/>
        </w:rPr>
        <w:t>，经甲方指定人员现场验收、双方签字确认</w:t>
      </w:r>
      <w:r>
        <w:rPr>
          <w:sz w:val="24"/>
          <w:szCs w:val="24"/>
          <w:highlight w:val="none"/>
        </w:rPr>
        <w:t>的实际签证数量为依据，以m³为计量单位。</w:t>
      </w:r>
      <w:r>
        <w:rPr>
          <w:rFonts w:hint="eastAsia"/>
          <w:sz w:val="24"/>
          <w:szCs w:val="24"/>
          <w:highlight w:val="none"/>
        </w:rPr>
        <w:t>计量方式应采用经双方认可的计量工具和方法，若发生争议，由第三方检测机构进行复核，费用由责任方承担。</w:t>
      </w:r>
      <w:bookmarkEnd w:id="237"/>
    </w:p>
    <w:p w14:paraId="3BEC2A85">
      <w:pPr>
        <w:adjustRightInd w:val="0"/>
        <w:snapToGrid w:val="0"/>
        <w:spacing w:line="400" w:lineRule="exact"/>
        <w:ind w:firstLine="480" w:firstLineChars="200"/>
        <w:rPr>
          <w:sz w:val="24"/>
          <w:szCs w:val="24"/>
          <w:highlight w:val="none"/>
        </w:rPr>
      </w:pPr>
      <w:r>
        <w:rPr>
          <w:sz w:val="24"/>
          <w:szCs w:val="24"/>
          <w:highlight w:val="none"/>
        </w:rPr>
        <w:t>4.2 甲、乙双方应在本次供货完成后确认混凝土的供应数量，并在结算汇总单据上签字确认。</w:t>
      </w:r>
    </w:p>
    <w:p w14:paraId="0FBF7EAB">
      <w:pPr>
        <w:adjustRightInd w:val="0"/>
        <w:snapToGrid w:val="0"/>
        <w:spacing w:line="400" w:lineRule="exact"/>
        <w:ind w:firstLine="480" w:firstLineChars="200"/>
        <w:rPr>
          <w:sz w:val="24"/>
          <w:szCs w:val="24"/>
          <w:highlight w:val="none"/>
        </w:rPr>
      </w:pPr>
      <w:bookmarkStart w:id="238" w:name="auto_fouce_21"/>
      <w:r>
        <w:rPr>
          <w:sz w:val="24"/>
          <w:szCs w:val="24"/>
          <w:highlight w:val="none"/>
        </w:rPr>
        <w:t>4.3 甲方可随机对乙方混凝土运输车进行实际装载数量的检测，如果检测发现数量误差超过国家允许范围±2%的，则该批次的数量以该车抽样数量为标准进行确认（取样车除外）。</w:t>
      </w:r>
      <w:r>
        <w:rPr>
          <w:rFonts w:hint="eastAsia"/>
          <w:sz w:val="24"/>
          <w:szCs w:val="24"/>
          <w:highlight w:val="none"/>
        </w:rPr>
        <w:t>每车次需同步上传车载GPS轨迹数据及电子磅单至采购人指定系统。对于因计量器具故障或人为篡改数据导致的超差部分，乙方应按超差部分数量的双倍向甲方赔偿。</w:t>
      </w:r>
      <w:bookmarkEnd w:id="238"/>
    </w:p>
    <w:p w14:paraId="5A077322">
      <w:pPr>
        <w:adjustRightInd w:val="0"/>
        <w:snapToGrid w:val="0"/>
        <w:spacing w:line="400" w:lineRule="exact"/>
        <w:ind w:firstLine="480" w:firstLineChars="200"/>
        <w:rPr>
          <w:sz w:val="24"/>
          <w:szCs w:val="24"/>
          <w:highlight w:val="none"/>
        </w:rPr>
      </w:pPr>
      <w:r>
        <w:rPr>
          <w:sz w:val="24"/>
          <w:szCs w:val="24"/>
          <w:highlight w:val="none"/>
        </w:rPr>
        <w:t>4.4甲方指派</w:t>
      </w:r>
      <w:r>
        <w:rPr>
          <w:sz w:val="24"/>
          <w:szCs w:val="24"/>
          <w:highlight w:val="none"/>
        </w:rPr>
        <w:t>现场施工员</w:t>
      </w:r>
      <w:r>
        <w:rPr>
          <w:sz w:val="24"/>
          <w:szCs w:val="24"/>
          <w:highlight w:val="none"/>
        </w:rPr>
        <w:t>为收货人，上述签收人员有权代表甲方与乙方确认混凝土数量，</w:t>
      </w:r>
      <w:bookmarkStart w:id="239" w:name="auto_fouce_22"/>
      <w:r>
        <w:rPr>
          <w:sz w:val="24"/>
          <w:szCs w:val="24"/>
          <w:highlight w:val="none"/>
        </w:rPr>
        <w:t>甲方若变更上述人员履行上述职责，应</w:t>
      </w:r>
      <w:r>
        <w:rPr>
          <w:rFonts w:hint="eastAsia"/>
          <w:sz w:val="24"/>
          <w:szCs w:val="24"/>
          <w:highlight w:val="none"/>
        </w:rPr>
        <w:t>及时通知乙方，可采用</w:t>
      </w:r>
      <w:r>
        <w:rPr>
          <w:sz w:val="24"/>
          <w:szCs w:val="24"/>
          <w:highlight w:val="none"/>
        </w:rPr>
        <w:t>书面</w:t>
      </w:r>
      <w:r>
        <w:rPr>
          <w:rFonts w:hint="eastAsia"/>
          <w:sz w:val="24"/>
          <w:szCs w:val="24"/>
          <w:highlight w:val="none"/>
        </w:rPr>
        <w:t>、电子邮件、短信等可留痕方式，乙方收到</w:t>
      </w:r>
      <w:r>
        <w:rPr>
          <w:sz w:val="24"/>
          <w:szCs w:val="24"/>
          <w:highlight w:val="none"/>
        </w:rPr>
        <w:t>通知</w:t>
      </w:r>
      <w:r>
        <w:rPr>
          <w:rFonts w:hint="eastAsia"/>
          <w:sz w:val="24"/>
          <w:szCs w:val="24"/>
          <w:highlight w:val="none"/>
        </w:rPr>
        <w:t>后应予以确认。若</w:t>
      </w:r>
      <w:r>
        <w:rPr>
          <w:sz w:val="24"/>
          <w:szCs w:val="24"/>
          <w:highlight w:val="none"/>
        </w:rPr>
        <w:t>乙方</w:t>
      </w:r>
      <w:r>
        <w:rPr>
          <w:rFonts w:hint="eastAsia"/>
          <w:sz w:val="24"/>
          <w:szCs w:val="24"/>
          <w:highlight w:val="none"/>
        </w:rPr>
        <w:t>对变更有异议</w:t>
      </w:r>
      <w:r>
        <w:rPr>
          <w:sz w:val="24"/>
          <w:szCs w:val="24"/>
          <w:highlight w:val="none"/>
        </w:rPr>
        <w:t>，</w:t>
      </w:r>
      <w:r>
        <w:rPr>
          <w:rFonts w:hint="eastAsia"/>
          <w:sz w:val="24"/>
          <w:szCs w:val="24"/>
          <w:highlight w:val="none"/>
        </w:rPr>
        <w:t>应于收到通知后24小时内书面反馈，</w:t>
      </w:r>
      <w:r>
        <w:rPr>
          <w:sz w:val="24"/>
          <w:szCs w:val="24"/>
          <w:highlight w:val="none"/>
        </w:rPr>
        <w:t>否则视为</w:t>
      </w:r>
      <w:r>
        <w:rPr>
          <w:rFonts w:hint="eastAsia"/>
          <w:sz w:val="24"/>
          <w:szCs w:val="24"/>
          <w:highlight w:val="none"/>
        </w:rPr>
        <w:t>认可</w:t>
      </w:r>
      <w:r>
        <w:rPr>
          <w:sz w:val="24"/>
          <w:szCs w:val="24"/>
          <w:highlight w:val="none"/>
        </w:rPr>
        <w:t>变更。</w:t>
      </w:r>
      <w:bookmarkEnd w:id="239"/>
    </w:p>
    <w:p w14:paraId="77E79B81">
      <w:pPr>
        <w:adjustRightInd w:val="0"/>
        <w:snapToGrid w:val="0"/>
        <w:spacing w:line="400" w:lineRule="exact"/>
        <w:ind w:firstLine="482" w:firstLineChars="200"/>
        <w:rPr>
          <w:b/>
          <w:sz w:val="24"/>
          <w:szCs w:val="24"/>
          <w:highlight w:val="none"/>
        </w:rPr>
      </w:pPr>
      <w:r>
        <w:rPr>
          <w:b/>
          <w:sz w:val="24"/>
          <w:szCs w:val="24"/>
          <w:highlight w:val="none"/>
        </w:rPr>
        <w:t>第五条 混凝土的货款结算方法：</w:t>
      </w:r>
    </w:p>
    <w:p w14:paraId="7DFF23A3">
      <w:pPr>
        <w:adjustRightInd w:val="0"/>
        <w:snapToGrid w:val="0"/>
        <w:spacing w:line="400" w:lineRule="exact"/>
        <w:ind w:firstLine="480" w:firstLineChars="200"/>
        <w:rPr>
          <w:sz w:val="24"/>
          <w:szCs w:val="24"/>
          <w:highlight w:val="none"/>
        </w:rPr>
      </w:pPr>
      <w:r>
        <w:rPr>
          <w:sz w:val="24"/>
          <w:szCs w:val="24"/>
          <w:highlight w:val="none"/>
        </w:rPr>
        <w:t>5.1 甲方应付货款的确认：</w:t>
      </w:r>
    </w:p>
    <w:p w14:paraId="3A3C0C62">
      <w:pPr>
        <w:adjustRightInd w:val="0"/>
        <w:snapToGrid w:val="0"/>
        <w:spacing w:line="400" w:lineRule="exact"/>
        <w:ind w:firstLine="480" w:firstLineChars="200"/>
        <w:rPr>
          <w:sz w:val="24"/>
          <w:szCs w:val="24"/>
          <w:highlight w:val="none"/>
        </w:rPr>
      </w:pPr>
      <w:bookmarkStart w:id="240" w:name="auto_fouce_23"/>
      <w:r>
        <w:rPr>
          <w:sz w:val="24"/>
          <w:szCs w:val="24"/>
          <w:highlight w:val="none"/>
        </w:rPr>
        <w:t>5.1.1 按第四条确认的数量和第二条第1项规定的价格，对甲方本次供货应付货款进行金额确认。</w:t>
      </w:r>
      <w:bookmarkEnd w:id="240"/>
    </w:p>
    <w:p w14:paraId="5DA5AD85">
      <w:pPr>
        <w:adjustRightInd w:val="0"/>
        <w:snapToGrid w:val="0"/>
        <w:spacing w:line="400" w:lineRule="exact"/>
        <w:ind w:firstLine="482" w:firstLineChars="200"/>
        <w:rPr>
          <w:b/>
          <w:sz w:val="24"/>
          <w:szCs w:val="24"/>
          <w:highlight w:val="none"/>
        </w:rPr>
      </w:pPr>
      <w:r>
        <w:rPr>
          <w:b/>
          <w:sz w:val="24"/>
          <w:szCs w:val="24"/>
          <w:highlight w:val="none"/>
        </w:rPr>
        <w:t>第六条 货款支付</w:t>
      </w:r>
    </w:p>
    <w:p w14:paraId="7155093B">
      <w:pPr>
        <w:adjustRightInd w:val="0"/>
        <w:snapToGrid w:val="0"/>
        <w:spacing w:line="400" w:lineRule="exact"/>
        <w:ind w:firstLine="480" w:firstLineChars="200"/>
        <w:rPr>
          <w:sz w:val="24"/>
          <w:szCs w:val="24"/>
          <w:highlight w:val="none"/>
        </w:rPr>
      </w:pPr>
      <w:r>
        <w:rPr>
          <w:sz w:val="24"/>
          <w:szCs w:val="24"/>
          <w:highlight w:val="none"/>
        </w:rPr>
        <w:t>6.1先货后款，按月结算，次月结算上月费用。乙方按照上月供货总量、合同单价制作结算单，双方签字盖章确认后，</w:t>
      </w:r>
      <w:bookmarkStart w:id="241" w:name="auto_fouce_24"/>
      <w:r>
        <w:rPr>
          <w:sz w:val="24"/>
          <w:szCs w:val="24"/>
          <w:highlight w:val="none"/>
        </w:rPr>
        <w:t>乙方向需方提供结算对应金额的增值税专用发票（税率3%）</w:t>
      </w:r>
      <w:r>
        <w:rPr>
          <w:rFonts w:hint="eastAsia"/>
          <w:sz w:val="24"/>
          <w:szCs w:val="24"/>
          <w:highlight w:val="none"/>
        </w:rPr>
        <w:t>，如未按时提供，采购人有权暂停付款并追究相应违约责任</w:t>
      </w:r>
      <w:bookmarkEnd w:id="241"/>
      <w:r>
        <w:rPr>
          <w:sz w:val="24"/>
          <w:szCs w:val="24"/>
          <w:highlight w:val="none"/>
        </w:rPr>
        <w:t>，</w:t>
      </w:r>
      <w:bookmarkStart w:id="242" w:name="auto_fouce_25"/>
      <w:r>
        <w:rPr>
          <w:sz w:val="24"/>
          <w:szCs w:val="24"/>
          <w:highlight w:val="none"/>
        </w:rPr>
        <w:t>甲方收到全部付款申请资料（含发票</w:t>
      </w:r>
      <w:r>
        <w:rPr>
          <w:rFonts w:hint="eastAsia"/>
          <w:sz w:val="24"/>
          <w:szCs w:val="24"/>
          <w:highlight w:val="none"/>
        </w:rPr>
        <w:t>、结算单</w:t>
      </w:r>
      <w:r>
        <w:rPr>
          <w:sz w:val="24"/>
          <w:szCs w:val="24"/>
          <w:highlight w:val="none"/>
        </w:rPr>
        <w:t>）</w:t>
      </w:r>
      <w:r>
        <w:rPr>
          <w:rFonts w:hint="eastAsia"/>
          <w:sz w:val="24"/>
          <w:szCs w:val="24"/>
          <w:highlight w:val="none"/>
        </w:rPr>
        <w:t>且经甲方验收合格</w:t>
      </w:r>
      <w:r>
        <w:rPr>
          <w:sz w:val="24"/>
          <w:szCs w:val="24"/>
          <w:highlight w:val="none"/>
        </w:rPr>
        <w:t>后10个工作日内全额支付货款。</w:t>
      </w:r>
      <w:r>
        <w:rPr>
          <w:rFonts w:hint="eastAsia"/>
          <w:sz w:val="24"/>
          <w:szCs w:val="24"/>
          <w:highlight w:val="none"/>
        </w:rPr>
        <w:t>若因供应商提供的增值税专用发票不符合税务管理要求导致付款延误的，付款期限相应顺延。</w:t>
      </w:r>
      <w:bookmarkEnd w:id="242"/>
    </w:p>
    <w:p w14:paraId="6964FBDB">
      <w:pPr>
        <w:adjustRightInd w:val="0"/>
        <w:snapToGrid w:val="0"/>
        <w:spacing w:line="400" w:lineRule="exact"/>
        <w:ind w:firstLine="480" w:firstLineChars="200"/>
        <w:rPr>
          <w:color w:val="000000"/>
          <w:sz w:val="24"/>
          <w:szCs w:val="24"/>
          <w:highlight w:val="none"/>
        </w:rPr>
      </w:pPr>
      <w:r>
        <w:rPr>
          <w:sz w:val="24"/>
          <w:szCs w:val="24"/>
          <w:highlight w:val="none"/>
        </w:rPr>
        <w:t xml:space="preserve">6.2 </w:t>
      </w:r>
      <w:bookmarkStart w:id="243" w:name="auto_fouce_26"/>
      <w:r>
        <w:rPr>
          <w:sz w:val="24"/>
          <w:szCs w:val="24"/>
          <w:highlight w:val="none"/>
        </w:rPr>
        <w:t>甲方未按合同约定时间付款，甲方</w:t>
      </w:r>
      <w:r>
        <w:rPr>
          <w:rFonts w:hint="eastAsia"/>
          <w:color w:val="000000"/>
          <w:sz w:val="24"/>
          <w:szCs w:val="24"/>
          <w:highlight w:val="none"/>
        </w:rPr>
        <w:t>根据延期天数按照</w:t>
      </w:r>
      <w:r>
        <w:rPr>
          <w:color w:val="000000"/>
          <w:sz w:val="24"/>
          <w:szCs w:val="24"/>
          <w:highlight w:val="none"/>
        </w:rPr>
        <w:t>全国银行间同业拆借中心公布的贷款市场报价利率（LPR）</w:t>
      </w:r>
      <w:r>
        <w:rPr>
          <w:rFonts w:hint="eastAsia"/>
          <w:color w:val="000000"/>
          <w:sz w:val="24"/>
          <w:szCs w:val="24"/>
          <w:highlight w:val="none"/>
        </w:rPr>
        <w:t>向乙方</w:t>
      </w:r>
      <w:r>
        <w:rPr>
          <w:color w:val="000000"/>
          <w:sz w:val="24"/>
          <w:szCs w:val="24"/>
          <w:highlight w:val="none"/>
        </w:rPr>
        <w:t>支付违约金</w:t>
      </w:r>
      <w:r>
        <w:rPr>
          <w:rFonts w:hint="eastAsia"/>
          <w:sz w:val="24"/>
          <w:szCs w:val="24"/>
          <w:highlight w:val="none"/>
        </w:rPr>
        <w:t>，但</w:t>
      </w:r>
      <w:r>
        <w:rPr>
          <w:sz w:val="24"/>
          <w:szCs w:val="24"/>
          <w:highlight w:val="none"/>
        </w:rPr>
        <w:t>乙方不得因此停止混凝土供应，否则</w:t>
      </w:r>
      <w:r>
        <w:rPr>
          <w:color w:val="000000"/>
          <w:sz w:val="24"/>
          <w:szCs w:val="24"/>
          <w:highlight w:val="none"/>
        </w:rPr>
        <w:t>乙方每天须按照履约保证金金额1%承担违约金。</w:t>
      </w:r>
    </w:p>
    <w:bookmarkEnd w:id="243"/>
    <w:p w14:paraId="4AF19CF0">
      <w:pPr>
        <w:adjustRightInd w:val="0"/>
        <w:snapToGrid w:val="0"/>
        <w:spacing w:line="400" w:lineRule="exact"/>
        <w:ind w:firstLine="480" w:firstLineChars="200"/>
        <w:rPr>
          <w:sz w:val="24"/>
          <w:szCs w:val="24"/>
          <w:highlight w:val="none"/>
        </w:rPr>
      </w:pPr>
      <w:r>
        <w:rPr>
          <w:sz w:val="24"/>
          <w:szCs w:val="24"/>
          <w:highlight w:val="none"/>
        </w:rPr>
        <w:t>6.3若因甲方中途停工，连续一个月内浇筑混凝土不足100m³，则视为工程完工，</w:t>
      </w:r>
      <w:bookmarkStart w:id="244" w:name="auto_fouce_27"/>
      <w:r>
        <w:rPr>
          <w:sz w:val="24"/>
          <w:szCs w:val="24"/>
          <w:highlight w:val="none"/>
        </w:rPr>
        <w:t>乙方有权单方面解除合同并要求甲方付清</w:t>
      </w:r>
      <w:r>
        <w:rPr>
          <w:rFonts w:hint="eastAsia"/>
          <w:sz w:val="24"/>
          <w:szCs w:val="24"/>
          <w:highlight w:val="none"/>
        </w:rPr>
        <w:t>已供货</w:t>
      </w:r>
      <w:r>
        <w:rPr>
          <w:sz w:val="24"/>
          <w:szCs w:val="24"/>
          <w:highlight w:val="none"/>
        </w:rPr>
        <w:t>货款</w:t>
      </w:r>
      <w:r>
        <w:rPr>
          <w:rFonts w:hint="eastAsia"/>
          <w:sz w:val="24"/>
          <w:szCs w:val="24"/>
          <w:highlight w:val="none"/>
        </w:rPr>
        <w:t>，但应提前7日书面通知甲方，并协助甲方完成已供货部分的交接，不得因此影响甲方工程进度，乙方应承担因此给甲方造成的全部损失</w:t>
      </w:r>
      <w:r>
        <w:rPr>
          <w:sz w:val="24"/>
          <w:szCs w:val="24"/>
          <w:highlight w:val="none"/>
        </w:rPr>
        <w:t>。</w:t>
      </w:r>
      <w:bookmarkEnd w:id="244"/>
    </w:p>
    <w:p w14:paraId="56B513A3">
      <w:pPr>
        <w:adjustRightInd w:val="0"/>
        <w:snapToGrid w:val="0"/>
        <w:spacing w:line="400" w:lineRule="exact"/>
        <w:ind w:firstLine="480" w:firstLineChars="200"/>
        <w:rPr>
          <w:sz w:val="24"/>
          <w:szCs w:val="24"/>
          <w:highlight w:val="none"/>
        </w:rPr>
      </w:pPr>
      <w:r>
        <w:rPr>
          <w:sz w:val="24"/>
          <w:szCs w:val="24"/>
          <w:highlight w:val="none"/>
        </w:rPr>
        <w:t>6.4若因乙方原因未及时供货，给甲方造成的一切损失，由乙方承担。</w:t>
      </w:r>
    </w:p>
    <w:p w14:paraId="790DE9A9">
      <w:pPr>
        <w:adjustRightInd w:val="0"/>
        <w:snapToGrid w:val="0"/>
        <w:spacing w:line="400" w:lineRule="exact"/>
        <w:ind w:firstLine="482" w:firstLineChars="200"/>
        <w:rPr>
          <w:b/>
          <w:sz w:val="24"/>
          <w:szCs w:val="24"/>
          <w:highlight w:val="none"/>
        </w:rPr>
      </w:pPr>
      <w:r>
        <w:rPr>
          <w:b/>
          <w:sz w:val="24"/>
          <w:szCs w:val="24"/>
          <w:highlight w:val="none"/>
        </w:rPr>
        <w:t>第七条 甲方的权利与义务：</w:t>
      </w:r>
    </w:p>
    <w:p w14:paraId="30B44691">
      <w:pPr>
        <w:adjustRightInd w:val="0"/>
        <w:snapToGrid w:val="0"/>
        <w:spacing w:line="400" w:lineRule="exact"/>
        <w:ind w:firstLine="480" w:firstLineChars="200"/>
        <w:rPr>
          <w:spacing w:val="-2"/>
          <w:sz w:val="24"/>
          <w:szCs w:val="24"/>
          <w:highlight w:val="none"/>
        </w:rPr>
      </w:pPr>
      <w:r>
        <w:rPr>
          <w:sz w:val="24"/>
          <w:szCs w:val="24"/>
          <w:highlight w:val="none"/>
        </w:rPr>
        <w:t xml:space="preserve">7.1 </w:t>
      </w:r>
      <w:r>
        <w:rPr>
          <w:spacing w:val="-2"/>
          <w:sz w:val="24"/>
          <w:szCs w:val="24"/>
          <w:highlight w:val="none"/>
        </w:rPr>
        <w:t>根据工程进度需要，甲方须提前12小时如实填写统一格式的《预拌商品混凝土供应计划单》，并于填报当日16:30以前以书面通知乙方，乙方在收到甲方计划后，提前8小时确定当批次混凝土开盘时间并回复甲方。因各种原因在保留的时效内需要更改、延迟供应计划，甲方应提前6小时重新填报书面《预拌商品混凝土供应计划单》通知乙方。因通知不及时所造成的</w:t>
      </w:r>
      <w:r>
        <w:rPr>
          <w:spacing w:val="-6"/>
          <w:sz w:val="24"/>
          <w:szCs w:val="24"/>
          <w:highlight w:val="none"/>
        </w:rPr>
        <w:t>一切</w:t>
      </w:r>
      <w:r>
        <w:rPr>
          <w:spacing w:val="-2"/>
          <w:sz w:val="24"/>
          <w:szCs w:val="24"/>
          <w:highlight w:val="none"/>
        </w:rPr>
        <w:t>责任和经济损失，均由甲方承担。</w:t>
      </w:r>
    </w:p>
    <w:p w14:paraId="2D055067">
      <w:pPr>
        <w:adjustRightInd w:val="0"/>
        <w:snapToGrid w:val="0"/>
        <w:spacing w:line="400" w:lineRule="exact"/>
        <w:ind w:firstLine="480" w:firstLineChars="200"/>
        <w:rPr>
          <w:spacing w:val="-4"/>
          <w:sz w:val="24"/>
          <w:szCs w:val="24"/>
          <w:highlight w:val="none"/>
        </w:rPr>
      </w:pPr>
      <w:r>
        <w:rPr>
          <w:sz w:val="24"/>
          <w:szCs w:val="24"/>
          <w:highlight w:val="none"/>
        </w:rPr>
        <w:t>7.2 甲方应当负责施工现场输送混凝土所需要的电力、照明、水源、临时清洁车辆场地及其设施；负责施工现场保卫和安全；协调好与周边相邻单位（团体或个人）、城管、环保、交通道路畅通等相关事宜；安排专人对进出车辆带泥进行冲洗；施工现场应做到场地和道路平整、畅通，确保施工人员和混凝土运输和泵送车辆及机具的安全进出。</w:t>
      </w:r>
      <w:r>
        <w:rPr>
          <w:rFonts w:hint="eastAsia"/>
          <w:sz w:val="24"/>
          <w:szCs w:val="24"/>
          <w:highlight w:val="none"/>
        </w:rPr>
        <w:t>以上</w:t>
      </w:r>
      <w:r>
        <w:rPr>
          <w:sz w:val="24"/>
          <w:szCs w:val="24"/>
          <w:highlight w:val="none"/>
        </w:rPr>
        <w:t>费用由甲方承担。</w:t>
      </w:r>
    </w:p>
    <w:p w14:paraId="5C9B774C">
      <w:pPr>
        <w:adjustRightInd w:val="0"/>
        <w:snapToGrid w:val="0"/>
        <w:spacing w:line="400" w:lineRule="exact"/>
        <w:ind w:firstLine="480" w:firstLineChars="200"/>
        <w:rPr>
          <w:spacing w:val="-6"/>
          <w:sz w:val="24"/>
          <w:szCs w:val="24"/>
          <w:highlight w:val="none"/>
        </w:rPr>
      </w:pPr>
      <w:r>
        <w:rPr>
          <w:sz w:val="24"/>
          <w:szCs w:val="24"/>
          <w:highlight w:val="none"/>
        </w:rPr>
        <w:t>7.3</w:t>
      </w:r>
      <w:r>
        <w:rPr>
          <w:spacing w:val="-6"/>
          <w:sz w:val="24"/>
          <w:szCs w:val="24"/>
          <w:highlight w:val="none"/>
        </w:rPr>
        <w:t>甲方负责委派的技术人员按施工要求的质量和数量，对乙方运送到施工现场的预拌混凝土强度等级、工程名称、浇筑部位进行核对验收签认；确认无误后，方可浇筑。</w:t>
      </w:r>
    </w:p>
    <w:p w14:paraId="6626A529">
      <w:pPr>
        <w:adjustRightInd w:val="0"/>
        <w:snapToGrid w:val="0"/>
        <w:spacing w:line="400" w:lineRule="exact"/>
        <w:ind w:firstLine="456" w:firstLineChars="200"/>
        <w:rPr>
          <w:spacing w:val="-6"/>
          <w:sz w:val="24"/>
          <w:szCs w:val="24"/>
          <w:highlight w:val="none"/>
        </w:rPr>
      </w:pPr>
      <w:r>
        <w:rPr>
          <w:spacing w:val="-6"/>
          <w:sz w:val="24"/>
          <w:szCs w:val="24"/>
          <w:highlight w:val="none"/>
        </w:rPr>
        <w:t>7.4甲方负责派人对混凝土运输车辆进出施工现场进行调度指挥，协助车辆和泵机的进出场，安排足够的人力和物力保障，协助混凝土输送管道的铺设、迁移、加固和卸料，确保混凝土施工进度的顺利进行。</w:t>
      </w:r>
    </w:p>
    <w:p w14:paraId="47681F93">
      <w:pPr>
        <w:adjustRightInd w:val="0"/>
        <w:snapToGrid w:val="0"/>
        <w:spacing w:line="400" w:lineRule="exact"/>
        <w:ind w:firstLine="480" w:firstLineChars="200"/>
        <w:rPr>
          <w:spacing w:val="-6"/>
          <w:sz w:val="24"/>
          <w:szCs w:val="24"/>
          <w:highlight w:val="none"/>
        </w:rPr>
      </w:pPr>
      <w:bookmarkStart w:id="245" w:name="auto_fouce_28"/>
      <w:r>
        <w:rPr>
          <w:sz w:val="24"/>
          <w:szCs w:val="24"/>
          <w:highlight w:val="none"/>
        </w:rPr>
        <w:t xml:space="preserve">7.5 </w:t>
      </w:r>
      <w:r>
        <w:rPr>
          <w:spacing w:val="-6"/>
          <w:sz w:val="24"/>
          <w:szCs w:val="24"/>
          <w:highlight w:val="none"/>
        </w:rPr>
        <w:t>预拌混凝土运到施工现场后，未经乙方技术人员同意，甲方不得掺入外加剂、掺和物、生水，由此引起的和因违规操作而引起的混凝土质量事故，由甲方承担其一切责任和经济损失。</w:t>
      </w:r>
      <w:r>
        <w:rPr>
          <w:rFonts w:hint="eastAsia"/>
          <w:spacing w:val="-6"/>
          <w:sz w:val="24"/>
          <w:szCs w:val="24"/>
          <w:highlight w:val="none"/>
        </w:rPr>
        <w:t>甲方对混凝土进行第三方检测的，检测费用由乙方承担。乙方应于混凝土浇筑前以书面形式告知甲方外加剂配比禁忌事项，否则相关责任由乙方承担。</w:t>
      </w:r>
      <w:bookmarkEnd w:id="245"/>
    </w:p>
    <w:p w14:paraId="7E467E6A">
      <w:pPr>
        <w:adjustRightInd w:val="0"/>
        <w:snapToGrid w:val="0"/>
        <w:spacing w:line="400" w:lineRule="exact"/>
        <w:ind w:firstLine="480" w:firstLineChars="200"/>
        <w:rPr>
          <w:sz w:val="24"/>
          <w:szCs w:val="24"/>
          <w:highlight w:val="none"/>
        </w:rPr>
      </w:pPr>
      <w:r>
        <w:rPr>
          <w:sz w:val="24"/>
          <w:szCs w:val="24"/>
          <w:highlight w:val="none"/>
        </w:rPr>
        <w:t>7.6乙方按照“重庆市建设工程预拌混凝土供应计划表”的要求，运送预拌混凝土到施工现场后，甲方应及时组织浇筑和振捣及抹平收面，并在</w:t>
      </w:r>
      <w:bookmarkStart w:id="246" w:name="auto_fouce_29"/>
      <w:r>
        <w:rPr>
          <w:sz w:val="24"/>
          <w:szCs w:val="24"/>
          <w:highlight w:val="none"/>
        </w:rPr>
        <w:t>1.5小时内浇筑完毕，塔吊在2小时内浇筑完毕，因</w:t>
      </w:r>
      <w:r>
        <w:rPr>
          <w:rFonts w:hint="eastAsia"/>
          <w:sz w:val="24"/>
          <w:szCs w:val="24"/>
          <w:highlight w:val="none"/>
        </w:rPr>
        <w:t>不可抗力或采购人施工组织原因导致的超时除外，因</w:t>
      </w:r>
      <w:r>
        <w:rPr>
          <w:sz w:val="24"/>
          <w:szCs w:val="24"/>
          <w:highlight w:val="none"/>
        </w:rPr>
        <w:t>甲方原因导致超时的，造成的混凝土报废或浇筑引发的质量问题全部由甲方承担。</w:t>
      </w:r>
      <w:bookmarkEnd w:id="246"/>
      <w:r>
        <w:rPr>
          <w:sz w:val="24"/>
          <w:szCs w:val="24"/>
          <w:highlight w:val="none"/>
        </w:rPr>
        <w:t>甲方收货人员在乙方送货单上注明混凝土运输车的到达时间和浇筑完毕时间。</w:t>
      </w:r>
    </w:p>
    <w:p w14:paraId="69ED5281">
      <w:pPr>
        <w:adjustRightInd w:val="0"/>
        <w:snapToGrid w:val="0"/>
        <w:spacing w:line="400" w:lineRule="exact"/>
        <w:ind w:firstLine="480" w:firstLineChars="200"/>
        <w:rPr>
          <w:spacing w:val="-6"/>
          <w:sz w:val="24"/>
          <w:szCs w:val="24"/>
          <w:highlight w:val="none"/>
        </w:rPr>
      </w:pPr>
      <w:bookmarkStart w:id="247" w:name="auto_fouce_30"/>
      <w:r>
        <w:rPr>
          <w:sz w:val="24"/>
          <w:szCs w:val="24"/>
          <w:highlight w:val="none"/>
        </w:rPr>
        <w:t>7.7乙方提供的预拌混凝土到施工现场时，甲方应按相关标准规范要求的检验批次要求，对进场预拌混凝土进行交货检验。用于交货检验的混凝土试件应在乙方和监理单位的见证下，由甲方专业人员按标准要求进行取样、制作、标识和养护管理，且样品应送往有相应资质的检测单位进行标准养护和检测；甲方的取样、制作、送样应通知乙方和监理单位见证。若甲方未按上述程序和约定进行取样、制样、送样、试件养护、检测的，视为甲方对该批次预拌混凝土的质量无异议，以乙方的出厂检验为准。现场交货验收的取样、制样、养护、检测费用由甲方承担。</w:t>
      </w:r>
      <w:bookmarkEnd w:id="247"/>
    </w:p>
    <w:p w14:paraId="055DBC00">
      <w:pPr>
        <w:adjustRightInd w:val="0"/>
        <w:snapToGrid w:val="0"/>
        <w:spacing w:line="400" w:lineRule="exact"/>
        <w:ind w:firstLine="480" w:firstLineChars="200"/>
        <w:rPr>
          <w:spacing w:val="-6"/>
          <w:sz w:val="24"/>
          <w:szCs w:val="24"/>
          <w:highlight w:val="none"/>
        </w:rPr>
      </w:pPr>
      <w:r>
        <w:rPr>
          <w:sz w:val="24"/>
          <w:szCs w:val="24"/>
          <w:highlight w:val="none"/>
        </w:rPr>
        <w:t>7.8 甲方在混凝土施工过程中，应严格执行国家和地方现行有关施工技术规范和标准，严把施工质量关。如果因甲方浇注、振捣、收面和早期护理、养护、试件（包括取样、制作、养护管理等）等施工现场原因造成混凝土裂缝、蜂窝麻面、试件强度低等施工质量问题，</w:t>
      </w:r>
      <w:r>
        <w:rPr>
          <w:spacing w:val="-6"/>
          <w:sz w:val="24"/>
          <w:szCs w:val="24"/>
          <w:highlight w:val="none"/>
        </w:rPr>
        <w:t>一概由甲方承担其一切责任和经济损失。</w:t>
      </w:r>
    </w:p>
    <w:p w14:paraId="4B914957">
      <w:pPr>
        <w:adjustRightInd w:val="0"/>
        <w:snapToGrid w:val="0"/>
        <w:spacing w:line="400" w:lineRule="exact"/>
        <w:ind w:firstLine="456" w:firstLineChars="200"/>
        <w:rPr>
          <w:spacing w:val="-6"/>
          <w:sz w:val="24"/>
          <w:szCs w:val="24"/>
          <w:highlight w:val="none"/>
        </w:rPr>
      </w:pPr>
      <w:r>
        <w:rPr>
          <w:spacing w:val="-6"/>
          <w:sz w:val="24"/>
          <w:szCs w:val="24"/>
          <w:highlight w:val="none"/>
        </w:rPr>
        <w:t>7.9润管砂浆不得当预拌混凝土使用和浇筑到施工部位，因私自浇筑到施工部位造成的工程质量事故由甲方负责。在施工过程中，当出现不同强度等级的预拌混凝土同时浇筑时，不同强度等级的转换由甲方负责，并指定不同强度等级的入模地点及时间。</w:t>
      </w:r>
    </w:p>
    <w:p w14:paraId="55D7B7CE">
      <w:pPr>
        <w:adjustRightInd w:val="0"/>
        <w:snapToGrid w:val="0"/>
        <w:spacing w:line="400" w:lineRule="exact"/>
        <w:ind w:firstLine="482" w:firstLineChars="200"/>
        <w:rPr>
          <w:b/>
          <w:sz w:val="24"/>
          <w:szCs w:val="24"/>
          <w:highlight w:val="none"/>
        </w:rPr>
      </w:pPr>
      <w:r>
        <w:rPr>
          <w:b/>
          <w:sz w:val="24"/>
          <w:szCs w:val="24"/>
          <w:highlight w:val="none"/>
        </w:rPr>
        <w:t>第八条 乙方的权利和义务：</w:t>
      </w:r>
    </w:p>
    <w:p w14:paraId="6ACB93C1">
      <w:pPr>
        <w:adjustRightInd w:val="0"/>
        <w:snapToGrid w:val="0"/>
        <w:spacing w:line="400" w:lineRule="exact"/>
        <w:ind w:firstLine="480" w:firstLineChars="200"/>
        <w:rPr>
          <w:sz w:val="24"/>
          <w:szCs w:val="24"/>
          <w:highlight w:val="none"/>
        </w:rPr>
      </w:pPr>
      <w:r>
        <w:rPr>
          <w:sz w:val="24"/>
          <w:szCs w:val="24"/>
          <w:highlight w:val="none"/>
        </w:rPr>
        <w:t>8.1 乙方必须持有重庆市建委审查颁发的资质等级证书，并严格按照资质等级证书核定的营业范围供应预拌混凝土。</w:t>
      </w:r>
    </w:p>
    <w:p w14:paraId="5668D268">
      <w:pPr>
        <w:adjustRightInd w:val="0"/>
        <w:snapToGrid w:val="0"/>
        <w:spacing w:line="400" w:lineRule="exact"/>
        <w:ind w:firstLine="480" w:firstLineChars="200"/>
        <w:rPr>
          <w:sz w:val="24"/>
          <w:szCs w:val="24"/>
          <w:highlight w:val="none"/>
        </w:rPr>
      </w:pPr>
      <w:r>
        <w:rPr>
          <w:sz w:val="24"/>
          <w:szCs w:val="24"/>
          <w:highlight w:val="none"/>
        </w:rPr>
        <w:t>8.2 乙方在预拌混凝土生产过程中，应严格执行现行国家有关技术规范标准，以及我市现行有关技术规范标准，并将出厂检验的混凝土强度报告及相关资料提供给甲方。</w:t>
      </w:r>
    </w:p>
    <w:p w14:paraId="26156D1D">
      <w:pPr>
        <w:adjustRightInd w:val="0"/>
        <w:snapToGrid w:val="0"/>
        <w:spacing w:line="400" w:lineRule="exact"/>
        <w:ind w:firstLine="480" w:firstLineChars="200"/>
        <w:rPr>
          <w:spacing w:val="-6"/>
          <w:sz w:val="24"/>
          <w:szCs w:val="24"/>
          <w:highlight w:val="none"/>
        </w:rPr>
      </w:pPr>
      <w:r>
        <w:rPr>
          <w:sz w:val="24"/>
          <w:szCs w:val="24"/>
          <w:highlight w:val="none"/>
        </w:rPr>
        <w:t xml:space="preserve">8.3 </w:t>
      </w:r>
      <w:r>
        <w:rPr>
          <w:spacing w:val="-6"/>
          <w:sz w:val="24"/>
          <w:szCs w:val="24"/>
          <w:highlight w:val="none"/>
        </w:rPr>
        <w:t>乙方收到</w:t>
      </w:r>
      <w:r>
        <w:rPr>
          <w:spacing w:val="-2"/>
          <w:sz w:val="24"/>
          <w:szCs w:val="24"/>
          <w:highlight w:val="none"/>
        </w:rPr>
        <w:t>《预拌商品混凝土供应计划单》</w:t>
      </w:r>
      <w:r>
        <w:rPr>
          <w:spacing w:val="-6"/>
          <w:sz w:val="24"/>
          <w:szCs w:val="24"/>
          <w:highlight w:val="none"/>
        </w:rPr>
        <w:t>后，应按要求及时供应预拌混凝土（遇交通管制、其他政府行为、不可抗力、地震、战争、及自然灾害等情况除外），确保施工进度和工程连续浇捣需要</w:t>
      </w:r>
      <w:r>
        <w:rPr>
          <w:spacing w:val="-6"/>
          <w:sz w:val="24"/>
          <w:szCs w:val="24"/>
          <w:highlight w:val="none"/>
        </w:rPr>
        <w:t>，未经甲方同意</w:t>
      </w:r>
      <w:r>
        <w:rPr>
          <w:rFonts w:hint="eastAsia"/>
          <w:spacing w:val="-6"/>
          <w:sz w:val="24"/>
          <w:szCs w:val="24"/>
          <w:highlight w:val="none"/>
        </w:rPr>
        <w:t>不得</w:t>
      </w:r>
      <w:r>
        <w:rPr>
          <w:spacing w:val="-6"/>
          <w:sz w:val="24"/>
          <w:szCs w:val="24"/>
          <w:highlight w:val="none"/>
        </w:rPr>
        <w:t>中断。</w:t>
      </w:r>
      <w:r>
        <w:rPr>
          <w:spacing w:val="-6"/>
          <w:sz w:val="24"/>
          <w:szCs w:val="24"/>
          <w:highlight w:val="none"/>
        </w:rPr>
        <w:t>乙方每小时</w:t>
      </w:r>
      <w:r>
        <w:rPr>
          <w:spacing w:val="-6"/>
          <w:sz w:val="24"/>
          <w:szCs w:val="24"/>
          <w:highlight w:val="none"/>
        </w:rPr>
        <w:t>至少</w:t>
      </w:r>
      <w:r>
        <w:rPr>
          <w:spacing w:val="-6"/>
          <w:sz w:val="24"/>
          <w:szCs w:val="24"/>
          <w:highlight w:val="none"/>
        </w:rPr>
        <w:t>保证2车混凝土，因混凝土供应不及时，造成直接经济损失由乙方承担。延误的原因及时间由双方工长在24小时内签字认可。</w:t>
      </w:r>
    </w:p>
    <w:p w14:paraId="3F0B9986">
      <w:pPr>
        <w:adjustRightInd w:val="0"/>
        <w:snapToGrid w:val="0"/>
        <w:spacing w:line="400" w:lineRule="exact"/>
        <w:ind w:firstLine="480" w:firstLineChars="200"/>
        <w:rPr>
          <w:sz w:val="24"/>
          <w:szCs w:val="24"/>
          <w:highlight w:val="none"/>
        </w:rPr>
      </w:pPr>
      <w:r>
        <w:rPr>
          <w:sz w:val="24"/>
          <w:szCs w:val="24"/>
          <w:highlight w:val="none"/>
        </w:rPr>
        <w:t>8.4 乙方按照</w:t>
      </w:r>
      <w:r>
        <w:rPr>
          <w:spacing w:val="-2"/>
          <w:sz w:val="24"/>
          <w:szCs w:val="24"/>
          <w:highlight w:val="none"/>
        </w:rPr>
        <w:t>《预拌商品混凝土供应计划单》</w:t>
      </w:r>
      <w:r>
        <w:rPr>
          <w:sz w:val="24"/>
          <w:szCs w:val="24"/>
          <w:highlight w:val="none"/>
        </w:rPr>
        <w:t>的要求，负责预拌混凝土的强度等级设计实验，并向甲方及有关质监部门提供水泥、砂、石等材质的实验报告及出厂合格证。</w:t>
      </w:r>
    </w:p>
    <w:p w14:paraId="0EA3C919">
      <w:pPr>
        <w:adjustRightInd w:val="0"/>
        <w:snapToGrid w:val="0"/>
        <w:spacing w:line="400" w:lineRule="exact"/>
        <w:ind w:firstLine="480" w:firstLineChars="200"/>
        <w:rPr>
          <w:sz w:val="24"/>
          <w:szCs w:val="24"/>
          <w:highlight w:val="none"/>
        </w:rPr>
      </w:pPr>
      <w:r>
        <w:rPr>
          <w:sz w:val="24"/>
          <w:szCs w:val="24"/>
          <w:highlight w:val="none"/>
        </w:rPr>
        <w:t xml:space="preserve">8.5 </w:t>
      </w:r>
      <w:bookmarkStart w:id="248" w:name="auto_fouce_31"/>
      <w:r>
        <w:rPr>
          <w:sz w:val="24"/>
          <w:szCs w:val="24"/>
          <w:highlight w:val="none"/>
        </w:rPr>
        <w:t>如乙方在预拌混凝土生产和运输过程中的原因，造成工程质量事故的</w:t>
      </w:r>
      <w:r>
        <w:rPr>
          <w:rFonts w:hint="eastAsia"/>
          <w:sz w:val="24"/>
          <w:szCs w:val="24"/>
          <w:highlight w:val="none"/>
        </w:rPr>
        <w:t>，乙方应承担因此产生的修复费用等</w:t>
      </w:r>
      <w:r>
        <w:rPr>
          <w:sz w:val="24"/>
          <w:szCs w:val="24"/>
          <w:highlight w:val="none"/>
        </w:rPr>
        <w:t>直接经济损失，</w:t>
      </w:r>
      <w:r>
        <w:rPr>
          <w:rFonts w:hint="eastAsia"/>
          <w:sz w:val="24"/>
          <w:szCs w:val="24"/>
          <w:highlight w:val="none"/>
        </w:rPr>
        <w:t>及因此导致的工程返工、工期延误等相关损失。</w:t>
      </w:r>
      <w:r>
        <w:rPr>
          <w:sz w:val="24"/>
          <w:szCs w:val="24"/>
          <w:highlight w:val="none"/>
        </w:rPr>
        <w:t>乙方不承担间接损失和连带责任。</w:t>
      </w:r>
      <w:bookmarkEnd w:id="248"/>
    </w:p>
    <w:p w14:paraId="2D9AA3DC">
      <w:pPr>
        <w:adjustRightInd w:val="0"/>
        <w:snapToGrid w:val="0"/>
        <w:spacing w:line="400" w:lineRule="exact"/>
        <w:ind w:firstLine="480" w:firstLineChars="200"/>
        <w:rPr>
          <w:sz w:val="24"/>
          <w:szCs w:val="24"/>
          <w:highlight w:val="none"/>
        </w:rPr>
      </w:pPr>
      <w:r>
        <w:rPr>
          <w:sz w:val="24"/>
          <w:szCs w:val="24"/>
          <w:highlight w:val="none"/>
        </w:rPr>
        <w:t>8.6 乙方应派专人到施工现场与甲方共同协调预拌混凝土供应有关事宜。乙方进入施工现场人员应遵守甲方有关安全的规章制度。因乙方原因造成的安全事故，由乙方承担直接经济损失责任。</w:t>
      </w:r>
    </w:p>
    <w:p w14:paraId="355BF1FB">
      <w:pPr>
        <w:adjustRightInd w:val="0"/>
        <w:snapToGrid w:val="0"/>
        <w:spacing w:line="400" w:lineRule="exact"/>
        <w:ind w:firstLine="480" w:firstLineChars="200"/>
        <w:rPr>
          <w:sz w:val="24"/>
          <w:szCs w:val="24"/>
          <w:highlight w:val="none"/>
        </w:rPr>
      </w:pPr>
      <w:r>
        <w:rPr>
          <w:sz w:val="24"/>
          <w:szCs w:val="24"/>
          <w:highlight w:val="none"/>
        </w:rPr>
        <w:t>8.7 乙方负责现场混凝土输送道道的铺设、迁移、加固。因乙方安装泵管产生的安全问题，由乙方负责。</w:t>
      </w:r>
    </w:p>
    <w:p w14:paraId="5D78E5E6">
      <w:pPr>
        <w:adjustRightInd w:val="0"/>
        <w:snapToGrid w:val="0"/>
        <w:spacing w:line="400" w:lineRule="exact"/>
        <w:ind w:firstLine="480" w:firstLineChars="200"/>
        <w:rPr>
          <w:sz w:val="24"/>
          <w:szCs w:val="24"/>
          <w:highlight w:val="none"/>
        </w:rPr>
      </w:pPr>
      <w:r>
        <w:rPr>
          <w:sz w:val="24"/>
          <w:szCs w:val="24"/>
          <w:highlight w:val="none"/>
        </w:rPr>
        <w:t xml:space="preserve">8.8 如乙方混凝土质量不符合要求所造成的一切责任由乙方负责。不承担间接损失和连带责任。 </w:t>
      </w:r>
    </w:p>
    <w:p w14:paraId="22CC5E0F">
      <w:pPr>
        <w:adjustRightInd w:val="0"/>
        <w:snapToGrid w:val="0"/>
        <w:spacing w:line="400" w:lineRule="exact"/>
        <w:ind w:firstLine="480" w:firstLineChars="200"/>
        <w:rPr>
          <w:spacing w:val="-8"/>
          <w:sz w:val="24"/>
          <w:szCs w:val="24"/>
          <w:highlight w:val="none"/>
        </w:rPr>
      </w:pPr>
      <w:r>
        <w:rPr>
          <w:sz w:val="24"/>
          <w:szCs w:val="24"/>
          <w:highlight w:val="none"/>
        </w:rPr>
        <w:t>8.9</w:t>
      </w:r>
      <w:r>
        <w:rPr>
          <w:spacing w:val="-8"/>
          <w:sz w:val="24"/>
          <w:szCs w:val="24"/>
          <w:highlight w:val="none"/>
        </w:rPr>
        <w:t>为了更好更及时地为甲方服务，</w:t>
      </w:r>
      <w:bookmarkStart w:id="249" w:name="auto_fouce_32"/>
      <w:r>
        <w:rPr>
          <w:spacing w:val="-8"/>
          <w:sz w:val="24"/>
          <w:szCs w:val="24"/>
          <w:highlight w:val="none"/>
        </w:rPr>
        <w:t>因特殊情况，</w:t>
      </w:r>
      <w:r>
        <w:rPr>
          <w:spacing w:val="-8"/>
          <w:sz w:val="24"/>
          <w:szCs w:val="24"/>
          <w:highlight w:val="none"/>
        </w:rPr>
        <w:t>乙方可委托其他具备预拌混凝土资质的搅拌站对甲方供货，</w:t>
      </w:r>
      <w:r>
        <w:rPr>
          <w:rFonts w:hint="eastAsia"/>
          <w:spacing w:val="-8"/>
          <w:sz w:val="24"/>
          <w:szCs w:val="24"/>
          <w:highlight w:val="none"/>
        </w:rPr>
        <w:t>须经甲方书面同意，并</w:t>
      </w:r>
      <w:r>
        <w:rPr>
          <w:spacing w:val="-8"/>
          <w:sz w:val="24"/>
          <w:szCs w:val="24"/>
          <w:highlight w:val="none"/>
        </w:rPr>
        <w:t>由乙方承担本合同所有权利和义务。</w:t>
      </w:r>
      <w:bookmarkEnd w:id="249"/>
    </w:p>
    <w:p w14:paraId="46416DBD">
      <w:pPr>
        <w:adjustRightInd w:val="0"/>
        <w:snapToGrid w:val="0"/>
        <w:spacing w:line="400" w:lineRule="exact"/>
        <w:ind w:firstLine="448" w:firstLineChars="200"/>
        <w:rPr>
          <w:spacing w:val="-8"/>
          <w:sz w:val="24"/>
          <w:szCs w:val="24"/>
          <w:highlight w:val="none"/>
        </w:rPr>
      </w:pPr>
      <w:bookmarkStart w:id="250" w:name="auto_fouce_33"/>
      <w:r>
        <w:rPr>
          <w:spacing w:val="-8"/>
          <w:sz w:val="24"/>
          <w:szCs w:val="24"/>
          <w:highlight w:val="none"/>
        </w:rPr>
        <w:t>8.10因甲方在同一工程项目中使用多个单位商品混凝土，或自拌混凝土，混淆使用</w:t>
      </w:r>
      <w:r>
        <w:rPr>
          <w:rFonts w:hint="eastAsia"/>
          <w:spacing w:val="-8"/>
          <w:sz w:val="24"/>
          <w:szCs w:val="24"/>
          <w:highlight w:val="none"/>
        </w:rPr>
        <w:t>，采购人应建立混凝土使用追溯制度，不同供应商提供的混凝土应分区使用并做好标识，因混用导致质量责任无法区分的，由采购人承担举证责任。</w:t>
      </w:r>
      <w:bookmarkEnd w:id="250"/>
    </w:p>
    <w:p w14:paraId="7F008302">
      <w:pPr>
        <w:adjustRightInd w:val="0"/>
        <w:snapToGrid w:val="0"/>
        <w:spacing w:line="400" w:lineRule="exact"/>
        <w:ind w:firstLine="448" w:firstLineChars="200"/>
        <w:rPr>
          <w:spacing w:val="-8"/>
          <w:sz w:val="24"/>
          <w:szCs w:val="24"/>
          <w:highlight w:val="none"/>
        </w:rPr>
      </w:pPr>
      <w:r>
        <w:rPr>
          <w:rFonts w:hint="eastAsia"/>
          <w:spacing w:val="-8"/>
          <w:sz w:val="24"/>
          <w:szCs w:val="24"/>
          <w:highlight w:val="none"/>
        </w:rPr>
        <w:t>8.11甲方未</w:t>
      </w:r>
      <w:r>
        <w:rPr>
          <w:spacing w:val="-6"/>
          <w:sz w:val="24"/>
          <w:szCs w:val="24"/>
          <w:highlight w:val="none"/>
        </w:rPr>
        <w:t>对乙方运送到施工现场的预拌混凝土强度等级、工程名称、浇筑部位进行核对验收签认</w:t>
      </w:r>
      <w:r>
        <w:rPr>
          <w:rFonts w:hint="eastAsia"/>
          <w:spacing w:val="-6"/>
          <w:sz w:val="24"/>
          <w:szCs w:val="24"/>
          <w:highlight w:val="none"/>
        </w:rPr>
        <w:t>，</w:t>
      </w:r>
      <w:r>
        <w:rPr>
          <w:spacing w:val="-6"/>
          <w:sz w:val="24"/>
          <w:szCs w:val="24"/>
          <w:highlight w:val="none"/>
        </w:rPr>
        <w:t>乙方不得浇筑，否则由双方共同承担责任。</w:t>
      </w:r>
    </w:p>
    <w:p w14:paraId="5157D530">
      <w:pPr>
        <w:adjustRightInd w:val="0"/>
        <w:snapToGrid w:val="0"/>
        <w:spacing w:line="400" w:lineRule="exact"/>
        <w:ind w:firstLine="450" w:firstLineChars="200"/>
        <w:rPr>
          <w:b/>
          <w:spacing w:val="-8"/>
          <w:sz w:val="24"/>
          <w:szCs w:val="24"/>
          <w:highlight w:val="none"/>
        </w:rPr>
      </w:pPr>
      <w:r>
        <w:rPr>
          <w:b/>
          <w:spacing w:val="-8"/>
          <w:sz w:val="24"/>
          <w:szCs w:val="24"/>
          <w:highlight w:val="none"/>
        </w:rPr>
        <w:t>第九条 安全施工约定</w:t>
      </w:r>
    </w:p>
    <w:p w14:paraId="220DC54A">
      <w:pPr>
        <w:adjustRightInd w:val="0"/>
        <w:snapToGrid w:val="0"/>
        <w:spacing w:line="400" w:lineRule="exact"/>
        <w:ind w:firstLine="448" w:firstLineChars="200"/>
        <w:rPr>
          <w:spacing w:val="-8"/>
          <w:sz w:val="24"/>
          <w:szCs w:val="24"/>
          <w:highlight w:val="none"/>
        </w:rPr>
      </w:pPr>
      <w:r>
        <w:rPr>
          <w:spacing w:val="-8"/>
          <w:sz w:val="24"/>
          <w:szCs w:val="24"/>
          <w:highlight w:val="none"/>
        </w:rPr>
        <w:t>9.1卸料及混凝土运输车卸料斗的收放工作由甲方专人负责指挥，并注意安全卸料，</w:t>
      </w:r>
      <w:bookmarkStart w:id="251" w:name="auto_fouce_34"/>
      <w:r>
        <w:rPr>
          <w:spacing w:val="-8"/>
          <w:sz w:val="24"/>
          <w:szCs w:val="24"/>
          <w:highlight w:val="none"/>
        </w:rPr>
        <w:t>因甲方原因造成的安全事故由甲方承担。</w:t>
      </w:r>
      <w:bookmarkEnd w:id="251"/>
      <w:r>
        <w:rPr>
          <w:spacing w:val="-8"/>
          <w:sz w:val="24"/>
          <w:szCs w:val="24"/>
          <w:highlight w:val="none"/>
        </w:rPr>
        <w:t>甲方施工现场应做到道路平整、畅通、坚实、警示标志明显。施工现场存在安全隐患、不具备文明施工要求条件，乙方有权拒绝供应，如甲方采取隐瞒或诱导乙方作业，对乙方造成损害，甲方应承担相应责任。</w:t>
      </w:r>
    </w:p>
    <w:p w14:paraId="1F52ADFF">
      <w:pPr>
        <w:adjustRightInd w:val="0"/>
        <w:snapToGrid w:val="0"/>
        <w:spacing w:line="400" w:lineRule="exact"/>
        <w:ind w:firstLine="448" w:firstLineChars="200"/>
        <w:rPr>
          <w:spacing w:val="-8"/>
          <w:sz w:val="24"/>
          <w:szCs w:val="24"/>
          <w:highlight w:val="none"/>
        </w:rPr>
      </w:pPr>
      <w:r>
        <w:rPr>
          <w:spacing w:val="-8"/>
          <w:sz w:val="24"/>
          <w:szCs w:val="24"/>
          <w:highlight w:val="none"/>
        </w:rPr>
        <w:t>9.2施工作业时应避免双方交叉作业造成安全隐患，泵送过程中泵管下严禁站人，严禁甲方人员在泵管下作业，否则造成安全事故由甲方自行承担责任。如因甲方的扣件、钢绳、钢管或其它落下造成甲乙双方人员伤害的，由甲方负责。乙方在泵送时，泵机周围5米内禁止有无关人或车辆及其它设备，甲方应负责泵送时的行人警戒及障碍物的清除工作。乙方应在作业时对场地履行安全观察义务。</w:t>
      </w:r>
    </w:p>
    <w:p w14:paraId="3DCB517D">
      <w:pPr>
        <w:adjustRightInd w:val="0"/>
        <w:snapToGrid w:val="0"/>
        <w:spacing w:line="400" w:lineRule="exact"/>
        <w:ind w:firstLine="448" w:firstLineChars="200"/>
        <w:rPr>
          <w:spacing w:val="-8"/>
          <w:sz w:val="24"/>
          <w:szCs w:val="24"/>
          <w:highlight w:val="none"/>
        </w:rPr>
      </w:pPr>
      <w:r>
        <w:rPr>
          <w:spacing w:val="-8"/>
          <w:sz w:val="24"/>
          <w:szCs w:val="24"/>
          <w:highlight w:val="none"/>
        </w:rPr>
        <w:t>9.3乙方在甲方现场的作业人员服从甲方的管理，因乙方原因造成的安全事故，由乙方承担责任。</w:t>
      </w:r>
    </w:p>
    <w:p w14:paraId="5E67CCC9">
      <w:pPr>
        <w:adjustRightInd w:val="0"/>
        <w:snapToGrid w:val="0"/>
        <w:spacing w:line="400" w:lineRule="exact"/>
        <w:ind w:firstLine="482" w:firstLineChars="200"/>
        <w:rPr>
          <w:b/>
          <w:sz w:val="24"/>
          <w:szCs w:val="24"/>
          <w:highlight w:val="none"/>
        </w:rPr>
      </w:pPr>
      <w:r>
        <w:rPr>
          <w:b/>
          <w:sz w:val="24"/>
          <w:szCs w:val="24"/>
          <w:highlight w:val="none"/>
        </w:rPr>
        <w:t>第十条 违约责任与合同解除：</w:t>
      </w:r>
    </w:p>
    <w:p w14:paraId="126FE7E7">
      <w:pPr>
        <w:adjustRightInd w:val="0"/>
        <w:snapToGrid w:val="0"/>
        <w:spacing w:line="400" w:lineRule="exact"/>
        <w:ind w:firstLine="480" w:firstLineChars="200"/>
        <w:rPr>
          <w:sz w:val="24"/>
          <w:szCs w:val="24"/>
          <w:highlight w:val="none"/>
        </w:rPr>
      </w:pPr>
      <w:bookmarkStart w:id="252" w:name="auto_fouce_35"/>
      <w:r>
        <w:rPr>
          <w:sz w:val="24"/>
          <w:szCs w:val="24"/>
          <w:highlight w:val="none"/>
        </w:rPr>
        <w:t>10.1 甲方或乙方不按合同约定条款履行义务的，由违约方向守约方按6.2条款约定支付资金利息及违约金。</w:t>
      </w:r>
      <w:bookmarkEnd w:id="252"/>
    </w:p>
    <w:p w14:paraId="012DD7C9">
      <w:pPr>
        <w:adjustRightInd w:val="0"/>
        <w:snapToGrid w:val="0"/>
        <w:spacing w:line="400" w:lineRule="exact"/>
        <w:ind w:firstLine="480" w:firstLineChars="200"/>
        <w:rPr>
          <w:sz w:val="24"/>
          <w:szCs w:val="24"/>
          <w:highlight w:val="none"/>
        </w:rPr>
      </w:pPr>
      <w:r>
        <w:rPr>
          <w:sz w:val="24"/>
          <w:szCs w:val="24"/>
          <w:highlight w:val="none"/>
        </w:rPr>
        <w:t>10.</w:t>
      </w:r>
      <w:r>
        <w:rPr>
          <w:rFonts w:hint="eastAsia"/>
          <w:sz w:val="24"/>
          <w:szCs w:val="24"/>
          <w:highlight w:val="none"/>
        </w:rPr>
        <w:t>2</w:t>
      </w:r>
      <w:r>
        <w:rPr>
          <w:sz w:val="24"/>
          <w:szCs w:val="24"/>
          <w:highlight w:val="none"/>
        </w:rPr>
        <w:t xml:space="preserve"> 乙方未按甲方要求的时间、品种、数量供应商品混凝土的情况，按照</w:t>
      </w:r>
      <w:r>
        <w:rPr>
          <w:rFonts w:hint="eastAsia"/>
          <w:sz w:val="24"/>
          <w:szCs w:val="24"/>
          <w:highlight w:val="none"/>
        </w:rPr>
        <w:t>1万元/次处罚违约金；</w:t>
      </w:r>
      <w:bookmarkStart w:id="253" w:name="auto_fouce_36"/>
      <w:r>
        <w:rPr>
          <w:rFonts w:hint="eastAsia"/>
          <w:sz w:val="24"/>
          <w:szCs w:val="24"/>
          <w:highlight w:val="none"/>
        </w:rPr>
        <w:t>同一施工段连续</w:t>
      </w:r>
      <w:r>
        <w:rPr>
          <w:sz w:val="24"/>
          <w:szCs w:val="24"/>
          <w:highlight w:val="none"/>
        </w:rPr>
        <w:t>三次</w:t>
      </w:r>
      <w:r>
        <w:rPr>
          <w:rFonts w:hint="eastAsia"/>
          <w:sz w:val="24"/>
          <w:szCs w:val="24"/>
          <w:highlight w:val="none"/>
        </w:rPr>
        <w:t>或累计五次未按时供货</w:t>
      </w:r>
      <w:r>
        <w:rPr>
          <w:sz w:val="24"/>
          <w:szCs w:val="24"/>
          <w:highlight w:val="none"/>
        </w:rPr>
        <w:t>，</w:t>
      </w:r>
      <w:r>
        <w:rPr>
          <w:rFonts w:hint="eastAsia"/>
          <w:sz w:val="24"/>
          <w:szCs w:val="24"/>
          <w:highlight w:val="none"/>
        </w:rPr>
        <w:t>或累计违约金额达合同总价10%时，</w:t>
      </w:r>
      <w:r>
        <w:rPr>
          <w:sz w:val="24"/>
          <w:szCs w:val="24"/>
          <w:highlight w:val="none"/>
        </w:rPr>
        <w:t>甲方有权单方面解除合同</w:t>
      </w:r>
      <w:r>
        <w:rPr>
          <w:rFonts w:hint="eastAsia"/>
          <w:sz w:val="24"/>
          <w:szCs w:val="24"/>
          <w:highlight w:val="none"/>
        </w:rPr>
        <w:t>并没收</w:t>
      </w:r>
      <w:r>
        <w:rPr>
          <w:sz w:val="24"/>
          <w:szCs w:val="24"/>
          <w:highlight w:val="none"/>
        </w:rPr>
        <w:t>履约保证金</w:t>
      </w:r>
      <w:r>
        <w:rPr>
          <w:rFonts w:hint="eastAsia"/>
          <w:sz w:val="24"/>
          <w:szCs w:val="24"/>
          <w:highlight w:val="none"/>
        </w:rPr>
        <w:t>作为</w:t>
      </w:r>
      <w:r>
        <w:rPr>
          <w:sz w:val="24"/>
          <w:szCs w:val="24"/>
          <w:highlight w:val="none"/>
        </w:rPr>
        <w:t>违约金。</w:t>
      </w:r>
      <w:bookmarkEnd w:id="253"/>
    </w:p>
    <w:p w14:paraId="0B3CED1F">
      <w:pPr>
        <w:adjustRightInd w:val="0"/>
        <w:snapToGrid w:val="0"/>
        <w:spacing w:line="400" w:lineRule="exact"/>
        <w:ind w:firstLine="480" w:firstLineChars="200"/>
        <w:rPr>
          <w:sz w:val="24"/>
          <w:szCs w:val="24"/>
          <w:highlight w:val="none"/>
        </w:rPr>
      </w:pPr>
      <w:r>
        <w:rPr>
          <w:sz w:val="24"/>
          <w:szCs w:val="24"/>
          <w:highlight w:val="none"/>
        </w:rPr>
        <w:t xml:space="preserve">10.2 </w:t>
      </w:r>
      <w:bookmarkStart w:id="254" w:name="auto_fouce_37"/>
      <w:r>
        <w:rPr>
          <w:sz w:val="24"/>
          <w:szCs w:val="24"/>
          <w:highlight w:val="none"/>
        </w:rPr>
        <w:t>由政策调整、地震、战争、自然灾害等不可抗力造成本合同无法履行，</w:t>
      </w:r>
      <w:r>
        <w:rPr>
          <w:rFonts w:hint="eastAsia"/>
          <w:sz w:val="24"/>
          <w:szCs w:val="24"/>
          <w:highlight w:val="none"/>
        </w:rPr>
        <w:t>受影响方应在不可抗力发生后3日内书面通知对方，并在合理期限内提供相关证明。</w:t>
      </w:r>
      <w:r>
        <w:rPr>
          <w:sz w:val="24"/>
          <w:szCs w:val="24"/>
          <w:highlight w:val="none"/>
        </w:rPr>
        <w:t>双方</w:t>
      </w:r>
      <w:r>
        <w:rPr>
          <w:rFonts w:hint="eastAsia"/>
          <w:sz w:val="24"/>
          <w:szCs w:val="24"/>
          <w:highlight w:val="none"/>
        </w:rPr>
        <w:t>应协商解除合同或变更履行方式。双方</w:t>
      </w:r>
      <w:r>
        <w:rPr>
          <w:sz w:val="24"/>
          <w:szCs w:val="24"/>
          <w:highlight w:val="none"/>
        </w:rPr>
        <w:t>5个工作日</w:t>
      </w:r>
      <w:r>
        <w:rPr>
          <w:rFonts w:hint="eastAsia"/>
          <w:sz w:val="24"/>
          <w:szCs w:val="24"/>
          <w:highlight w:val="none"/>
        </w:rPr>
        <w:t>内</w:t>
      </w:r>
      <w:r>
        <w:rPr>
          <w:sz w:val="24"/>
          <w:szCs w:val="24"/>
          <w:highlight w:val="none"/>
        </w:rPr>
        <w:t>结清所有货款后，合同自动失效，5个工作日后，未结清货款按违约责任计算。</w:t>
      </w:r>
      <w:bookmarkEnd w:id="254"/>
    </w:p>
    <w:p w14:paraId="6AC705F4">
      <w:pPr>
        <w:adjustRightInd w:val="0"/>
        <w:snapToGrid w:val="0"/>
        <w:spacing w:line="400" w:lineRule="exact"/>
        <w:ind w:firstLine="482" w:firstLineChars="200"/>
        <w:rPr>
          <w:b/>
          <w:sz w:val="24"/>
          <w:szCs w:val="24"/>
          <w:highlight w:val="none"/>
        </w:rPr>
      </w:pPr>
      <w:r>
        <w:rPr>
          <w:b/>
          <w:sz w:val="24"/>
          <w:szCs w:val="24"/>
          <w:highlight w:val="none"/>
        </w:rPr>
        <w:t>第十一条、其他事项：</w:t>
      </w:r>
    </w:p>
    <w:p w14:paraId="5E5BAD55">
      <w:pPr>
        <w:adjustRightInd w:val="0"/>
        <w:snapToGrid w:val="0"/>
        <w:spacing w:line="400" w:lineRule="exact"/>
        <w:ind w:firstLine="480" w:firstLineChars="200"/>
        <w:rPr>
          <w:sz w:val="24"/>
          <w:szCs w:val="24"/>
          <w:highlight w:val="none"/>
        </w:rPr>
      </w:pPr>
      <w:r>
        <w:rPr>
          <w:sz w:val="24"/>
          <w:szCs w:val="24"/>
          <w:highlight w:val="none"/>
        </w:rPr>
        <w:t>11.1因履行本合同发生争议时，合同双方协调解决，协调不成，</w:t>
      </w:r>
      <w:bookmarkStart w:id="255" w:name="auto_fouce_38"/>
      <w:r>
        <w:rPr>
          <w:sz w:val="24"/>
          <w:szCs w:val="24"/>
          <w:highlight w:val="none"/>
        </w:rPr>
        <w:t>由</w:t>
      </w:r>
      <w:r>
        <w:rPr>
          <w:rFonts w:hint="eastAsia"/>
          <w:sz w:val="24"/>
          <w:szCs w:val="24"/>
          <w:highlight w:val="none"/>
        </w:rPr>
        <w:t>甲方所在</w:t>
      </w:r>
      <w:r>
        <w:rPr>
          <w:sz w:val="24"/>
          <w:szCs w:val="24"/>
          <w:highlight w:val="none"/>
        </w:rPr>
        <w:t>地人民法院管辖</w:t>
      </w:r>
      <w:bookmarkEnd w:id="255"/>
      <w:r>
        <w:rPr>
          <w:sz w:val="24"/>
          <w:szCs w:val="24"/>
          <w:highlight w:val="none"/>
        </w:rPr>
        <w:t>。</w:t>
      </w:r>
    </w:p>
    <w:p w14:paraId="4136F6BE">
      <w:pPr>
        <w:adjustRightInd w:val="0"/>
        <w:snapToGrid w:val="0"/>
        <w:spacing w:line="400" w:lineRule="exact"/>
        <w:ind w:firstLine="480" w:firstLineChars="200"/>
        <w:rPr>
          <w:sz w:val="24"/>
          <w:szCs w:val="24"/>
          <w:highlight w:val="none"/>
        </w:rPr>
      </w:pPr>
      <w:bookmarkStart w:id="256" w:name="auto_fouce_39"/>
      <w:r>
        <w:rPr>
          <w:sz w:val="24"/>
          <w:szCs w:val="24"/>
          <w:highlight w:val="none"/>
        </w:rPr>
        <w:t>11.2 在本合同履行期间，涉及合同履行的变更或者损失的确认时，均应以书面文件的形式向对方送达，收到文件的一方，应在7个工作日进行书面答复，否则，视为对文件内容的实体确认。</w:t>
      </w:r>
      <w:r>
        <w:rPr>
          <w:rFonts w:hint="eastAsia"/>
          <w:sz w:val="24"/>
          <w:szCs w:val="24"/>
          <w:highlight w:val="none"/>
        </w:rPr>
        <w:t>双方确认本合同载明的地址为有效送达地址，变更地址应提前5日书面通知对方。</w:t>
      </w:r>
      <w:bookmarkEnd w:id="256"/>
    </w:p>
    <w:p w14:paraId="1858FB12">
      <w:pPr>
        <w:adjustRightInd w:val="0"/>
        <w:snapToGrid w:val="0"/>
        <w:spacing w:line="400" w:lineRule="exact"/>
        <w:ind w:firstLine="480" w:firstLineChars="200"/>
        <w:rPr>
          <w:sz w:val="24"/>
          <w:szCs w:val="24"/>
          <w:highlight w:val="none"/>
        </w:rPr>
      </w:pPr>
      <w:r>
        <w:rPr>
          <w:sz w:val="24"/>
          <w:szCs w:val="24"/>
          <w:highlight w:val="none"/>
        </w:rPr>
        <w:t>11.3 本合同自合同双方签章之日起生效。</w:t>
      </w:r>
    </w:p>
    <w:p w14:paraId="27C7797F">
      <w:pPr>
        <w:adjustRightInd w:val="0"/>
        <w:snapToGrid w:val="0"/>
        <w:spacing w:line="400" w:lineRule="exact"/>
        <w:ind w:firstLine="480" w:firstLineChars="200"/>
        <w:rPr>
          <w:sz w:val="24"/>
          <w:szCs w:val="24"/>
          <w:highlight w:val="none"/>
        </w:rPr>
      </w:pPr>
      <w:r>
        <w:rPr>
          <w:sz w:val="24"/>
          <w:szCs w:val="24"/>
          <w:highlight w:val="none"/>
        </w:rPr>
        <w:t>11.4 本合同一式贰份，合同双方各执壹份，效力一致。</w:t>
      </w:r>
    </w:p>
    <w:p w14:paraId="0EB2969A">
      <w:pPr>
        <w:adjustRightInd w:val="0"/>
        <w:snapToGrid w:val="0"/>
        <w:spacing w:line="400" w:lineRule="exact"/>
        <w:rPr>
          <w:sz w:val="24"/>
          <w:szCs w:val="24"/>
          <w:highlight w:val="none"/>
        </w:rPr>
      </w:pPr>
    </w:p>
    <w:p w14:paraId="32432F14">
      <w:pPr>
        <w:adjustRightInd w:val="0"/>
        <w:snapToGrid w:val="0"/>
        <w:spacing w:line="400" w:lineRule="exact"/>
        <w:rPr>
          <w:sz w:val="24"/>
          <w:szCs w:val="24"/>
          <w:highlight w:val="none"/>
        </w:rPr>
      </w:pPr>
    </w:p>
    <w:p w14:paraId="6810AE02">
      <w:pPr>
        <w:adjustRightInd w:val="0"/>
        <w:snapToGrid w:val="0"/>
        <w:spacing w:line="400" w:lineRule="exact"/>
        <w:rPr>
          <w:sz w:val="24"/>
          <w:szCs w:val="24"/>
          <w:highlight w:val="none"/>
        </w:rPr>
      </w:pPr>
      <w:r>
        <w:rPr>
          <w:sz w:val="24"/>
          <w:szCs w:val="24"/>
          <w:highlight w:val="none"/>
        </w:rPr>
        <w:t xml:space="preserve">甲方：重庆市合川区民祺建设发展有限公司  </w:t>
      </w:r>
      <w:r>
        <w:rPr>
          <w:rFonts w:hint="eastAsia"/>
          <w:sz w:val="24"/>
          <w:szCs w:val="24"/>
          <w:highlight w:val="none"/>
        </w:rPr>
        <w:t xml:space="preserve">  </w:t>
      </w:r>
      <w:r>
        <w:rPr>
          <w:sz w:val="24"/>
          <w:szCs w:val="24"/>
          <w:highlight w:val="none"/>
        </w:rPr>
        <w:t>乙方：</w:t>
      </w:r>
    </w:p>
    <w:p w14:paraId="2D0C4024">
      <w:pPr>
        <w:adjustRightInd w:val="0"/>
        <w:snapToGrid w:val="0"/>
        <w:spacing w:line="400" w:lineRule="exact"/>
        <w:rPr>
          <w:sz w:val="24"/>
          <w:szCs w:val="24"/>
          <w:highlight w:val="none"/>
        </w:rPr>
      </w:pPr>
      <w:r>
        <w:rPr>
          <w:sz w:val="24"/>
          <w:szCs w:val="24"/>
          <w:highlight w:val="none"/>
        </w:rPr>
        <w:t xml:space="preserve">                  </w:t>
      </w:r>
    </w:p>
    <w:p w14:paraId="6293FE1D">
      <w:pPr>
        <w:adjustRightInd w:val="0"/>
        <w:snapToGrid w:val="0"/>
        <w:spacing w:line="400" w:lineRule="exact"/>
        <w:rPr>
          <w:sz w:val="24"/>
          <w:szCs w:val="24"/>
          <w:highlight w:val="none"/>
        </w:rPr>
      </w:pPr>
      <w:r>
        <w:rPr>
          <w:sz w:val="24"/>
          <w:szCs w:val="24"/>
          <w:highlight w:val="none"/>
        </w:rPr>
        <w:t>法定代表人：</w:t>
      </w:r>
      <w:r>
        <w:rPr>
          <w:rFonts w:hint="eastAsia"/>
          <w:sz w:val="24"/>
          <w:szCs w:val="24"/>
          <w:highlight w:val="none"/>
        </w:rPr>
        <w:t xml:space="preserve">                              </w:t>
      </w:r>
      <w:r>
        <w:rPr>
          <w:sz w:val="24"/>
          <w:szCs w:val="24"/>
          <w:highlight w:val="none"/>
        </w:rPr>
        <w:t>法定代表人：</w:t>
      </w:r>
    </w:p>
    <w:p w14:paraId="15AAD6EF">
      <w:pPr>
        <w:adjustRightInd w:val="0"/>
        <w:snapToGrid w:val="0"/>
        <w:spacing w:line="400" w:lineRule="exact"/>
        <w:rPr>
          <w:sz w:val="24"/>
          <w:szCs w:val="24"/>
          <w:highlight w:val="none"/>
        </w:rPr>
      </w:pPr>
      <w:r>
        <w:rPr>
          <w:sz w:val="24"/>
          <w:szCs w:val="24"/>
          <w:highlight w:val="none"/>
        </w:rPr>
        <w:t>或</w:t>
      </w:r>
    </w:p>
    <w:p w14:paraId="13CFF751">
      <w:pPr>
        <w:adjustRightInd w:val="0"/>
        <w:snapToGrid w:val="0"/>
        <w:spacing w:line="400" w:lineRule="exact"/>
        <w:rPr>
          <w:sz w:val="24"/>
          <w:szCs w:val="24"/>
          <w:highlight w:val="none"/>
        </w:rPr>
      </w:pPr>
      <w:r>
        <w:rPr>
          <w:sz w:val="24"/>
          <w:szCs w:val="24"/>
          <w:highlight w:val="none"/>
        </w:rPr>
        <w:t>委托代理人：</w:t>
      </w:r>
      <w:r>
        <w:rPr>
          <w:rFonts w:hint="eastAsia"/>
          <w:sz w:val="24"/>
          <w:szCs w:val="24"/>
          <w:highlight w:val="none"/>
        </w:rPr>
        <w:t xml:space="preserve">                              </w:t>
      </w:r>
      <w:r>
        <w:rPr>
          <w:sz w:val="24"/>
          <w:szCs w:val="24"/>
          <w:highlight w:val="none"/>
        </w:rPr>
        <w:t>委托代理人：</w:t>
      </w:r>
      <w:r>
        <w:rPr>
          <w:rFonts w:hint="eastAsia"/>
          <w:sz w:val="24"/>
          <w:szCs w:val="24"/>
          <w:highlight w:val="none"/>
        </w:rPr>
        <w:t xml:space="preserve">  </w:t>
      </w:r>
    </w:p>
    <w:p w14:paraId="721BFAB3">
      <w:pPr>
        <w:adjustRightInd w:val="0"/>
        <w:snapToGrid w:val="0"/>
        <w:spacing w:line="400" w:lineRule="exact"/>
        <w:rPr>
          <w:sz w:val="24"/>
          <w:szCs w:val="24"/>
          <w:highlight w:val="none"/>
        </w:rPr>
      </w:pPr>
    </w:p>
    <w:p w14:paraId="7EEE5BFC">
      <w:pPr>
        <w:adjustRightInd w:val="0"/>
        <w:snapToGrid w:val="0"/>
        <w:spacing w:line="400" w:lineRule="exact"/>
        <w:rPr>
          <w:sz w:val="24"/>
          <w:szCs w:val="24"/>
          <w:highlight w:val="none"/>
        </w:rPr>
      </w:pPr>
      <w:r>
        <w:rPr>
          <w:sz w:val="24"/>
          <w:szCs w:val="24"/>
          <w:highlight w:val="none"/>
        </w:rPr>
        <w:t>经办人：</w:t>
      </w:r>
      <w:r>
        <w:rPr>
          <w:rFonts w:hint="eastAsia"/>
          <w:sz w:val="24"/>
          <w:szCs w:val="24"/>
          <w:highlight w:val="none"/>
        </w:rPr>
        <w:t xml:space="preserve">                                  </w:t>
      </w:r>
      <w:r>
        <w:rPr>
          <w:sz w:val="24"/>
          <w:szCs w:val="24"/>
          <w:highlight w:val="none"/>
        </w:rPr>
        <w:t>经办人：</w:t>
      </w:r>
    </w:p>
    <w:p w14:paraId="1519D3A0">
      <w:pPr>
        <w:adjustRightInd w:val="0"/>
        <w:snapToGrid w:val="0"/>
        <w:spacing w:line="400" w:lineRule="exact"/>
        <w:rPr>
          <w:sz w:val="24"/>
          <w:szCs w:val="24"/>
          <w:highlight w:val="none"/>
        </w:rPr>
      </w:pPr>
      <w:r>
        <w:rPr>
          <w:sz w:val="24"/>
          <w:szCs w:val="24"/>
          <w:highlight w:val="none"/>
        </w:rPr>
        <w:t xml:space="preserve">  </w:t>
      </w:r>
    </w:p>
    <w:p w14:paraId="0E668B8A">
      <w:pPr>
        <w:adjustRightInd w:val="0"/>
        <w:snapToGrid w:val="0"/>
        <w:spacing w:line="400" w:lineRule="exact"/>
        <w:rPr>
          <w:sz w:val="24"/>
          <w:szCs w:val="24"/>
          <w:highlight w:val="none"/>
        </w:rPr>
      </w:pPr>
      <w:r>
        <w:rPr>
          <w:sz w:val="24"/>
          <w:szCs w:val="24"/>
          <w:highlight w:val="none"/>
        </w:rPr>
        <w:t xml:space="preserve">                 </w:t>
      </w:r>
    </w:p>
    <w:p w14:paraId="31DAC386">
      <w:pPr>
        <w:pStyle w:val="3"/>
        <w:rPr>
          <w:highlight w:val="none"/>
        </w:rPr>
        <w:sectPr>
          <w:headerReference r:id="rId10" w:type="default"/>
          <w:pgSz w:w="11907" w:h="16840"/>
          <w:pgMar w:top="1134" w:right="1191" w:bottom="1134" w:left="1191" w:header="851" w:footer="992" w:gutter="0"/>
          <w:pgNumType w:fmt="numberInDash"/>
          <w:cols w:space="720" w:num="1"/>
          <w:docGrid w:linePitch="381" w:charSpace="-5734"/>
        </w:sectPr>
      </w:pPr>
      <w:bookmarkStart w:id="257" w:name="auto_fouce_40"/>
      <w:r>
        <w:rPr>
          <w:sz w:val="24"/>
          <w:szCs w:val="24"/>
          <w:highlight w:val="none"/>
        </w:rPr>
        <w:t>合同签定时间： 202     年     月     日</w:t>
      </w:r>
      <w:bookmarkEnd w:id="257"/>
    </w:p>
    <w:bookmarkEnd w:id="227"/>
    <w:p w14:paraId="752CDF15">
      <w:pPr>
        <w:pStyle w:val="5"/>
        <w:spacing w:before="0" w:after="0" w:line="360" w:lineRule="auto"/>
        <w:jc w:val="center"/>
        <w:rPr>
          <w:rFonts w:ascii="宋体" w:hAnsi="宋体" w:eastAsia="宋体" w:cs="宋体"/>
          <w:b w:val="0"/>
          <w:sz w:val="36"/>
          <w:szCs w:val="30"/>
          <w:highlight w:val="none"/>
        </w:rPr>
      </w:pPr>
      <w:r>
        <w:rPr>
          <w:rFonts w:hint="eastAsia" w:ascii="宋体" w:hAnsi="宋体" w:eastAsia="宋体" w:cs="宋体"/>
          <w:b w:val="0"/>
          <w:sz w:val="36"/>
          <w:szCs w:val="30"/>
          <w:highlight w:val="none"/>
        </w:rPr>
        <w:t>第七篇  响应文件格式要求</w:t>
      </w:r>
      <w:bookmarkEnd w:id="228"/>
      <w:bookmarkEnd w:id="229"/>
      <w:bookmarkEnd w:id="230"/>
      <w:bookmarkEnd w:id="231"/>
      <w:bookmarkEnd w:id="232"/>
      <w:bookmarkEnd w:id="233"/>
      <w:bookmarkEnd w:id="234"/>
    </w:p>
    <w:p w14:paraId="55F1DD66">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一、经济部分</w:t>
      </w:r>
    </w:p>
    <w:p w14:paraId="231C056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（一）报价函</w:t>
      </w:r>
    </w:p>
    <w:p w14:paraId="4A05AE3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（二）明细报价表</w:t>
      </w:r>
    </w:p>
    <w:p w14:paraId="58F75EDE">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二、技术（质量）部分</w:t>
      </w:r>
    </w:p>
    <w:p w14:paraId="4CA5B707">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（一）技术（质量）响应偏离表</w:t>
      </w:r>
    </w:p>
    <w:p w14:paraId="7EE0E45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（二）其他资料（格式自定）</w:t>
      </w:r>
    </w:p>
    <w:p w14:paraId="34B28699">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三、服务部分</w:t>
      </w:r>
    </w:p>
    <w:p w14:paraId="5C5A5185">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（一）服务响应偏离表</w:t>
      </w:r>
    </w:p>
    <w:p w14:paraId="2D0F8E8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（二）其它优惠服务承诺（格式自定）</w:t>
      </w:r>
    </w:p>
    <w:p w14:paraId="28D51DE8">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四、资格条件及其他</w:t>
      </w:r>
    </w:p>
    <w:p w14:paraId="45C95345">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（一）法人营业执照（副本）或事业单位法人证书（副本）或个体工商户营业执照或有效的自然人身份证明或社会团体法人登记证书</w:t>
      </w:r>
    </w:p>
    <w:p w14:paraId="64851769">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（二）法定代表人身份证明书（格式）</w:t>
      </w:r>
    </w:p>
    <w:p w14:paraId="529997D0">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（三）法定代表人授权委托书（格式）</w:t>
      </w:r>
    </w:p>
    <w:p w14:paraId="40B014D4">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（四）基本资格条件承诺函（格式）</w:t>
      </w:r>
    </w:p>
    <w:p w14:paraId="0FAE3E86">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（五）特定资格条件证书或证明文件（如有）</w:t>
      </w:r>
    </w:p>
    <w:p w14:paraId="337F2476">
      <w:pPr>
        <w:spacing w:line="4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五、其他资料</w:t>
      </w:r>
    </w:p>
    <w:p w14:paraId="276A55BE">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（一）其他与项目有关的资料（自附）</w:t>
      </w:r>
    </w:p>
    <w:p w14:paraId="62973D09">
      <w:pPr>
        <w:snapToGrid w:val="0"/>
        <w:spacing w:line="360" w:lineRule="auto"/>
        <w:rPr>
          <w:rFonts w:ascii="宋体" w:hAnsi="宋体" w:cs="宋体"/>
          <w:sz w:val="24"/>
          <w:szCs w:val="24"/>
          <w:highlight w:val="none"/>
          <w:bdr w:val="single" w:color="auto" w:sz="4" w:space="0"/>
        </w:rPr>
        <w:sectPr>
          <w:footerReference r:id="rId11" w:type="default"/>
          <w:pgSz w:w="11907" w:h="16840"/>
          <w:pgMar w:top="1134" w:right="1191" w:bottom="1134" w:left="1304" w:header="851" w:footer="992" w:gutter="0"/>
          <w:pgNumType w:fmt="numberInDash"/>
          <w:cols w:space="720" w:num="1"/>
          <w:docGrid w:linePitch="380" w:charSpace="-5735"/>
        </w:sectPr>
      </w:pPr>
    </w:p>
    <w:p w14:paraId="6523AF08">
      <w:pPr>
        <w:pStyle w:val="5"/>
        <w:adjustRightInd w:val="0"/>
        <w:snapToGrid w:val="0"/>
        <w:spacing w:before="0" w:after="0" w:line="400" w:lineRule="exact"/>
        <w:ind w:firstLine="482" w:firstLineChars="200"/>
        <w:rPr>
          <w:rFonts w:ascii="宋体" w:hAnsi="宋体" w:eastAsia="宋体" w:cs="宋体"/>
          <w:sz w:val="24"/>
          <w:highlight w:val="none"/>
        </w:rPr>
      </w:pPr>
      <w:bookmarkStart w:id="258" w:name="_Toc342913419"/>
      <w:bookmarkStart w:id="259" w:name="_Toc8540"/>
      <w:bookmarkStart w:id="260" w:name="_Toc30982"/>
      <w:bookmarkStart w:id="261" w:name="_Toc26343"/>
      <w:bookmarkStart w:id="262" w:name="_Toc313888360"/>
      <w:bookmarkStart w:id="263" w:name="_Toc106034808"/>
      <w:bookmarkStart w:id="264" w:name="_Toc313008356"/>
      <w:bookmarkStart w:id="265" w:name="_Toc65660379"/>
      <w:bookmarkStart w:id="266" w:name="_Toc14244"/>
      <w:bookmarkStart w:id="267" w:name="_Toc283382454"/>
      <w:bookmarkStart w:id="268" w:name="_Toc12789073"/>
      <w:r>
        <w:rPr>
          <w:rFonts w:hint="eastAsia" w:ascii="宋体" w:hAnsi="宋体" w:eastAsia="宋体" w:cs="宋体"/>
          <w:sz w:val="24"/>
          <w:highlight w:val="none"/>
        </w:rPr>
        <w:t>一、经济部分</w:t>
      </w:r>
      <w:bookmarkEnd w:id="258"/>
      <w:bookmarkEnd w:id="259"/>
      <w:bookmarkEnd w:id="260"/>
      <w:bookmarkEnd w:id="261"/>
      <w:bookmarkEnd w:id="262"/>
      <w:bookmarkEnd w:id="263"/>
      <w:bookmarkEnd w:id="264"/>
      <w:bookmarkEnd w:id="265"/>
      <w:bookmarkEnd w:id="266"/>
    </w:p>
    <w:bookmarkEnd w:id="267"/>
    <w:bookmarkEnd w:id="268"/>
    <w:p w14:paraId="74D1B79B">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（一）报价函</w:t>
      </w:r>
    </w:p>
    <w:p w14:paraId="2CFAE6A5">
      <w:pPr>
        <w:tabs>
          <w:tab w:val="left" w:pos="6300"/>
        </w:tabs>
        <w:snapToGrid w:val="0"/>
        <w:spacing w:line="312" w:lineRule="auto"/>
        <w:ind w:firstLine="562" w:firstLineChars="200"/>
        <w:jc w:val="center"/>
        <w:rPr>
          <w:rFonts w:ascii="宋体" w:hAnsi="宋体" w:cs="宋体"/>
          <w:b/>
          <w:szCs w:val="28"/>
          <w:highlight w:val="none"/>
        </w:rPr>
      </w:pPr>
      <w:r>
        <w:rPr>
          <w:rFonts w:hint="eastAsia" w:ascii="宋体" w:hAnsi="宋体" w:cs="宋体"/>
          <w:b/>
          <w:szCs w:val="28"/>
          <w:highlight w:val="none"/>
        </w:rPr>
        <w:t>报价函</w:t>
      </w:r>
    </w:p>
    <w:p w14:paraId="03F48E55">
      <w:pPr>
        <w:tabs>
          <w:tab w:val="left" w:pos="6300"/>
        </w:tabs>
        <w:snapToGrid w:val="0"/>
        <w:spacing w:line="312" w:lineRule="auto"/>
        <w:rPr>
          <w:rFonts w:ascii="宋体" w:hAnsi="宋体" w:cs="宋体"/>
          <w:sz w:val="24"/>
          <w:szCs w:val="24"/>
          <w:highlight w:val="none"/>
        </w:rPr>
      </w:pPr>
      <w:r>
        <w:rPr>
          <w:rFonts w:hint="eastAsia" w:ascii="宋体" w:hAnsi="宋体" w:cs="宋体"/>
          <w:sz w:val="24"/>
          <w:szCs w:val="24"/>
          <w:highlight w:val="none"/>
          <w:u w:val="single"/>
        </w:rPr>
        <w:t>（采购单位名称）</w:t>
      </w:r>
      <w:r>
        <w:rPr>
          <w:rFonts w:hint="eastAsia" w:ascii="宋体" w:hAnsi="宋体" w:cs="宋体"/>
          <w:sz w:val="24"/>
          <w:szCs w:val="24"/>
          <w:highlight w:val="none"/>
        </w:rPr>
        <w:t>：</w:t>
      </w:r>
    </w:p>
    <w:p w14:paraId="0C1B3CAF">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我方收到____________________________（询价项目名称）的询价通知书，经详细研究，决定参加该询价项目的报价。</w:t>
      </w:r>
    </w:p>
    <w:p w14:paraId="14DD7894">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1.愿意按照询价通知书中的一切要求，提供本项目的交货及技术服务，我公司报价（总价）为人民币大写：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元；人民币小写：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5DD78165">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2.我方现提交的响应文件为：响应文件正本</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份，副本</w:t>
      </w:r>
      <w:r>
        <w:rPr>
          <w:rFonts w:hint="eastAsia" w:ascii="宋体" w:hAnsi="宋体" w:cs="宋体"/>
          <w:sz w:val="24"/>
          <w:szCs w:val="24"/>
          <w:highlight w:val="none"/>
          <w:u w:val="single"/>
        </w:rPr>
        <w:t xml:space="preserve">   </w:t>
      </w:r>
      <w:r>
        <w:rPr>
          <w:rFonts w:hint="eastAsia" w:ascii="宋体" w:hAnsi="宋体" w:cs="宋体"/>
          <w:sz w:val="24"/>
          <w:szCs w:val="24"/>
          <w:highlight w:val="none"/>
        </w:rPr>
        <w:t>份。</w:t>
      </w:r>
    </w:p>
    <w:p w14:paraId="7E3F992D">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3.我方承诺：本次报价的有效期为提交响应文件截止时间起90天。</w:t>
      </w:r>
    </w:p>
    <w:p w14:paraId="75AFE195">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4.我方完全理解和接受贵方询价通知书的一切规定和要求及评审办法。</w:t>
      </w:r>
    </w:p>
    <w:p w14:paraId="4676342C">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5.在整个询价过程中，我方若有违规行为，接受按照《中华人民共和国政府采购法》和《询价通知书》之规定给予惩罚。</w:t>
      </w:r>
    </w:p>
    <w:p w14:paraId="0D8C8403">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6.我方若成为成交供应商，将按照最终报价结果签订合同，并且严格履行合同义务。本承诺函将成为合同不可分割的一部分，与合同具有同等的法律效力。</w:t>
      </w:r>
    </w:p>
    <w:p w14:paraId="7AF29DF2">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7.我方同意按询价通知书规定，交纳询价通知书要求的保证金。如果我方成为成交供应商，保证在接到成交通知书后，向采购代理机构缴纳询价通知书规定的采购代理服务费。</w:t>
      </w:r>
    </w:p>
    <w:p w14:paraId="27803489">
      <w:pPr>
        <w:tabs>
          <w:tab w:val="left" w:pos="6300"/>
        </w:tabs>
        <w:snapToGrid w:val="0"/>
        <w:spacing w:line="312" w:lineRule="auto"/>
        <w:ind w:firstLine="480" w:firstLineChars="200"/>
        <w:rPr>
          <w:rFonts w:ascii="宋体" w:hAnsi="宋体" w:cs="宋体"/>
          <w:sz w:val="24"/>
          <w:szCs w:val="24"/>
          <w:highlight w:val="none"/>
        </w:rPr>
      </w:pPr>
      <w:r>
        <w:rPr>
          <w:rFonts w:hint="eastAsia" w:ascii="宋体" w:hAnsi="宋体" w:cs="宋体"/>
          <w:sz w:val="24"/>
          <w:szCs w:val="24"/>
          <w:highlight w:val="none"/>
        </w:rPr>
        <w:t>8.</w:t>
      </w:r>
      <w:r>
        <w:rPr>
          <w:rFonts w:hint="eastAsia" w:ascii="宋体" w:hAnsi="宋体" w:cs="宋体"/>
          <w:sz w:val="24"/>
          <w:szCs w:val="28"/>
          <w:highlight w:val="none"/>
        </w:rPr>
        <w:t>我方未</w:t>
      </w:r>
      <w:r>
        <w:rPr>
          <w:rFonts w:hint="eastAsia" w:ascii="宋体" w:hAnsi="宋体" w:cs="宋体"/>
          <w:sz w:val="24"/>
          <w:szCs w:val="24"/>
          <w:highlight w:val="none"/>
        </w:rPr>
        <w:t>为采购项目提供整体设计、规范编制或者项目管理、监理、检测等服务。</w:t>
      </w:r>
    </w:p>
    <w:p w14:paraId="509127E3">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供应商（公章）或自然人签署：</w:t>
      </w:r>
    </w:p>
    <w:p w14:paraId="1403EA3E">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 xml:space="preserve">地址：  </w:t>
      </w:r>
    </w:p>
    <w:p w14:paraId="4D8B5473">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电话：                           传真：</w:t>
      </w:r>
    </w:p>
    <w:p w14:paraId="42E63525">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网址：                           邮编：</w:t>
      </w:r>
    </w:p>
    <w:p w14:paraId="56355373">
      <w:pPr>
        <w:tabs>
          <w:tab w:val="left" w:pos="6300"/>
        </w:tabs>
        <w:snapToGrid w:val="0"/>
        <w:spacing w:line="312" w:lineRule="auto"/>
        <w:ind w:firstLine="570"/>
        <w:rPr>
          <w:rFonts w:ascii="宋体" w:hAnsi="宋体" w:cs="宋体"/>
          <w:sz w:val="24"/>
          <w:szCs w:val="24"/>
          <w:highlight w:val="none"/>
        </w:rPr>
      </w:pPr>
      <w:r>
        <w:rPr>
          <w:rFonts w:hint="eastAsia" w:ascii="宋体" w:hAnsi="宋体" w:cs="宋体"/>
          <w:sz w:val="24"/>
          <w:szCs w:val="24"/>
          <w:highlight w:val="none"/>
        </w:rPr>
        <w:t>联系人：</w:t>
      </w:r>
    </w:p>
    <w:p w14:paraId="33A77DA7">
      <w:pPr>
        <w:snapToGrid w:val="0"/>
        <w:spacing w:line="312" w:lineRule="auto"/>
        <w:ind w:firstLine="480" w:firstLineChars="200"/>
        <w:rPr>
          <w:rFonts w:ascii="宋体" w:hAnsi="宋体" w:cs="宋体"/>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highlight w:val="none"/>
        </w:rPr>
        <w:t xml:space="preserve">                               年   月   日</w:t>
      </w:r>
    </w:p>
    <w:p w14:paraId="0D4B8B2A">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（二）明细报价表</w:t>
      </w:r>
    </w:p>
    <w:p w14:paraId="2DC594F8">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5577972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询价项目名称：</w:t>
      </w:r>
    </w:p>
    <w:tbl>
      <w:tblPr>
        <w:tblStyle w:val="2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985"/>
        <w:gridCol w:w="850"/>
        <w:gridCol w:w="1788"/>
        <w:gridCol w:w="1125"/>
        <w:gridCol w:w="2615"/>
      </w:tblGrid>
      <w:tr w14:paraId="7F81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shd w:val="clear" w:color="auto" w:fill="auto"/>
            <w:vAlign w:val="center"/>
          </w:tcPr>
          <w:p w14:paraId="61ECD4A3">
            <w:pPr>
              <w:widowControl/>
              <w:adjustRightInd w:val="0"/>
              <w:snapToGrid w:val="0"/>
              <w:jc w:val="center"/>
              <w:textAlignment w:val="center"/>
              <w:rPr>
                <w:rFonts w:ascii="宋体" w:hAnsi="宋体" w:cs="宋体"/>
                <w:color w:val="000000"/>
                <w:sz w:val="24"/>
                <w:szCs w:val="24"/>
                <w:highlight w:val="none"/>
              </w:rPr>
            </w:pPr>
            <w:r>
              <w:rPr>
                <w:rFonts w:hint="eastAsia" w:ascii="宋体" w:hAnsi="宋体" w:cs="宋体"/>
                <w:color w:val="000000"/>
                <w:kern w:val="0"/>
                <w:sz w:val="24"/>
                <w:szCs w:val="24"/>
                <w:highlight w:val="none"/>
                <w:lang w:bidi="ar"/>
              </w:rPr>
              <w:t>序号</w:t>
            </w:r>
          </w:p>
        </w:tc>
        <w:tc>
          <w:tcPr>
            <w:tcW w:w="1985" w:type="dxa"/>
            <w:vAlign w:val="center"/>
          </w:tcPr>
          <w:p w14:paraId="1CD4CCAF">
            <w:pPr>
              <w:adjustRightInd w:val="0"/>
              <w:snapToGrid w:val="0"/>
              <w:jc w:val="center"/>
              <w:rPr>
                <w:rFonts w:ascii="宋体" w:hAnsi="宋体" w:cs="宋体"/>
                <w:sz w:val="24"/>
                <w:szCs w:val="24"/>
                <w:highlight w:val="none"/>
              </w:rPr>
            </w:pPr>
            <w:r>
              <w:rPr>
                <w:rFonts w:hint="eastAsia" w:ascii="宋体" w:hAnsi="宋体" w:cs="宋体"/>
                <w:color w:val="000000"/>
                <w:kern w:val="0"/>
                <w:sz w:val="24"/>
                <w:szCs w:val="24"/>
                <w:highlight w:val="none"/>
                <w:lang w:bidi="ar"/>
              </w:rPr>
              <w:t>材料名称</w:t>
            </w:r>
          </w:p>
        </w:tc>
        <w:tc>
          <w:tcPr>
            <w:tcW w:w="850" w:type="dxa"/>
            <w:vAlign w:val="center"/>
          </w:tcPr>
          <w:p w14:paraId="7D25E73F">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单位</w:t>
            </w:r>
          </w:p>
        </w:tc>
        <w:tc>
          <w:tcPr>
            <w:tcW w:w="1788" w:type="dxa"/>
            <w:vAlign w:val="center"/>
          </w:tcPr>
          <w:p w14:paraId="70ABE712">
            <w:pPr>
              <w:adjustRightInd w:val="0"/>
              <w:snapToGrid w:val="0"/>
              <w:jc w:val="center"/>
              <w:rPr>
                <w:rFonts w:ascii="宋体" w:hAnsi="宋体" w:cs="宋体"/>
                <w:sz w:val="24"/>
                <w:szCs w:val="24"/>
                <w:highlight w:val="none"/>
              </w:rPr>
            </w:pPr>
            <w:r>
              <w:rPr>
                <w:rFonts w:hint="eastAsia" w:ascii="宋体" w:hAnsi="宋体" w:cs="宋体"/>
                <w:color w:val="000000"/>
                <w:kern w:val="0"/>
                <w:sz w:val="24"/>
                <w:szCs w:val="24"/>
                <w:highlight w:val="none"/>
                <w:lang w:bidi="ar"/>
              </w:rPr>
              <w:t>单价最高限价（元）</w:t>
            </w:r>
          </w:p>
        </w:tc>
        <w:tc>
          <w:tcPr>
            <w:tcW w:w="1125" w:type="dxa"/>
            <w:vAlign w:val="center"/>
          </w:tcPr>
          <w:p w14:paraId="15FFC32C">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暂定</w:t>
            </w:r>
          </w:p>
          <w:p w14:paraId="41445918">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数量</w:t>
            </w:r>
          </w:p>
        </w:tc>
        <w:tc>
          <w:tcPr>
            <w:tcW w:w="2615" w:type="dxa"/>
            <w:vAlign w:val="center"/>
          </w:tcPr>
          <w:p w14:paraId="11210BAC">
            <w:pPr>
              <w:spacing w:line="380" w:lineRule="exact"/>
              <w:jc w:val="center"/>
              <w:rPr>
                <w:rFonts w:ascii="宋体" w:hAnsi="宋体" w:cs="宋体"/>
                <w:sz w:val="21"/>
                <w:szCs w:val="21"/>
                <w:highlight w:val="none"/>
              </w:rPr>
            </w:pPr>
            <w:r>
              <w:rPr>
                <w:rFonts w:hint="eastAsia" w:ascii="宋体" w:hAnsi="宋体" w:cs="宋体"/>
                <w:sz w:val="21"/>
                <w:szCs w:val="21"/>
                <w:highlight w:val="none"/>
              </w:rPr>
              <w:t>投标报价</w:t>
            </w:r>
          </w:p>
          <w:p w14:paraId="04DA5858">
            <w:pPr>
              <w:adjustRightInd w:val="0"/>
              <w:snapToGrid w:val="0"/>
              <w:jc w:val="center"/>
              <w:rPr>
                <w:rFonts w:ascii="宋体" w:hAnsi="宋体" w:cs="宋体"/>
                <w:sz w:val="24"/>
                <w:szCs w:val="24"/>
                <w:highlight w:val="none"/>
              </w:rPr>
            </w:pPr>
            <w:r>
              <w:rPr>
                <w:rFonts w:hint="eastAsia" w:ascii="宋体" w:hAnsi="宋体" w:cs="宋体"/>
                <w:color w:val="000000"/>
                <w:kern w:val="0"/>
                <w:sz w:val="21"/>
                <w:szCs w:val="21"/>
                <w:highlight w:val="none"/>
                <w:lang w:bidi="ar"/>
              </w:rPr>
              <w:t>（元）</w:t>
            </w:r>
          </w:p>
        </w:tc>
      </w:tr>
      <w:tr w14:paraId="542C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shd w:val="clear" w:color="auto" w:fill="auto"/>
            <w:vAlign w:val="center"/>
          </w:tcPr>
          <w:p w14:paraId="3B18E245">
            <w:pPr>
              <w:widowControl/>
              <w:adjustRightInd w:val="0"/>
              <w:snapToGrid w:val="0"/>
              <w:jc w:val="center"/>
              <w:textAlignment w:val="center"/>
              <w:rPr>
                <w:rFonts w:ascii="宋体" w:hAnsi="宋体" w:cs="宋体"/>
                <w:color w:val="000000"/>
                <w:sz w:val="24"/>
                <w:szCs w:val="24"/>
                <w:highlight w:val="none"/>
              </w:rPr>
            </w:pPr>
            <w:r>
              <w:rPr>
                <w:rFonts w:hint="eastAsia" w:ascii="宋体" w:hAnsi="宋体" w:cs="宋体"/>
                <w:color w:val="000000"/>
                <w:sz w:val="24"/>
                <w:szCs w:val="24"/>
                <w:highlight w:val="none"/>
              </w:rPr>
              <w:t>1</w:t>
            </w:r>
          </w:p>
        </w:tc>
        <w:tc>
          <w:tcPr>
            <w:tcW w:w="1985" w:type="dxa"/>
            <w:vAlign w:val="center"/>
          </w:tcPr>
          <w:p w14:paraId="430DFEB2">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商品混凝土C30</w:t>
            </w:r>
          </w:p>
        </w:tc>
        <w:tc>
          <w:tcPr>
            <w:tcW w:w="850" w:type="dxa"/>
            <w:vAlign w:val="center"/>
          </w:tcPr>
          <w:p w14:paraId="796DA976">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m³</w:t>
            </w:r>
          </w:p>
        </w:tc>
        <w:tc>
          <w:tcPr>
            <w:tcW w:w="1788" w:type="dxa"/>
            <w:vAlign w:val="center"/>
          </w:tcPr>
          <w:p w14:paraId="38FDEE08">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280.00</w:t>
            </w:r>
          </w:p>
        </w:tc>
        <w:tc>
          <w:tcPr>
            <w:tcW w:w="1125" w:type="dxa"/>
            <w:vAlign w:val="center"/>
          </w:tcPr>
          <w:p w14:paraId="26114475">
            <w:pPr>
              <w:adjustRightInd w:val="0"/>
              <w:snapToGrid w:val="0"/>
              <w:jc w:val="center"/>
              <w:rPr>
                <w:rFonts w:ascii="宋体" w:hAnsi="宋体" w:cs="宋体"/>
                <w:sz w:val="24"/>
                <w:szCs w:val="24"/>
                <w:highlight w:val="none"/>
              </w:rPr>
            </w:pPr>
            <w:r>
              <w:rPr>
                <w:rFonts w:hint="eastAsia" w:ascii="宋体" w:hAnsi="宋体" w:cs="宋体"/>
                <w:sz w:val="24"/>
                <w:szCs w:val="24"/>
                <w:highlight w:val="none"/>
              </w:rPr>
              <w:t>1</w:t>
            </w:r>
          </w:p>
        </w:tc>
        <w:tc>
          <w:tcPr>
            <w:tcW w:w="2615" w:type="dxa"/>
            <w:vAlign w:val="center"/>
          </w:tcPr>
          <w:p w14:paraId="0FDE2254">
            <w:pPr>
              <w:adjustRightInd w:val="0"/>
              <w:snapToGrid w:val="0"/>
              <w:jc w:val="center"/>
              <w:rPr>
                <w:rFonts w:ascii="宋体" w:hAnsi="宋体" w:cs="宋体"/>
                <w:sz w:val="24"/>
                <w:szCs w:val="24"/>
                <w:highlight w:val="none"/>
              </w:rPr>
            </w:pPr>
          </w:p>
        </w:tc>
      </w:tr>
      <w:tr w14:paraId="6D77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32" w:type="dxa"/>
            <w:gridSpan w:val="6"/>
            <w:shd w:val="clear" w:color="auto" w:fill="auto"/>
            <w:vAlign w:val="center"/>
          </w:tcPr>
          <w:p w14:paraId="0D985010">
            <w:pPr>
              <w:adjustRightInd w:val="0"/>
              <w:snapToGrid w:val="0"/>
              <w:spacing w:line="400" w:lineRule="exact"/>
              <w:ind w:firstLine="480" w:firstLineChars="200"/>
              <w:rPr>
                <w:sz w:val="24"/>
                <w:szCs w:val="24"/>
                <w:highlight w:val="none"/>
              </w:rPr>
            </w:pPr>
            <w:r>
              <w:rPr>
                <w:sz w:val="24"/>
                <w:szCs w:val="24"/>
                <w:highlight w:val="none"/>
              </w:rPr>
              <w:t>注：</w:t>
            </w:r>
          </w:p>
          <w:p w14:paraId="7985AFFE">
            <w:pPr>
              <w:adjustRightInd w:val="0"/>
              <w:snapToGrid w:val="0"/>
              <w:spacing w:line="400" w:lineRule="exact"/>
              <w:ind w:firstLine="480" w:firstLineChars="200"/>
              <w:rPr>
                <w:sz w:val="24"/>
                <w:szCs w:val="24"/>
                <w:highlight w:val="none"/>
              </w:rPr>
            </w:pPr>
            <w:r>
              <w:rPr>
                <w:sz w:val="24"/>
                <w:szCs w:val="24"/>
                <w:highlight w:val="none"/>
              </w:rPr>
              <w:t>1.实际使用商品混凝土品种以现场申请为准，包含普通预拌商品混凝土C10-</w:t>
            </w:r>
            <w:r>
              <w:rPr>
                <w:rFonts w:hint="eastAsia"/>
                <w:sz w:val="24"/>
                <w:szCs w:val="24"/>
                <w:highlight w:val="none"/>
              </w:rPr>
              <w:t>5</w:t>
            </w:r>
            <w:r>
              <w:rPr>
                <w:sz w:val="24"/>
                <w:szCs w:val="24"/>
                <w:highlight w:val="none"/>
              </w:rPr>
              <w:t>0，部分存在外加剂。</w:t>
            </w:r>
          </w:p>
          <w:p w14:paraId="4289516D">
            <w:pPr>
              <w:adjustRightInd w:val="0"/>
              <w:snapToGrid w:val="0"/>
              <w:spacing w:line="400" w:lineRule="exact"/>
              <w:ind w:firstLine="480" w:firstLineChars="200"/>
              <w:rPr>
                <w:sz w:val="24"/>
                <w:szCs w:val="24"/>
                <w:highlight w:val="none"/>
              </w:rPr>
            </w:pPr>
            <w:r>
              <w:rPr>
                <w:sz w:val="24"/>
                <w:szCs w:val="24"/>
                <w:highlight w:val="none"/>
              </w:rPr>
              <w:t>2.本次报价仅填报普通预拌商品混凝土C30的单价，该单价为基准单价。</w:t>
            </w:r>
          </w:p>
          <w:p w14:paraId="5497B908">
            <w:pPr>
              <w:adjustRightInd w:val="0"/>
              <w:snapToGrid w:val="0"/>
              <w:spacing w:line="400" w:lineRule="exact"/>
              <w:ind w:firstLine="480" w:firstLineChars="200"/>
              <w:rPr>
                <w:sz w:val="24"/>
                <w:szCs w:val="24"/>
                <w:highlight w:val="none"/>
              </w:rPr>
            </w:pPr>
            <w:r>
              <w:rPr>
                <w:sz w:val="24"/>
                <w:szCs w:val="24"/>
                <w:highlight w:val="none"/>
              </w:rPr>
              <w:t>3.</w:t>
            </w:r>
            <w:r>
              <w:rPr>
                <w:rFonts w:hint="eastAsia"/>
                <w:sz w:val="24"/>
                <w:szCs w:val="24"/>
                <w:highlight w:val="none"/>
              </w:rPr>
              <w:t>不同</w:t>
            </w:r>
            <w:r>
              <w:rPr>
                <w:sz w:val="24"/>
                <w:szCs w:val="24"/>
                <w:highlight w:val="none"/>
              </w:rPr>
              <w:t>标号混凝土之间单价的调整：C10-20单价为基准单价-16.00元/m³；C25单价为基准单价-8.00元/m³；C35单价为基准单价+8.00元/m³；C40单价为基准单价+</w:t>
            </w:r>
            <w:r>
              <w:rPr>
                <w:rFonts w:hint="eastAsia"/>
                <w:sz w:val="24"/>
                <w:szCs w:val="24"/>
                <w:highlight w:val="none"/>
              </w:rPr>
              <w:t>25</w:t>
            </w:r>
            <w:r>
              <w:rPr>
                <w:sz w:val="24"/>
                <w:szCs w:val="24"/>
                <w:highlight w:val="none"/>
              </w:rPr>
              <w:t>.00元/m³；C45单价为基准单价+</w:t>
            </w:r>
            <w:r>
              <w:rPr>
                <w:rFonts w:hint="eastAsia"/>
                <w:sz w:val="24"/>
                <w:szCs w:val="24"/>
                <w:highlight w:val="none"/>
              </w:rPr>
              <w:t>42</w:t>
            </w:r>
            <w:r>
              <w:rPr>
                <w:sz w:val="24"/>
                <w:szCs w:val="24"/>
                <w:highlight w:val="none"/>
              </w:rPr>
              <w:t>.00元/m³；C50单价为基准单价+</w:t>
            </w:r>
            <w:r>
              <w:rPr>
                <w:rFonts w:hint="eastAsia"/>
                <w:sz w:val="24"/>
                <w:szCs w:val="24"/>
                <w:highlight w:val="none"/>
              </w:rPr>
              <w:t>60</w:t>
            </w:r>
            <w:r>
              <w:rPr>
                <w:sz w:val="24"/>
                <w:szCs w:val="24"/>
                <w:highlight w:val="none"/>
              </w:rPr>
              <w:t>.00元/m³。</w:t>
            </w:r>
          </w:p>
          <w:p w14:paraId="56344040">
            <w:pPr>
              <w:adjustRightInd w:val="0"/>
              <w:snapToGrid w:val="0"/>
              <w:spacing w:line="400" w:lineRule="exact"/>
              <w:ind w:firstLine="480" w:firstLineChars="200"/>
              <w:rPr>
                <w:sz w:val="24"/>
                <w:szCs w:val="24"/>
                <w:highlight w:val="none"/>
              </w:rPr>
            </w:pPr>
            <w:r>
              <w:rPr>
                <w:sz w:val="24"/>
                <w:szCs w:val="24"/>
                <w:highlight w:val="none"/>
              </w:rPr>
              <w:t>4.存在特殊混凝土或外加剂要求时，在执行以上第2、3条基础上，单机调整如下：水下混凝土、细石混凝土、3天早强剂、7天早强剂单价+20.00元/m³；P6抗渗单价+35.00元/m³；P8抗渗单价+38.00元/m³。</w:t>
            </w:r>
          </w:p>
          <w:p w14:paraId="6B438625">
            <w:pPr>
              <w:adjustRightInd w:val="0"/>
              <w:snapToGrid w:val="0"/>
              <w:spacing w:line="400" w:lineRule="exact"/>
              <w:ind w:firstLine="480" w:firstLineChars="200"/>
              <w:rPr>
                <w:sz w:val="24"/>
                <w:szCs w:val="24"/>
                <w:highlight w:val="none"/>
              </w:rPr>
            </w:pPr>
            <w:r>
              <w:rPr>
                <w:sz w:val="24"/>
                <w:szCs w:val="24"/>
                <w:highlight w:val="none"/>
              </w:rPr>
              <w:t>5.以上单价为人民币报价，包含：材料费、运输费及损耗、装卸费、</w:t>
            </w:r>
            <w:r>
              <w:rPr>
                <w:rFonts w:hint="eastAsia"/>
                <w:sz w:val="24"/>
                <w:szCs w:val="24"/>
                <w:highlight w:val="none"/>
              </w:rPr>
              <w:t>各类</w:t>
            </w:r>
            <w:r>
              <w:rPr>
                <w:sz w:val="24"/>
                <w:szCs w:val="24"/>
                <w:highlight w:val="none"/>
              </w:rPr>
              <w:t>泵车费、泵送费、管理费、保险、利润、风险、税金等与项目有关的一切费用。</w:t>
            </w:r>
          </w:p>
          <w:p w14:paraId="06D525F3">
            <w:pPr>
              <w:adjustRightInd w:val="0"/>
              <w:snapToGrid w:val="0"/>
              <w:ind w:firstLine="480" w:firstLineChars="200"/>
              <w:jc w:val="left"/>
              <w:rPr>
                <w:rFonts w:ascii="宋体" w:hAnsi="宋体" w:cs="宋体"/>
                <w:sz w:val="24"/>
                <w:szCs w:val="24"/>
                <w:highlight w:val="none"/>
              </w:rPr>
            </w:pPr>
            <w:r>
              <w:rPr>
                <w:sz w:val="24"/>
                <w:szCs w:val="24"/>
                <w:highlight w:val="none"/>
              </w:rPr>
              <w:t>6.以上单价包含提供3%增值税发票的费用。</w:t>
            </w:r>
          </w:p>
        </w:tc>
      </w:tr>
    </w:tbl>
    <w:p w14:paraId="0290F22A">
      <w:pPr>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注：供应商应完整填写本表。</w:t>
      </w:r>
    </w:p>
    <w:p w14:paraId="6020544F">
      <w:pPr>
        <w:snapToGrid w:val="0"/>
        <w:spacing w:line="500" w:lineRule="exact"/>
        <w:rPr>
          <w:rFonts w:ascii="宋体" w:hAnsi="宋体" w:cs="宋体"/>
          <w:sz w:val="24"/>
          <w:szCs w:val="28"/>
          <w:highlight w:val="none"/>
        </w:rPr>
      </w:pPr>
      <w:r>
        <w:rPr>
          <w:rFonts w:hint="eastAsia" w:ascii="宋体" w:hAnsi="宋体" w:cs="宋体"/>
          <w:sz w:val="24"/>
          <w:szCs w:val="28"/>
          <w:highlight w:val="none"/>
        </w:rPr>
        <w:t xml:space="preserve">        </w:t>
      </w:r>
    </w:p>
    <w:p w14:paraId="207DC93F">
      <w:pPr>
        <w:snapToGrid w:val="0"/>
        <w:spacing w:line="500" w:lineRule="exact"/>
        <w:rPr>
          <w:rFonts w:ascii="宋体" w:hAnsi="宋体" w:cs="宋体"/>
          <w:sz w:val="24"/>
          <w:szCs w:val="24"/>
          <w:highlight w:val="none"/>
        </w:rPr>
      </w:pPr>
      <w:r>
        <w:rPr>
          <w:rFonts w:hint="eastAsia" w:ascii="宋体" w:hAnsi="宋体" w:cs="宋体"/>
          <w:sz w:val="24"/>
          <w:szCs w:val="28"/>
          <w:highlight w:val="none"/>
        </w:rPr>
        <w:t xml:space="preserve">       </w:t>
      </w:r>
    </w:p>
    <w:p w14:paraId="1B4CE269">
      <w:pPr>
        <w:pStyle w:val="16"/>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p w14:paraId="775C20F1">
      <w:pPr>
        <w:spacing w:line="360" w:lineRule="auto"/>
        <w:rPr>
          <w:rFonts w:ascii="宋体" w:hAnsi="宋体" w:cs="宋体"/>
          <w:highlight w:val="none"/>
        </w:rPr>
      </w:pPr>
      <w:r>
        <w:rPr>
          <w:rFonts w:hint="eastAsia" w:ascii="宋体" w:hAnsi="宋体" w:cs="宋体"/>
          <w:sz w:val="24"/>
          <w:szCs w:val="24"/>
          <w:highlight w:val="none"/>
        </w:rPr>
        <w:t xml:space="preserve">                                          供应商名称（公章）或自然人签署：</w:t>
      </w:r>
    </w:p>
    <w:p w14:paraId="64DB7038">
      <w:pPr>
        <w:spacing w:line="360" w:lineRule="auto"/>
        <w:ind w:right="480" w:firstLine="6480" w:firstLineChars="2700"/>
        <w:rPr>
          <w:rFonts w:ascii="宋体" w:hAnsi="宋体" w:cs="宋体"/>
          <w:sz w:val="24"/>
          <w:szCs w:val="24"/>
          <w:highlight w:val="none"/>
        </w:rPr>
      </w:pPr>
      <w:r>
        <w:rPr>
          <w:rFonts w:hint="eastAsia" w:ascii="宋体" w:hAnsi="宋体" w:cs="宋体"/>
          <w:sz w:val="24"/>
          <w:szCs w:val="24"/>
          <w:highlight w:val="none"/>
        </w:rPr>
        <w:t>年     月    日</w:t>
      </w:r>
    </w:p>
    <w:p w14:paraId="392A01E2">
      <w:pPr>
        <w:snapToGrid w:val="0"/>
        <w:spacing w:line="360" w:lineRule="auto"/>
        <w:ind w:firstLine="480" w:firstLineChars="200"/>
        <w:rPr>
          <w:rFonts w:ascii="宋体" w:hAnsi="宋体" w:cs="宋体"/>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11C23B27">
      <w:pPr>
        <w:pStyle w:val="5"/>
        <w:adjustRightInd w:val="0"/>
        <w:snapToGrid w:val="0"/>
        <w:spacing w:before="0" w:after="0" w:line="400" w:lineRule="exact"/>
        <w:ind w:firstLine="482" w:firstLineChars="200"/>
        <w:rPr>
          <w:rFonts w:ascii="宋体" w:hAnsi="宋体" w:eastAsia="宋体" w:cs="宋体"/>
          <w:sz w:val="24"/>
          <w:highlight w:val="none"/>
        </w:rPr>
      </w:pPr>
      <w:bookmarkStart w:id="269" w:name="_Toc106034809"/>
      <w:bookmarkStart w:id="270" w:name="_Toc9863"/>
      <w:bookmarkStart w:id="271" w:name="_Toc313008357"/>
      <w:bookmarkStart w:id="272" w:name="_Toc22655"/>
      <w:bookmarkStart w:id="273" w:name="_Toc342913420"/>
      <w:bookmarkStart w:id="274" w:name="_Toc14073"/>
      <w:bookmarkStart w:id="275" w:name="_Toc65660380"/>
      <w:bookmarkStart w:id="276" w:name="_Toc26085"/>
      <w:bookmarkStart w:id="277" w:name="_Toc313888361"/>
      <w:r>
        <w:rPr>
          <w:rFonts w:hint="eastAsia" w:ascii="宋体" w:hAnsi="宋体" w:eastAsia="宋体" w:cs="宋体"/>
          <w:sz w:val="24"/>
          <w:highlight w:val="none"/>
        </w:rPr>
        <w:t>二、技术（质量）部分</w:t>
      </w:r>
      <w:bookmarkEnd w:id="269"/>
      <w:bookmarkEnd w:id="270"/>
      <w:bookmarkEnd w:id="271"/>
      <w:bookmarkEnd w:id="272"/>
      <w:bookmarkEnd w:id="273"/>
      <w:bookmarkEnd w:id="274"/>
      <w:bookmarkEnd w:id="275"/>
      <w:bookmarkEnd w:id="276"/>
      <w:bookmarkEnd w:id="277"/>
    </w:p>
    <w:p w14:paraId="1D550BA4">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（一）技术（质量）响应偏离表</w:t>
      </w:r>
    </w:p>
    <w:p w14:paraId="6E8CC3CC">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1B5249C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D1E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0DFF266">
            <w:pPr>
              <w:tabs>
                <w:tab w:val="left" w:pos="6300"/>
              </w:tabs>
              <w:snapToGrid w:val="0"/>
              <w:jc w:val="center"/>
              <w:outlineLvl w:val="0"/>
              <w:rPr>
                <w:rFonts w:ascii="宋体" w:hAnsi="宋体" w:cs="宋体"/>
                <w:b/>
                <w:sz w:val="21"/>
                <w:szCs w:val="21"/>
                <w:highlight w:val="none"/>
              </w:rPr>
            </w:pPr>
            <w:r>
              <w:rPr>
                <w:rFonts w:hint="eastAsia" w:ascii="宋体" w:hAnsi="宋体" w:cs="宋体"/>
                <w:b/>
                <w:sz w:val="21"/>
                <w:szCs w:val="21"/>
                <w:highlight w:val="none"/>
              </w:rPr>
              <w:t>序号</w:t>
            </w:r>
          </w:p>
        </w:tc>
        <w:tc>
          <w:tcPr>
            <w:tcW w:w="2844" w:type="dxa"/>
            <w:vAlign w:val="center"/>
          </w:tcPr>
          <w:p w14:paraId="3D6127EA">
            <w:pPr>
              <w:tabs>
                <w:tab w:val="left" w:pos="6300"/>
              </w:tabs>
              <w:snapToGrid w:val="0"/>
              <w:jc w:val="center"/>
              <w:outlineLvl w:val="0"/>
              <w:rPr>
                <w:rFonts w:ascii="宋体" w:hAnsi="宋体" w:cs="宋体"/>
                <w:b/>
                <w:sz w:val="21"/>
                <w:szCs w:val="21"/>
                <w:highlight w:val="none"/>
              </w:rPr>
            </w:pPr>
            <w:r>
              <w:rPr>
                <w:rFonts w:hint="eastAsia" w:ascii="宋体" w:hAnsi="宋体" w:cs="宋体"/>
                <w:b/>
                <w:sz w:val="21"/>
                <w:szCs w:val="21"/>
                <w:highlight w:val="none"/>
              </w:rPr>
              <w:t>采购需求</w:t>
            </w:r>
          </w:p>
        </w:tc>
        <w:tc>
          <w:tcPr>
            <w:tcW w:w="2952" w:type="dxa"/>
            <w:vAlign w:val="center"/>
          </w:tcPr>
          <w:p w14:paraId="2BEB3CAF">
            <w:pPr>
              <w:tabs>
                <w:tab w:val="left" w:pos="6300"/>
              </w:tabs>
              <w:snapToGrid w:val="0"/>
              <w:jc w:val="center"/>
              <w:outlineLvl w:val="0"/>
              <w:rPr>
                <w:rFonts w:ascii="宋体" w:hAnsi="宋体" w:cs="宋体"/>
                <w:b/>
                <w:sz w:val="21"/>
                <w:szCs w:val="21"/>
                <w:highlight w:val="none"/>
              </w:rPr>
            </w:pPr>
            <w:r>
              <w:rPr>
                <w:rFonts w:hint="eastAsia" w:ascii="宋体" w:hAnsi="宋体" w:cs="宋体"/>
                <w:b/>
                <w:sz w:val="21"/>
                <w:szCs w:val="21"/>
                <w:highlight w:val="none"/>
              </w:rPr>
              <w:t>响应情况</w:t>
            </w:r>
          </w:p>
        </w:tc>
        <w:tc>
          <w:tcPr>
            <w:tcW w:w="2212" w:type="dxa"/>
            <w:vAlign w:val="center"/>
          </w:tcPr>
          <w:p w14:paraId="0B2E9DD8">
            <w:pPr>
              <w:tabs>
                <w:tab w:val="left" w:pos="6300"/>
              </w:tabs>
              <w:snapToGrid w:val="0"/>
              <w:jc w:val="center"/>
              <w:outlineLvl w:val="0"/>
              <w:rPr>
                <w:rFonts w:ascii="宋体" w:hAnsi="宋体" w:cs="宋体"/>
                <w:b/>
                <w:sz w:val="21"/>
                <w:szCs w:val="21"/>
                <w:highlight w:val="none"/>
              </w:rPr>
            </w:pPr>
            <w:r>
              <w:rPr>
                <w:rFonts w:hint="eastAsia" w:ascii="宋体" w:hAnsi="宋体" w:cs="宋体"/>
                <w:b/>
                <w:sz w:val="21"/>
                <w:szCs w:val="21"/>
                <w:highlight w:val="none"/>
              </w:rPr>
              <w:t>差异说明</w:t>
            </w:r>
          </w:p>
        </w:tc>
      </w:tr>
      <w:tr w14:paraId="6700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FB78BB0">
            <w:pPr>
              <w:tabs>
                <w:tab w:val="left" w:pos="6300"/>
              </w:tabs>
              <w:snapToGrid w:val="0"/>
              <w:jc w:val="center"/>
              <w:outlineLvl w:val="0"/>
              <w:rPr>
                <w:rFonts w:ascii="宋体" w:hAnsi="宋体" w:cs="宋体"/>
                <w:sz w:val="21"/>
                <w:szCs w:val="21"/>
                <w:highlight w:val="none"/>
              </w:rPr>
            </w:pPr>
          </w:p>
        </w:tc>
        <w:tc>
          <w:tcPr>
            <w:tcW w:w="2844" w:type="dxa"/>
            <w:vAlign w:val="center"/>
          </w:tcPr>
          <w:p w14:paraId="6EEB41A4">
            <w:pPr>
              <w:tabs>
                <w:tab w:val="left" w:pos="6300"/>
              </w:tabs>
              <w:snapToGrid w:val="0"/>
              <w:jc w:val="center"/>
              <w:outlineLvl w:val="0"/>
              <w:rPr>
                <w:rFonts w:ascii="宋体" w:hAnsi="宋体" w:cs="宋体"/>
                <w:sz w:val="21"/>
                <w:szCs w:val="21"/>
                <w:highlight w:val="none"/>
              </w:rPr>
            </w:pPr>
          </w:p>
        </w:tc>
        <w:tc>
          <w:tcPr>
            <w:tcW w:w="2952" w:type="dxa"/>
            <w:vAlign w:val="center"/>
          </w:tcPr>
          <w:p w14:paraId="315D7543">
            <w:pPr>
              <w:tabs>
                <w:tab w:val="left" w:pos="6300"/>
              </w:tabs>
              <w:snapToGrid w:val="0"/>
              <w:jc w:val="center"/>
              <w:outlineLvl w:val="0"/>
              <w:rPr>
                <w:rFonts w:ascii="宋体" w:hAnsi="宋体" w:cs="宋体"/>
                <w:sz w:val="21"/>
                <w:szCs w:val="21"/>
                <w:highlight w:val="none"/>
              </w:rPr>
            </w:pPr>
            <w:r>
              <w:rPr>
                <w:rFonts w:hint="eastAsia" w:ascii="宋体" w:hAnsi="宋体" w:cs="宋体"/>
                <w:sz w:val="21"/>
                <w:szCs w:val="21"/>
                <w:highlight w:val="none"/>
              </w:rPr>
              <w:t>提醒：请注明技术参数或具体内容以及响应文件中技术参数或具体内容的位置</w:t>
            </w:r>
          </w:p>
        </w:tc>
        <w:tc>
          <w:tcPr>
            <w:tcW w:w="2212" w:type="dxa"/>
            <w:vAlign w:val="center"/>
          </w:tcPr>
          <w:p w14:paraId="3E2E1087">
            <w:pPr>
              <w:tabs>
                <w:tab w:val="left" w:pos="6300"/>
              </w:tabs>
              <w:snapToGrid w:val="0"/>
              <w:jc w:val="center"/>
              <w:outlineLvl w:val="0"/>
              <w:rPr>
                <w:rFonts w:ascii="宋体" w:hAnsi="宋体" w:cs="宋体"/>
                <w:sz w:val="21"/>
                <w:szCs w:val="21"/>
                <w:highlight w:val="none"/>
              </w:rPr>
            </w:pPr>
          </w:p>
        </w:tc>
      </w:tr>
      <w:tr w14:paraId="2C79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F6A7DBA">
            <w:pPr>
              <w:tabs>
                <w:tab w:val="left" w:pos="6300"/>
              </w:tabs>
              <w:snapToGrid w:val="0"/>
              <w:jc w:val="center"/>
              <w:outlineLvl w:val="0"/>
              <w:rPr>
                <w:rFonts w:ascii="宋体" w:hAnsi="宋体" w:cs="宋体"/>
                <w:sz w:val="21"/>
                <w:szCs w:val="21"/>
                <w:highlight w:val="none"/>
              </w:rPr>
            </w:pPr>
          </w:p>
        </w:tc>
        <w:tc>
          <w:tcPr>
            <w:tcW w:w="2844" w:type="dxa"/>
            <w:vAlign w:val="center"/>
          </w:tcPr>
          <w:p w14:paraId="3FAF91C2">
            <w:pPr>
              <w:tabs>
                <w:tab w:val="left" w:pos="6300"/>
              </w:tabs>
              <w:snapToGrid w:val="0"/>
              <w:jc w:val="center"/>
              <w:outlineLvl w:val="0"/>
              <w:rPr>
                <w:rFonts w:ascii="宋体" w:hAnsi="宋体" w:cs="宋体"/>
                <w:sz w:val="21"/>
                <w:szCs w:val="21"/>
                <w:highlight w:val="none"/>
              </w:rPr>
            </w:pPr>
          </w:p>
        </w:tc>
        <w:tc>
          <w:tcPr>
            <w:tcW w:w="2952" w:type="dxa"/>
            <w:vAlign w:val="center"/>
          </w:tcPr>
          <w:p w14:paraId="227F0D32">
            <w:pPr>
              <w:tabs>
                <w:tab w:val="left" w:pos="6300"/>
              </w:tabs>
              <w:snapToGrid w:val="0"/>
              <w:jc w:val="center"/>
              <w:outlineLvl w:val="0"/>
              <w:rPr>
                <w:rFonts w:ascii="宋体" w:hAnsi="宋体" w:cs="宋体"/>
                <w:sz w:val="21"/>
                <w:szCs w:val="21"/>
                <w:highlight w:val="none"/>
              </w:rPr>
            </w:pPr>
          </w:p>
        </w:tc>
        <w:tc>
          <w:tcPr>
            <w:tcW w:w="2212" w:type="dxa"/>
            <w:vAlign w:val="center"/>
          </w:tcPr>
          <w:p w14:paraId="143820E5">
            <w:pPr>
              <w:tabs>
                <w:tab w:val="left" w:pos="6300"/>
              </w:tabs>
              <w:snapToGrid w:val="0"/>
              <w:jc w:val="center"/>
              <w:outlineLvl w:val="0"/>
              <w:rPr>
                <w:rFonts w:ascii="宋体" w:hAnsi="宋体" w:cs="宋体"/>
                <w:sz w:val="21"/>
                <w:szCs w:val="21"/>
                <w:highlight w:val="none"/>
              </w:rPr>
            </w:pPr>
          </w:p>
        </w:tc>
      </w:tr>
      <w:tr w14:paraId="1697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D0DAA65">
            <w:pPr>
              <w:tabs>
                <w:tab w:val="left" w:pos="6300"/>
              </w:tabs>
              <w:snapToGrid w:val="0"/>
              <w:jc w:val="center"/>
              <w:outlineLvl w:val="0"/>
              <w:rPr>
                <w:rFonts w:ascii="宋体" w:hAnsi="宋体" w:cs="宋体"/>
                <w:sz w:val="21"/>
                <w:szCs w:val="21"/>
                <w:highlight w:val="none"/>
              </w:rPr>
            </w:pPr>
          </w:p>
        </w:tc>
        <w:tc>
          <w:tcPr>
            <w:tcW w:w="2844" w:type="dxa"/>
            <w:vAlign w:val="center"/>
          </w:tcPr>
          <w:p w14:paraId="79B133F6">
            <w:pPr>
              <w:tabs>
                <w:tab w:val="left" w:pos="6300"/>
              </w:tabs>
              <w:snapToGrid w:val="0"/>
              <w:jc w:val="center"/>
              <w:outlineLvl w:val="0"/>
              <w:rPr>
                <w:rFonts w:ascii="宋体" w:hAnsi="宋体" w:cs="宋体"/>
                <w:sz w:val="21"/>
                <w:szCs w:val="21"/>
                <w:highlight w:val="none"/>
              </w:rPr>
            </w:pPr>
          </w:p>
        </w:tc>
        <w:tc>
          <w:tcPr>
            <w:tcW w:w="2952" w:type="dxa"/>
            <w:vAlign w:val="center"/>
          </w:tcPr>
          <w:p w14:paraId="09EC0472">
            <w:pPr>
              <w:tabs>
                <w:tab w:val="left" w:pos="6300"/>
              </w:tabs>
              <w:snapToGrid w:val="0"/>
              <w:jc w:val="center"/>
              <w:outlineLvl w:val="0"/>
              <w:rPr>
                <w:rFonts w:ascii="宋体" w:hAnsi="宋体" w:cs="宋体"/>
                <w:sz w:val="21"/>
                <w:szCs w:val="21"/>
                <w:highlight w:val="none"/>
              </w:rPr>
            </w:pPr>
          </w:p>
        </w:tc>
        <w:tc>
          <w:tcPr>
            <w:tcW w:w="2212" w:type="dxa"/>
            <w:vAlign w:val="center"/>
          </w:tcPr>
          <w:p w14:paraId="6D1BF734">
            <w:pPr>
              <w:tabs>
                <w:tab w:val="left" w:pos="6300"/>
              </w:tabs>
              <w:snapToGrid w:val="0"/>
              <w:jc w:val="center"/>
              <w:outlineLvl w:val="0"/>
              <w:rPr>
                <w:rFonts w:ascii="宋体" w:hAnsi="宋体" w:cs="宋体"/>
                <w:sz w:val="21"/>
                <w:szCs w:val="21"/>
                <w:highlight w:val="none"/>
              </w:rPr>
            </w:pPr>
          </w:p>
        </w:tc>
      </w:tr>
      <w:tr w14:paraId="6092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4C3B146">
            <w:pPr>
              <w:tabs>
                <w:tab w:val="left" w:pos="6300"/>
              </w:tabs>
              <w:snapToGrid w:val="0"/>
              <w:jc w:val="center"/>
              <w:outlineLvl w:val="0"/>
              <w:rPr>
                <w:rFonts w:ascii="宋体" w:hAnsi="宋体" w:cs="宋体"/>
                <w:sz w:val="21"/>
                <w:szCs w:val="21"/>
                <w:highlight w:val="none"/>
              </w:rPr>
            </w:pPr>
          </w:p>
        </w:tc>
        <w:tc>
          <w:tcPr>
            <w:tcW w:w="2844" w:type="dxa"/>
            <w:vAlign w:val="center"/>
          </w:tcPr>
          <w:p w14:paraId="0D43D3E9">
            <w:pPr>
              <w:tabs>
                <w:tab w:val="left" w:pos="6300"/>
              </w:tabs>
              <w:snapToGrid w:val="0"/>
              <w:jc w:val="center"/>
              <w:outlineLvl w:val="0"/>
              <w:rPr>
                <w:rFonts w:ascii="宋体" w:hAnsi="宋体" w:cs="宋体"/>
                <w:sz w:val="21"/>
                <w:szCs w:val="21"/>
                <w:highlight w:val="none"/>
              </w:rPr>
            </w:pPr>
          </w:p>
        </w:tc>
        <w:tc>
          <w:tcPr>
            <w:tcW w:w="2952" w:type="dxa"/>
            <w:vAlign w:val="center"/>
          </w:tcPr>
          <w:p w14:paraId="132BC93B">
            <w:pPr>
              <w:tabs>
                <w:tab w:val="left" w:pos="6300"/>
              </w:tabs>
              <w:snapToGrid w:val="0"/>
              <w:jc w:val="center"/>
              <w:outlineLvl w:val="0"/>
              <w:rPr>
                <w:rFonts w:ascii="宋体" w:hAnsi="宋体" w:cs="宋体"/>
                <w:sz w:val="21"/>
                <w:szCs w:val="21"/>
                <w:highlight w:val="none"/>
              </w:rPr>
            </w:pPr>
          </w:p>
        </w:tc>
        <w:tc>
          <w:tcPr>
            <w:tcW w:w="2212" w:type="dxa"/>
            <w:vAlign w:val="center"/>
          </w:tcPr>
          <w:p w14:paraId="021AAC35">
            <w:pPr>
              <w:tabs>
                <w:tab w:val="left" w:pos="6300"/>
              </w:tabs>
              <w:snapToGrid w:val="0"/>
              <w:jc w:val="center"/>
              <w:outlineLvl w:val="0"/>
              <w:rPr>
                <w:rFonts w:ascii="宋体" w:hAnsi="宋体" w:cs="宋体"/>
                <w:sz w:val="21"/>
                <w:szCs w:val="21"/>
                <w:highlight w:val="none"/>
              </w:rPr>
            </w:pPr>
          </w:p>
        </w:tc>
      </w:tr>
      <w:tr w14:paraId="70DA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4E328FF">
            <w:pPr>
              <w:tabs>
                <w:tab w:val="left" w:pos="6300"/>
              </w:tabs>
              <w:snapToGrid w:val="0"/>
              <w:jc w:val="center"/>
              <w:outlineLvl w:val="0"/>
              <w:rPr>
                <w:rFonts w:ascii="宋体" w:hAnsi="宋体" w:cs="宋体"/>
                <w:sz w:val="21"/>
                <w:szCs w:val="21"/>
                <w:highlight w:val="none"/>
              </w:rPr>
            </w:pPr>
          </w:p>
        </w:tc>
        <w:tc>
          <w:tcPr>
            <w:tcW w:w="2844" w:type="dxa"/>
            <w:vAlign w:val="center"/>
          </w:tcPr>
          <w:p w14:paraId="7DDCEEB8">
            <w:pPr>
              <w:tabs>
                <w:tab w:val="left" w:pos="6300"/>
              </w:tabs>
              <w:snapToGrid w:val="0"/>
              <w:jc w:val="center"/>
              <w:outlineLvl w:val="0"/>
              <w:rPr>
                <w:rFonts w:ascii="宋体" w:hAnsi="宋体" w:cs="宋体"/>
                <w:sz w:val="21"/>
                <w:szCs w:val="21"/>
                <w:highlight w:val="none"/>
              </w:rPr>
            </w:pPr>
          </w:p>
        </w:tc>
        <w:tc>
          <w:tcPr>
            <w:tcW w:w="2952" w:type="dxa"/>
            <w:vAlign w:val="center"/>
          </w:tcPr>
          <w:p w14:paraId="27A2E9DB">
            <w:pPr>
              <w:tabs>
                <w:tab w:val="left" w:pos="6300"/>
              </w:tabs>
              <w:snapToGrid w:val="0"/>
              <w:jc w:val="center"/>
              <w:outlineLvl w:val="0"/>
              <w:rPr>
                <w:rFonts w:ascii="宋体" w:hAnsi="宋体" w:cs="宋体"/>
                <w:sz w:val="21"/>
                <w:szCs w:val="21"/>
                <w:highlight w:val="none"/>
              </w:rPr>
            </w:pPr>
          </w:p>
        </w:tc>
        <w:tc>
          <w:tcPr>
            <w:tcW w:w="2212" w:type="dxa"/>
            <w:vAlign w:val="center"/>
          </w:tcPr>
          <w:p w14:paraId="7E744976">
            <w:pPr>
              <w:tabs>
                <w:tab w:val="left" w:pos="6300"/>
              </w:tabs>
              <w:snapToGrid w:val="0"/>
              <w:jc w:val="center"/>
              <w:outlineLvl w:val="0"/>
              <w:rPr>
                <w:rFonts w:ascii="宋体" w:hAnsi="宋体" w:cs="宋体"/>
                <w:sz w:val="21"/>
                <w:szCs w:val="21"/>
                <w:highlight w:val="none"/>
              </w:rPr>
            </w:pPr>
          </w:p>
        </w:tc>
      </w:tr>
      <w:tr w14:paraId="0A94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07BBF8E">
            <w:pPr>
              <w:tabs>
                <w:tab w:val="left" w:pos="6300"/>
              </w:tabs>
              <w:snapToGrid w:val="0"/>
              <w:jc w:val="center"/>
              <w:outlineLvl w:val="0"/>
              <w:rPr>
                <w:rFonts w:ascii="宋体" w:hAnsi="宋体" w:cs="宋体"/>
                <w:sz w:val="21"/>
                <w:szCs w:val="21"/>
                <w:highlight w:val="none"/>
              </w:rPr>
            </w:pPr>
          </w:p>
        </w:tc>
        <w:tc>
          <w:tcPr>
            <w:tcW w:w="2844" w:type="dxa"/>
            <w:vAlign w:val="center"/>
          </w:tcPr>
          <w:p w14:paraId="7C44FF03">
            <w:pPr>
              <w:tabs>
                <w:tab w:val="left" w:pos="6300"/>
              </w:tabs>
              <w:snapToGrid w:val="0"/>
              <w:jc w:val="center"/>
              <w:outlineLvl w:val="0"/>
              <w:rPr>
                <w:rFonts w:ascii="宋体" w:hAnsi="宋体" w:cs="宋体"/>
                <w:sz w:val="21"/>
                <w:szCs w:val="21"/>
                <w:highlight w:val="none"/>
              </w:rPr>
            </w:pPr>
          </w:p>
        </w:tc>
        <w:tc>
          <w:tcPr>
            <w:tcW w:w="2952" w:type="dxa"/>
            <w:vAlign w:val="center"/>
          </w:tcPr>
          <w:p w14:paraId="6FED6663">
            <w:pPr>
              <w:tabs>
                <w:tab w:val="left" w:pos="6300"/>
              </w:tabs>
              <w:snapToGrid w:val="0"/>
              <w:jc w:val="center"/>
              <w:outlineLvl w:val="0"/>
              <w:rPr>
                <w:rFonts w:ascii="宋体" w:hAnsi="宋体" w:cs="宋体"/>
                <w:sz w:val="21"/>
                <w:szCs w:val="21"/>
                <w:highlight w:val="none"/>
              </w:rPr>
            </w:pPr>
          </w:p>
        </w:tc>
        <w:tc>
          <w:tcPr>
            <w:tcW w:w="2212" w:type="dxa"/>
            <w:vAlign w:val="center"/>
          </w:tcPr>
          <w:p w14:paraId="1F4B88E6">
            <w:pPr>
              <w:tabs>
                <w:tab w:val="left" w:pos="6300"/>
              </w:tabs>
              <w:snapToGrid w:val="0"/>
              <w:jc w:val="center"/>
              <w:outlineLvl w:val="0"/>
              <w:rPr>
                <w:rFonts w:ascii="宋体" w:hAnsi="宋体" w:cs="宋体"/>
                <w:sz w:val="21"/>
                <w:szCs w:val="21"/>
                <w:highlight w:val="none"/>
              </w:rPr>
            </w:pPr>
          </w:p>
        </w:tc>
      </w:tr>
      <w:tr w14:paraId="2023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334DE5B">
            <w:pPr>
              <w:tabs>
                <w:tab w:val="left" w:pos="6300"/>
              </w:tabs>
              <w:snapToGrid w:val="0"/>
              <w:jc w:val="center"/>
              <w:outlineLvl w:val="0"/>
              <w:rPr>
                <w:rFonts w:ascii="宋体" w:hAnsi="宋体" w:cs="宋体"/>
                <w:sz w:val="21"/>
                <w:szCs w:val="21"/>
                <w:highlight w:val="none"/>
              </w:rPr>
            </w:pPr>
          </w:p>
        </w:tc>
        <w:tc>
          <w:tcPr>
            <w:tcW w:w="2844" w:type="dxa"/>
            <w:vAlign w:val="center"/>
          </w:tcPr>
          <w:p w14:paraId="707C2E0A">
            <w:pPr>
              <w:tabs>
                <w:tab w:val="left" w:pos="6300"/>
              </w:tabs>
              <w:snapToGrid w:val="0"/>
              <w:jc w:val="center"/>
              <w:outlineLvl w:val="0"/>
              <w:rPr>
                <w:rFonts w:ascii="宋体" w:hAnsi="宋体" w:cs="宋体"/>
                <w:sz w:val="21"/>
                <w:szCs w:val="21"/>
                <w:highlight w:val="none"/>
              </w:rPr>
            </w:pPr>
          </w:p>
        </w:tc>
        <w:tc>
          <w:tcPr>
            <w:tcW w:w="2952" w:type="dxa"/>
            <w:vAlign w:val="center"/>
          </w:tcPr>
          <w:p w14:paraId="650B884F">
            <w:pPr>
              <w:tabs>
                <w:tab w:val="left" w:pos="6300"/>
              </w:tabs>
              <w:snapToGrid w:val="0"/>
              <w:jc w:val="center"/>
              <w:outlineLvl w:val="0"/>
              <w:rPr>
                <w:rFonts w:ascii="宋体" w:hAnsi="宋体" w:cs="宋体"/>
                <w:sz w:val="21"/>
                <w:szCs w:val="21"/>
                <w:highlight w:val="none"/>
              </w:rPr>
            </w:pPr>
          </w:p>
        </w:tc>
        <w:tc>
          <w:tcPr>
            <w:tcW w:w="2212" w:type="dxa"/>
            <w:vAlign w:val="center"/>
          </w:tcPr>
          <w:p w14:paraId="15AA2D71">
            <w:pPr>
              <w:tabs>
                <w:tab w:val="left" w:pos="6300"/>
              </w:tabs>
              <w:snapToGrid w:val="0"/>
              <w:jc w:val="center"/>
              <w:outlineLvl w:val="0"/>
              <w:rPr>
                <w:rFonts w:ascii="宋体" w:hAnsi="宋体" w:cs="宋体"/>
                <w:sz w:val="21"/>
                <w:szCs w:val="21"/>
                <w:highlight w:val="none"/>
              </w:rPr>
            </w:pPr>
          </w:p>
        </w:tc>
      </w:tr>
      <w:tr w14:paraId="37BD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998228F">
            <w:pPr>
              <w:tabs>
                <w:tab w:val="left" w:pos="6300"/>
              </w:tabs>
              <w:snapToGrid w:val="0"/>
              <w:jc w:val="center"/>
              <w:outlineLvl w:val="0"/>
              <w:rPr>
                <w:rFonts w:ascii="宋体" w:hAnsi="宋体" w:cs="宋体"/>
                <w:sz w:val="21"/>
                <w:szCs w:val="21"/>
                <w:highlight w:val="none"/>
              </w:rPr>
            </w:pPr>
          </w:p>
        </w:tc>
        <w:tc>
          <w:tcPr>
            <w:tcW w:w="2844" w:type="dxa"/>
            <w:vAlign w:val="center"/>
          </w:tcPr>
          <w:p w14:paraId="1C16A6E7">
            <w:pPr>
              <w:tabs>
                <w:tab w:val="left" w:pos="6300"/>
              </w:tabs>
              <w:snapToGrid w:val="0"/>
              <w:jc w:val="center"/>
              <w:outlineLvl w:val="0"/>
              <w:rPr>
                <w:rFonts w:ascii="宋体" w:hAnsi="宋体" w:cs="宋体"/>
                <w:sz w:val="21"/>
                <w:szCs w:val="21"/>
                <w:highlight w:val="none"/>
              </w:rPr>
            </w:pPr>
          </w:p>
        </w:tc>
        <w:tc>
          <w:tcPr>
            <w:tcW w:w="2952" w:type="dxa"/>
            <w:vAlign w:val="center"/>
          </w:tcPr>
          <w:p w14:paraId="2517A910">
            <w:pPr>
              <w:tabs>
                <w:tab w:val="left" w:pos="6300"/>
              </w:tabs>
              <w:snapToGrid w:val="0"/>
              <w:jc w:val="center"/>
              <w:outlineLvl w:val="0"/>
              <w:rPr>
                <w:rFonts w:ascii="宋体" w:hAnsi="宋体" w:cs="宋体"/>
                <w:sz w:val="21"/>
                <w:szCs w:val="21"/>
                <w:highlight w:val="none"/>
              </w:rPr>
            </w:pPr>
          </w:p>
        </w:tc>
        <w:tc>
          <w:tcPr>
            <w:tcW w:w="2212" w:type="dxa"/>
            <w:vAlign w:val="center"/>
          </w:tcPr>
          <w:p w14:paraId="7AE2A6D8">
            <w:pPr>
              <w:tabs>
                <w:tab w:val="left" w:pos="6300"/>
              </w:tabs>
              <w:snapToGrid w:val="0"/>
              <w:jc w:val="center"/>
              <w:outlineLvl w:val="0"/>
              <w:rPr>
                <w:rFonts w:ascii="宋体" w:hAnsi="宋体" w:cs="宋体"/>
                <w:sz w:val="21"/>
                <w:szCs w:val="21"/>
                <w:highlight w:val="none"/>
              </w:rPr>
            </w:pPr>
          </w:p>
        </w:tc>
      </w:tr>
      <w:tr w14:paraId="707A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4905F26">
            <w:pPr>
              <w:tabs>
                <w:tab w:val="left" w:pos="6300"/>
              </w:tabs>
              <w:snapToGrid w:val="0"/>
              <w:jc w:val="center"/>
              <w:outlineLvl w:val="0"/>
              <w:rPr>
                <w:rFonts w:ascii="宋体" w:hAnsi="宋体" w:cs="宋体"/>
                <w:sz w:val="21"/>
                <w:szCs w:val="21"/>
                <w:highlight w:val="none"/>
              </w:rPr>
            </w:pPr>
          </w:p>
        </w:tc>
        <w:tc>
          <w:tcPr>
            <w:tcW w:w="2844" w:type="dxa"/>
            <w:vAlign w:val="center"/>
          </w:tcPr>
          <w:p w14:paraId="70CCE76F">
            <w:pPr>
              <w:tabs>
                <w:tab w:val="left" w:pos="6300"/>
              </w:tabs>
              <w:snapToGrid w:val="0"/>
              <w:jc w:val="center"/>
              <w:outlineLvl w:val="0"/>
              <w:rPr>
                <w:rFonts w:ascii="宋体" w:hAnsi="宋体" w:cs="宋体"/>
                <w:sz w:val="21"/>
                <w:szCs w:val="21"/>
                <w:highlight w:val="none"/>
              </w:rPr>
            </w:pPr>
          </w:p>
        </w:tc>
        <w:tc>
          <w:tcPr>
            <w:tcW w:w="2952" w:type="dxa"/>
            <w:vAlign w:val="center"/>
          </w:tcPr>
          <w:p w14:paraId="311FCD6C">
            <w:pPr>
              <w:tabs>
                <w:tab w:val="left" w:pos="6300"/>
              </w:tabs>
              <w:snapToGrid w:val="0"/>
              <w:jc w:val="center"/>
              <w:outlineLvl w:val="0"/>
              <w:rPr>
                <w:rFonts w:ascii="宋体" w:hAnsi="宋体" w:cs="宋体"/>
                <w:sz w:val="21"/>
                <w:szCs w:val="21"/>
                <w:highlight w:val="none"/>
              </w:rPr>
            </w:pPr>
          </w:p>
        </w:tc>
        <w:tc>
          <w:tcPr>
            <w:tcW w:w="2212" w:type="dxa"/>
            <w:vAlign w:val="center"/>
          </w:tcPr>
          <w:p w14:paraId="75E3DD53">
            <w:pPr>
              <w:tabs>
                <w:tab w:val="left" w:pos="6300"/>
              </w:tabs>
              <w:snapToGrid w:val="0"/>
              <w:jc w:val="center"/>
              <w:outlineLvl w:val="0"/>
              <w:rPr>
                <w:rFonts w:ascii="宋体" w:hAnsi="宋体" w:cs="宋体"/>
                <w:sz w:val="21"/>
                <w:szCs w:val="21"/>
                <w:highlight w:val="none"/>
              </w:rPr>
            </w:pPr>
          </w:p>
        </w:tc>
      </w:tr>
      <w:tr w14:paraId="4DC7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3CA151F">
            <w:pPr>
              <w:tabs>
                <w:tab w:val="left" w:pos="6300"/>
              </w:tabs>
              <w:snapToGrid w:val="0"/>
              <w:jc w:val="center"/>
              <w:outlineLvl w:val="0"/>
              <w:rPr>
                <w:rFonts w:ascii="宋体" w:hAnsi="宋体" w:cs="宋体"/>
                <w:sz w:val="21"/>
                <w:szCs w:val="21"/>
                <w:highlight w:val="none"/>
              </w:rPr>
            </w:pPr>
          </w:p>
        </w:tc>
        <w:tc>
          <w:tcPr>
            <w:tcW w:w="2844" w:type="dxa"/>
            <w:vAlign w:val="center"/>
          </w:tcPr>
          <w:p w14:paraId="63B16D4D">
            <w:pPr>
              <w:tabs>
                <w:tab w:val="left" w:pos="6300"/>
              </w:tabs>
              <w:snapToGrid w:val="0"/>
              <w:jc w:val="center"/>
              <w:outlineLvl w:val="0"/>
              <w:rPr>
                <w:rFonts w:ascii="宋体" w:hAnsi="宋体" w:cs="宋体"/>
                <w:sz w:val="21"/>
                <w:szCs w:val="21"/>
                <w:highlight w:val="none"/>
              </w:rPr>
            </w:pPr>
          </w:p>
        </w:tc>
        <w:tc>
          <w:tcPr>
            <w:tcW w:w="2952" w:type="dxa"/>
            <w:vAlign w:val="center"/>
          </w:tcPr>
          <w:p w14:paraId="5B818429">
            <w:pPr>
              <w:tabs>
                <w:tab w:val="left" w:pos="6300"/>
              </w:tabs>
              <w:snapToGrid w:val="0"/>
              <w:jc w:val="center"/>
              <w:outlineLvl w:val="0"/>
              <w:rPr>
                <w:rFonts w:ascii="宋体" w:hAnsi="宋体" w:cs="宋体"/>
                <w:sz w:val="21"/>
                <w:szCs w:val="21"/>
                <w:highlight w:val="none"/>
              </w:rPr>
            </w:pPr>
          </w:p>
        </w:tc>
        <w:tc>
          <w:tcPr>
            <w:tcW w:w="2212" w:type="dxa"/>
            <w:vAlign w:val="center"/>
          </w:tcPr>
          <w:p w14:paraId="5C5FEFE0">
            <w:pPr>
              <w:tabs>
                <w:tab w:val="left" w:pos="6300"/>
              </w:tabs>
              <w:snapToGrid w:val="0"/>
              <w:jc w:val="center"/>
              <w:outlineLvl w:val="0"/>
              <w:rPr>
                <w:rFonts w:ascii="宋体" w:hAnsi="宋体" w:cs="宋体"/>
                <w:sz w:val="21"/>
                <w:szCs w:val="21"/>
                <w:highlight w:val="none"/>
              </w:rPr>
            </w:pPr>
          </w:p>
        </w:tc>
      </w:tr>
    </w:tbl>
    <w:p w14:paraId="5712FD90">
      <w:pPr>
        <w:spacing w:line="500" w:lineRule="exact"/>
        <w:ind w:firstLine="600" w:firstLineChars="250"/>
        <w:rPr>
          <w:rFonts w:ascii="宋体" w:hAnsi="宋体" w:cs="宋体"/>
          <w:sz w:val="24"/>
          <w:szCs w:val="28"/>
          <w:highlight w:val="none"/>
        </w:rPr>
      </w:pPr>
      <w:r>
        <w:rPr>
          <w:rFonts w:hint="eastAsia" w:ascii="宋体" w:hAnsi="宋体" w:cs="宋体"/>
          <w:sz w:val="24"/>
          <w:szCs w:val="28"/>
          <w:highlight w:val="none"/>
        </w:rPr>
        <w:t xml:space="preserve">供应商：                         </w:t>
      </w:r>
      <w:r>
        <w:rPr>
          <w:rFonts w:hint="eastAsia" w:ascii="宋体" w:hAnsi="宋体" w:cs="宋体"/>
          <w:sz w:val="24"/>
          <w:szCs w:val="24"/>
          <w:highlight w:val="none"/>
        </w:rPr>
        <w:t>法定代表人（或其授权代表）或自然人</w:t>
      </w:r>
      <w:r>
        <w:rPr>
          <w:rFonts w:hint="eastAsia" w:ascii="宋体" w:hAnsi="宋体" w:cs="宋体"/>
          <w:sz w:val="24"/>
          <w:szCs w:val="28"/>
          <w:highlight w:val="none"/>
        </w:rPr>
        <w:t>：</w:t>
      </w:r>
    </w:p>
    <w:p w14:paraId="71102F31">
      <w:pPr>
        <w:spacing w:line="500" w:lineRule="exact"/>
        <w:rPr>
          <w:rFonts w:ascii="宋体" w:hAnsi="宋体" w:cs="宋体"/>
          <w:sz w:val="24"/>
          <w:szCs w:val="28"/>
          <w:highlight w:val="none"/>
        </w:rPr>
      </w:pPr>
      <w:r>
        <w:rPr>
          <w:rFonts w:hint="eastAsia" w:ascii="宋体" w:hAnsi="宋体" w:cs="宋体"/>
          <w:sz w:val="24"/>
          <w:szCs w:val="28"/>
          <w:highlight w:val="none"/>
        </w:rPr>
        <w:t xml:space="preserve">    </w:t>
      </w:r>
    </w:p>
    <w:p w14:paraId="297F912D">
      <w:pPr>
        <w:spacing w:line="500" w:lineRule="exact"/>
        <w:ind w:firstLine="720" w:firstLineChars="300"/>
        <w:rPr>
          <w:rFonts w:ascii="宋体" w:hAnsi="宋体" w:cs="宋体"/>
          <w:sz w:val="24"/>
          <w:szCs w:val="28"/>
          <w:highlight w:val="none"/>
        </w:rPr>
      </w:pPr>
      <w:r>
        <w:rPr>
          <w:rFonts w:hint="eastAsia" w:ascii="宋体" w:hAnsi="宋体" w:cs="宋体"/>
          <w:sz w:val="24"/>
          <w:szCs w:val="28"/>
          <w:highlight w:val="none"/>
        </w:rPr>
        <w:t>（供应商公章）                               （</w:t>
      </w:r>
      <w:r>
        <w:rPr>
          <w:rFonts w:hint="eastAsia" w:ascii="宋体" w:hAnsi="宋体" w:cs="宋体"/>
          <w:sz w:val="24"/>
          <w:szCs w:val="24"/>
          <w:highlight w:val="none"/>
        </w:rPr>
        <w:t>签署</w:t>
      </w:r>
      <w:r>
        <w:rPr>
          <w:rFonts w:hint="eastAsia" w:ascii="宋体" w:hAnsi="宋体" w:cs="宋体"/>
          <w:sz w:val="24"/>
          <w:szCs w:val="28"/>
          <w:highlight w:val="none"/>
        </w:rPr>
        <w:t>或盖章）</w:t>
      </w:r>
    </w:p>
    <w:p w14:paraId="1CCF6875">
      <w:pPr>
        <w:tabs>
          <w:tab w:val="left" w:pos="6300"/>
        </w:tabs>
        <w:snapToGrid w:val="0"/>
        <w:spacing w:line="500" w:lineRule="exact"/>
        <w:ind w:firstLine="570"/>
        <w:rPr>
          <w:rFonts w:ascii="宋体" w:hAnsi="宋体" w:cs="宋体"/>
          <w:sz w:val="24"/>
          <w:highlight w:val="none"/>
        </w:rPr>
      </w:pPr>
      <w:r>
        <w:rPr>
          <w:rFonts w:hint="eastAsia" w:ascii="宋体" w:hAnsi="宋体" w:cs="宋体"/>
          <w:sz w:val="24"/>
          <w:szCs w:val="28"/>
          <w:highlight w:val="none"/>
        </w:rPr>
        <w:t xml:space="preserve">                                            年     月     日</w:t>
      </w:r>
    </w:p>
    <w:p w14:paraId="2BBDC5F6">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注：</w:t>
      </w:r>
    </w:p>
    <w:p w14:paraId="588F414B">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szCs w:val="24"/>
          <w:highlight w:val="none"/>
        </w:rPr>
        <w:t>1</w:t>
      </w:r>
      <w:r>
        <w:rPr>
          <w:rFonts w:hint="eastAsia" w:ascii="宋体" w:hAnsi="宋体" w:cs="宋体"/>
          <w:sz w:val="24"/>
          <w:highlight w:val="none"/>
        </w:rPr>
        <w:t>.</w:t>
      </w:r>
      <w:r>
        <w:rPr>
          <w:rFonts w:hint="eastAsia" w:ascii="宋体" w:hAnsi="宋体" w:cs="宋体"/>
          <w:sz w:val="24"/>
          <w:szCs w:val="24"/>
          <w:highlight w:val="none"/>
        </w:rPr>
        <w:t>本表即为对本项目“第二篇  询价项目技术（质量）需求”中所列条款进行比较和响应；</w:t>
      </w:r>
    </w:p>
    <w:p w14:paraId="59F08248">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2.本表可扩展。</w:t>
      </w:r>
    </w:p>
    <w:p w14:paraId="2CB5F9AF">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szCs w:val="24"/>
          <w:highlight w:val="none"/>
        </w:rPr>
        <w:t>（二）其他资料（格式自定）</w:t>
      </w:r>
    </w:p>
    <w:p w14:paraId="6B2122F6">
      <w:pPr>
        <w:tabs>
          <w:tab w:val="left" w:pos="6300"/>
        </w:tabs>
        <w:snapToGrid w:val="0"/>
        <w:spacing w:line="500" w:lineRule="exact"/>
        <w:ind w:firstLine="480" w:firstLineChars="200"/>
        <w:rPr>
          <w:rFonts w:ascii="宋体" w:hAnsi="宋体" w:cs="宋体"/>
          <w:sz w:val="24"/>
          <w:szCs w:val="24"/>
          <w:highlight w:val="none"/>
        </w:rPr>
      </w:pPr>
    </w:p>
    <w:p w14:paraId="560C3E8E">
      <w:pPr>
        <w:pStyle w:val="5"/>
        <w:adjustRightInd w:val="0"/>
        <w:snapToGrid w:val="0"/>
        <w:spacing w:before="0" w:after="0" w:line="400" w:lineRule="exact"/>
        <w:ind w:firstLine="640" w:firstLineChars="200"/>
        <w:rPr>
          <w:rFonts w:ascii="宋体" w:hAnsi="宋体" w:eastAsia="宋体" w:cs="宋体"/>
          <w:sz w:val="24"/>
          <w:highlight w:val="none"/>
        </w:rPr>
      </w:pPr>
      <w:r>
        <w:rPr>
          <w:rFonts w:hint="eastAsia" w:ascii="宋体" w:hAnsi="宋体" w:eastAsia="宋体" w:cs="宋体"/>
          <w:b w:val="0"/>
          <w:highlight w:val="none"/>
        </w:rPr>
        <w:br w:type="page"/>
      </w:r>
      <w:bookmarkStart w:id="278" w:name="_Toc32158"/>
      <w:bookmarkStart w:id="279" w:name="_Toc32339"/>
      <w:bookmarkStart w:id="280" w:name="_Toc106034810"/>
      <w:bookmarkStart w:id="281" w:name="_Toc28851"/>
      <w:bookmarkStart w:id="282" w:name="_Toc27717"/>
      <w:bookmarkStart w:id="283" w:name="_Toc65660381"/>
      <w:bookmarkStart w:id="284" w:name="_Toc313888362"/>
      <w:bookmarkStart w:id="285" w:name="_Toc313008358"/>
      <w:bookmarkStart w:id="286" w:name="_Toc342913421"/>
      <w:r>
        <w:rPr>
          <w:rFonts w:hint="eastAsia" w:ascii="宋体" w:hAnsi="宋体" w:eastAsia="宋体" w:cs="宋体"/>
          <w:sz w:val="24"/>
          <w:highlight w:val="none"/>
        </w:rPr>
        <w:t>三、服务部分</w:t>
      </w:r>
      <w:bookmarkEnd w:id="278"/>
      <w:bookmarkEnd w:id="279"/>
      <w:bookmarkEnd w:id="280"/>
      <w:bookmarkEnd w:id="281"/>
      <w:bookmarkEnd w:id="282"/>
      <w:bookmarkEnd w:id="283"/>
    </w:p>
    <w:p w14:paraId="309F07FF">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（一）服务响应偏离表</w:t>
      </w:r>
    </w:p>
    <w:p w14:paraId="73B769F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                              </w:t>
      </w:r>
    </w:p>
    <w:p w14:paraId="0002DF51">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询价项目名称：</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C45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7F9DB7D2">
            <w:pPr>
              <w:tabs>
                <w:tab w:val="left" w:pos="6300"/>
              </w:tabs>
              <w:snapToGrid w:val="0"/>
              <w:jc w:val="center"/>
              <w:outlineLvl w:val="0"/>
              <w:rPr>
                <w:rFonts w:ascii="宋体" w:hAnsi="宋体" w:cs="宋体"/>
                <w:b/>
                <w:sz w:val="21"/>
                <w:szCs w:val="24"/>
                <w:highlight w:val="none"/>
              </w:rPr>
            </w:pPr>
            <w:r>
              <w:rPr>
                <w:rFonts w:hint="eastAsia" w:ascii="宋体" w:hAnsi="宋体" w:cs="宋体"/>
                <w:b/>
                <w:sz w:val="21"/>
                <w:szCs w:val="24"/>
                <w:highlight w:val="none"/>
              </w:rPr>
              <w:t>序号</w:t>
            </w:r>
          </w:p>
        </w:tc>
        <w:tc>
          <w:tcPr>
            <w:tcW w:w="3184" w:type="dxa"/>
            <w:vAlign w:val="center"/>
          </w:tcPr>
          <w:p w14:paraId="642DA239">
            <w:pPr>
              <w:tabs>
                <w:tab w:val="left" w:pos="6300"/>
              </w:tabs>
              <w:snapToGrid w:val="0"/>
              <w:jc w:val="center"/>
              <w:outlineLvl w:val="0"/>
              <w:rPr>
                <w:rFonts w:ascii="宋体" w:hAnsi="宋体" w:cs="宋体"/>
                <w:b/>
                <w:sz w:val="21"/>
                <w:szCs w:val="24"/>
                <w:highlight w:val="none"/>
              </w:rPr>
            </w:pPr>
            <w:r>
              <w:rPr>
                <w:rFonts w:hint="eastAsia" w:ascii="宋体" w:hAnsi="宋体" w:cs="宋体"/>
                <w:b/>
                <w:sz w:val="21"/>
                <w:szCs w:val="24"/>
                <w:highlight w:val="none"/>
              </w:rPr>
              <w:t>采购需求</w:t>
            </w:r>
          </w:p>
        </w:tc>
        <w:tc>
          <w:tcPr>
            <w:tcW w:w="2438" w:type="dxa"/>
            <w:vAlign w:val="center"/>
          </w:tcPr>
          <w:p w14:paraId="51101AB0">
            <w:pPr>
              <w:tabs>
                <w:tab w:val="left" w:pos="6300"/>
              </w:tabs>
              <w:snapToGrid w:val="0"/>
              <w:jc w:val="center"/>
              <w:outlineLvl w:val="0"/>
              <w:rPr>
                <w:rFonts w:ascii="宋体" w:hAnsi="宋体" w:cs="宋体"/>
                <w:b/>
                <w:sz w:val="21"/>
                <w:szCs w:val="24"/>
                <w:highlight w:val="none"/>
              </w:rPr>
            </w:pPr>
            <w:r>
              <w:rPr>
                <w:rFonts w:hint="eastAsia" w:ascii="宋体" w:hAnsi="宋体" w:cs="宋体"/>
                <w:b/>
                <w:sz w:val="21"/>
                <w:szCs w:val="24"/>
                <w:highlight w:val="none"/>
              </w:rPr>
              <w:t>响应情况</w:t>
            </w:r>
          </w:p>
        </w:tc>
        <w:tc>
          <w:tcPr>
            <w:tcW w:w="2359" w:type="dxa"/>
            <w:vAlign w:val="center"/>
          </w:tcPr>
          <w:p w14:paraId="4E18D1FA">
            <w:pPr>
              <w:tabs>
                <w:tab w:val="left" w:pos="6300"/>
              </w:tabs>
              <w:snapToGrid w:val="0"/>
              <w:jc w:val="center"/>
              <w:outlineLvl w:val="0"/>
              <w:rPr>
                <w:rFonts w:ascii="宋体" w:hAnsi="宋体" w:cs="宋体"/>
                <w:b/>
                <w:sz w:val="21"/>
                <w:szCs w:val="24"/>
                <w:highlight w:val="none"/>
              </w:rPr>
            </w:pPr>
            <w:r>
              <w:rPr>
                <w:rFonts w:hint="eastAsia" w:ascii="宋体" w:hAnsi="宋体" w:cs="宋体"/>
                <w:b/>
                <w:sz w:val="21"/>
                <w:szCs w:val="21"/>
                <w:highlight w:val="none"/>
              </w:rPr>
              <w:t>差异说明</w:t>
            </w:r>
          </w:p>
        </w:tc>
      </w:tr>
      <w:tr w14:paraId="3EB2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283956D">
            <w:pPr>
              <w:tabs>
                <w:tab w:val="left" w:pos="6300"/>
              </w:tabs>
              <w:snapToGrid w:val="0"/>
              <w:jc w:val="center"/>
              <w:outlineLvl w:val="0"/>
              <w:rPr>
                <w:rFonts w:ascii="宋体" w:hAnsi="宋体" w:cs="宋体"/>
                <w:sz w:val="21"/>
                <w:szCs w:val="24"/>
                <w:highlight w:val="none"/>
              </w:rPr>
            </w:pPr>
          </w:p>
        </w:tc>
        <w:tc>
          <w:tcPr>
            <w:tcW w:w="3184" w:type="dxa"/>
            <w:vAlign w:val="center"/>
          </w:tcPr>
          <w:p w14:paraId="3559AFB3">
            <w:pPr>
              <w:tabs>
                <w:tab w:val="left" w:pos="6300"/>
              </w:tabs>
              <w:snapToGrid w:val="0"/>
              <w:jc w:val="center"/>
              <w:outlineLvl w:val="0"/>
              <w:rPr>
                <w:rFonts w:ascii="宋体" w:hAnsi="宋体" w:cs="宋体"/>
                <w:sz w:val="21"/>
                <w:szCs w:val="24"/>
                <w:highlight w:val="none"/>
              </w:rPr>
            </w:pPr>
          </w:p>
        </w:tc>
        <w:tc>
          <w:tcPr>
            <w:tcW w:w="2438" w:type="dxa"/>
            <w:vAlign w:val="center"/>
          </w:tcPr>
          <w:p w14:paraId="33200679">
            <w:pPr>
              <w:tabs>
                <w:tab w:val="left" w:pos="6300"/>
              </w:tabs>
              <w:snapToGrid w:val="0"/>
              <w:outlineLvl w:val="0"/>
              <w:rPr>
                <w:rFonts w:ascii="宋体" w:hAnsi="宋体" w:cs="宋体"/>
                <w:sz w:val="21"/>
                <w:szCs w:val="24"/>
                <w:highlight w:val="none"/>
              </w:rPr>
            </w:pPr>
            <w:r>
              <w:rPr>
                <w:rFonts w:hint="eastAsia" w:ascii="宋体" w:hAnsi="宋体" w:cs="宋体"/>
                <w:sz w:val="21"/>
                <w:szCs w:val="21"/>
                <w:highlight w:val="none"/>
              </w:rPr>
              <w:t>提醒：请注明具体内容以及响应文件中具体内容的位置</w:t>
            </w:r>
          </w:p>
        </w:tc>
        <w:tc>
          <w:tcPr>
            <w:tcW w:w="2359" w:type="dxa"/>
            <w:vAlign w:val="center"/>
          </w:tcPr>
          <w:p w14:paraId="1A75D4E4">
            <w:pPr>
              <w:tabs>
                <w:tab w:val="left" w:pos="6300"/>
              </w:tabs>
              <w:snapToGrid w:val="0"/>
              <w:jc w:val="center"/>
              <w:outlineLvl w:val="0"/>
              <w:rPr>
                <w:rFonts w:ascii="宋体" w:hAnsi="宋体" w:cs="宋体"/>
                <w:sz w:val="21"/>
                <w:szCs w:val="24"/>
                <w:highlight w:val="none"/>
              </w:rPr>
            </w:pPr>
          </w:p>
        </w:tc>
      </w:tr>
      <w:tr w14:paraId="14CA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4A00BC7">
            <w:pPr>
              <w:tabs>
                <w:tab w:val="left" w:pos="6300"/>
              </w:tabs>
              <w:snapToGrid w:val="0"/>
              <w:jc w:val="center"/>
              <w:outlineLvl w:val="0"/>
              <w:rPr>
                <w:rFonts w:ascii="宋体" w:hAnsi="宋体" w:cs="宋体"/>
                <w:sz w:val="21"/>
                <w:szCs w:val="24"/>
                <w:highlight w:val="none"/>
              </w:rPr>
            </w:pPr>
          </w:p>
        </w:tc>
        <w:tc>
          <w:tcPr>
            <w:tcW w:w="3184" w:type="dxa"/>
            <w:vAlign w:val="center"/>
          </w:tcPr>
          <w:p w14:paraId="40493881">
            <w:pPr>
              <w:tabs>
                <w:tab w:val="left" w:pos="6300"/>
              </w:tabs>
              <w:snapToGrid w:val="0"/>
              <w:jc w:val="center"/>
              <w:outlineLvl w:val="0"/>
              <w:rPr>
                <w:rFonts w:ascii="宋体" w:hAnsi="宋体" w:cs="宋体"/>
                <w:sz w:val="21"/>
                <w:szCs w:val="24"/>
                <w:highlight w:val="none"/>
              </w:rPr>
            </w:pPr>
          </w:p>
        </w:tc>
        <w:tc>
          <w:tcPr>
            <w:tcW w:w="2438" w:type="dxa"/>
            <w:vAlign w:val="center"/>
          </w:tcPr>
          <w:p w14:paraId="1B07C808">
            <w:pPr>
              <w:tabs>
                <w:tab w:val="left" w:pos="6300"/>
              </w:tabs>
              <w:snapToGrid w:val="0"/>
              <w:jc w:val="center"/>
              <w:outlineLvl w:val="0"/>
              <w:rPr>
                <w:rFonts w:ascii="宋体" w:hAnsi="宋体" w:cs="宋体"/>
                <w:sz w:val="21"/>
                <w:szCs w:val="24"/>
                <w:highlight w:val="none"/>
              </w:rPr>
            </w:pPr>
          </w:p>
        </w:tc>
        <w:tc>
          <w:tcPr>
            <w:tcW w:w="2359" w:type="dxa"/>
            <w:vAlign w:val="center"/>
          </w:tcPr>
          <w:p w14:paraId="75B97EA3">
            <w:pPr>
              <w:tabs>
                <w:tab w:val="left" w:pos="6300"/>
              </w:tabs>
              <w:snapToGrid w:val="0"/>
              <w:jc w:val="center"/>
              <w:outlineLvl w:val="0"/>
              <w:rPr>
                <w:rFonts w:ascii="宋体" w:hAnsi="宋体" w:cs="宋体"/>
                <w:sz w:val="21"/>
                <w:szCs w:val="24"/>
                <w:highlight w:val="none"/>
              </w:rPr>
            </w:pPr>
          </w:p>
        </w:tc>
      </w:tr>
      <w:tr w14:paraId="47E3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43A264F">
            <w:pPr>
              <w:tabs>
                <w:tab w:val="left" w:pos="6300"/>
              </w:tabs>
              <w:snapToGrid w:val="0"/>
              <w:jc w:val="center"/>
              <w:outlineLvl w:val="0"/>
              <w:rPr>
                <w:rFonts w:ascii="宋体" w:hAnsi="宋体" w:cs="宋体"/>
                <w:sz w:val="21"/>
                <w:szCs w:val="24"/>
                <w:highlight w:val="none"/>
              </w:rPr>
            </w:pPr>
          </w:p>
        </w:tc>
        <w:tc>
          <w:tcPr>
            <w:tcW w:w="3184" w:type="dxa"/>
            <w:vAlign w:val="center"/>
          </w:tcPr>
          <w:p w14:paraId="4E4C48A0">
            <w:pPr>
              <w:tabs>
                <w:tab w:val="left" w:pos="6300"/>
              </w:tabs>
              <w:snapToGrid w:val="0"/>
              <w:jc w:val="center"/>
              <w:outlineLvl w:val="0"/>
              <w:rPr>
                <w:rFonts w:ascii="宋体" w:hAnsi="宋体" w:cs="宋体"/>
                <w:sz w:val="21"/>
                <w:szCs w:val="24"/>
                <w:highlight w:val="none"/>
              </w:rPr>
            </w:pPr>
          </w:p>
        </w:tc>
        <w:tc>
          <w:tcPr>
            <w:tcW w:w="2438" w:type="dxa"/>
            <w:vAlign w:val="center"/>
          </w:tcPr>
          <w:p w14:paraId="05FD1E3E">
            <w:pPr>
              <w:tabs>
                <w:tab w:val="left" w:pos="6300"/>
              </w:tabs>
              <w:snapToGrid w:val="0"/>
              <w:jc w:val="center"/>
              <w:outlineLvl w:val="0"/>
              <w:rPr>
                <w:rFonts w:ascii="宋体" w:hAnsi="宋体" w:cs="宋体"/>
                <w:sz w:val="21"/>
                <w:szCs w:val="24"/>
                <w:highlight w:val="none"/>
              </w:rPr>
            </w:pPr>
          </w:p>
        </w:tc>
        <w:tc>
          <w:tcPr>
            <w:tcW w:w="2359" w:type="dxa"/>
            <w:vAlign w:val="center"/>
          </w:tcPr>
          <w:p w14:paraId="32D1226D">
            <w:pPr>
              <w:tabs>
                <w:tab w:val="left" w:pos="6300"/>
              </w:tabs>
              <w:snapToGrid w:val="0"/>
              <w:jc w:val="center"/>
              <w:outlineLvl w:val="0"/>
              <w:rPr>
                <w:rFonts w:ascii="宋体" w:hAnsi="宋体" w:cs="宋体"/>
                <w:sz w:val="21"/>
                <w:szCs w:val="24"/>
                <w:highlight w:val="none"/>
              </w:rPr>
            </w:pPr>
          </w:p>
        </w:tc>
      </w:tr>
      <w:tr w14:paraId="2B06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902092C">
            <w:pPr>
              <w:tabs>
                <w:tab w:val="left" w:pos="6300"/>
              </w:tabs>
              <w:snapToGrid w:val="0"/>
              <w:jc w:val="center"/>
              <w:outlineLvl w:val="0"/>
              <w:rPr>
                <w:rFonts w:ascii="宋体" w:hAnsi="宋体" w:cs="宋体"/>
                <w:sz w:val="21"/>
                <w:szCs w:val="24"/>
                <w:highlight w:val="none"/>
              </w:rPr>
            </w:pPr>
          </w:p>
        </w:tc>
        <w:tc>
          <w:tcPr>
            <w:tcW w:w="3184" w:type="dxa"/>
            <w:vAlign w:val="center"/>
          </w:tcPr>
          <w:p w14:paraId="341C3924">
            <w:pPr>
              <w:tabs>
                <w:tab w:val="left" w:pos="6300"/>
              </w:tabs>
              <w:snapToGrid w:val="0"/>
              <w:jc w:val="center"/>
              <w:outlineLvl w:val="0"/>
              <w:rPr>
                <w:rFonts w:ascii="宋体" w:hAnsi="宋体" w:cs="宋体"/>
                <w:sz w:val="21"/>
                <w:szCs w:val="24"/>
                <w:highlight w:val="none"/>
              </w:rPr>
            </w:pPr>
          </w:p>
        </w:tc>
        <w:tc>
          <w:tcPr>
            <w:tcW w:w="2438" w:type="dxa"/>
            <w:vAlign w:val="center"/>
          </w:tcPr>
          <w:p w14:paraId="12BF7137">
            <w:pPr>
              <w:tabs>
                <w:tab w:val="left" w:pos="6300"/>
              </w:tabs>
              <w:snapToGrid w:val="0"/>
              <w:jc w:val="center"/>
              <w:outlineLvl w:val="0"/>
              <w:rPr>
                <w:rFonts w:ascii="宋体" w:hAnsi="宋体" w:cs="宋体"/>
                <w:sz w:val="21"/>
                <w:szCs w:val="24"/>
                <w:highlight w:val="none"/>
              </w:rPr>
            </w:pPr>
          </w:p>
        </w:tc>
        <w:tc>
          <w:tcPr>
            <w:tcW w:w="2359" w:type="dxa"/>
            <w:vAlign w:val="center"/>
          </w:tcPr>
          <w:p w14:paraId="4D076239">
            <w:pPr>
              <w:tabs>
                <w:tab w:val="left" w:pos="6300"/>
              </w:tabs>
              <w:snapToGrid w:val="0"/>
              <w:jc w:val="center"/>
              <w:outlineLvl w:val="0"/>
              <w:rPr>
                <w:rFonts w:ascii="宋体" w:hAnsi="宋体" w:cs="宋体"/>
                <w:sz w:val="21"/>
                <w:szCs w:val="24"/>
                <w:highlight w:val="none"/>
              </w:rPr>
            </w:pPr>
          </w:p>
        </w:tc>
      </w:tr>
      <w:tr w14:paraId="73DA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368C8B4">
            <w:pPr>
              <w:tabs>
                <w:tab w:val="left" w:pos="6300"/>
              </w:tabs>
              <w:snapToGrid w:val="0"/>
              <w:jc w:val="center"/>
              <w:outlineLvl w:val="0"/>
              <w:rPr>
                <w:rFonts w:ascii="宋体" w:hAnsi="宋体" w:cs="宋体"/>
                <w:sz w:val="21"/>
                <w:szCs w:val="24"/>
                <w:highlight w:val="none"/>
              </w:rPr>
            </w:pPr>
          </w:p>
        </w:tc>
        <w:tc>
          <w:tcPr>
            <w:tcW w:w="3184" w:type="dxa"/>
            <w:vAlign w:val="center"/>
          </w:tcPr>
          <w:p w14:paraId="40307269">
            <w:pPr>
              <w:tabs>
                <w:tab w:val="left" w:pos="6300"/>
              </w:tabs>
              <w:snapToGrid w:val="0"/>
              <w:jc w:val="center"/>
              <w:outlineLvl w:val="0"/>
              <w:rPr>
                <w:rFonts w:ascii="宋体" w:hAnsi="宋体" w:cs="宋体"/>
                <w:sz w:val="21"/>
                <w:szCs w:val="24"/>
                <w:highlight w:val="none"/>
              </w:rPr>
            </w:pPr>
          </w:p>
        </w:tc>
        <w:tc>
          <w:tcPr>
            <w:tcW w:w="2438" w:type="dxa"/>
            <w:vAlign w:val="center"/>
          </w:tcPr>
          <w:p w14:paraId="4905F6E9">
            <w:pPr>
              <w:tabs>
                <w:tab w:val="left" w:pos="6300"/>
              </w:tabs>
              <w:snapToGrid w:val="0"/>
              <w:jc w:val="center"/>
              <w:outlineLvl w:val="0"/>
              <w:rPr>
                <w:rFonts w:ascii="宋体" w:hAnsi="宋体" w:cs="宋体"/>
                <w:sz w:val="21"/>
                <w:szCs w:val="24"/>
                <w:highlight w:val="none"/>
              </w:rPr>
            </w:pPr>
          </w:p>
        </w:tc>
        <w:tc>
          <w:tcPr>
            <w:tcW w:w="2359" w:type="dxa"/>
            <w:vAlign w:val="center"/>
          </w:tcPr>
          <w:p w14:paraId="241221E4">
            <w:pPr>
              <w:tabs>
                <w:tab w:val="left" w:pos="6300"/>
              </w:tabs>
              <w:snapToGrid w:val="0"/>
              <w:jc w:val="center"/>
              <w:outlineLvl w:val="0"/>
              <w:rPr>
                <w:rFonts w:ascii="宋体" w:hAnsi="宋体" w:cs="宋体"/>
                <w:sz w:val="21"/>
                <w:szCs w:val="24"/>
                <w:highlight w:val="none"/>
              </w:rPr>
            </w:pPr>
          </w:p>
        </w:tc>
      </w:tr>
      <w:tr w14:paraId="7EF6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306EBB4">
            <w:pPr>
              <w:tabs>
                <w:tab w:val="left" w:pos="6300"/>
              </w:tabs>
              <w:snapToGrid w:val="0"/>
              <w:jc w:val="center"/>
              <w:outlineLvl w:val="0"/>
              <w:rPr>
                <w:rFonts w:ascii="宋体" w:hAnsi="宋体" w:cs="宋体"/>
                <w:sz w:val="21"/>
                <w:szCs w:val="24"/>
                <w:highlight w:val="none"/>
              </w:rPr>
            </w:pPr>
          </w:p>
        </w:tc>
        <w:tc>
          <w:tcPr>
            <w:tcW w:w="3184" w:type="dxa"/>
            <w:vAlign w:val="center"/>
          </w:tcPr>
          <w:p w14:paraId="3C02FCA4">
            <w:pPr>
              <w:tabs>
                <w:tab w:val="left" w:pos="6300"/>
              </w:tabs>
              <w:snapToGrid w:val="0"/>
              <w:jc w:val="center"/>
              <w:outlineLvl w:val="0"/>
              <w:rPr>
                <w:rFonts w:ascii="宋体" w:hAnsi="宋体" w:cs="宋体"/>
                <w:sz w:val="21"/>
                <w:szCs w:val="24"/>
                <w:highlight w:val="none"/>
              </w:rPr>
            </w:pPr>
          </w:p>
        </w:tc>
        <w:tc>
          <w:tcPr>
            <w:tcW w:w="2438" w:type="dxa"/>
            <w:vAlign w:val="center"/>
          </w:tcPr>
          <w:p w14:paraId="1F5D970E">
            <w:pPr>
              <w:tabs>
                <w:tab w:val="left" w:pos="6300"/>
              </w:tabs>
              <w:snapToGrid w:val="0"/>
              <w:jc w:val="center"/>
              <w:outlineLvl w:val="0"/>
              <w:rPr>
                <w:rFonts w:ascii="宋体" w:hAnsi="宋体" w:cs="宋体"/>
                <w:sz w:val="21"/>
                <w:szCs w:val="24"/>
                <w:highlight w:val="none"/>
              </w:rPr>
            </w:pPr>
          </w:p>
        </w:tc>
        <w:tc>
          <w:tcPr>
            <w:tcW w:w="2359" w:type="dxa"/>
            <w:vAlign w:val="center"/>
          </w:tcPr>
          <w:p w14:paraId="620797F1">
            <w:pPr>
              <w:tabs>
                <w:tab w:val="left" w:pos="6300"/>
              </w:tabs>
              <w:snapToGrid w:val="0"/>
              <w:jc w:val="center"/>
              <w:outlineLvl w:val="0"/>
              <w:rPr>
                <w:rFonts w:ascii="宋体" w:hAnsi="宋体" w:cs="宋体"/>
                <w:sz w:val="21"/>
                <w:szCs w:val="24"/>
                <w:highlight w:val="none"/>
              </w:rPr>
            </w:pPr>
          </w:p>
        </w:tc>
      </w:tr>
    </w:tbl>
    <w:p w14:paraId="027AA34F">
      <w:pPr>
        <w:spacing w:line="500" w:lineRule="exact"/>
        <w:ind w:firstLine="600" w:firstLineChars="250"/>
        <w:rPr>
          <w:rFonts w:ascii="宋体" w:hAnsi="宋体" w:cs="宋体"/>
          <w:sz w:val="24"/>
          <w:szCs w:val="28"/>
          <w:highlight w:val="none"/>
        </w:rPr>
      </w:pPr>
      <w:r>
        <w:rPr>
          <w:rFonts w:hint="eastAsia" w:ascii="宋体" w:hAnsi="宋体" w:cs="宋体"/>
          <w:sz w:val="24"/>
          <w:szCs w:val="28"/>
          <w:highlight w:val="none"/>
        </w:rPr>
        <w:t xml:space="preserve">供应商：                          </w:t>
      </w:r>
      <w:r>
        <w:rPr>
          <w:rFonts w:hint="eastAsia" w:ascii="宋体" w:hAnsi="宋体" w:cs="宋体"/>
          <w:sz w:val="24"/>
          <w:szCs w:val="24"/>
          <w:highlight w:val="none"/>
        </w:rPr>
        <w:t>法定代表人（或其授权代表）或自然人</w:t>
      </w:r>
      <w:r>
        <w:rPr>
          <w:rFonts w:hint="eastAsia" w:ascii="宋体" w:hAnsi="宋体" w:cs="宋体"/>
          <w:sz w:val="24"/>
          <w:szCs w:val="28"/>
          <w:highlight w:val="none"/>
        </w:rPr>
        <w:t>：</w:t>
      </w:r>
    </w:p>
    <w:p w14:paraId="39F1E4BC">
      <w:pPr>
        <w:spacing w:line="500" w:lineRule="exact"/>
        <w:rPr>
          <w:rFonts w:ascii="宋体" w:hAnsi="宋体" w:cs="宋体"/>
          <w:sz w:val="24"/>
          <w:szCs w:val="28"/>
          <w:highlight w:val="none"/>
        </w:rPr>
      </w:pPr>
      <w:r>
        <w:rPr>
          <w:rFonts w:hint="eastAsia" w:ascii="宋体" w:hAnsi="宋体" w:cs="宋体"/>
          <w:sz w:val="24"/>
          <w:szCs w:val="28"/>
          <w:highlight w:val="none"/>
        </w:rPr>
        <w:t xml:space="preserve">    </w:t>
      </w:r>
    </w:p>
    <w:p w14:paraId="6A40DC24">
      <w:pPr>
        <w:spacing w:line="500" w:lineRule="exact"/>
        <w:ind w:firstLine="360" w:firstLineChars="150"/>
        <w:rPr>
          <w:rFonts w:ascii="宋体" w:hAnsi="宋体" w:cs="宋体"/>
          <w:sz w:val="24"/>
          <w:szCs w:val="28"/>
          <w:highlight w:val="none"/>
        </w:rPr>
      </w:pPr>
      <w:r>
        <w:rPr>
          <w:rFonts w:hint="eastAsia" w:ascii="宋体" w:hAnsi="宋体" w:cs="宋体"/>
          <w:sz w:val="24"/>
          <w:szCs w:val="28"/>
          <w:highlight w:val="none"/>
        </w:rPr>
        <w:t>（供应商公章）                                     （签署或盖章）</w:t>
      </w:r>
    </w:p>
    <w:p w14:paraId="418662B4">
      <w:pPr>
        <w:tabs>
          <w:tab w:val="left" w:pos="6300"/>
        </w:tabs>
        <w:snapToGrid w:val="0"/>
        <w:spacing w:line="500" w:lineRule="exact"/>
        <w:ind w:firstLine="570"/>
        <w:rPr>
          <w:rFonts w:ascii="宋体" w:hAnsi="宋体" w:cs="宋体"/>
          <w:sz w:val="24"/>
          <w:highlight w:val="none"/>
        </w:rPr>
      </w:pPr>
      <w:r>
        <w:rPr>
          <w:rFonts w:hint="eastAsia" w:ascii="宋体" w:hAnsi="宋体" w:cs="宋体"/>
          <w:sz w:val="24"/>
          <w:szCs w:val="28"/>
          <w:highlight w:val="none"/>
        </w:rPr>
        <w:t xml:space="preserve">                                                  年     月     日</w:t>
      </w:r>
    </w:p>
    <w:p w14:paraId="4C8D0CF8">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注：</w:t>
      </w:r>
    </w:p>
    <w:p w14:paraId="1BD0916F">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szCs w:val="24"/>
          <w:highlight w:val="none"/>
        </w:rPr>
        <w:t>1</w:t>
      </w:r>
      <w:r>
        <w:rPr>
          <w:rFonts w:hint="eastAsia" w:ascii="宋体" w:hAnsi="宋体" w:cs="宋体"/>
          <w:sz w:val="24"/>
          <w:highlight w:val="none"/>
        </w:rPr>
        <w:t>.</w:t>
      </w:r>
      <w:r>
        <w:rPr>
          <w:rFonts w:hint="eastAsia" w:ascii="宋体" w:hAnsi="宋体" w:cs="宋体"/>
          <w:sz w:val="24"/>
          <w:szCs w:val="24"/>
          <w:highlight w:val="none"/>
        </w:rPr>
        <w:t>本表即为对本项目“第三篇  询价项目服务需求”中所列条款进行比较和响应；</w:t>
      </w:r>
    </w:p>
    <w:p w14:paraId="63547388">
      <w:pPr>
        <w:tabs>
          <w:tab w:val="left" w:pos="6300"/>
        </w:tabs>
        <w:snapToGrid w:val="0"/>
        <w:spacing w:line="480" w:lineRule="exact"/>
        <w:ind w:firstLine="480" w:firstLineChars="200"/>
        <w:rPr>
          <w:rFonts w:ascii="宋体" w:hAnsi="宋体" w:cs="宋体"/>
          <w:sz w:val="24"/>
          <w:szCs w:val="24"/>
          <w:highlight w:val="none"/>
        </w:rPr>
      </w:pPr>
      <w:r>
        <w:rPr>
          <w:rFonts w:hint="eastAsia" w:ascii="宋体" w:hAnsi="宋体" w:cs="宋体"/>
          <w:sz w:val="24"/>
          <w:highlight w:val="none"/>
        </w:rPr>
        <w:t>2.本表可扩展</w:t>
      </w:r>
      <w:r>
        <w:rPr>
          <w:rFonts w:hint="eastAsia" w:ascii="宋体" w:hAnsi="宋体" w:cs="宋体"/>
          <w:sz w:val="24"/>
          <w:szCs w:val="24"/>
          <w:highlight w:val="none"/>
        </w:rPr>
        <w:t>。</w:t>
      </w:r>
    </w:p>
    <w:p w14:paraId="22D17E68">
      <w:pPr>
        <w:tabs>
          <w:tab w:val="left" w:pos="6300"/>
        </w:tabs>
        <w:snapToGrid w:val="0"/>
        <w:spacing w:line="480" w:lineRule="exact"/>
        <w:ind w:firstLine="480" w:firstLineChars="200"/>
        <w:rPr>
          <w:rFonts w:ascii="宋体" w:hAnsi="宋体" w:cs="宋体"/>
          <w:sz w:val="24"/>
          <w:szCs w:val="24"/>
          <w:highlight w:val="none"/>
        </w:rPr>
      </w:pPr>
    </w:p>
    <w:p w14:paraId="3F1ECAC2">
      <w:pPr>
        <w:tabs>
          <w:tab w:val="left" w:pos="6300"/>
        </w:tabs>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br w:type="page"/>
      </w:r>
      <w:r>
        <w:rPr>
          <w:rFonts w:hint="eastAsia" w:ascii="宋体" w:hAnsi="宋体" w:cs="宋体"/>
          <w:sz w:val="24"/>
          <w:szCs w:val="24"/>
          <w:highlight w:val="none"/>
        </w:rPr>
        <w:t>（二）其它优惠服务承诺（格式自定）</w:t>
      </w:r>
    </w:p>
    <w:p w14:paraId="6D8BB326">
      <w:pPr>
        <w:tabs>
          <w:tab w:val="left" w:pos="6300"/>
        </w:tabs>
        <w:snapToGrid w:val="0"/>
        <w:spacing w:line="480" w:lineRule="exact"/>
        <w:ind w:firstLine="480" w:firstLineChars="200"/>
        <w:rPr>
          <w:rFonts w:ascii="宋体" w:hAnsi="宋体" w:cs="宋体"/>
          <w:sz w:val="24"/>
          <w:szCs w:val="24"/>
          <w:highlight w:val="none"/>
        </w:rPr>
      </w:pPr>
    </w:p>
    <w:p w14:paraId="65A3075E">
      <w:pPr>
        <w:pStyle w:val="5"/>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szCs w:val="24"/>
          <w:highlight w:val="none"/>
        </w:rPr>
        <w:br w:type="page"/>
      </w:r>
      <w:bookmarkStart w:id="287" w:name="_Toc6935"/>
      <w:bookmarkStart w:id="288" w:name="_Toc106034811"/>
      <w:bookmarkStart w:id="289" w:name="_Toc65660382"/>
      <w:bookmarkStart w:id="290" w:name="_Toc20162"/>
      <w:bookmarkStart w:id="291" w:name="_Toc2082"/>
      <w:bookmarkStart w:id="292" w:name="_Toc21793"/>
      <w:r>
        <w:rPr>
          <w:rFonts w:hint="eastAsia" w:ascii="宋体" w:hAnsi="宋体" w:eastAsia="宋体" w:cs="宋体"/>
          <w:sz w:val="24"/>
          <w:highlight w:val="none"/>
        </w:rPr>
        <w:t>四、</w:t>
      </w:r>
      <w:bookmarkEnd w:id="284"/>
      <w:bookmarkEnd w:id="285"/>
      <w:bookmarkEnd w:id="286"/>
      <w:r>
        <w:rPr>
          <w:rFonts w:hint="eastAsia" w:ascii="宋体" w:hAnsi="宋体" w:eastAsia="宋体" w:cs="宋体"/>
          <w:sz w:val="24"/>
          <w:highlight w:val="none"/>
        </w:rPr>
        <w:t>资格条件及其他</w:t>
      </w:r>
      <w:bookmarkEnd w:id="287"/>
      <w:bookmarkEnd w:id="288"/>
      <w:bookmarkEnd w:id="289"/>
      <w:bookmarkEnd w:id="290"/>
      <w:bookmarkEnd w:id="291"/>
      <w:bookmarkEnd w:id="292"/>
      <w:bookmarkStart w:id="293" w:name="_Toc313888363"/>
      <w:bookmarkStart w:id="294" w:name="_Toc313008359"/>
      <w:bookmarkStart w:id="295" w:name="_Toc342913422"/>
    </w:p>
    <w:p w14:paraId="0887ECB0">
      <w:pPr>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（一）法人营业执照（副本）或事业单位法人证书（副本）或个体工商户营业执照或有效的自然人身份证明或社会团体法人登记证书复印件</w:t>
      </w:r>
    </w:p>
    <w:p w14:paraId="4B0C49F5">
      <w:pPr>
        <w:tabs>
          <w:tab w:val="left" w:pos="6300"/>
        </w:tabs>
        <w:snapToGrid w:val="0"/>
        <w:spacing w:line="500" w:lineRule="exact"/>
        <w:ind w:firstLine="570"/>
        <w:rPr>
          <w:rFonts w:ascii="宋体" w:hAnsi="宋体" w:cs="宋体"/>
          <w:sz w:val="24"/>
          <w:szCs w:val="24"/>
          <w:highlight w:val="none"/>
        </w:rPr>
      </w:pPr>
    </w:p>
    <w:p w14:paraId="2B338FB6">
      <w:pPr>
        <w:tabs>
          <w:tab w:val="left" w:pos="6300"/>
        </w:tabs>
        <w:snapToGrid w:val="0"/>
        <w:spacing w:line="500" w:lineRule="exact"/>
        <w:ind w:firstLine="570"/>
        <w:rPr>
          <w:rFonts w:ascii="宋体" w:hAnsi="宋体" w:cs="宋体"/>
          <w:highlight w:val="none"/>
        </w:rPr>
      </w:pPr>
    </w:p>
    <w:p w14:paraId="15C69337">
      <w:pPr>
        <w:tabs>
          <w:tab w:val="left" w:pos="6300"/>
        </w:tabs>
        <w:snapToGrid w:val="0"/>
        <w:spacing w:line="500" w:lineRule="exact"/>
        <w:ind w:firstLine="570"/>
        <w:rPr>
          <w:rFonts w:ascii="宋体" w:hAnsi="宋体" w:cs="宋体"/>
          <w:highlight w:val="none"/>
        </w:rPr>
      </w:pPr>
    </w:p>
    <w:p w14:paraId="7D474FE1">
      <w:pPr>
        <w:tabs>
          <w:tab w:val="left" w:pos="6300"/>
        </w:tabs>
        <w:snapToGrid w:val="0"/>
        <w:spacing w:line="500" w:lineRule="exact"/>
        <w:ind w:firstLine="570"/>
        <w:rPr>
          <w:rFonts w:ascii="宋体" w:hAnsi="宋体" w:cs="宋体"/>
          <w:highlight w:val="none"/>
        </w:rPr>
      </w:pPr>
    </w:p>
    <w:p w14:paraId="1433D165">
      <w:pPr>
        <w:tabs>
          <w:tab w:val="left" w:pos="6300"/>
        </w:tabs>
        <w:snapToGrid w:val="0"/>
        <w:spacing w:line="500" w:lineRule="exact"/>
        <w:ind w:firstLine="570"/>
        <w:rPr>
          <w:rFonts w:ascii="宋体" w:hAnsi="宋体" w:cs="宋体"/>
          <w:highlight w:val="none"/>
        </w:rPr>
      </w:pPr>
    </w:p>
    <w:p w14:paraId="65A31659">
      <w:pPr>
        <w:widowControl/>
        <w:spacing w:line="400" w:lineRule="exact"/>
        <w:ind w:firstLine="560" w:firstLineChars="200"/>
        <w:jc w:val="left"/>
        <w:rPr>
          <w:rFonts w:ascii="宋体" w:hAnsi="宋体" w:cs="宋体"/>
          <w:sz w:val="24"/>
          <w:szCs w:val="24"/>
          <w:highlight w:val="none"/>
        </w:rPr>
      </w:pPr>
      <w:r>
        <w:rPr>
          <w:rFonts w:hint="eastAsia" w:ascii="宋体" w:hAnsi="宋体" w:cs="宋体"/>
          <w:highlight w:val="none"/>
        </w:rPr>
        <w:br w:type="page"/>
      </w:r>
      <w:r>
        <w:rPr>
          <w:rFonts w:hint="eastAsia" w:ascii="宋体" w:hAnsi="宋体" w:cs="宋体"/>
          <w:sz w:val="24"/>
          <w:szCs w:val="24"/>
          <w:highlight w:val="none"/>
        </w:rPr>
        <w:t>（二）法定代表人身份证明书（格式）</w:t>
      </w:r>
    </w:p>
    <w:p w14:paraId="5717BED8">
      <w:pPr>
        <w:tabs>
          <w:tab w:val="left" w:pos="6300"/>
        </w:tabs>
        <w:snapToGrid w:val="0"/>
        <w:spacing w:line="500" w:lineRule="exact"/>
        <w:ind w:firstLine="570"/>
        <w:rPr>
          <w:rFonts w:ascii="宋体" w:hAnsi="宋体" w:cs="宋体"/>
          <w:sz w:val="24"/>
          <w:highlight w:val="none"/>
        </w:rPr>
      </w:pPr>
    </w:p>
    <w:p w14:paraId="588571C2">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询价项目名称：</w:t>
      </w:r>
      <w:r>
        <w:rPr>
          <w:rFonts w:hint="eastAsia" w:ascii="宋体" w:hAnsi="宋体" w:cs="宋体"/>
          <w:sz w:val="24"/>
          <w:highlight w:val="none"/>
          <w:u w:val="single"/>
        </w:rPr>
        <w:t xml:space="preserve">                                                </w:t>
      </w:r>
    </w:p>
    <w:p w14:paraId="767693E0">
      <w:pPr>
        <w:tabs>
          <w:tab w:val="left" w:pos="6300"/>
        </w:tabs>
        <w:snapToGrid w:val="0"/>
        <w:spacing w:line="500" w:lineRule="exact"/>
        <w:ind w:firstLine="570"/>
        <w:rPr>
          <w:rFonts w:ascii="宋体" w:hAnsi="宋体" w:cs="宋体"/>
          <w:sz w:val="24"/>
          <w:highlight w:val="none"/>
        </w:rPr>
      </w:pPr>
    </w:p>
    <w:p w14:paraId="224051CF">
      <w:pPr>
        <w:tabs>
          <w:tab w:val="left" w:pos="6300"/>
        </w:tabs>
        <w:snapToGrid w:val="0"/>
        <w:spacing w:line="500" w:lineRule="exact"/>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（采购机构名称）：</w:t>
      </w:r>
    </w:p>
    <w:p w14:paraId="019D6DFD">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（法定代表人姓名）在</w:t>
      </w:r>
      <w:r>
        <w:rPr>
          <w:rFonts w:hint="eastAsia" w:ascii="宋体" w:hAnsi="宋体" w:cs="宋体"/>
          <w:sz w:val="24"/>
          <w:highlight w:val="none"/>
          <w:u w:val="single"/>
        </w:rPr>
        <w:t xml:space="preserve">                       </w:t>
      </w:r>
      <w:r>
        <w:rPr>
          <w:rFonts w:hint="eastAsia" w:ascii="宋体" w:hAnsi="宋体" w:cs="宋体"/>
          <w:sz w:val="24"/>
          <w:highlight w:val="none"/>
        </w:rPr>
        <w:t>（供应商名称）任</w:t>
      </w:r>
      <w:r>
        <w:rPr>
          <w:rFonts w:hint="eastAsia" w:ascii="宋体" w:hAnsi="宋体" w:cs="宋体"/>
          <w:sz w:val="24"/>
          <w:highlight w:val="none"/>
          <w:u w:val="single"/>
        </w:rPr>
        <w:t xml:space="preserve">    </w:t>
      </w:r>
      <w:r>
        <w:rPr>
          <w:rFonts w:hint="eastAsia" w:ascii="宋体" w:hAnsi="宋体" w:cs="宋体"/>
          <w:sz w:val="24"/>
          <w:highlight w:val="none"/>
        </w:rPr>
        <w:t>（职务名称）职务，是（供应商名称）</w:t>
      </w:r>
      <w:r>
        <w:rPr>
          <w:rFonts w:hint="eastAsia" w:ascii="宋体" w:hAnsi="宋体" w:cs="宋体"/>
          <w:sz w:val="24"/>
          <w:highlight w:val="none"/>
          <w:u w:val="single"/>
        </w:rPr>
        <w:t xml:space="preserve">              </w:t>
      </w:r>
      <w:r>
        <w:rPr>
          <w:rFonts w:hint="eastAsia" w:ascii="宋体" w:hAnsi="宋体" w:cs="宋体"/>
          <w:sz w:val="24"/>
          <w:highlight w:val="none"/>
        </w:rPr>
        <w:t>的法定代表人。</w:t>
      </w:r>
    </w:p>
    <w:p w14:paraId="21EB32F9">
      <w:pPr>
        <w:tabs>
          <w:tab w:val="left" w:pos="6300"/>
        </w:tabs>
        <w:snapToGrid w:val="0"/>
        <w:spacing w:line="500" w:lineRule="exact"/>
        <w:ind w:firstLine="570"/>
        <w:rPr>
          <w:rFonts w:ascii="宋体" w:hAnsi="宋体" w:cs="宋体"/>
          <w:sz w:val="24"/>
          <w:highlight w:val="none"/>
        </w:rPr>
      </w:pPr>
    </w:p>
    <w:p w14:paraId="0085AE04">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特此证明。</w:t>
      </w:r>
    </w:p>
    <w:p w14:paraId="1B96740A">
      <w:pPr>
        <w:tabs>
          <w:tab w:val="left" w:pos="6300"/>
        </w:tabs>
        <w:snapToGrid w:val="0"/>
        <w:spacing w:line="500" w:lineRule="exact"/>
        <w:ind w:firstLine="570"/>
        <w:rPr>
          <w:rFonts w:ascii="宋体" w:hAnsi="宋体" w:cs="宋体"/>
          <w:sz w:val="24"/>
          <w:highlight w:val="none"/>
        </w:rPr>
      </w:pPr>
    </w:p>
    <w:p w14:paraId="36C937D6">
      <w:pPr>
        <w:tabs>
          <w:tab w:val="left" w:pos="6300"/>
        </w:tabs>
        <w:snapToGrid w:val="0"/>
        <w:spacing w:line="500" w:lineRule="exact"/>
        <w:ind w:firstLine="570"/>
        <w:rPr>
          <w:rFonts w:ascii="宋体" w:hAnsi="宋体" w:cs="宋体"/>
          <w:sz w:val="24"/>
          <w:highlight w:val="none"/>
        </w:rPr>
      </w:pPr>
    </w:p>
    <w:p w14:paraId="267803A4">
      <w:pPr>
        <w:tabs>
          <w:tab w:val="left" w:pos="6300"/>
        </w:tabs>
        <w:snapToGrid w:val="0"/>
        <w:spacing w:line="500" w:lineRule="exact"/>
        <w:ind w:firstLine="570"/>
        <w:rPr>
          <w:rFonts w:ascii="宋体" w:hAnsi="宋体" w:cs="宋体"/>
          <w:sz w:val="24"/>
          <w:highlight w:val="none"/>
        </w:rPr>
      </w:pPr>
    </w:p>
    <w:p w14:paraId="5B2C8076">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（供应商公章）</w:t>
      </w:r>
    </w:p>
    <w:p w14:paraId="5C5A1529">
      <w:pPr>
        <w:tabs>
          <w:tab w:val="left" w:pos="6300"/>
        </w:tabs>
        <w:snapToGrid w:val="0"/>
        <w:spacing w:line="500" w:lineRule="exact"/>
        <w:ind w:firstLine="570"/>
        <w:rPr>
          <w:rFonts w:ascii="宋体" w:hAnsi="宋体" w:cs="宋体"/>
          <w:sz w:val="24"/>
          <w:highlight w:val="none"/>
        </w:rPr>
      </w:pPr>
    </w:p>
    <w:p w14:paraId="376AF2E6">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年   月   日</w:t>
      </w:r>
    </w:p>
    <w:p w14:paraId="4188A7EC">
      <w:pPr>
        <w:tabs>
          <w:tab w:val="left" w:pos="6300"/>
        </w:tabs>
        <w:snapToGrid w:val="0"/>
        <w:spacing w:line="500" w:lineRule="exact"/>
        <w:ind w:firstLine="570"/>
        <w:rPr>
          <w:rFonts w:ascii="宋体" w:hAnsi="宋体" w:cs="宋体"/>
          <w:sz w:val="24"/>
          <w:highlight w:val="none"/>
        </w:rPr>
      </w:pPr>
    </w:p>
    <w:p w14:paraId="61997171">
      <w:pPr>
        <w:tabs>
          <w:tab w:val="left" w:pos="6300"/>
        </w:tabs>
        <w:snapToGrid w:val="0"/>
        <w:spacing w:line="500" w:lineRule="exact"/>
        <w:ind w:firstLine="570"/>
        <w:rPr>
          <w:rFonts w:ascii="宋体" w:hAnsi="宋体" w:cs="宋体"/>
          <w:sz w:val="24"/>
          <w:highlight w:val="none"/>
        </w:rPr>
      </w:pPr>
    </w:p>
    <w:p w14:paraId="179DFFB8">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法定代表人电话：XXXXXXX      电子邮箱：XXXXXX@XXXXX（若授权他人办理并签署响应文件的可不填写）</w:t>
      </w:r>
    </w:p>
    <w:p w14:paraId="0E06459C">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（附：法定代表人身份证正反面复印件）</w:t>
      </w:r>
    </w:p>
    <w:p w14:paraId="00758B45">
      <w:pPr>
        <w:tabs>
          <w:tab w:val="left" w:pos="6300"/>
        </w:tabs>
        <w:snapToGrid w:val="0"/>
        <w:spacing w:line="500" w:lineRule="exact"/>
        <w:ind w:firstLine="570"/>
        <w:rPr>
          <w:rFonts w:ascii="宋体" w:hAnsi="宋体" w:cs="宋体"/>
          <w:sz w:val="24"/>
          <w:highlight w:val="none"/>
        </w:rPr>
      </w:pPr>
    </w:p>
    <w:p w14:paraId="139C84BD">
      <w:pPr>
        <w:tabs>
          <w:tab w:val="left" w:pos="6300"/>
        </w:tabs>
        <w:snapToGrid w:val="0"/>
        <w:spacing w:line="500" w:lineRule="exact"/>
        <w:ind w:firstLine="570"/>
        <w:rPr>
          <w:rFonts w:ascii="宋体" w:hAnsi="宋体" w:cs="宋体"/>
          <w:sz w:val="24"/>
          <w:highlight w:val="none"/>
        </w:rPr>
      </w:pPr>
    </w:p>
    <w:p w14:paraId="7A9BFA24">
      <w:pPr>
        <w:tabs>
          <w:tab w:val="left" w:pos="6300"/>
        </w:tabs>
        <w:snapToGrid w:val="0"/>
        <w:spacing w:line="500" w:lineRule="exact"/>
        <w:ind w:firstLine="570"/>
        <w:rPr>
          <w:rFonts w:ascii="宋体" w:hAnsi="宋体" w:cs="宋体"/>
          <w:sz w:val="24"/>
          <w:highlight w:val="none"/>
        </w:rPr>
      </w:pPr>
    </w:p>
    <w:p w14:paraId="0444428F">
      <w:pPr>
        <w:tabs>
          <w:tab w:val="left" w:pos="6300"/>
        </w:tabs>
        <w:snapToGrid w:val="0"/>
        <w:spacing w:line="500" w:lineRule="exact"/>
        <w:ind w:firstLine="570"/>
        <w:rPr>
          <w:rFonts w:ascii="宋体" w:hAnsi="宋体" w:cs="宋体"/>
          <w:sz w:val="24"/>
          <w:highlight w:val="none"/>
        </w:rPr>
      </w:pPr>
    </w:p>
    <w:p w14:paraId="0676DBFE">
      <w:pPr>
        <w:tabs>
          <w:tab w:val="left" w:pos="6300"/>
        </w:tabs>
        <w:snapToGrid w:val="0"/>
        <w:spacing w:line="500" w:lineRule="exact"/>
        <w:ind w:firstLine="570"/>
        <w:rPr>
          <w:rFonts w:ascii="宋体" w:hAnsi="宋体" w:cs="宋体"/>
          <w:sz w:val="24"/>
          <w:highlight w:val="none"/>
        </w:rPr>
      </w:pPr>
    </w:p>
    <w:p w14:paraId="3D07A376">
      <w:pPr>
        <w:tabs>
          <w:tab w:val="left" w:pos="6300"/>
        </w:tabs>
        <w:snapToGrid w:val="0"/>
        <w:spacing w:line="500" w:lineRule="exact"/>
        <w:ind w:firstLine="570"/>
        <w:rPr>
          <w:rFonts w:ascii="宋体" w:hAnsi="宋体" w:cs="宋体"/>
          <w:sz w:val="24"/>
          <w:highlight w:val="none"/>
        </w:rPr>
      </w:pPr>
    </w:p>
    <w:p w14:paraId="2D83FFEA">
      <w:pPr>
        <w:widowControl/>
        <w:spacing w:line="400" w:lineRule="exact"/>
        <w:ind w:firstLine="560" w:firstLineChars="200"/>
        <w:jc w:val="left"/>
        <w:rPr>
          <w:rFonts w:ascii="宋体" w:hAnsi="宋体" w:cs="宋体"/>
          <w:sz w:val="24"/>
          <w:szCs w:val="24"/>
          <w:highlight w:val="none"/>
        </w:rPr>
      </w:pPr>
      <w:r>
        <w:rPr>
          <w:rFonts w:hint="eastAsia" w:ascii="宋体" w:hAnsi="宋体" w:cs="宋体"/>
          <w:highlight w:val="none"/>
        </w:rPr>
        <w:br w:type="column"/>
      </w:r>
      <w:r>
        <w:rPr>
          <w:rFonts w:hint="eastAsia" w:ascii="宋体" w:hAnsi="宋体" w:cs="宋体"/>
          <w:sz w:val="24"/>
          <w:szCs w:val="24"/>
          <w:highlight w:val="none"/>
        </w:rPr>
        <w:t>（三）法定代表人授权委托书（格式）</w:t>
      </w:r>
    </w:p>
    <w:p w14:paraId="5144FFF8">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w:t>
      </w:r>
    </w:p>
    <w:p w14:paraId="4806C4F4">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szCs w:val="28"/>
          <w:highlight w:val="none"/>
        </w:rPr>
        <w:t>询价项目名称</w:t>
      </w:r>
      <w:r>
        <w:rPr>
          <w:rFonts w:hint="eastAsia" w:ascii="宋体" w:hAnsi="宋体" w:cs="宋体"/>
          <w:sz w:val="24"/>
          <w:highlight w:val="none"/>
        </w:rPr>
        <w:t>：</w:t>
      </w:r>
      <w:r>
        <w:rPr>
          <w:rFonts w:hint="eastAsia" w:ascii="宋体" w:hAnsi="宋体" w:cs="宋体"/>
          <w:sz w:val="24"/>
          <w:highlight w:val="none"/>
          <w:u w:val="single"/>
        </w:rPr>
        <w:t xml:space="preserve">                                                </w:t>
      </w:r>
    </w:p>
    <w:p w14:paraId="727D06F6">
      <w:pPr>
        <w:tabs>
          <w:tab w:val="left" w:pos="6300"/>
        </w:tabs>
        <w:snapToGrid w:val="0"/>
        <w:spacing w:line="500" w:lineRule="exact"/>
        <w:ind w:firstLine="570"/>
        <w:rPr>
          <w:rFonts w:ascii="宋体" w:hAnsi="宋体" w:cs="宋体"/>
          <w:sz w:val="24"/>
          <w:highlight w:val="none"/>
        </w:rPr>
      </w:pPr>
    </w:p>
    <w:p w14:paraId="3EBA6019">
      <w:pPr>
        <w:tabs>
          <w:tab w:val="left" w:pos="6300"/>
        </w:tabs>
        <w:snapToGrid w:val="0"/>
        <w:spacing w:line="500" w:lineRule="exact"/>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（采购机构名称）：</w:t>
      </w:r>
    </w:p>
    <w:p w14:paraId="4686A64C">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（供应商法定代表人名称）是</w:t>
      </w:r>
      <w:r>
        <w:rPr>
          <w:rFonts w:hint="eastAsia" w:ascii="宋体" w:hAnsi="宋体" w:cs="宋体"/>
          <w:sz w:val="24"/>
          <w:highlight w:val="none"/>
          <w:u w:val="single"/>
        </w:rPr>
        <w:t xml:space="preserve">                    </w:t>
      </w:r>
      <w:r>
        <w:rPr>
          <w:rFonts w:hint="eastAsia" w:ascii="宋体" w:hAnsi="宋体" w:cs="宋体"/>
          <w:sz w:val="24"/>
          <w:highlight w:val="none"/>
        </w:rPr>
        <w:t>（供应商名称）的法定代表人，特授权</w:t>
      </w:r>
      <w:r>
        <w:rPr>
          <w:rFonts w:hint="eastAsia" w:ascii="宋体" w:hAnsi="宋体" w:cs="宋体"/>
          <w:sz w:val="24"/>
          <w:highlight w:val="none"/>
          <w:u w:val="single"/>
        </w:rPr>
        <w:t xml:space="preserve">          </w:t>
      </w:r>
      <w:r>
        <w:rPr>
          <w:rFonts w:hint="eastAsia" w:ascii="宋体" w:hAnsi="宋体" w:cs="宋体"/>
          <w:sz w:val="24"/>
          <w:highlight w:val="none"/>
        </w:rPr>
        <w:t>（被授权人姓名及身份证代码）代表我单位全权办理上述项目的报价、签约等具体工作，并签署全部有关文件、协议及合同。</w:t>
      </w:r>
    </w:p>
    <w:p w14:paraId="75EA0ECF">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我单位对被授权人的</w:t>
      </w:r>
      <w:r>
        <w:rPr>
          <w:rFonts w:hint="eastAsia" w:ascii="宋体" w:hAnsi="宋体" w:cs="宋体"/>
          <w:sz w:val="24"/>
          <w:szCs w:val="28"/>
          <w:highlight w:val="none"/>
        </w:rPr>
        <w:t>签署</w:t>
      </w:r>
      <w:r>
        <w:rPr>
          <w:rFonts w:hint="eastAsia" w:ascii="宋体" w:hAnsi="宋体" w:cs="宋体"/>
          <w:sz w:val="24"/>
          <w:highlight w:val="none"/>
        </w:rPr>
        <w:t>负全部责任。</w:t>
      </w:r>
    </w:p>
    <w:p w14:paraId="7FEEA4AC">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在撤销授权的书面通知以前，本授权书一直有效。被授权人在授权书有效期内签署的所有文件不因授权的撤销而失效。</w:t>
      </w:r>
    </w:p>
    <w:p w14:paraId="2E60C50E">
      <w:pPr>
        <w:tabs>
          <w:tab w:val="left" w:pos="6300"/>
        </w:tabs>
        <w:snapToGrid w:val="0"/>
        <w:spacing w:line="500" w:lineRule="exact"/>
        <w:ind w:firstLine="570"/>
        <w:rPr>
          <w:rFonts w:ascii="宋体" w:hAnsi="宋体" w:cs="宋体"/>
          <w:sz w:val="24"/>
          <w:highlight w:val="none"/>
        </w:rPr>
      </w:pPr>
    </w:p>
    <w:p w14:paraId="016F1B4B">
      <w:pPr>
        <w:tabs>
          <w:tab w:val="left" w:pos="6300"/>
        </w:tabs>
        <w:snapToGrid w:val="0"/>
        <w:spacing w:line="500" w:lineRule="exact"/>
        <w:ind w:firstLine="570"/>
        <w:rPr>
          <w:rFonts w:ascii="宋体" w:hAnsi="宋体" w:cs="宋体"/>
          <w:sz w:val="24"/>
          <w:highlight w:val="none"/>
        </w:rPr>
      </w:pPr>
    </w:p>
    <w:p w14:paraId="4FD6E92A">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被授权人：                                 供应商法定代表人：</w:t>
      </w:r>
    </w:p>
    <w:p w14:paraId="23158AFB">
      <w:pPr>
        <w:tabs>
          <w:tab w:val="left" w:pos="6300"/>
        </w:tabs>
        <w:snapToGrid w:val="0"/>
        <w:spacing w:line="500" w:lineRule="exact"/>
        <w:ind w:firstLine="570"/>
        <w:rPr>
          <w:rFonts w:ascii="宋体" w:hAnsi="宋体" w:cs="宋体"/>
          <w:sz w:val="24"/>
          <w:szCs w:val="28"/>
          <w:highlight w:val="none"/>
        </w:rPr>
      </w:pPr>
      <w:r>
        <w:rPr>
          <w:rFonts w:hint="eastAsia" w:ascii="宋体" w:hAnsi="宋体" w:cs="宋体"/>
          <w:sz w:val="24"/>
          <w:szCs w:val="28"/>
          <w:highlight w:val="none"/>
        </w:rPr>
        <w:t>（签署或盖章）                                （签署或盖章）</w:t>
      </w:r>
    </w:p>
    <w:p w14:paraId="6295C643">
      <w:pPr>
        <w:tabs>
          <w:tab w:val="left" w:pos="6300"/>
        </w:tabs>
        <w:snapToGrid w:val="0"/>
        <w:spacing w:line="500" w:lineRule="exact"/>
        <w:ind w:firstLine="570"/>
        <w:rPr>
          <w:rFonts w:ascii="宋体" w:hAnsi="宋体" w:cs="宋体"/>
          <w:sz w:val="24"/>
          <w:szCs w:val="28"/>
          <w:highlight w:val="none"/>
        </w:rPr>
      </w:pPr>
    </w:p>
    <w:p w14:paraId="38C79DAE">
      <w:pPr>
        <w:tabs>
          <w:tab w:val="left" w:pos="6300"/>
        </w:tabs>
        <w:snapToGrid w:val="0"/>
        <w:spacing w:line="500" w:lineRule="exact"/>
        <w:ind w:firstLine="570"/>
        <w:rPr>
          <w:rFonts w:ascii="宋体" w:hAnsi="宋体" w:cs="宋体"/>
          <w:sz w:val="24"/>
          <w:highlight w:val="none"/>
        </w:rPr>
      </w:pPr>
    </w:p>
    <w:p w14:paraId="2A181361">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（附：被授权人身份证正反面复印件）</w:t>
      </w:r>
    </w:p>
    <w:p w14:paraId="3D0A06D1">
      <w:pPr>
        <w:tabs>
          <w:tab w:val="left" w:pos="6300"/>
        </w:tabs>
        <w:snapToGrid w:val="0"/>
        <w:spacing w:line="500" w:lineRule="exact"/>
        <w:ind w:firstLine="570"/>
        <w:rPr>
          <w:rFonts w:ascii="宋体" w:hAnsi="宋体" w:cs="宋体"/>
          <w:sz w:val="24"/>
          <w:highlight w:val="none"/>
        </w:rPr>
      </w:pPr>
      <w:r>
        <w:rPr>
          <w:rFonts w:hint="eastAsia" w:ascii="宋体" w:hAnsi="宋体" w:cs="宋体"/>
          <w:sz w:val="24"/>
          <w:highlight w:val="none"/>
        </w:rPr>
        <w:t xml:space="preserve">                                          </w:t>
      </w:r>
    </w:p>
    <w:p w14:paraId="0162C6F5">
      <w:pPr>
        <w:tabs>
          <w:tab w:val="left" w:pos="6300"/>
        </w:tabs>
        <w:snapToGrid w:val="0"/>
        <w:spacing w:line="500" w:lineRule="exact"/>
        <w:ind w:firstLine="570"/>
        <w:rPr>
          <w:rFonts w:ascii="宋体" w:hAnsi="宋体" w:cs="宋体"/>
          <w:sz w:val="24"/>
          <w:highlight w:val="none"/>
        </w:rPr>
      </w:pPr>
    </w:p>
    <w:p w14:paraId="7D0F0F79">
      <w:pPr>
        <w:tabs>
          <w:tab w:val="left" w:pos="6300"/>
        </w:tabs>
        <w:snapToGrid w:val="0"/>
        <w:spacing w:line="500" w:lineRule="exact"/>
        <w:ind w:firstLine="570"/>
        <w:rPr>
          <w:rFonts w:ascii="宋体" w:hAnsi="宋体" w:cs="宋体"/>
          <w:sz w:val="24"/>
          <w:highlight w:val="none"/>
        </w:rPr>
      </w:pPr>
    </w:p>
    <w:p w14:paraId="63F41C1F">
      <w:pPr>
        <w:tabs>
          <w:tab w:val="left" w:pos="6300"/>
        </w:tabs>
        <w:snapToGrid w:val="0"/>
        <w:spacing w:line="500" w:lineRule="exact"/>
        <w:ind w:right="480" w:firstLine="570"/>
        <w:jc w:val="right"/>
        <w:rPr>
          <w:rFonts w:ascii="宋体" w:hAnsi="宋体" w:cs="宋体"/>
          <w:sz w:val="24"/>
          <w:highlight w:val="none"/>
        </w:rPr>
      </w:pPr>
      <w:r>
        <w:rPr>
          <w:rFonts w:hint="eastAsia" w:ascii="宋体" w:hAnsi="宋体" w:cs="宋体"/>
          <w:sz w:val="24"/>
          <w:highlight w:val="none"/>
        </w:rPr>
        <w:t>（供应商公章）</w:t>
      </w:r>
    </w:p>
    <w:p w14:paraId="56B66307">
      <w:pPr>
        <w:tabs>
          <w:tab w:val="left" w:pos="6300"/>
        </w:tabs>
        <w:snapToGrid w:val="0"/>
        <w:spacing w:line="500" w:lineRule="exact"/>
        <w:ind w:right="480" w:firstLine="570"/>
        <w:jc w:val="right"/>
        <w:rPr>
          <w:rFonts w:ascii="宋体" w:hAnsi="宋体" w:cs="宋体"/>
          <w:sz w:val="24"/>
          <w:highlight w:val="none"/>
        </w:rPr>
      </w:pPr>
      <w:r>
        <w:rPr>
          <w:rFonts w:hint="eastAsia" w:ascii="宋体" w:hAnsi="宋体" w:cs="宋体"/>
          <w:sz w:val="24"/>
          <w:highlight w:val="none"/>
        </w:rPr>
        <w:t>年   月   日</w:t>
      </w:r>
    </w:p>
    <w:p w14:paraId="19E1133A">
      <w:pPr>
        <w:tabs>
          <w:tab w:val="left" w:pos="6300"/>
        </w:tabs>
        <w:snapToGrid w:val="0"/>
        <w:spacing w:line="500" w:lineRule="exact"/>
        <w:ind w:right="480" w:firstLine="570"/>
        <w:jc w:val="left"/>
        <w:rPr>
          <w:rFonts w:ascii="宋体" w:hAnsi="宋体" w:cs="宋体"/>
          <w:sz w:val="24"/>
          <w:highlight w:val="none"/>
        </w:rPr>
      </w:pPr>
      <w:r>
        <w:rPr>
          <w:rFonts w:hint="eastAsia" w:ascii="宋体" w:hAnsi="宋体" w:cs="宋体"/>
          <w:sz w:val="24"/>
          <w:highlight w:val="none"/>
        </w:rPr>
        <w:t>被授权人电话：XXXXXXX     电子邮箱：XXXXXX@XXXXX（若法定代表人办理并签署响应文件的可不填写）</w:t>
      </w:r>
    </w:p>
    <w:p w14:paraId="7A2E69B2">
      <w:pPr>
        <w:tabs>
          <w:tab w:val="left" w:pos="6300"/>
        </w:tabs>
        <w:snapToGrid w:val="0"/>
        <w:spacing w:line="500" w:lineRule="exact"/>
        <w:ind w:right="480" w:firstLine="570"/>
        <w:jc w:val="left"/>
        <w:rPr>
          <w:rFonts w:ascii="宋体" w:hAnsi="宋体" w:cs="宋体"/>
          <w:sz w:val="24"/>
          <w:highlight w:val="none"/>
        </w:rPr>
      </w:pPr>
      <w:r>
        <w:rPr>
          <w:rFonts w:hint="eastAsia" w:ascii="宋体" w:hAnsi="宋体" w:cs="宋体"/>
          <w:sz w:val="24"/>
          <w:highlight w:val="none"/>
        </w:rPr>
        <w:t>注：</w:t>
      </w:r>
    </w:p>
    <w:p w14:paraId="58F3B8CF">
      <w:pPr>
        <w:tabs>
          <w:tab w:val="left" w:pos="6300"/>
        </w:tabs>
        <w:snapToGrid w:val="0"/>
        <w:spacing w:line="500" w:lineRule="exact"/>
        <w:ind w:right="480" w:firstLine="570"/>
        <w:jc w:val="left"/>
        <w:rPr>
          <w:rFonts w:ascii="宋体" w:hAnsi="宋体" w:cs="宋体"/>
          <w:sz w:val="24"/>
          <w:highlight w:val="none"/>
        </w:rPr>
      </w:pPr>
      <w:r>
        <w:rPr>
          <w:rFonts w:hint="eastAsia" w:ascii="宋体" w:hAnsi="宋体" w:cs="宋体"/>
          <w:sz w:val="24"/>
          <w:highlight w:val="none"/>
        </w:rPr>
        <w:t>若为法定代表人办理并签署响应文件的，不提供此文件。</w:t>
      </w:r>
    </w:p>
    <w:p w14:paraId="0B15FFDA">
      <w:pPr>
        <w:widowControl/>
        <w:spacing w:line="400" w:lineRule="exact"/>
        <w:ind w:firstLine="560" w:firstLineChars="200"/>
        <w:jc w:val="left"/>
        <w:rPr>
          <w:rFonts w:ascii="宋体" w:hAnsi="宋体" w:cs="宋体"/>
          <w:sz w:val="24"/>
          <w:szCs w:val="24"/>
          <w:highlight w:val="none"/>
        </w:rPr>
      </w:pPr>
      <w:r>
        <w:rPr>
          <w:rFonts w:hint="eastAsia" w:ascii="宋体" w:hAnsi="宋体" w:cs="宋体"/>
          <w:highlight w:val="none"/>
        </w:rPr>
        <w:br w:type="column"/>
      </w:r>
      <w:r>
        <w:rPr>
          <w:rFonts w:hint="eastAsia" w:ascii="宋体" w:hAnsi="宋体" w:cs="宋体"/>
          <w:sz w:val="24"/>
          <w:szCs w:val="24"/>
          <w:highlight w:val="none"/>
        </w:rPr>
        <w:t>（四）基本资格条件承诺函（格式）</w:t>
      </w:r>
    </w:p>
    <w:p w14:paraId="648ADD27">
      <w:pPr>
        <w:tabs>
          <w:tab w:val="left" w:pos="6300"/>
        </w:tabs>
        <w:snapToGrid w:val="0"/>
        <w:spacing w:line="500" w:lineRule="exact"/>
        <w:ind w:firstLine="643" w:firstLineChars="200"/>
        <w:jc w:val="center"/>
        <w:rPr>
          <w:rFonts w:ascii="宋体" w:hAnsi="宋体" w:cs="宋体"/>
          <w:b/>
          <w:bCs/>
          <w:sz w:val="32"/>
          <w:szCs w:val="32"/>
          <w:highlight w:val="none"/>
        </w:rPr>
      </w:pPr>
      <w:r>
        <w:rPr>
          <w:rFonts w:hint="eastAsia" w:ascii="宋体" w:hAnsi="宋体" w:cs="宋体"/>
          <w:b/>
          <w:bCs/>
          <w:sz w:val="32"/>
          <w:szCs w:val="32"/>
          <w:highlight w:val="none"/>
        </w:rPr>
        <w:t>基本资格条件承诺函</w:t>
      </w:r>
    </w:p>
    <w:p w14:paraId="747628F7">
      <w:pPr>
        <w:tabs>
          <w:tab w:val="left" w:pos="6300"/>
        </w:tabs>
        <w:snapToGrid w:val="0"/>
        <w:spacing w:line="530" w:lineRule="exact"/>
        <w:rPr>
          <w:rFonts w:ascii="宋体" w:hAnsi="宋体" w:cs="宋体"/>
          <w:sz w:val="24"/>
          <w:highlight w:val="none"/>
        </w:rPr>
      </w:pPr>
    </w:p>
    <w:p w14:paraId="33F22E82">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（采购机构名称）：</w:t>
      </w:r>
    </w:p>
    <w:p w14:paraId="09CA28CE">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（供应商名称）郑重承诺：</w:t>
      </w:r>
    </w:p>
    <w:p w14:paraId="19F331BA">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1.我方具有良好的商业信誉和健全的财务会计制度，具有履行合同所必需的设备和专业技术能力，具</w:t>
      </w:r>
      <w:r>
        <w:rPr>
          <w:rFonts w:hint="eastAsia" w:ascii="宋体" w:hAnsi="宋体" w:cs="宋体"/>
          <w:sz w:val="24"/>
          <w:highlight w:val="none"/>
          <w:lang w:val="zh-CN"/>
        </w:rPr>
        <w:t>有依法缴纳税收和社会保障金的良好记录</w:t>
      </w:r>
      <w:r>
        <w:rPr>
          <w:rFonts w:hint="eastAsia" w:ascii="宋体" w:hAnsi="宋体" w:cs="宋体"/>
          <w:sz w:val="24"/>
          <w:highlight w:val="none"/>
        </w:rPr>
        <w:t>，参加本项目采购活动前三年内无重大违法活动记录。</w:t>
      </w:r>
    </w:p>
    <w:p w14:paraId="269A90F9">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2.我方未列入在信用中国网站（www.creditchina.gov.cn）“失信被执行人”、“重大税收违法案件当事人名单”中，也未列入中国政府采购网（www.ccgp.gov.cn）“政府采购严重违法失信行为记录名单”中。</w:t>
      </w:r>
    </w:p>
    <w:p w14:paraId="65106AAC">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3.我方在采购项目评审（评标）环节结束后，随时接受采购人、采购代理机构的检查验证，配合提供相关证明材料，证明符合《中华人民共和国政府采购法》规定的供应商基本资格条件。</w:t>
      </w:r>
    </w:p>
    <w:p w14:paraId="561E5B6A">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我方对以上承诺负全部法律责任。</w:t>
      </w:r>
    </w:p>
    <w:p w14:paraId="4877AF04">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特此承诺。</w:t>
      </w:r>
    </w:p>
    <w:p w14:paraId="250B9644">
      <w:pPr>
        <w:tabs>
          <w:tab w:val="left" w:pos="6300"/>
        </w:tabs>
        <w:snapToGrid w:val="0"/>
        <w:spacing w:line="500" w:lineRule="exact"/>
        <w:ind w:firstLine="480" w:firstLineChars="200"/>
        <w:rPr>
          <w:rFonts w:ascii="宋体" w:hAnsi="宋体" w:cs="宋体"/>
          <w:sz w:val="24"/>
          <w:highlight w:val="none"/>
        </w:rPr>
      </w:pPr>
    </w:p>
    <w:p w14:paraId="53290A9C">
      <w:pPr>
        <w:tabs>
          <w:tab w:val="left" w:pos="6300"/>
        </w:tabs>
        <w:snapToGrid w:val="0"/>
        <w:spacing w:line="500" w:lineRule="exact"/>
        <w:ind w:firstLine="480" w:firstLineChars="200"/>
        <w:jc w:val="right"/>
        <w:rPr>
          <w:rFonts w:ascii="宋体" w:hAnsi="宋体" w:cs="宋体"/>
          <w:sz w:val="24"/>
          <w:highlight w:val="none"/>
        </w:rPr>
      </w:pPr>
      <w:r>
        <w:rPr>
          <w:rFonts w:hint="eastAsia" w:ascii="宋体" w:hAnsi="宋体" w:cs="宋体"/>
          <w:sz w:val="24"/>
          <w:highlight w:val="none"/>
        </w:rPr>
        <w:t>（供应商公章）</w:t>
      </w:r>
    </w:p>
    <w:p w14:paraId="5FB32FA1">
      <w:pPr>
        <w:widowControl/>
        <w:spacing w:line="400" w:lineRule="exact"/>
        <w:ind w:firstLine="7920" w:firstLineChars="3300"/>
        <w:jc w:val="left"/>
        <w:rPr>
          <w:rFonts w:ascii="宋体" w:hAnsi="宋体" w:cs="宋体"/>
          <w:sz w:val="24"/>
          <w:szCs w:val="24"/>
          <w:highlight w:val="none"/>
        </w:rPr>
      </w:pPr>
      <w:r>
        <w:rPr>
          <w:rFonts w:hint="eastAsia" w:ascii="宋体" w:hAnsi="宋体" w:cs="宋体"/>
          <w:sz w:val="24"/>
          <w:highlight w:val="none"/>
        </w:rPr>
        <w:t>年   月   日</w:t>
      </w:r>
    </w:p>
    <w:p w14:paraId="72CA2BD9">
      <w:pPr>
        <w:widowControl/>
        <w:spacing w:line="400" w:lineRule="exact"/>
        <w:ind w:firstLine="560" w:firstLineChars="200"/>
        <w:jc w:val="left"/>
        <w:rPr>
          <w:rFonts w:ascii="宋体" w:hAnsi="宋体" w:cs="宋体"/>
          <w:sz w:val="24"/>
          <w:szCs w:val="24"/>
          <w:highlight w:val="none"/>
        </w:rPr>
      </w:pPr>
      <w:r>
        <w:rPr>
          <w:rFonts w:hint="eastAsia" w:ascii="宋体" w:hAnsi="宋体" w:cs="宋体"/>
          <w:highlight w:val="none"/>
        </w:rPr>
        <w:br w:type="page"/>
      </w:r>
      <w:r>
        <w:rPr>
          <w:rFonts w:hint="eastAsia" w:ascii="宋体" w:hAnsi="宋体" w:cs="宋体"/>
          <w:sz w:val="24"/>
          <w:szCs w:val="24"/>
          <w:highlight w:val="none"/>
        </w:rPr>
        <w:t>（五）特定资格条件证书或证明文件（如有）</w:t>
      </w:r>
    </w:p>
    <w:p w14:paraId="3B257F62">
      <w:pPr>
        <w:widowControl/>
        <w:spacing w:line="400" w:lineRule="exact"/>
        <w:ind w:firstLine="480" w:firstLineChars="200"/>
        <w:jc w:val="left"/>
        <w:rPr>
          <w:rFonts w:ascii="宋体" w:hAnsi="宋体" w:cs="宋体"/>
          <w:sz w:val="24"/>
          <w:szCs w:val="24"/>
          <w:highlight w:val="none"/>
        </w:rPr>
      </w:pPr>
    </w:p>
    <w:p w14:paraId="20CCDD22">
      <w:pPr>
        <w:pStyle w:val="5"/>
        <w:adjustRightInd w:val="0"/>
        <w:snapToGrid w:val="0"/>
        <w:spacing w:before="0" w:after="0" w:line="400" w:lineRule="exact"/>
        <w:ind w:firstLine="482" w:firstLineChars="200"/>
        <w:rPr>
          <w:rFonts w:ascii="宋体" w:hAnsi="宋体" w:eastAsia="宋体" w:cs="宋体"/>
          <w:sz w:val="24"/>
          <w:highlight w:val="none"/>
        </w:rPr>
      </w:pPr>
      <w:r>
        <w:rPr>
          <w:rFonts w:hint="eastAsia" w:ascii="宋体" w:hAnsi="宋体" w:eastAsia="宋体" w:cs="宋体"/>
          <w:sz w:val="24"/>
          <w:szCs w:val="24"/>
          <w:highlight w:val="none"/>
        </w:rPr>
        <w:br w:type="page"/>
      </w:r>
      <w:bookmarkStart w:id="296" w:name="_Toc17010"/>
      <w:bookmarkStart w:id="297" w:name="_Toc65660383"/>
      <w:bookmarkStart w:id="298" w:name="_Toc106034812"/>
      <w:bookmarkStart w:id="299" w:name="_Toc32607"/>
      <w:bookmarkStart w:id="300" w:name="_Toc15815"/>
      <w:bookmarkStart w:id="301" w:name="_Toc2080"/>
      <w:r>
        <w:rPr>
          <w:rFonts w:hint="eastAsia" w:ascii="宋体" w:hAnsi="宋体" w:eastAsia="宋体" w:cs="宋体"/>
          <w:sz w:val="24"/>
          <w:highlight w:val="none"/>
        </w:rPr>
        <w:t>五、</w:t>
      </w:r>
      <w:bookmarkEnd w:id="293"/>
      <w:bookmarkEnd w:id="294"/>
      <w:bookmarkEnd w:id="295"/>
      <w:r>
        <w:rPr>
          <w:rFonts w:hint="eastAsia" w:ascii="宋体" w:hAnsi="宋体" w:eastAsia="宋体" w:cs="宋体"/>
          <w:sz w:val="24"/>
          <w:highlight w:val="none"/>
        </w:rPr>
        <w:t>其他资料</w:t>
      </w:r>
      <w:bookmarkEnd w:id="296"/>
      <w:bookmarkEnd w:id="297"/>
      <w:bookmarkEnd w:id="298"/>
      <w:bookmarkEnd w:id="299"/>
      <w:bookmarkEnd w:id="300"/>
      <w:bookmarkEnd w:id="301"/>
    </w:p>
    <w:p w14:paraId="1C3EE7CF">
      <w:pPr>
        <w:widowControl/>
        <w:spacing w:line="400" w:lineRule="exact"/>
        <w:ind w:firstLine="480" w:firstLineChars="200"/>
        <w:jc w:val="left"/>
        <w:rPr>
          <w:rFonts w:ascii="宋体" w:hAnsi="宋体" w:cs="宋体"/>
          <w:sz w:val="24"/>
          <w:szCs w:val="24"/>
          <w:highlight w:val="none"/>
        </w:rPr>
      </w:pPr>
      <w:r>
        <w:rPr>
          <w:rFonts w:hint="eastAsia" w:ascii="宋体" w:hAnsi="宋体" w:cs="宋体"/>
          <w:sz w:val="24"/>
          <w:szCs w:val="24"/>
          <w:highlight w:val="none"/>
        </w:rPr>
        <w:t>其他与项目有关的资料（自附）</w:t>
      </w:r>
    </w:p>
    <w:p w14:paraId="0CA53763">
      <w:pPr>
        <w:spacing w:line="360" w:lineRule="auto"/>
        <w:ind w:firstLine="480" w:firstLineChars="200"/>
        <w:rPr>
          <w:rFonts w:ascii="宋体" w:hAnsi="宋体" w:cs="宋体"/>
          <w:sz w:val="24"/>
          <w:szCs w:val="24"/>
          <w:highlight w:val="none"/>
        </w:rPr>
      </w:pPr>
    </w:p>
    <w:p w14:paraId="129AD094">
      <w:pPr>
        <w:spacing w:line="360" w:lineRule="auto"/>
        <w:ind w:firstLine="480" w:firstLineChars="200"/>
        <w:jc w:val="center"/>
        <w:rPr>
          <w:rFonts w:ascii="宋体" w:hAnsi="宋体" w:cs="宋体"/>
          <w:sz w:val="24"/>
          <w:szCs w:val="24"/>
          <w:highlight w:val="none"/>
        </w:rPr>
      </w:pPr>
    </w:p>
    <w:p w14:paraId="7028445B">
      <w:pPr>
        <w:spacing w:line="360" w:lineRule="auto"/>
        <w:ind w:firstLine="480" w:firstLineChars="200"/>
        <w:jc w:val="center"/>
        <w:rPr>
          <w:rFonts w:ascii="宋体" w:hAnsi="宋体" w:cs="宋体"/>
          <w:sz w:val="24"/>
          <w:szCs w:val="24"/>
          <w:highlight w:val="none"/>
        </w:rPr>
      </w:pPr>
    </w:p>
    <w:p w14:paraId="553364FA">
      <w:pPr>
        <w:spacing w:line="360" w:lineRule="auto"/>
        <w:ind w:firstLine="480" w:firstLineChars="200"/>
        <w:jc w:val="center"/>
        <w:rPr>
          <w:rFonts w:ascii="宋体" w:hAnsi="宋体" w:cs="宋体"/>
          <w:sz w:val="24"/>
          <w:szCs w:val="24"/>
          <w:highlight w:val="none"/>
        </w:rPr>
      </w:pPr>
    </w:p>
    <w:p w14:paraId="711236DB">
      <w:pPr>
        <w:spacing w:line="360" w:lineRule="auto"/>
        <w:ind w:firstLine="480" w:firstLineChars="200"/>
        <w:jc w:val="center"/>
        <w:rPr>
          <w:rFonts w:ascii="宋体" w:hAnsi="宋体" w:cs="宋体"/>
          <w:sz w:val="24"/>
          <w:szCs w:val="24"/>
          <w:highlight w:val="none"/>
        </w:rPr>
      </w:pPr>
    </w:p>
    <w:p w14:paraId="1B11B5E1">
      <w:pPr>
        <w:spacing w:line="360" w:lineRule="auto"/>
        <w:ind w:firstLine="480" w:firstLineChars="200"/>
        <w:jc w:val="center"/>
        <w:rPr>
          <w:rFonts w:ascii="宋体" w:hAnsi="宋体" w:cs="宋体"/>
          <w:sz w:val="24"/>
          <w:szCs w:val="24"/>
          <w:highlight w:val="none"/>
        </w:rPr>
      </w:pPr>
    </w:p>
    <w:p w14:paraId="4F70DEFA">
      <w:pPr>
        <w:spacing w:line="360" w:lineRule="auto"/>
        <w:ind w:firstLine="480" w:firstLineChars="200"/>
        <w:jc w:val="center"/>
        <w:rPr>
          <w:rFonts w:ascii="宋体" w:hAnsi="宋体" w:cs="宋体"/>
          <w:sz w:val="24"/>
          <w:szCs w:val="24"/>
          <w:highlight w:val="none"/>
        </w:rPr>
      </w:pPr>
    </w:p>
    <w:p w14:paraId="41AE66B6">
      <w:pPr>
        <w:spacing w:line="360" w:lineRule="auto"/>
        <w:ind w:firstLine="480" w:firstLineChars="200"/>
        <w:jc w:val="center"/>
        <w:rPr>
          <w:rFonts w:ascii="宋体" w:hAnsi="宋体" w:cs="宋体"/>
          <w:sz w:val="24"/>
          <w:szCs w:val="24"/>
          <w:highlight w:val="none"/>
        </w:rPr>
      </w:pPr>
    </w:p>
    <w:p w14:paraId="161DA6B4">
      <w:pPr>
        <w:spacing w:line="360" w:lineRule="auto"/>
        <w:ind w:firstLine="480" w:firstLineChars="200"/>
        <w:jc w:val="center"/>
        <w:rPr>
          <w:rFonts w:ascii="宋体" w:hAnsi="宋体" w:cs="宋体"/>
          <w:sz w:val="24"/>
          <w:szCs w:val="24"/>
          <w:highlight w:val="none"/>
        </w:rPr>
      </w:pPr>
    </w:p>
    <w:p w14:paraId="65BA3B36">
      <w:pPr>
        <w:spacing w:line="360" w:lineRule="auto"/>
        <w:ind w:firstLine="480" w:firstLineChars="200"/>
        <w:jc w:val="center"/>
        <w:rPr>
          <w:rFonts w:ascii="宋体" w:hAnsi="宋体" w:cs="宋体"/>
          <w:sz w:val="24"/>
          <w:szCs w:val="24"/>
          <w:highlight w:val="none"/>
        </w:rPr>
      </w:pPr>
    </w:p>
    <w:p w14:paraId="4E1B4462">
      <w:pPr>
        <w:spacing w:line="360" w:lineRule="auto"/>
        <w:ind w:firstLine="480" w:firstLineChars="200"/>
        <w:jc w:val="center"/>
        <w:rPr>
          <w:rFonts w:ascii="宋体" w:hAnsi="宋体" w:cs="宋体"/>
          <w:sz w:val="24"/>
          <w:szCs w:val="24"/>
          <w:highlight w:val="none"/>
        </w:rPr>
      </w:pPr>
    </w:p>
    <w:p w14:paraId="0175F69C">
      <w:pPr>
        <w:spacing w:line="360" w:lineRule="auto"/>
        <w:ind w:firstLine="560" w:firstLineChars="200"/>
        <w:jc w:val="center"/>
        <w:rPr>
          <w:rFonts w:ascii="宋体" w:hAnsi="宋体" w:cs="宋体"/>
          <w:highlight w:val="none"/>
        </w:rPr>
      </w:pPr>
      <w:r>
        <w:rPr>
          <w:rFonts w:hint="eastAsia" w:ascii="宋体" w:hAnsi="宋体" w:cs="宋体"/>
          <w:highlight w:val="none"/>
        </w:rPr>
        <w:t>（结束）</w:t>
      </w:r>
    </w:p>
    <w:p w14:paraId="72D8F45F">
      <w:pPr>
        <w:spacing w:line="360" w:lineRule="auto"/>
        <w:ind w:firstLine="480" w:firstLineChars="200"/>
        <w:jc w:val="center"/>
        <w:rPr>
          <w:rFonts w:ascii="宋体" w:hAnsi="宋体" w:cs="宋体"/>
          <w:sz w:val="24"/>
          <w:szCs w:val="24"/>
          <w:highlight w:val="none"/>
        </w:rPr>
      </w:pPr>
    </w:p>
    <w:p w14:paraId="639B75BC">
      <w:pPr>
        <w:spacing w:line="360" w:lineRule="auto"/>
        <w:ind w:firstLine="480" w:firstLineChars="200"/>
        <w:jc w:val="center"/>
        <w:rPr>
          <w:rFonts w:ascii="宋体" w:hAnsi="宋体" w:cs="宋体"/>
          <w:sz w:val="24"/>
          <w:szCs w:val="24"/>
          <w:highlight w:val="none"/>
        </w:rPr>
      </w:pPr>
    </w:p>
    <w:p w14:paraId="63E9164E">
      <w:pPr>
        <w:spacing w:line="360" w:lineRule="auto"/>
        <w:ind w:firstLine="480" w:firstLineChars="200"/>
        <w:jc w:val="center"/>
        <w:rPr>
          <w:rFonts w:ascii="宋体" w:hAnsi="宋体" w:cs="宋体"/>
          <w:sz w:val="24"/>
          <w:szCs w:val="24"/>
          <w:highlight w:val="none"/>
        </w:rPr>
      </w:pPr>
    </w:p>
    <w:p w14:paraId="30AC16C5">
      <w:pPr>
        <w:spacing w:line="360" w:lineRule="auto"/>
        <w:ind w:firstLine="480" w:firstLineChars="200"/>
        <w:jc w:val="center"/>
        <w:rPr>
          <w:rFonts w:ascii="宋体" w:hAnsi="宋体" w:cs="宋体"/>
          <w:sz w:val="24"/>
          <w:szCs w:val="24"/>
          <w:highlight w:val="none"/>
        </w:rPr>
      </w:pPr>
    </w:p>
    <w:p w14:paraId="0320AFFD">
      <w:pPr>
        <w:spacing w:line="360" w:lineRule="auto"/>
        <w:ind w:firstLine="480" w:firstLineChars="200"/>
        <w:jc w:val="center"/>
        <w:rPr>
          <w:rFonts w:ascii="宋体" w:hAnsi="宋体" w:cs="宋体"/>
          <w:sz w:val="24"/>
          <w:szCs w:val="24"/>
          <w:highlight w:val="none"/>
        </w:rPr>
      </w:pPr>
    </w:p>
    <w:p w14:paraId="5B9ACCDB">
      <w:pPr>
        <w:spacing w:line="360" w:lineRule="auto"/>
        <w:ind w:firstLine="480" w:firstLineChars="200"/>
        <w:jc w:val="center"/>
        <w:rPr>
          <w:rFonts w:ascii="宋体" w:hAnsi="宋体" w:cs="宋体"/>
          <w:sz w:val="24"/>
          <w:szCs w:val="24"/>
          <w:highlight w:val="none"/>
        </w:rPr>
      </w:pPr>
    </w:p>
    <w:p w14:paraId="71143D1A">
      <w:pPr>
        <w:spacing w:line="360" w:lineRule="auto"/>
        <w:ind w:firstLine="480" w:firstLineChars="200"/>
        <w:jc w:val="center"/>
        <w:rPr>
          <w:rFonts w:ascii="宋体" w:hAnsi="宋体" w:cs="宋体"/>
          <w:sz w:val="24"/>
          <w:szCs w:val="24"/>
          <w:highlight w:val="none"/>
        </w:rPr>
      </w:pPr>
    </w:p>
    <w:p w14:paraId="76544A2B">
      <w:pPr>
        <w:spacing w:line="360" w:lineRule="auto"/>
        <w:ind w:firstLine="480" w:firstLineChars="200"/>
        <w:jc w:val="center"/>
        <w:rPr>
          <w:rFonts w:ascii="宋体" w:hAnsi="宋体" w:cs="宋体"/>
          <w:sz w:val="24"/>
          <w:szCs w:val="24"/>
          <w:highlight w:val="none"/>
        </w:rPr>
      </w:pPr>
    </w:p>
    <w:p w14:paraId="1DABD185">
      <w:pPr>
        <w:spacing w:line="360" w:lineRule="auto"/>
        <w:ind w:firstLine="480" w:firstLineChars="200"/>
        <w:jc w:val="center"/>
        <w:rPr>
          <w:rFonts w:ascii="宋体" w:hAnsi="宋体" w:cs="宋体"/>
          <w:sz w:val="24"/>
          <w:szCs w:val="24"/>
          <w:highlight w:val="none"/>
        </w:rPr>
      </w:pPr>
    </w:p>
    <w:p w14:paraId="60392E65">
      <w:pPr>
        <w:spacing w:line="360" w:lineRule="auto"/>
        <w:ind w:firstLine="480" w:firstLineChars="200"/>
        <w:jc w:val="center"/>
        <w:rPr>
          <w:rFonts w:ascii="宋体" w:hAnsi="宋体" w:cs="宋体"/>
          <w:sz w:val="24"/>
          <w:szCs w:val="24"/>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73BF6">
    <w:pPr>
      <w:pStyle w:val="14"/>
      <w:framePr w:wrap="around" w:vAnchor="text" w:hAnchor="margin" w:xAlign="center" w:y="1"/>
      <w:jc w:val="center"/>
      <w:rPr>
        <w:rStyle w:val="23"/>
        <w:rFonts w:ascii="宋体"/>
        <w:sz w:val="21"/>
        <w:szCs w:val="21"/>
      </w:rPr>
    </w:pPr>
    <w:r>
      <w:rPr>
        <w:rFonts w:ascii="宋体"/>
        <w:sz w:val="21"/>
        <w:szCs w:val="21"/>
      </w:rPr>
      <w:fldChar w:fldCharType="begin"/>
    </w:r>
    <w:r>
      <w:rPr>
        <w:rStyle w:val="23"/>
        <w:rFonts w:ascii="宋体"/>
        <w:sz w:val="21"/>
        <w:szCs w:val="21"/>
      </w:rPr>
      <w:instrText xml:space="preserve">PAGE  </w:instrText>
    </w:r>
    <w:r>
      <w:rPr>
        <w:rFonts w:ascii="宋体"/>
        <w:sz w:val="21"/>
        <w:szCs w:val="21"/>
      </w:rPr>
      <w:fldChar w:fldCharType="separate"/>
    </w:r>
    <w:r>
      <w:rPr>
        <w:rStyle w:val="23"/>
        <w:rFonts w:ascii="宋体"/>
        <w:sz w:val="21"/>
        <w:szCs w:val="21"/>
      </w:rPr>
      <w:t>- 1 -</w:t>
    </w:r>
    <w:r>
      <w:rPr>
        <w:rFonts w:ascii="宋体"/>
        <w:sz w:val="21"/>
        <w:szCs w:val="21"/>
      </w:rPr>
      <w:fldChar w:fldCharType="end"/>
    </w:r>
  </w:p>
  <w:p w14:paraId="360D732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9206C">
    <w:pPr>
      <w:pStyle w:val="14"/>
      <w:framePr w:wrap="around" w:vAnchor="text" w:hAnchor="margin" w:xAlign="center" w:y="1"/>
      <w:rPr>
        <w:rStyle w:val="23"/>
      </w:rPr>
    </w:pPr>
    <w:r>
      <w:fldChar w:fldCharType="begin"/>
    </w:r>
    <w:r>
      <w:rPr>
        <w:rStyle w:val="23"/>
      </w:rPr>
      <w:instrText xml:space="preserve">PAGE  </w:instrText>
    </w:r>
    <w:r>
      <w:fldChar w:fldCharType="end"/>
    </w:r>
  </w:p>
  <w:p w14:paraId="08ACD14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C576">
    <w:pPr>
      <w:pStyle w:val="14"/>
      <w:framePr w:wrap="around" w:vAnchor="text" w:hAnchor="margin" w:xAlign="center" w:y="1"/>
      <w:rPr>
        <w:rStyle w:val="23"/>
      </w:rPr>
    </w:pPr>
  </w:p>
  <w:p w14:paraId="397FDBBD">
    <w:pPr>
      <w:pStyle w:val="14"/>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5270">
    <w:pPr>
      <w:pStyle w:val="14"/>
      <w:ind w:firstLine="420"/>
      <w:jc w:val="center"/>
      <w:rPr>
        <w:rFonts w:asci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A734B">
    <w:pPr>
      <w:pStyle w:val="14"/>
      <w:framePr w:wrap="around" w:vAnchor="text" w:hAnchor="margin" w:xAlign="center" w:y="1"/>
      <w:ind w:firstLine="360"/>
      <w:rPr>
        <w:rStyle w:val="23"/>
      </w:rPr>
    </w:pPr>
    <w:r>
      <w:fldChar w:fldCharType="begin"/>
    </w:r>
    <w:r>
      <w:rPr>
        <w:rStyle w:val="23"/>
      </w:rPr>
      <w:instrText xml:space="preserve">PAGE  </w:instrText>
    </w:r>
    <w:r>
      <w:fldChar w:fldCharType="end"/>
    </w:r>
  </w:p>
  <w:p w14:paraId="4FED6B9C">
    <w:pPr>
      <w:pStyle w:val="1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FF82">
    <w:pPr>
      <w:pStyle w:val="14"/>
      <w:jc w:val="center"/>
      <w:rPr>
        <w:rFonts w:ascii="宋体" w:hAns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- 34 -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5D47F">
    <w:pPr>
      <w:pStyle w:val="15"/>
      <w:ind w:left="420" w:hanging="420" w:hangingChars="200"/>
      <w:jc w:val="left"/>
      <w:rPr>
        <w:rFonts w:ascii="方正仿宋_GBK" w:eastAsia="方正仿宋_GBK"/>
        <w:sz w:val="21"/>
        <w:szCs w:val="21"/>
      </w:rPr>
    </w:pPr>
    <w:r>
      <w:rPr>
        <w:rFonts w:hint="eastAsia" w:ascii="宋体" w:hAnsi="宋体" w:cs="宋体"/>
        <w:sz w:val="21"/>
        <w:szCs w:val="21"/>
      </w:rPr>
      <w:t xml:space="preserve">   重庆盛灏和途商务信息咨询服务有限公司           </w:t>
    </w: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2A25B">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E5F4">
    <w:pPr>
      <w:pStyle w:val="15"/>
      <w:ind w:firstLine="1260" w:firstLineChars="600"/>
      <w:jc w:val="left"/>
      <w:rPr>
        <w:rFonts w:ascii="宋体"/>
        <w:sz w:val="21"/>
        <w:szCs w:val="21"/>
      </w:rPr>
    </w:pPr>
    <w:r>
      <w:rPr>
        <w:rFonts w:hint="eastAsia" w:ascii="宋体"/>
        <w:sz w:val="21"/>
        <w:szCs w:val="21"/>
      </w:rPr>
      <w:t xml:space="preserve">                                 </w:t>
    </w:r>
    <w:r>
      <w:rPr>
        <w:rFonts w:ascii="宋体"/>
        <w:sz w:val="21"/>
        <w:szCs w:val="21"/>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146E7"/>
    <w:multiLevelType w:val="multilevel"/>
    <w:tmpl w:val="393146E7"/>
    <w:lvl w:ilvl="0" w:tentative="0">
      <w:start w:val="1"/>
      <w:numFmt w:val="decimal"/>
      <w:lvlText w:val="%1）"/>
      <w:lvlJc w:val="left"/>
      <w:pPr>
        <w:ind w:left="454" w:hanging="454"/>
      </w:pPr>
      <w:rPr>
        <w:rFonts w:hint="default"/>
      </w:rPr>
    </w:lvl>
    <w:lvl w:ilvl="1" w:tentative="0">
      <w:start w:val="1"/>
      <w:numFmt w:val="decimal"/>
      <w:lvlText w:val="%1.%2"/>
      <w:lvlJc w:val="left"/>
      <w:pPr>
        <w:ind w:left="908" w:hanging="454"/>
      </w:pPr>
      <w:rPr>
        <w:rFonts w:hint="eastAsia"/>
      </w:rPr>
    </w:lvl>
    <w:lvl w:ilvl="2" w:tentative="0">
      <w:start w:val="1"/>
      <w:numFmt w:val="decimal"/>
      <w:pStyle w:val="26"/>
      <w:lvlText w:val="%1.%2.%3"/>
      <w:lvlJc w:val="left"/>
      <w:pPr>
        <w:ind w:left="1362" w:hanging="454"/>
      </w:pPr>
      <w:rPr>
        <w:rFonts w:hint="eastAsia"/>
      </w:rPr>
    </w:lvl>
    <w:lvl w:ilvl="3" w:tentative="0">
      <w:start w:val="1"/>
      <w:numFmt w:val="decimal"/>
      <w:lvlText w:val="%1.%2.%3.%4"/>
      <w:lvlJc w:val="left"/>
      <w:pPr>
        <w:ind w:left="1816" w:hanging="454"/>
      </w:pPr>
      <w:rPr>
        <w:rFonts w:hint="eastAsia"/>
      </w:rPr>
    </w:lvl>
    <w:lvl w:ilvl="4" w:tentative="0">
      <w:start w:val="1"/>
      <w:numFmt w:val="decimal"/>
      <w:lvlText w:val="%1.%2.%3.%4.%5"/>
      <w:lvlJc w:val="left"/>
      <w:pPr>
        <w:ind w:left="2270" w:hanging="454"/>
      </w:pPr>
      <w:rPr>
        <w:rFonts w:hint="eastAsia"/>
      </w:rPr>
    </w:lvl>
    <w:lvl w:ilvl="5" w:tentative="0">
      <w:start w:val="1"/>
      <w:numFmt w:val="decimal"/>
      <w:lvlText w:val="%1.%2.%3.%4.%5.%6"/>
      <w:lvlJc w:val="left"/>
      <w:pPr>
        <w:ind w:left="2724" w:hanging="454"/>
      </w:pPr>
      <w:rPr>
        <w:rFonts w:hint="eastAsia"/>
      </w:rPr>
    </w:lvl>
    <w:lvl w:ilvl="6" w:tentative="0">
      <w:start w:val="1"/>
      <w:numFmt w:val="decimal"/>
      <w:lvlText w:val="%1.%2.%3.%4.%5.%6.%7"/>
      <w:lvlJc w:val="left"/>
      <w:pPr>
        <w:ind w:left="3178" w:hanging="454"/>
      </w:pPr>
      <w:rPr>
        <w:rFonts w:hint="eastAsia"/>
      </w:rPr>
    </w:lvl>
    <w:lvl w:ilvl="7" w:tentative="0">
      <w:start w:val="1"/>
      <w:numFmt w:val="decimal"/>
      <w:lvlText w:val="%1.%2.%3.%4.%5.%6.%7.%8"/>
      <w:lvlJc w:val="left"/>
      <w:pPr>
        <w:ind w:left="3632" w:hanging="454"/>
      </w:pPr>
      <w:rPr>
        <w:rFonts w:hint="eastAsia"/>
      </w:rPr>
    </w:lvl>
    <w:lvl w:ilvl="8" w:tentative="0">
      <w:start w:val="1"/>
      <w:numFmt w:val="decimal"/>
      <w:lvlText w:val="%1.%2.%3.%4.%5.%6.%7.%8.%9"/>
      <w:lvlJc w:val="left"/>
      <w:pPr>
        <w:ind w:left="4086" w:hanging="454"/>
      </w:pPr>
      <w:rPr>
        <w:rFonts w:hint="eastAsia"/>
      </w:rPr>
    </w:lvl>
  </w:abstractNum>
  <w:abstractNum w:abstractNumId="1">
    <w:nsid w:val="48605B39"/>
    <w:multiLevelType w:val="multilevel"/>
    <w:tmpl w:val="48605B39"/>
    <w:lvl w:ilvl="0" w:tentative="0">
      <w:start w:val="1"/>
      <w:numFmt w:val="decimal"/>
      <w:pStyle w:val="2"/>
      <w:lvlText w:val="%1."/>
      <w:lvlJc w:val="left"/>
      <w:pPr>
        <w:ind w:left="360" w:hanging="360"/>
      </w:pPr>
      <w:rPr>
        <w:rFonts w:hint="default" w:ascii="Times New Roman" w:hAnsi="Times New Roman" w:cs="Times New Roman" w:eastAsiaTheme="maj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175DA8"/>
    <w:multiLevelType w:val="multilevel"/>
    <w:tmpl w:val="62175DA8"/>
    <w:lvl w:ilvl="0" w:tentative="0">
      <w:start w:val="1"/>
      <w:numFmt w:val="decimal"/>
      <w:lvlText w:val="%1）"/>
      <w:lvlJc w:val="left"/>
      <w:pPr>
        <w:ind w:left="454" w:hanging="454"/>
      </w:pPr>
      <w:rPr>
        <w:rFonts w:hint="default"/>
      </w:rPr>
    </w:lvl>
    <w:lvl w:ilvl="1" w:tentative="0">
      <w:start w:val="1"/>
      <w:numFmt w:val="decimal"/>
      <w:pStyle w:val="24"/>
      <w:lvlText w:val="%1.%2"/>
      <w:lvlJc w:val="left"/>
      <w:pPr>
        <w:ind w:left="908" w:hanging="454"/>
      </w:pPr>
      <w:rPr>
        <w:rFonts w:hint="eastAsia"/>
      </w:rPr>
    </w:lvl>
    <w:lvl w:ilvl="2" w:tentative="0">
      <w:start w:val="1"/>
      <w:numFmt w:val="decimal"/>
      <w:lvlText w:val="%1.%2.%3"/>
      <w:lvlJc w:val="left"/>
      <w:pPr>
        <w:ind w:left="1362" w:hanging="454"/>
      </w:pPr>
      <w:rPr>
        <w:rFonts w:hint="eastAsia"/>
      </w:rPr>
    </w:lvl>
    <w:lvl w:ilvl="3" w:tentative="0">
      <w:start w:val="1"/>
      <w:numFmt w:val="decimal"/>
      <w:lvlText w:val="%1.%2.%3.%4"/>
      <w:lvlJc w:val="left"/>
      <w:pPr>
        <w:ind w:left="1816" w:hanging="454"/>
      </w:pPr>
      <w:rPr>
        <w:rFonts w:hint="eastAsia"/>
      </w:rPr>
    </w:lvl>
    <w:lvl w:ilvl="4" w:tentative="0">
      <w:start w:val="1"/>
      <w:numFmt w:val="decimal"/>
      <w:lvlText w:val="%1.%2.%3.%4.%5"/>
      <w:lvlJc w:val="left"/>
      <w:pPr>
        <w:ind w:left="2270" w:hanging="454"/>
      </w:pPr>
      <w:rPr>
        <w:rFonts w:hint="eastAsia"/>
      </w:rPr>
    </w:lvl>
    <w:lvl w:ilvl="5" w:tentative="0">
      <w:start w:val="1"/>
      <w:numFmt w:val="decimal"/>
      <w:lvlText w:val="%1.%2.%3.%4.%5.%6"/>
      <w:lvlJc w:val="left"/>
      <w:pPr>
        <w:ind w:left="2724" w:hanging="454"/>
      </w:pPr>
      <w:rPr>
        <w:rFonts w:hint="eastAsia"/>
      </w:rPr>
    </w:lvl>
    <w:lvl w:ilvl="6" w:tentative="0">
      <w:start w:val="1"/>
      <w:numFmt w:val="decimal"/>
      <w:lvlText w:val="%1.%2.%3.%4.%5.%6.%7"/>
      <w:lvlJc w:val="left"/>
      <w:pPr>
        <w:ind w:left="3178" w:hanging="454"/>
      </w:pPr>
      <w:rPr>
        <w:rFonts w:hint="eastAsia"/>
      </w:rPr>
    </w:lvl>
    <w:lvl w:ilvl="7" w:tentative="0">
      <w:start w:val="1"/>
      <w:numFmt w:val="decimal"/>
      <w:lvlText w:val="%1.%2.%3.%4.%5.%6.%7.%8"/>
      <w:lvlJc w:val="left"/>
      <w:pPr>
        <w:ind w:left="3632" w:hanging="454"/>
      </w:pPr>
      <w:rPr>
        <w:rFonts w:hint="eastAsia"/>
      </w:rPr>
    </w:lvl>
    <w:lvl w:ilvl="8" w:tentative="0">
      <w:start w:val="1"/>
      <w:numFmt w:val="decimal"/>
      <w:lvlText w:val="%1.%2.%3.%4.%5.%6.%7.%8.%9"/>
      <w:lvlJc w:val="left"/>
      <w:pPr>
        <w:ind w:left="4086" w:hanging="454"/>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NDU2M2MxN2NkNjk0MDJiNDc0YmMyNDczNjljN2EifQ=="/>
  </w:docVars>
  <w:rsids>
    <w:rsidRoot w:val="006647EE"/>
    <w:rsid w:val="000169D4"/>
    <w:rsid w:val="000E3341"/>
    <w:rsid w:val="00146BD6"/>
    <w:rsid w:val="001F0671"/>
    <w:rsid w:val="00220869"/>
    <w:rsid w:val="00264B14"/>
    <w:rsid w:val="002A4F6E"/>
    <w:rsid w:val="003419E6"/>
    <w:rsid w:val="00360990"/>
    <w:rsid w:val="00367C94"/>
    <w:rsid w:val="00374729"/>
    <w:rsid w:val="003B4B36"/>
    <w:rsid w:val="00412C72"/>
    <w:rsid w:val="0042509E"/>
    <w:rsid w:val="00562595"/>
    <w:rsid w:val="005C553E"/>
    <w:rsid w:val="005E6B0B"/>
    <w:rsid w:val="006647EE"/>
    <w:rsid w:val="00707DFA"/>
    <w:rsid w:val="00756DEF"/>
    <w:rsid w:val="007A0885"/>
    <w:rsid w:val="00804D70"/>
    <w:rsid w:val="008052CE"/>
    <w:rsid w:val="00824BD4"/>
    <w:rsid w:val="008872E0"/>
    <w:rsid w:val="009F79DE"/>
    <w:rsid w:val="00A06E08"/>
    <w:rsid w:val="00AA028C"/>
    <w:rsid w:val="00B1463D"/>
    <w:rsid w:val="00BA7694"/>
    <w:rsid w:val="00BB52C1"/>
    <w:rsid w:val="00BD774B"/>
    <w:rsid w:val="00BE7A25"/>
    <w:rsid w:val="00C23CC2"/>
    <w:rsid w:val="00C52767"/>
    <w:rsid w:val="00CB005A"/>
    <w:rsid w:val="00CF6E52"/>
    <w:rsid w:val="00DE7F1A"/>
    <w:rsid w:val="00DF6E0A"/>
    <w:rsid w:val="00E7496D"/>
    <w:rsid w:val="00E74BB7"/>
    <w:rsid w:val="00F44C47"/>
    <w:rsid w:val="00F5160E"/>
    <w:rsid w:val="00FB4437"/>
    <w:rsid w:val="00FC44DA"/>
    <w:rsid w:val="00FF222E"/>
    <w:rsid w:val="00FF4A02"/>
    <w:rsid w:val="01102564"/>
    <w:rsid w:val="016D0EAA"/>
    <w:rsid w:val="02296E92"/>
    <w:rsid w:val="05E8344F"/>
    <w:rsid w:val="06E50573"/>
    <w:rsid w:val="0726412E"/>
    <w:rsid w:val="07740BAF"/>
    <w:rsid w:val="0854798B"/>
    <w:rsid w:val="0AA24B03"/>
    <w:rsid w:val="0B0F6656"/>
    <w:rsid w:val="0C0240A7"/>
    <w:rsid w:val="0C1B568C"/>
    <w:rsid w:val="0CAB52E0"/>
    <w:rsid w:val="0CE916F8"/>
    <w:rsid w:val="0D1E448E"/>
    <w:rsid w:val="0FA03424"/>
    <w:rsid w:val="121277D8"/>
    <w:rsid w:val="12C31238"/>
    <w:rsid w:val="16A58860"/>
    <w:rsid w:val="1956132A"/>
    <w:rsid w:val="1AD25EC1"/>
    <w:rsid w:val="20A74EC1"/>
    <w:rsid w:val="20BD428D"/>
    <w:rsid w:val="219C0FD7"/>
    <w:rsid w:val="253B7209"/>
    <w:rsid w:val="25813EC4"/>
    <w:rsid w:val="25D3184F"/>
    <w:rsid w:val="28481DCB"/>
    <w:rsid w:val="28933014"/>
    <w:rsid w:val="28DB3A1F"/>
    <w:rsid w:val="29A40330"/>
    <w:rsid w:val="2BF6EB5A"/>
    <w:rsid w:val="2CA51A8F"/>
    <w:rsid w:val="2E244CD7"/>
    <w:rsid w:val="2E9D013C"/>
    <w:rsid w:val="2FFF4310"/>
    <w:rsid w:val="30BD5C40"/>
    <w:rsid w:val="310E5321"/>
    <w:rsid w:val="321E77E6"/>
    <w:rsid w:val="35A16764"/>
    <w:rsid w:val="362F3D70"/>
    <w:rsid w:val="36752B76"/>
    <w:rsid w:val="36EF1291"/>
    <w:rsid w:val="37256139"/>
    <w:rsid w:val="386677F1"/>
    <w:rsid w:val="3B8406BA"/>
    <w:rsid w:val="3C95238D"/>
    <w:rsid w:val="3D5C523A"/>
    <w:rsid w:val="3F49315A"/>
    <w:rsid w:val="3F593C0C"/>
    <w:rsid w:val="418A04CB"/>
    <w:rsid w:val="429D02B3"/>
    <w:rsid w:val="44780E91"/>
    <w:rsid w:val="44D04970"/>
    <w:rsid w:val="45F91F5D"/>
    <w:rsid w:val="47A30AB3"/>
    <w:rsid w:val="4A46687C"/>
    <w:rsid w:val="4E74222A"/>
    <w:rsid w:val="4E90342A"/>
    <w:rsid w:val="4FCD7BB2"/>
    <w:rsid w:val="4FF84A5F"/>
    <w:rsid w:val="50970A38"/>
    <w:rsid w:val="526B5CD8"/>
    <w:rsid w:val="550EA0F5"/>
    <w:rsid w:val="57D02C26"/>
    <w:rsid w:val="597D6897"/>
    <w:rsid w:val="5BFFA4F7"/>
    <w:rsid w:val="5DED607E"/>
    <w:rsid w:val="5DFD6A27"/>
    <w:rsid w:val="5EA96AAC"/>
    <w:rsid w:val="5EB13796"/>
    <w:rsid w:val="5FBFCE6A"/>
    <w:rsid w:val="5FCD5ACD"/>
    <w:rsid w:val="5FFDFE44"/>
    <w:rsid w:val="61F13C6F"/>
    <w:rsid w:val="62AF1C11"/>
    <w:rsid w:val="64EA5182"/>
    <w:rsid w:val="67227CA8"/>
    <w:rsid w:val="68EF720B"/>
    <w:rsid w:val="6AE54422"/>
    <w:rsid w:val="6B9CAF10"/>
    <w:rsid w:val="6D036E29"/>
    <w:rsid w:val="6DFED522"/>
    <w:rsid w:val="6E201C15"/>
    <w:rsid w:val="6F1B24A2"/>
    <w:rsid w:val="714833A7"/>
    <w:rsid w:val="71876333"/>
    <w:rsid w:val="73D6524F"/>
    <w:rsid w:val="740F02DF"/>
    <w:rsid w:val="75CBC724"/>
    <w:rsid w:val="7610488C"/>
    <w:rsid w:val="766D7CC9"/>
    <w:rsid w:val="77860D3A"/>
    <w:rsid w:val="78917997"/>
    <w:rsid w:val="78B418D7"/>
    <w:rsid w:val="795307AE"/>
    <w:rsid w:val="79D73068"/>
    <w:rsid w:val="7A287E87"/>
    <w:rsid w:val="7B77B78D"/>
    <w:rsid w:val="7B7D5112"/>
    <w:rsid w:val="7D577B14"/>
    <w:rsid w:val="7D6DB227"/>
    <w:rsid w:val="7F203823"/>
    <w:rsid w:val="7FBB8890"/>
    <w:rsid w:val="7FBFD1F4"/>
    <w:rsid w:val="7FFF90E0"/>
    <w:rsid w:val="90DF26BD"/>
    <w:rsid w:val="9BE7BC8A"/>
    <w:rsid w:val="9DEA737D"/>
    <w:rsid w:val="AC730986"/>
    <w:rsid w:val="AFED0BDB"/>
    <w:rsid w:val="BBFF4610"/>
    <w:rsid w:val="BBFFF29E"/>
    <w:rsid w:val="C3075340"/>
    <w:rsid w:val="DF8F4C7D"/>
    <w:rsid w:val="E58E5463"/>
    <w:rsid w:val="EDF9E2E0"/>
    <w:rsid w:val="EF349256"/>
    <w:rsid w:val="EF9D349D"/>
    <w:rsid w:val="F4D7F7FE"/>
    <w:rsid w:val="F7D6E33A"/>
    <w:rsid w:val="F96F5ED6"/>
    <w:rsid w:val="FCEDFE98"/>
    <w:rsid w:val="FF76E845"/>
    <w:rsid w:val="FF8FDA2F"/>
    <w:rsid w:val="FFF7F7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9"/>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0"/>
        <w:numId w:val="1"/>
      </w:numPr>
      <w:tabs>
        <w:tab w:val="left" w:pos="720"/>
        <w:tab w:val="left" w:pos="1696"/>
        <w:tab w:val="left" w:pos="2100"/>
      </w:tabs>
      <w:adjustRightInd w:val="0"/>
      <w:snapToGrid w:val="0"/>
      <w:outlineLvl w:val="4"/>
    </w:pPr>
    <w:rPr>
      <w:rFonts w:ascii="Arial" w:hAnsi="Arial" w:eastAsia="黑体"/>
      <w:b/>
      <w:kern w:val="0"/>
      <w:szCs w:val="28"/>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8">
    <w:name w:val="Body Text"/>
    <w:basedOn w:val="1"/>
    <w:next w:val="1"/>
    <w:qFormat/>
    <w:uiPriority w:val="0"/>
    <w:rPr>
      <w:rFonts w:ascii="仿宋_GB2312" w:eastAsia="仿宋_GB2312"/>
      <w:sz w:val="32"/>
    </w:rPr>
  </w:style>
  <w:style w:type="paragraph" w:styleId="9">
    <w:name w:val="Body Text Indent"/>
    <w:basedOn w:val="1"/>
    <w:qFormat/>
    <w:uiPriority w:val="0"/>
    <w:pPr>
      <w:spacing w:line="700" w:lineRule="exact"/>
      <w:ind w:left="960"/>
    </w:pPr>
    <w:rPr>
      <w:sz w:val="44"/>
    </w:r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Balloon Text"/>
    <w:basedOn w:val="1"/>
    <w:link w:val="29"/>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spacing w:line="180" w:lineRule="auto"/>
      <w:jc w:val="center"/>
    </w:pPr>
    <w:rPr>
      <w:sz w:val="30"/>
    </w:rPr>
  </w:style>
  <w:style w:type="paragraph" w:styleId="17">
    <w:name w:val="Subtitle"/>
    <w:basedOn w:val="1"/>
    <w:next w:val="1"/>
    <w:qFormat/>
    <w:uiPriority w:val="0"/>
    <w:pPr>
      <w:autoSpaceDE w:val="0"/>
      <w:autoSpaceDN w:val="0"/>
      <w:spacing w:line="312" w:lineRule="auto"/>
      <w:jc w:val="center"/>
      <w:outlineLvl w:val="1"/>
    </w:pPr>
    <w:rPr>
      <w:rFonts w:ascii="Arial" w:hAnsi="Arial" w:cs="宋体"/>
      <w:b/>
      <w:kern w:val="28"/>
      <w:sz w:val="32"/>
      <w:szCs w:val="22"/>
      <w:lang w:val="zh-CN" w:bidi="zh-CN"/>
    </w:rPr>
  </w:style>
  <w:style w:type="paragraph" w:styleId="18">
    <w:name w:val="toc 2"/>
    <w:basedOn w:val="1"/>
    <w:next w:val="1"/>
    <w:qFormat/>
    <w:uiPriority w:val="39"/>
    <w:pPr>
      <w:ind w:left="420" w:leftChars="200"/>
    </w:pPr>
  </w:style>
  <w:style w:type="paragraph" w:styleId="19">
    <w:name w:val="Body Text First Indent"/>
    <w:basedOn w:val="8"/>
    <w:qFormat/>
    <w:uiPriority w:val="0"/>
    <w:pPr>
      <w:spacing w:line="360" w:lineRule="auto"/>
      <w:ind w:firstLine="420"/>
    </w:pPr>
    <w:rPr>
      <w:rFonts w:ascii="宋体" w:hAnsi="宋体"/>
      <w:sz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paragraph" w:customStyle="1" w:styleId="24">
    <w:name w:val="1.1dieji"/>
    <w:basedOn w:val="25"/>
    <w:qFormat/>
    <w:uiPriority w:val="0"/>
    <w:pPr>
      <w:numPr>
        <w:ilvl w:val="1"/>
        <w:numId w:val="2"/>
      </w:numPr>
      <w:spacing w:before="280" w:after="280" w:line="360" w:lineRule="auto"/>
      <w:ind w:firstLine="0" w:firstLineChars="0"/>
    </w:pPr>
    <w:rPr>
      <w:rFonts w:ascii="宋体" w:hAnsi="宋体"/>
      <w:b/>
      <w:szCs w:val="28"/>
    </w:rPr>
  </w:style>
  <w:style w:type="paragraph" w:styleId="25">
    <w:name w:val="List Paragraph"/>
    <w:basedOn w:val="1"/>
    <w:qFormat/>
    <w:uiPriority w:val="99"/>
    <w:pPr>
      <w:ind w:firstLine="420" w:firstLineChars="200"/>
    </w:pPr>
  </w:style>
  <w:style w:type="paragraph" w:customStyle="1" w:styleId="26">
    <w:name w:val="三级不带标题-PA报表"/>
    <w:basedOn w:val="1"/>
    <w:qFormat/>
    <w:uiPriority w:val="0"/>
    <w:pPr>
      <w:numPr>
        <w:ilvl w:val="2"/>
        <w:numId w:val="3"/>
      </w:numPr>
    </w:pPr>
  </w:style>
  <w:style w:type="paragraph" w:customStyle="1" w:styleId="27">
    <w:name w:val="1"/>
    <w:basedOn w:val="1"/>
    <w:next w:val="10"/>
    <w:qFormat/>
    <w:uiPriority w:val="0"/>
    <w:rPr>
      <w:rFonts w:ascii="宋体" w:hAnsi="Courier New"/>
      <w:sz w:val="21"/>
    </w:rPr>
  </w:style>
  <w:style w:type="paragraph" w:customStyle="1" w:styleId="28">
    <w:name w:val="Table Text"/>
    <w:qFormat/>
    <w:uiPriority w:val="0"/>
    <w:pPr>
      <w:snapToGrid w:val="0"/>
      <w:spacing w:before="80" w:after="80"/>
    </w:pPr>
    <w:rPr>
      <w:rFonts w:ascii="Arial" w:hAnsi="Arial" w:eastAsia="宋体" w:cs="Times New Roman"/>
      <w:kern w:val="2"/>
      <w:sz w:val="18"/>
      <w:lang w:val="en-US" w:eastAsia="zh-CN" w:bidi="ar-SA"/>
    </w:rPr>
  </w:style>
  <w:style w:type="character" w:customStyle="1" w:styleId="29">
    <w:name w:val="批注框文本 Char"/>
    <w:basedOn w:val="22"/>
    <w:link w:val="1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11772</Words>
  <Characters>12499</Characters>
  <Lines>194</Lines>
  <Paragraphs>54</Paragraphs>
  <TotalTime>3</TotalTime>
  <ScaleCrop>false</ScaleCrop>
  <LinksUpToDate>false</LinksUpToDate>
  <CharactersWithSpaces>16695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2024-03-22T09:11:00Z</dcterms:created>
  <dc:creator>Noname</dc:creator>
  <cp:lastModifiedBy>紫夜</cp:lastModifiedBy>
  <cp:lastPrinted>2024-04-17T03:38:00Z</cp:lastPrinted>
  <dcterms:modified xsi:type="dcterms:W3CDTF">2025-07-27T06:50:58Z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6AD606C175DC6DEDFE1585683BD3445B_43</vt:lpwstr>
  </property>
  <property fmtid="{D5CDD505-2E9C-101B-9397-08002B2CF9AE}" pid="3" name="KSOProductBuildVer">
    <vt:lpwstr>2052-12.1.0.21915</vt:lpwstr>
  </property>
  <property fmtid="{D5CDD505-2E9C-101B-9397-08002B2CF9AE}" pid="4" name="KSOTemplateDocerSaveRecord">
    <vt:lpwstr>eyJoZGlkIjoiMzQ0MDMyMTMzNzQ2NzUyZmYzNGY1YzJiZjFjMTM1MzAiLCJ1c2VySWQiOiI2OTE1MjgyNzUifQ==</vt:lpwstr>
  </property>
</Properties>
</file>