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8C741">
      <w:pPr>
        <w:pStyle w:val="7"/>
        <w:spacing w:line="540" w:lineRule="exact"/>
        <w:ind w:firstLine="0" w:firstLineChars="0"/>
        <w:jc w:val="center"/>
        <w:rPr>
          <w:rFonts w:hint="eastAsia" w:ascii="方正仿宋_GBK" w:hAnsi="Times New Roman" w:eastAsia="方正仿宋_GBK" w:cs="Times New Roman"/>
          <w:b/>
          <w:color w:val="000000"/>
          <w:sz w:val="44"/>
          <w:lang w:val="en-US" w:eastAsia="zh-CN"/>
        </w:rPr>
      </w:pPr>
      <w:bookmarkStart w:id="0" w:name="_Toc14366"/>
      <w:bookmarkStart w:id="1" w:name="_Toc21468"/>
      <w:bookmarkStart w:id="2" w:name="_Toc21693"/>
      <w:bookmarkStart w:id="3" w:name="_Toc21631"/>
      <w:bookmarkStart w:id="4" w:name="_Toc106030371"/>
      <w:bookmarkStart w:id="5" w:name="_Toc4502"/>
      <w:bookmarkStart w:id="6" w:name="_Toc19468"/>
      <w:bookmarkStart w:id="7" w:name="_Toc25832"/>
      <w:bookmarkStart w:id="8" w:name="_Toc2977"/>
      <w:bookmarkStart w:id="9" w:name="_Toc5284"/>
      <w:bookmarkStart w:id="10" w:name="_Toc31300"/>
      <w:bookmarkStart w:id="11" w:name="_Toc16178"/>
      <w:bookmarkStart w:id="12" w:name="_Toc6967"/>
      <w:bookmarkStart w:id="13" w:name="_Toc5896"/>
      <w:bookmarkStart w:id="14" w:name="_Toc1386"/>
      <w:bookmarkStart w:id="15" w:name="_Toc75793495"/>
      <w:r>
        <w:rPr>
          <w:rFonts w:hint="eastAsia" w:ascii="方正仿宋_GBK" w:eastAsia="方正仿宋_GBK" w:cs="Times New Roman"/>
          <w:b/>
          <w:color w:val="000000"/>
          <w:sz w:val="44"/>
          <w:lang w:val="en-US" w:eastAsia="zh-CN"/>
        </w:rPr>
        <w:t>采购公告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38C1556A">
      <w:pPr>
        <w:snapToGrid w:val="0"/>
        <w:spacing w:line="400" w:lineRule="exact"/>
        <w:ind w:firstLine="480" w:firstLineChars="200"/>
        <w:rPr>
          <w:rFonts w:hint="eastAsia" w:ascii="方正仿宋_GBK" w:hAnsi="宋体" w:eastAsia="方正仿宋_GBK"/>
          <w:color w:val="000000"/>
          <w:sz w:val="24"/>
          <w:szCs w:val="24"/>
          <w:u w:val="single"/>
          <w:lang w:val="en-US" w:eastAsia="zh-CN"/>
        </w:rPr>
      </w:pPr>
    </w:p>
    <w:p w14:paraId="2F1C96A7">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lang w:eastAsia="zh-CN"/>
        </w:rPr>
        <w:t>重庆多杰数字科技咨询服务有限公司</w:t>
      </w:r>
      <w:r>
        <w:rPr>
          <w:rFonts w:hint="eastAsia" w:ascii="方正仿宋_GBK" w:hAnsi="宋体" w:eastAsia="方正仿宋_GBK"/>
          <w:color w:val="000000"/>
          <w:sz w:val="24"/>
          <w:szCs w:val="24"/>
        </w:rPr>
        <w:t>受重庆市</w:t>
      </w:r>
      <w:r>
        <w:rPr>
          <w:rFonts w:hint="eastAsia" w:ascii="方正仿宋_GBK" w:hAnsi="宋体" w:eastAsia="方正仿宋_GBK"/>
          <w:color w:val="000000"/>
          <w:sz w:val="24"/>
          <w:szCs w:val="24"/>
          <w:lang w:val="en-US" w:eastAsia="zh-CN"/>
        </w:rPr>
        <w:t>石柱土家族自治县西沱镇中心卫生院</w:t>
      </w:r>
      <w:r>
        <w:rPr>
          <w:rFonts w:hint="eastAsia" w:ascii="方正仿宋_GBK" w:hAnsi="宋体" w:eastAsia="方正仿宋_GBK"/>
          <w:color w:val="000000"/>
          <w:sz w:val="24"/>
          <w:szCs w:val="24"/>
        </w:rPr>
        <w:t>的委托，对</w:t>
      </w:r>
      <w:r>
        <w:rPr>
          <w:rFonts w:hint="eastAsia" w:ascii="方正仿宋_GBK" w:hAnsi="宋体" w:eastAsia="方正仿宋_GBK"/>
          <w:color w:val="000000"/>
          <w:sz w:val="24"/>
          <w:szCs w:val="24"/>
          <w:lang w:val="en-US" w:eastAsia="zh-CN"/>
        </w:rPr>
        <w:t>石柱土家族自治县西沱镇中心卫生院办公桌椅采购</w:t>
      </w:r>
      <w:r>
        <w:rPr>
          <w:rFonts w:hint="eastAsia" w:ascii="方正仿宋_GBK" w:hAnsi="宋体" w:eastAsia="方正仿宋_GBK"/>
          <w:color w:val="000000"/>
          <w:sz w:val="24"/>
          <w:szCs w:val="24"/>
        </w:rPr>
        <w:t>进行</w:t>
      </w:r>
      <w:r>
        <w:rPr>
          <w:rFonts w:hint="eastAsia" w:ascii="方正仿宋_GBK" w:hAnsi="宋体" w:eastAsia="方正仿宋_GBK"/>
          <w:color w:val="000000"/>
          <w:sz w:val="24"/>
          <w:szCs w:val="24"/>
          <w:lang w:val="en-US" w:eastAsia="zh-CN"/>
        </w:rPr>
        <w:t>竞争性比选</w:t>
      </w:r>
      <w:r>
        <w:rPr>
          <w:rFonts w:hint="eastAsia" w:ascii="方正仿宋_GBK" w:hAnsi="宋体" w:eastAsia="方正仿宋_GBK"/>
          <w:color w:val="000000"/>
          <w:sz w:val="24"/>
          <w:szCs w:val="24"/>
        </w:rPr>
        <w:t>，欢迎有资格的投标人参加投标。</w:t>
      </w:r>
    </w:p>
    <w:p w14:paraId="35BDA944">
      <w:pPr>
        <w:pStyle w:val="2"/>
        <w:spacing w:line="400" w:lineRule="exact"/>
        <w:ind w:firstLine="482" w:firstLineChars="200"/>
        <w:rPr>
          <w:rFonts w:hint="eastAsia" w:ascii="方正仿宋_GBK" w:eastAsia="方正仿宋_GBK"/>
          <w:b/>
          <w:color w:val="000000"/>
          <w:sz w:val="24"/>
        </w:rPr>
      </w:pPr>
      <w:bookmarkStart w:id="16" w:name="_Toc10092"/>
      <w:bookmarkStart w:id="17" w:name="_Toc2284"/>
      <w:bookmarkStart w:id="18" w:name="_Toc398"/>
      <w:bookmarkStart w:id="19" w:name="_Toc8806"/>
      <w:bookmarkStart w:id="20" w:name="_Toc106030372"/>
      <w:bookmarkStart w:id="21" w:name="_Toc9233"/>
      <w:bookmarkStart w:id="22" w:name="_Toc19648"/>
      <w:bookmarkStart w:id="23" w:name="_Toc19082"/>
      <w:bookmarkStart w:id="24" w:name="_Toc14081"/>
      <w:bookmarkStart w:id="25" w:name="_Toc11858"/>
      <w:bookmarkStart w:id="26" w:name="_Toc16810"/>
      <w:bookmarkStart w:id="27" w:name="_Toc75793496"/>
      <w:bookmarkStart w:id="28" w:name="_Toc19219"/>
      <w:bookmarkStart w:id="29" w:name="_Toc9774"/>
      <w:bookmarkStart w:id="30" w:name="_Toc25391"/>
      <w:bookmarkStart w:id="31" w:name="_Toc27035"/>
      <w:r>
        <w:rPr>
          <w:rFonts w:hint="eastAsia" w:ascii="方正仿宋_GBK" w:eastAsia="方正仿宋_GBK"/>
          <w:b/>
          <w:color w:val="000000"/>
          <w:sz w:val="24"/>
        </w:rPr>
        <w:t>一、</w:t>
      </w:r>
      <w:r>
        <w:rPr>
          <w:rFonts w:hint="eastAsia" w:ascii="方正仿宋_GBK" w:eastAsia="方正仿宋_GBK"/>
          <w:b/>
          <w:color w:val="000000"/>
          <w:sz w:val="24"/>
          <w:lang w:val="en-US" w:eastAsia="zh-CN"/>
        </w:rPr>
        <w:t>比选</w:t>
      </w:r>
      <w:r>
        <w:rPr>
          <w:rFonts w:hint="eastAsia" w:ascii="方正仿宋_GBK" w:eastAsia="方正仿宋_GBK"/>
          <w:b/>
          <w:color w:val="000000"/>
          <w:sz w:val="24"/>
        </w:rPr>
        <w:t>项目内容</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1735"/>
        <w:gridCol w:w="1550"/>
        <w:gridCol w:w="1667"/>
      </w:tblGrid>
      <w:tr w14:paraId="3B32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006" w:type="dxa"/>
            <w:noWrap w:val="0"/>
            <w:vAlign w:val="center"/>
          </w:tcPr>
          <w:p w14:paraId="4115526B">
            <w:pPr>
              <w:pStyle w:val="5"/>
              <w:spacing w:line="240" w:lineRule="auto"/>
              <w:ind w:left="0"/>
              <w:jc w:val="center"/>
              <w:outlineLvl w:val="0"/>
              <w:rPr>
                <w:rFonts w:hint="eastAsia" w:ascii="方正仿宋_GBK" w:hAnsi="宋体" w:eastAsia="方正仿宋_GBK"/>
                <w:b/>
                <w:color w:val="000000"/>
                <w:sz w:val="21"/>
                <w:szCs w:val="21"/>
              </w:rPr>
            </w:pPr>
            <w:r>
              <w:rPr>
                <w:rFonts w:hint="eastAsia" w:ascii="方正仿宋_GBK" w:hAnsi="宋体" w:eastAsia="方正仿宋_GBK"/>
                <w:b/>
                <w:color w:val="000000"/>
                <w:sz w:val="21"/>
                <w:szCs w:val="21"/>
              </w:rPr>
              <w:t>包号及名称</w:t>
            </w:r>
          </w:p>
        </w:tc>
        <w:tc>
          <w:tcPr>
            <w:tcW w:w="1735" w:type="dxa"/>
            <w:noWrap w:val="0"/>
            <w:vAlign w:val="center"/>
          </w:tcPr>
          <w:p w14:paraId="261F4906">
            <w:pPr>
              <w:pStyle w:val="5"/>
              <w:spacing w:line="240" w:lineRule="auto"/>
              <w:ind w:left="0"/>
              <w:jc w:val="center"/>
              <w:outlineLvl w:val="0"/>
              <w:rPr>
                <w:rFonts w:hint="eastAsia" w:ascii="方正仿宋_GBK" w:hAnsi="宋体" w:eastAsia="方正仿宋_GBK"/>
                <w:b/>
                <w:color w:val="000000"/>
                <w:sz w:val="21"/>
                <w:szCs w:val="21"/>
              </w:rPr>
            </w:pPr>
            <w:r>
              <w:rPr>
                <w:rFonts w:hint="eastAsia" w:ascii="方正仿宋_GBK" w:hAnsi="宋体" w:eastAsia="方正仿宋_GBK"/>
                <w:b/>
                <w:color w:val="000000"/>
                <w:sz w:val="21"/>
                <w:szCs w:val="21"/>
              </w:rPr>
              <w:t>最高限价</w:t>
            </w:r>
          </w:p>
          <w:p w14:paraId="01F568C7">
            <w:pPr>
              <w:pStyle w:val="5"/>
              <w:spacing w:line="240" w:lineRule="auto"/>
              <w:ind w:left="0"/>
              <w:jc w:val="center"/>
              <w:outlineLvl w:val="0"/>
              <w:rPr>
                <w:rFonts w:hint="eastAsia" w:ascii="方正仿宋_GBK" w:hAnsi="宋体" w:eastAsia="方正仿宋_GBK"/>
                <w:b/>
                <w:color w:val="000000"/>
                <w:sz w:val="21"/>
                <w:szCs w:val="21"/>
              </w:rPr>
            </w:pPr>
            <w:r>
              <w:rPr>
                <w:rFonts w:hint="eastAsia" w:ascii="方正仿宋_GBK" w:hAnsi="宋体" w:eastAsia="方正仿宋_GBK"/>
                <w:b/>
                <w:color w:val="000000"/>
                <w:sz w:val="21"/>
                <w:szCs w:val="21"/>
              </w:rPr>
              <w:t>（元）</w:t>
            </w:r>
          </w:p>
        </w:tc>
        <w:tc>
          <w:tcPr>
            <w:tcW w:w="1550" w:type="dxa"/>
            <w:noWrap w:val="0"/>
            <w:vAlign w:val="center"/>
          </w:tcPr>
          <w:p w14:paraId="46767628">
            <w:pPr>
              <w:pStyle w:val="5"/>
              <w:spacing w:line="240" w:lineRule="auto"/>
              <w:ind w:left="0"/>
              <w:jc w:val="center"/>
              <w:outlineLvl w:val="0"/>
              <w:rPr>
                <w:rFonts w:hint="eastAsia" w:ascii="方正仿宋_GBK" w:hAnsi="宋体" w:eastAsia="方正仿宋_GBK"/>
                <w:b/>
                <w:color w:val="000000"/>
                <w:sz w:val="21"/>
                <w:szCs w:val="21"/>
              </w:rPr>
            </w:pPr>
            <w:r>
              <w:rPr>
                <w:rFonts w:hint="eastAsia" w:ascii="方正仿宋_GBK" w:hAnsi="宋体" w:eastAsia="方正仿宋_GBK"/>
                <w:b/>
                <w:color w:val="000000"/>
                <w:sz w:val="21"/>
                <w:szCs w:val="21"/>
              </w:rPr>
              <w:t>投标保证金</w:t>
            </w:r>
          </w:p>
          <w:p w14:paraId="0EF33850">
            <w:pPr>
              <w:pStyle w:val="5"/>
              <w:spacing w:line="240" w:lineRule="auto"/>
              <w:ind w:left="0"/>
              <w:jc w:val="center"/>
              <w:outlineLvl w:val="0"/>
              <w:rPr>
                <w:rFonts w:hint="eastAsia" w:ascii="方正仿宋_GBK" w:hAnsi="宋体" w:eastAsia="方正仿宋_GBK"/>
                <w:b/>
                <w:color w:val="000000"/>
                <w:sz w:val="21"/>
                <w:szCs w:val="21"/>
              </w:rPr>
            </w:pPr>
            <w:r>
              <w:rPr>
                <w:rFonts w:hint="eastAsia" w:ascii="方正仿宋_GBK" w:hAnsi="宋体" w:eastAsia="方正仿宋_GBK"/>
                <w:b/>
                <w:color w:val="000000"/>
                <w:sz w:val="21"/>
                <w:szCs w:val="21"/>
              </w:rPr>
              <w:t>（元）</w:t>
            </w:r>
          </w:p>
        </w:tc>
        <w:tc>
          <w:tcPr>
            <w:tcW w:w="1667" w:type="dxa"/>
            <w:noWrap w:val="0"/>
            <w:vAlign w:val="center"/>
          </w:tcPr>
          <w:p w14:paraId="09BAFEF8">
            <w:pPr>
              <w:pStyle w:val="5"/>
              <w:spacing w:line="240" w:lineRule="auto"/>
              <w:ind w:left="0"/>
              <w:jc w:val="center"/>
              <w:outlineLvl w:val="0"/>
              <w:rPr>
                <w:rFonts w:hint="eastAsia" w:ascii="方正仿宋_GBK" w:hAnsi="宋体" w:eastAsia="方正仿宋_GBK"/>
                <w:b/>
                <w:color w:val="000000"/>
                <w:sz w:val="21"/>
                <w:szCs w:val="21"/>
              </w:rPr>
            </w:pPr>
            <w:r>
              <w:rPr>
                <w:rFonts w:hint="eastAsia" w:ascii="方正仿宋_GBK" w:hAnsi="宋体" w:eastAsia="方正仿宋_GBK"/>
                <w:b/>
                <w:color w:val="000000"/>
                <w:sz w:val="21"/>
                <w:szCs w:val="21"/>
              </w:rPr>
              <w:t>中标人数量（名）</w:t>
            </w:r>
          </w:p>
        </w:tc>
      </w:tr>
      <w:tr w14:paraId="174E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3006" w:type="dxa"/>
            <w:noWrap w:val="0"/>
            <w:vAlign w:val="center"/>
          </w:tcPr>
          <w:p w14:paraId="0E52DAB1">
            <w:pPr>
              <w:pStyle w:val="3"/>
              <w:spacing w:line="240" w:lineRule="auto"/>
              <w:ind w:firstLine="0"/>
              <w:outlineLvl w:val="0"/>
              <w:rPr>
                <w:rFonts w:hint="default" w:ascii="方正仿宋_GBK" w:hAnsi="宋体" w:eastAsia="方正仿宋_GBK"/>
                <w:color w:val="000000"/>
                <w:sz w:val="21"/>
                <w:szCs w:val="21"/>
                <w:lang w:val="en-US"/>
              </w:rPr>
            </w:pPr>
            <w:r>
              <w:rPr>
                <w:rFonts w:hint="default" w:ascii="方正仿宋_GBK" w:hAnsi="宋体" w:eastAsia="方正仿宋_GBK"/>
                <w:color w:val="000000"/>
                <w:sz w:val="21"/>
                <w:szCs w:val="21"/>
                <w:lang w:val="en-US" w:eastAsia="zh-CN"/>
              </w:rPr>
              <w:t>石柱土家族自治县西沱镇中心卫生院办公桌椅采购</w:t>
            </w:r>
          </w:p>
        </w:tc>
        <w:tc>
          <w:tcPr>
            <w:tcW w:w="1735" w:type="dxa"/>
            <w:noWrap w:val="0"/>
            <w:vAlign w:val="center"/>
          </w:tcPr>
          <w:p w14:paraId="3F8331DE">
            <w:pPr>
              <w:pStyle w:val="5"/>
              <w:spacing w:line="240" w:lineRule="auto"/>
              <w:ind w:left="0"/>
              <w:jc w:val="center"/>
              <w:outlineLvl w:val="0"/>
              <w:rPr>
                <w:rFonts w:hint="default" w:ascii="方正仿宋_GBK" w:hAnsi="宋体" w:eastAsia="方正仿宋_GBK"/>
                <w:color w:val="000000"/>
                <w:sz w:val="21"/>
                <w:szCs w:val="21"/>
                <w:lang w:val="en-US" w:eastAsia="zh-CN"/>
              </w:rPr>
            </w:pPr>
            <w:r>
              <w:rPr>
                <w:rFonts w:hint="eastAsia" w:ascii="方正仿宋_GBK" w:hAnsi="宋体" w:eastAsia="方正仿宋_GBK"/>
                <w:color w:val="000000"/>
                <w:sz w:val="21"/>
                <w:szCs w:val="21"/>
                <w:lang w:val="en-US" w:eastAsia="zh-CN"/>
              </w:rPr>
              <w:t>495170.00</w:t>
            </w:r>
          </w:p>
        </w:tc>
        <w:tc>
          <w:tcPr>
            <w:tcW w:w="1550" w:type="dxa"/>
            <w:noWrap w:val="0"/>
            <w:vAlign w:val="center"/>
          </w:tcPr>
          <w:p w14:paraId="0F880512">
            <w:pPr>
              <w:pStyle w:val="3"/>
              <w:spacing w:line="240" w:lineRule="auto"/>
              <w:ind w:firstLine="0"/>
              <w:jc w:val="center"/>
              <w:outlineLvl w:val="0"/>
              <w:rPr>
                <w:rFonts w:hint="default" w:ascii="方正仿宋_GBK" w:hAnsi="宋体" w:eastAsia="方正仿宋_GBK"/>
                <w:color w:val="000000"/>
                <w:sz w:val="21"/>
                <w:szCs w:val="21"/>
                <w:lang w:val="en-US" w:eastAsia="zh-CN"/>
              </w:rPr>
            </w:pPr>
            <w:r>
              <w:rPr>
                <w:rFonts w:hint="eastAsia" w:ascii="方正仿宋_GBK" w:hAnsi="宋体" w:eastAsia="方正仿宋_GBK"/>
                <w:color w:val="000000"/>
                <w:sz w:val="21"/>
                <w:szCs w:val="21"/>
                <w:lang w:val="en-US" w:eastAsia="zh-CN"/>
              </w:rPr>
              <w:t>无</w:t>
            </w:r>
          </w:p>
        </w:tc>
        <w:tc>
          <w:tcPr>
            <w:tcW w:w="1667" w:type="dxa"/>
            <w:noWrap w:val="0"/>
            <w:vAlign w:val="center"/>
          </w:tcPr>
          <w:p w14:paraId="2632D96D">
            <w:pPr>
              <w:pStyle w:val="3"/>
              <w:spacing w:line="240" w:lineRule="auto"/>
              <w:ind w:firstLine="0"/>
              <w:jc w:val="center"/>
              <w:outlineLvl w:val="0"/>
              <w:rPr>
                <w:rFonts w:hint="eastAsia" w:ascii="方正仿宋_GBK" w:hAnsi="宋体" w:eastAsia="方正仿宋_GBK"/>
                <w:color w:val="000000"/>
                <w:sz w:val="21"/>
                <w:szCs w:val="21"/>
                <w:lang w:val="en-US" w:eastAsia="zh-CN"/>
              </w:rPr>
            </w:pPr>
            <w:r>
              <w:rPr>
                <w:rFonts w:hint="eastAsia" w:ascii="方正仿宋_GBK" w:hAnsi="宋体" w:eastAsia="方正仿宋_GBK"/>
                <w:color w:val="000000"/>
                <w:sz w:val="21"/>
                <w:szCs w:val="21"/>
                <w:lang w:val="en-US" w:eastAsia="zh-CN"/>
              </w:rPr>
              <w:t>1</w:t>
            </w:r>
          </w:p>
        </w:tc>
      </w:tr>
    </w:tbl>
    <w:p w14:paraId="55F6B14F">
      <w:pPr>
        <w:pStyle w:val="2"/>
        <w:spacing w:line="400" w:lineRule="exact"/>
        <w:ind w:firstLine="482" w:firstLineChars="200"/>
        <w:rPr>
          <w:rFonts w:hint="eastAsia" w:ascii="方正仿宋_GBK" w:eastAsia="方正仿宋_GBK"/>
          <w:b/>
          <w:color w:val="000000"/>
          <w:sz w:val="24"/>
        </w:rPr>
      </w:pPr>
      <w:bookmarkStart w:id="32" w:name="_Toc7121"/>
      <w:bookmarkStart w:id="33" w:name="_Toc15664"/>
      <w:bookmarkStart w:id="34" w:name="_Toc26507"/>
      <w:bookmarkStart w:id="35" w:name="_Toc15272"/>
      <w:bookmarkStart w:id="36" w:name="_Toc26284"/>
      <w:bookmarkStart w:id="37" w:name="_Toc9736"/>
      <w:bookmarkStart w:id="38" w:name="_Toc31390"/>
      <w:bookmarkStart w:id="39" w:name="_Toc22549"/>
      <w:bookmarkStart w:id="40" w:name="_Toc12298"/>
      <w:bookmarkStart w:id="41" w:name="_Toc106030373"/>
      <w:bookmarkStart w:id="42" w:name="_Toc856"/>
      <w:bookmarkStart w:id="43" w:name="_Toc29240"/>
      <w:bookmarkStart w:id="44" w:name="_Toc26540"/>
      <w:bookmarkStart w:id="45" w:name="_Toc31180"/>
      <w:bookmarkStart w:id="46" w:name="_Toc22327"/>
      <w:bookmarkStart w:id="47" w:name="_Toc75793497"/>
      <w:r>
        <w:rPr>
          <w:rFonts w:hint="eastAsia" w:ascii="方正仿宋_GBK" w:eastAsia="方正仿宋_GBK"/>
          <w:b/>
          <w:color w:val="000000"/>
          <w:sz w:val="24"/>
        </w:rPr>
        <w:t>二、资金来源</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3693A29D">
      <w:pPr>
        <w:pStyle w:val="2"/>
        <w:spacing w:line="400" w:lineRule="exact"/>
        <w:ind w:firstLine="480" w:firstLineChars="200"/>
        <w:rPr>
          <w:rFonts w:hint="eastAsia" w:ascii="方正仿宋_GBK" w:eastAsia="方正仿宋_GBK"/>
          <w:b w:val="0"/>
          <w:bCs/>
          <w:color w:val="000000"/>
          <w:sz w:val="24"/>
        </w:rPr>
      </w:pPr>
      <w:bookmarkStart w:id="48" w:name="_Toc75793498"/>
      <w:bookmarkStart w:id="49" w:name="_Toc29468"/>
      <w:bookmarkStart w:id="50" w:name="_Toc21210"/>
      <w:bookmarkStart w:id="51" w:name="_Toc7983"/>
      <w:bookmarkStart w:id="52" w:name="_Toc2256"/>
      <w:bookmarkStart w:id="53" w:name="_Toc4356"/>
      <w:bookmarkStart w:id="54" w:name="_Toc21668"/>
      <w:bookmarkStart w:id="55" w:name="_Toc20698"/>
      <w:bookmarkStart w:id="56" w:name="_Toc12813"/>
      <w:bookmarkStart w:id="57" w:name="_Toc23472"/>
      <w:bookmarkStart w:id="58" w:name="_Toc20925"/>
      <w:bookmarkStart w:id="59" w:name="_Toc682"/>
      <w:bookmarkStart w:id="60" w:name="_Toc28070"/>
      <w:bookmarkStart w:id="61" w:name="_Toc106030374"/>
      <w:bookmarkStart w:id="62" w:name="_Toc4504"/>
      <w:bookmarkStart w:id="63" w:name="_Toc11835"/>
      <w:r>
        <w:rPr>
          <w:rFonts w:hint="eastAsia" w:ascii="方正仿宋_GBK" w:eastAsia="方正仿宋_GBK"/>
          <w:b w:val="0"/>
          <w:bCs/>
          <w:color w:val="000000"/>
          <w:sz w:val="24"/>
        </w:rPr>
        <w:t>财政预算资金。</w:t>
      </w:r>
    </w:p>
    <w:p w14:paraId="045A9C35">
      <w:pPr>
        <w:pStyle w:val="2"/>
        <w:spacing w:line="400" w:lineRule="exact"/>
        <w:ind w:firstLine="482" w:firstLineChars="200"/>
        <w:rPr>
          <w:rFonts w:hint="eastAsia" w:ascii="方正仿宋_GBK" w:eastAsia="方正仿宋_GBK"/>
          <w:b/>
          <w:color w:val="000000"/>
          <w:sz w:val="24"/>
        </w:rPr>
      </w:pPr>
      <w:r>
        <w:rPr>
          <w:rFonts w:hint="eastAsia" w:ascii="方正仿宋_GBK" w:eastAsia="方正仿宋_GBK"/>
          <w:b/>
          <w:color w:val="000000"/>
          <w:sz w:val="24"/>
        </w:rPr>
        <w:t>三、投标人资格要求</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1B65FD3A">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（一）满足《中华人民共和国政府采购法》第二十二条规定；</w:t>
      </w:r>
    </w:p>
    <w:p w14:paraId="55BACEB0">
      <w:pPr>
        <w:spacing w:line="400" w:lineRule="exact"/>
        <w:ind w:firstLine="480" w:firstLineChars="200"/>
        <w:rPr>
          <w:rFonts w:hint="eastAsia" w:ascii="方正仿宋_GBK" w:hAnsi="宋体" w:eastAsia="方正仿宋_GBK"/>
          <w:color w:val="000000"/>
          <w:sz w:val="24"/>
          <w:szCs w:val="24"/>
          <w:lang w:val="en-US" w:eastAsia="zh-CN"/>
        </w:rPr>
      </w:pPr>
      <w:r>
        <w:rPr>
          <w:rFonts w:hint="eastAsia" w:ascii="方正仿宋_GBK" w:hAnsi="宋体" w:eastAsia="方正仿宋_GBK"/>
          <w:color w:val="000000"/>
          <w:sz w:val="24"/>
          <w:szCs w:val="24"/>
        </w:rPr>
        <w:t>（二）落实政府采购政策需满足的资格要求：</w:t>
      </w:r>
      <w:r>
        <w:rPr>
          <w:rFonts w:hint="eastAsia" w:ascii="方正仿宋_GBK" w:hAnsi="宋体" w:eastAsia="方正仿宋_GBK"/>
          <w:i/>
          <w:color w:val="000000"/>
          <w:sz w:val="24"/>
          <w:szCs w:val="24"/>
          <w:u w:val="single"/>
          <w:lang w:val="en-US" w:eastAsia="zh-CN"/>
        </w:rPr>
        <w:t>无</w:t>
      </w:r>
    </w:p>
    <w:p w14:paraId="2C0CE673">
      <w:pPr>
        <w:spacing w:line="400" w:lineRule="exact"/>
        <w:ind w:firstLine="480" w:firstLineChars="200"/>
        <w:rPr>
          <w:rFonts w:hint="default" w:ascii="方正仿宋_GBK" w:hAnsi="宋体" w:eastAsia="方正仿宋_GBK"/>
          <w:color w:val="000000"/>
          <w:sz w:val="24"/>
          <w:szCs w:val="24"/>
          <w:lang w:val="en-US" w:eastAsia="zh-CN"/>
        </w:rPr>
      </w:pPr>
      <w:r>
        <w:rPr>
          <w:rFonts w:hint="eastAsia" w:ascii="方正仿宋_GBK" w:hAnsi="宋体" w:eastAsia="方正仿宋_GBK"/>
          <w:color w:val="000000"/>
          <w:sz w:val="24"/>
          <w:szCs w:val="24"/>
        </w:rPr>
        <w:t>（三）本项目的特定资格要求：</w:t>
      </w:r>
      <w:r>
        <w:rPr>
          <w:rFonts w:hint="eastAsia" w:ascii="方正仿宋_GBK" w:hAnsi="宋体" w:eastAsia="方正仿宋_GBK"/>
          <w:color w:val="000000"/>
          <w:sz w:val="24"/>
          <w:szCs w:val="24"/>
          <w:lang w:eastAsia="zh-CN"/>
        </w:rPr>
        <w:t>供应商</w:t>
      </w:r>
      <w:r>
        <w:rPr>
          <w:rFonts w:hint="eastAsia" w:ascii="方正仿宋_GBK" w:hAnsi="宋体" w:eastAsia="方正仿宋_GBK"/>
          <w:color w:val="000000"/>
          <w:sz w:val="24"/>
          <w:szCs w:val="24"/>
        </w:rPr>
        <w:t>须具有独立承担民事责任的能力，且具有有效的《营业执照》</w:t>
      </w:r>
    </w:p>
    <w:p w14:paraId="7E51CD1D">
      <w:pPr>
        <w:pStyle w:val="2"/>
        <w:spacing w:line="400" w:lineRule="exact"/>
        <w:ind w:firstLine="482" w:firstLineChars="200"/>
        <w:rPr>
          <w:rFonts w:hint="eastAsia" w:ascii="方正仿宋_GBK" w:eastAsia="方正仿宋_GBK"/>
          <w:b/>
          <w:color w:val="000000"/>
          <w:sz w:val="24"/>
        </w:rPr>
      </w:pPr>
      <w:bookmarkStart w:id="64" w:name="_Toc27732"/>
      <w:bookmarkStart w:id="65" w:name="_Toc106030375"/>
      <w:bookmarkStart w:id="66" w:name="_Toc75793499"/>
      <w:bookmarkStart w:id="67" w:name="_Toc8255"/>
      <w:bookmarkStart w:id="68" w:name="_Toc22464"/>
      <w:bookmarkStart w:id="69" w:name="_Toc15980"/>
      <w:bookmarkStart w:id="70" w:name="_Toc27442"/>
      <w:bookmarkStart w:id="71" w:name="_Toc11987"/>
      <w:bookmarkStart w:id="72" w:name="_Toc12680"/>
      <w:bookmarkStart w:id="73" w:name="_Toc5414"/>
      <w:bookmarkStart w:id="74" w:name="_Toc9335"/>
      <w:bookmarkStart w:id="75" w:name="_Toc24618"/>
      <w:bookmarkStart w:id="76" w:name="_Toc11276"/>
      <w:bookmarkStart w:id="77" w:name="_Toc13076"/>
      <w:bookmarkStart w:id="78" w:name="_Toc1132"/>
      <w:bookmarkStart w:id="79" w:name="_Toc28188"/>
      <w:r>
        <w:rPr>
          <w:rFonts w:hint="eastAsia" w:ascii="方正仿宋_GBK" w:eastAsia="方正仿宋_GBK"/>
          <w:b/>
          <w:color w:val="000000"/>
          <w:sz w:val="24"/>
        </w:rPr>
        <w:t>四、投标、开标有关说明</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0FF9C2F5">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一</w:t>
      </w:r>
      <w:r>
        <w:rPr>
          <w:rFonts w:hint="eastAsia" w:ascii="方正仿宋_GBK" w:hAnsi="宋体" w:eastAsia="方正仿宋_GBK"/>
          <w:color w:val="000000"/>
          <w:sz w:val="24"/>
          <w:szCs w:val="24"/>
        </w:rPr>
        <w:t>）凡有意参加投标的投标人，请在“</w:t>
      </w:r>
      <w:r>
        <w:rPr>
          <w:rFonts w:hint="eastAsia" w:ascii="方正仿宋_GBK" w:hAnsi="宋体" w:eastAsia="方正仿宋_GBK"/>
          <w:color w:val="000000"/>
          <w:sz w:val="24"/>
          <w:szCs w:val="24"/>
          <w:lang w:val="en-US" w:eastAsia="zh-CN"/>
        </w:rPr>
        <w:t>行采家（http://www.gec123.com）</w:t>
      </w:r>
      <w:r>
        <w:rPr>
          <w:rFonts w:hint="eastAsia" w:ascii="方正仿宋_GBK" w:hAnsi="宋体" w:eastAsia="方正仿宋_GBK"/>
          <w:color w:val="000000"/>
          <w:sz w:val="24"/>
          <w:szCs w:val="24"/>
        </w:rPr>
        <w:t>”网上下载本项目</w:t>
      </w:r>
      <w:r>
        <w:rPr>
          <w:rFonts w:hint="eastAsia" w:ascii="方正仿宋_GBK" w:hAnsi="宋体" w:eastAsia="方正仿宋_GBK"/>
          <w:color w:val="000000"/>
          <w:sz w:val="24"/>
          <w:szCs w:val="24"/>
          <w:lang w:val="en-US" w:eastAsia="zh-CN"/>
        </w:rPr>
        <w:t>竞争性比选文件及</w:t>
      </w:r>
      <w:r>
        <w:rPr>
          <w:rFonts w:hint="eastAsia" w:ascii="方正仿宋_GBK" w:hAnsi="宋体" w:eastAsia="方正仿宋_GBK"/>
          <w:color w:val="000000"/>
          <w:sz w:val="24"/>
          <w:szCs w:val="24"/>
        </w:rPr>
        <w:t>澄清等开标前公布的所有项目资料，无论投标人领取或下载与否，均视为已知晓所有招标内容。</w:t>
      </w:r>
    </w:p>
    <w:p w14:paraId="34EE180E">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二</w:t>
      </w: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竞争性比选</w:t>
      </w:r>
      <w:r>
        <w:rPr>
          <w:rFonts w:hint="eastAsia" w:ascii="方正仿宋_GBK" w:hAnsi="宋体" w:eastAsia="方正仿宋_GBK"/>
          <w:color w:val="000000"/>
          <w:sz w:val="24"/>
          <w:szCs w:val="24"/>
        </w:rPr>
        <w:t>文件公告期限：自</w:t>
      </w:r>
      <w:r>
        <w:rPr>
          <w:rFonts w:hint="eastAsia" w:ascii="方正仿宋_GBK" w:hAnsi="宋体" w:eastAsia="方正仿宋_GBK"/>
          <w:color w:val="000000"/>
          <w:sz w:val="24"/>
          <w:szCs w:val="24"/>
          <w:lang w:val="en-US" w:eastAsia="zh-CN"/>
        </w:rPr>
        <w:t>比选</w:t>
      </w:r>
      <w:r>
        <w:rPr>
          <w:rFonts w:hint="eastAsia" w:ascii="方正仿宋_GBK" w:hAnsi="宋体" w:eastAsia="方正仿宋_GBK"/>
          <w:color w:val="000000"/>
          <w:sz w:val="24"/>
          <w:szCs w:val="24"/>
        </w:rPr>
        <w:t>公告发布之日起</w:t>
      </w:r>
      <w:r>
        <w:rPr>
          <w:rFonts w:hint="eastAsia" w:ascii="方正仿宋_GBK" w:hAnsi="宋体" w:eastAsia="方正仿宋_GBK"/>
          <w:color w:val="000000"/>
          <w:sz w:val="24"/>
          <w:szCs w:val="24"/>
          <w:lang w:val="en-US" w:eastAsia="zh-CN"/>
        </w:rPr>
        <w:t>三</w:t>
      </w:r>
      <w:r>
        <w:rPr>
          <w:rFonts w:hint="eastAsia" w:ascii="方正仿宋_GBK" w:hAnsi="宋体" w:eastAsia="方正仿宋_GBK"/>
          <w:color w:val="000000"/>
          <w:sz w:val="24"/>
          <w:szCs w:val="24"/>
        </w:rPr>
        <w:t>个工作日。</w:t>
      </w:r>
    </w:p>
    <w:p w14:paraId="60F306A4">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三</w:t>
      </w: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竞争性比选</w:t>
      </w:r>
      <w:r>
        <w:rPr>
          <w:rFonts w:hint="eastAsia" w:ascii="方正仿宋_GBK" w:hAnsi="宋体" w:eastAsia="方正仿宋_GBK"/>
          <w:color w:val="000000"/>
          <w:sz w:val="24"/>
          <w:szCs w:val="24"/>
        </w:rPr>
        <w:t>文件提供期限</w:t>
      </w:r>
    </w:p>
    <w:p w14:paraId="6C3054D8">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1.</w:t>
      </w:r>
      <w:r>
        <w:rPr>
          <w:rFonts w:hint="eastAsia" w:ascii="方正仿宋_GBK" w:hAnsi="宋体" w:eastAsia="方正仿宋_GBK"/>
          <w:color w:val="000000"/>
          <w:sz w:val="24"/>
          <w:szCs w:val="24"/>
          <w:lang w:val="en-US" w:eastAsia="zh-CN"/>
        </w:rPr>
        <w:t>竞争性比选</w:t>
      </w:r>
      <w:r>
        <w:rPr>
          <w:rFonts w:hint="eastAsia" w:ascii="方正仿宋_GBK" w:hAnsi="宋体" w:eastAsia="方正仿宋_GBK"/>
          <w:color w:val="000000"/>
          <w:sz w:val="24"/>
          <w:szCs w:val="24"/>
        </w:rPr>
        <w:t>文件提供期限：</w:t>
      </w:r>
      <w:r>
        <w:rPr>
          <w:rFonts w:hint="eastAsia" w:ascii="方正仿宋_GBK" w:hAnsi="宋体" w:eastAsia="方正仿宋_GBK"/>
          <w:color w:val="000000"/>
          <w:sz w:val="24"/>
          <w:szCs w:val="24"/>
          <w:lang w:val="en-US" w:eastAsia="zh-CN"/>
        </w:rPr>
        <w:t>2025</w:t>
      </w:r>
      <w:r>
        <w:rPr>
          <w:rFonts w:hint="eastAsia" w:ascii="方正仿宋_GBK" w:hAnsi="宋体" w:eastAsia="方正仿宋_GBK"/>
          <w:color w:val="000000"/>
          <w:sz w:val="24"/>
          <w:szCs w:val="24"/>
        </w:rPr>
        <w:t>年</w:t>
      </w:r>
      <w:r>
        <w:rPr>
          <w:rFonts w:hint="eastAsia" w:ascii="方正仿宋_GBK" w:hAnsi="宋体" w:eastAsia="方正仿宋_GBK"/>
          <w:color w:val="000000"/>
          <w:sz w:val="24"/>
          <w:szCs w:val="24"/>
          <w:lang w:val="en-US" w:eastAsia="zh-CN"/>
        </w:rPr>
        <w:t>7</w:t>
      </w:r>
      <w:r>
        <w:rPr>
          <w:rFonts w:hint="eastAsia" w:ascii="方正仿宋_GBK" w:hAnsi="宋体" w:eastAsia="方正仿宋_GBK"/>
          <w:color w:val="000000"/>
          <w:sz w:val="24"/>
          <w:szCs w:val="24"/>
        </w:rPr>
        <w:t>月</w:t>
      </w:r>
      <w:r>
        <w:rPr>
          <w:rFonts w:hint="eastAsia" w:ascii="方正仿宋_GBK" w:hAnsi="宋体" w:eastAsia="方正仿宋_GBK"/>
          <w:color w:val="000000"/>
          <w:sz w:val="24"/>
          <w:szCs w:val="24"/>
          <w:lang w:val="en-US" w:eastAsia="zh-CN"/>
        </w:rPr>
        <w:t>25</w:t>
      </w:r>
      <w:r>
        <w:rPr>
          <w:rFonts w:hint="eastAsia" w:ascii="方正仿宋_GBK" w:hAnsi="宋体" w:eastAsia="方正仿宋_GBK"/>
          <w:color w:val="000000"/>
          <w:sz w:val="24"/>
          <w:szCs w:val="24"/>
        </w:rPr>
        <w:t>日至</w:t>
      </w:r>
      <w:r>
        <w:rPr>
          <w:rFonts w:hint="eastAsia" w:ascii="方正仿宋_GBK" w:hAnsi="宋体" w:eastAsia="方正仿宋_GBK"/>
          <w:color w:val="000000"/>
          <w:sz w:val="24"/>
          <w:szCs w:val="24"/>
          <w:lang w:val="en-US" w:eastAsia="zh-CN"/>
        </w:rPr>
        <w:t>2025</w:t>
      </w:r>
      <w:r>
        <w:rPr>
          <w:rFonts w:hint="eastAsia" w:ascii="方正仿宋_GBK" w:hAnsi="宋体" w:eastAsia="方正仿宋_GBK"/>
          <w:color w:val="000000"/>
          <w:sz w:val="24"/>
          <w:szCs w:val="24"/>
        </w:rPr>
        <w:t>年</w:t>
      </w:r>
      <w:r>
        <w:rPr>
          <w:rFonts w:hint="eastAsia" w:ascii="方正仿宋_GBK" w:hAnsi="宋体" w:eastAsia="方正仿宋_GBK"/>
          <w:color w:val="000000"/>
          <w:sz w:val="24"/>
          <w:szCs w:val="24"/>
          <w:lang w:val="en-US" w:eastAsia="zh-CN"/>
        </w:rPr>
        <w:t>7</w:t>
      </w:r>
      <w:r>
        <w:rPr>
          <w:rFonts w:hint="eastAsia" w:ascii="方正仿宋_GBK" w:hAnsi="宋体" w:eastAsia="方正仿宋_GBK"/>
          <w:color w:val="000000"/>
          <w:sz w:val="24"/>
          <w:szCs w:val="24"/>
        </w:rPr>
        <w:t>月</w:t>
      </w:r>
      <w:r>
        <w:rPr>
          <w:rFonts w:hint="eastAsia" w:ascii="方正仿宋_GBK" w:hAnsi="宋体" w:eastAsia="方正仿宋_GBK"/>
          <w:color w:val="000000"/>
          <w:sz w:val="24"/>
          <w:szCs w:val="24"/>
          <w:lang w:val="en-US" w:eastAsia="zh-CN"/>
        </w:rPr>
        <w:t>29</w:t>
      </w:r>
      <w:r>
        <w:rPr>
          <w:rFonts w:hint="eastAsia" w:ascii="方正仿宋_GBK" w:hAnsi="宋体" w:eastAsia="方正仿宋_GBK"/>
          <w:color w:val="000000"/>
          <w:sz w:val="24"/>
          <w:szCs w:val="24"/>
        </w:rPr>
        <w:t>日（上午09：00时至12：00，下午14：00时至17：00时，法定节假日除外）。</w:t>
      </w:r>
    </w:p>
    <w:p w14:paraId="273CE2B5">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2.报名方式：</w:t>
      </w:r>
      <w:r>
        <w:rPr>
          <w:rFonts w:hint="eastAsia" w:ascii="方正仿宋_GBK" w:hAnsi="宋体" w:eastAsia="方正仿宋_GBK"/>
          <w:color w:val="000000"/>
          <w:sz w:val="24"/>
          <w:szCs w:val="24"/>
          <w:lang w:eastAsia="zh-CN"/>
        </w:rPr>
        <w:t>（</w:t>
      </w:r>
      <w:r>
        <w:rPr>
          <w:rFonts w:hint="eastAsia" w:ascii="方正仿宋_GBK" w:hAnsi="宋体" w:eastAsia="方正仿宋_GBK"/>
          <w:color w:val="000000"/>
          <w:sz w:val="24"/>
          <w:szCs w:val="24"/>
        </w:rPr>
        <w:t>1</w:t>
      </w:r>
      <w:r>
        <w:rPr>
          <w:rFonts w:hint="eastAsia" w:ascii="方正仿宋_GBK" w:hAnsi="宋体" w:eastAsia="方正仿宋_GBK"/>
          <w:color w:val="000000"/>
          <w:sz w:val="24"/>
          <w:szCs w:val="24"/>
          <w:lang w:eastAsia="zh-CN"/>
        </w:rPr>
        <w:t>）</w:t>
      </w:r>
      <w:r>
        <w:rPr>
          <w:rFonts w:hint="eastAsia" w:ascii="方正仿宋_GBK" w:hAnsi="宋体" w:eastAsia="方正仿宋_GBK"/>
          <w:color w:val="000000"/>
          <w:sz w:val="24"/>
          <w:szCs w:val="24"/>
          <w:lang w:val="en-US" w:eastAsia="zh-CN"/>
        </w:rPr>
        <w:t>现场报名：投标人</w:t>
      </w:r>
      <w:r>
        <w:rPr>
          <w:rFonts w:hint="eastAsia" w:ascii="方正仿宋_GBK" w:hAnsi="宋体" w:eastAsia="方正仿宋_GBK"/>
          <w:color w:val="000000"/>
          <w:sz w:val="24"/>
          <w:szCs w:val="24"/>
        </w:rPr>
        <w:t>到</w:t>
      </w:r>
      <w:r>
        <w:rPr>
          <w:rFonts w:hint="eastAsia" w:ascii="方正仿宋_GBK" w:hAnsi="宋体" w:eastAsia="方正仿宋_GBK"/>
          <w:color w:val="000000"/>
          <w:sz w:val="24"/>
          <w:szCs w:val="24"/>
          <w:lang w:eastAsia="zh-CN"/>
        </w:rPr>
        <w:t>重庆多杰数字科技咨询服务有限公司</w:t>
      </w:r>
      <w:r>
        <w:rPr>
          <w:rFonts w:hint="eastAsia" w:ascii="方正仿宋_GBK" w:hAnsi="宋体" w:eastAsia="方正仿宋_GBK"/>
          <w:color w:val="000000"/>
          <w:sz w:val="24"/>
          <w:szCs w:val="24"/>
          <w:lang w:val="en-US" w:eastAsia="zh-CN"/>
        </w:rPr>
        <w:t>现场</w:t>
      </w:r>
      <w:r>
        <w:rPr>
          <w:rFonts w:hint="eastAsia" w:ascii="方正仿宋_GBK" w:hAnsi="宋体" w:eastAsia="方正仿宋_GBK"/>
          <w:color w:val="000000"/>
          <w:sz w:val="24"/>
          <w:szCs w:val="24"/>
        </w:rPr>
        <w:t>递交《</w:t>
      </w:r>
      <w:r>
        <w:rPr>
          <w:rFonts w:hint="eastAsia" w:ascii="方正仿宋_GBK" w:hAnsi="宋体" w:eastAsia="方正仿宋_GBK"/>
          <w:color w:val="000000"/>
          <w:sz w:val="24"/>
          <w:szCs w:val="24"/>
          <w:lang w:val="en-US" w:eastAsia="zh-CN"/>
        </w:rPr>
        <w:t>比选</w:t>
      </w:r>
      <w:r>
        <w:rPr>
          <w:rFonts w:hint="eastAsia" w:ascii="方正仿宋_GBK" w:hAnsi="宋体" w:eastAsia="方正仿宋_GBK"/>
          <w:color w:val="000000"/>
          <w:sz w:val="24"/>
          <w:szCs w:val="24"/>
        </w:rPr>
        <w:t>文件发售登记表》（加盖</w:t>
      </w:r>
      <w:r>
        <w:rPr>
          <w:rFonts w:hint="eastAsia" w:ascii="方正仿宋_GBK" w:hAnsi="宋体" w:eastAsia="方正仿宋_GBK"/>
          <w:color w:val="000000"/>
          <w:sz w:val="24"/>
          <w:szCs w:val="24"/>
          <w:lang w:val="en-US" w:eastAsia="zh-CN"/>
        </w:rPr>
        <w:t>投标人</w:t>
      </w:r>
      <w:r>
        <w:rPr>
          <w:rFonts w:hint="eastAsia" w:ascii="方正仿宋_GBK" w:hAnsi="宋体" w:eastAsia="方正仿宋_GBK"/>
          <w:color w:val="000000"/>
          <w:sz w:val="24"/>
          <w:szCs w:val="24"/>
        </w:rPr>
        <w:t>公章）并</w:t>
      </w:r>
      <w:r>
        <w:rPr>
          <w:rFonts w:hint="eastAsia" w:ascii="方正仿宋_GBK" w:hAnsi="宋体" w:eastAsia="方正仿宋_GBK"/>
          <w:color w:val="000000"/>
          <w:sz w:val="24"/>
          <w:szCs w:val="24"/>
          <w:lang w:val="en-US" w:eastAsia="zh-CN"/>
        </w:rPr>
        <w:t>领取竞争性比选</w:t>
      </w:r>
      <w:r>
        <w:rPr>
          <w:rFonts w:hint="eastAsia" w:ascii="方正仿宋_GBK" w:hAnsi="宋体" w:eastAsia="方正仿宋_GBK"/>
          <w:color w:val="000000"/>
          <w:sz w:val="24"/>
          <w:szCs w:val="24"/>
        </w:rPr>
        <w:t>文件</w:t>
      </w:r>
      <w:r>
        <w:rPr>
          <w:rFonts w:hint="eastAsia" w:ascii="方正仿宋_GBK" w:hAnsi="宋体" w:eastAsia="方正仿宋_GBK"/>
          <w:color w:val="000000"/>
          <w:sz w:val="24"/>
          <w:szCs w:val="24"/>
          <w:lang w:val="en-US" w:eastAsia="zh-CN"/>
        </w:rPr>
        <w:t>及相关的资料</w:t>
      </w:r>
      <w:r>
        <w:rPr>
          <w:rFonts w:hint="eastAsia" w:ascii="方正仿宋_GBK" w:hAnsi="宋体" w:eastAsia="方正仿宋_GBK"/>
          <w:color w:val="000000"/>
          <w:sz w:val="24"/>
          <w:szCs w:val="24"/>
        </w:rPr>
        <w:t>。</w:t>
      </w:r>
    </w:p>
    <w:p w14:paraId="4DF1C800">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lang w:eastAsia="zh-CN"/>
        </w:rPr>
        <w:t>（</w:t>
      </w:r>
      <w:r>
        <w:rPr>
          <w:rFonts w:hint="eastAsia" w:ascii="方正仿宋_GBK" w:hAnsi="宋体" w:eastAsia="方正仿宋_GBK"/>
          <w:color w:val="000000"/>
          <w:sz w:val="24"/>
          <w:szCs w:val="24"/>
        </w:rPr>
        <w:t>2</w:t>
      </w:r>
      <w:r>
        <w:rPr>
          <w:rFonts w:hint="eastAsia" w:ascii="方正仿宋_GBK" w:hAnsi="宋体" w:eastAsia="方正仿宋_GBK"/>
          <w:color w:val="000000"/>
          <w:sz w:val="24"/>
          <w:szCs w:val="24"/>
          <w:lang w:eastAsia="zh-CN"/>
        </w:rPr>
        <w:t>）</w:t>
      </w:r>
      <w:r>
        <w:rPr>
          <w:rFonts w:hint="eastAsia" w:ascii="方正仿宋_GBK" w:hAnsi="宋体" w:eastAsia="方正仿宋_GBK"/>
          <w:color w:val="000000"/>
          <w:sz w:val="24"/>
          <w:szCs w:val="24"/>
          <w:lang w:val="en-US" w:eastAsia="zh-CN"/>
        </w:rPr>
        <w:t>网上报名：投标人</w:t>
      </w:r>
      <w:r>
        <w:rPr>
          <w:rFonts w:hint="eastAsia" w:ascii="方正仿宋_GBK" w:hAnsi="宋体" w:eastAsia="方正仿宋_GBK"/>
          <w:color w:val="000000"/>
          <w:sz w:val="24"/>
          <w:szCs w:val="24"/>
        </w:rPr>
        <w:t>通过</w:t>
      </w:r>
      <w:r>
        <w:rPr>
          <w:rFonts w:hint="eastAsia" w:ascii="方正仿宋_GBK" w:hAnsi="宋体" w:eastAsia="方正仿宋_GBK"/>
          <w:color w:val="000000"/>
          <w:sz w:val="24"/>
          <w:szCs w:val="24"/>
          <w:lang w:val="en-US" w:eastAsia="zh-CN"/>
        </w:rPr>
        <w:t>邮箱</w:t>
      </w:r>
      <w:r>
        <w:rPr>
          <w:rFonts w:hint="eastAsia" w:ascii="方正仿宋_GBK" w:hAnsi="宋体" w:eastAsia="方正仿宋_GBK"/>
          <w:color w:val="000000"/>
          <w:sz w:val="24"/>
          <w:szCs w:val="24"/>
        </w:rPr>
        <w:t>将《</w:t>
      </w:r>
      <w:r>
        <w:rPr>
          <w:rFonts w:hint="eastAsia" w:ascii="方正仿宋_GBK" w:hAnsi="宋体" w:eastAsia="方正仿宋_GBK"/>
          <w:color w:val="000000"/>
          <w:sz w:val="24"/>
          <w:szCs w:val="24"/>
          <w:lang w:val="en-US" w:eastAsia="zh-CN"/>
        </w:rPr>
        <w:t>比选</w:t>
      </w:r>
      <w:r>
        <w:rPr>
          <w:rFonts w:hint="eastAsia" w:ascii="方正仿宋_GBK" w:hAnsi="宋体" w:eastAsia="方正仿宋_GBK"/>
          <w:color w:val="000000"/>
          <w:sz w:val="24"/>
          <w:szCs w:val="24"/>
        </w:rPr>
        <w:t>文件发售登记表》（加盖</w:t>
      </w:r>
      <w:r>
        <w:rPr>
          <w:rFonts w:hint="eastAsia" w:ascii="方正仿宋_GBK" w:hAnsi="宋体" w:eastAsia="方正仿宋_GBK"/>
          <w:color w:val="000000"/>
          <w:sz w:val="24"/>
          <w:szCs w:val="24"/>
          <w:lang w:val="en-US" w:eastAsia="zh-CN"/>
        </w:rPr>
        <w:t>投标人</w:t>
      </w:r>
      <w:r>
        <w:rPr>
          <w:rFonts w:hint="eastAsia" w:ascii="方正仿宋_GBK" w:hAnsi="宋体" w:eastAsia="方正仿宋_GBK"/>
          <w:color w:val="000000"/>
          <w:sz w:val="24"/>
          <w:szCs w:val="24"/>
        </w:rPr>
        <w:t xml:space="preserve">公章）扫描后发送至 </w:t>
      </w:r>
      <w:r>
        <w:rPr>
          <w:rFonts w:hint="eastAsia" w:ascii="方正仿宋_GBK" w:hAnsi="宋体" w:eastAsia="方正仿宋_GBK"/>
          <w:color w:val="000000"/>
          <w:sz w:val="24"/>
          <w:szCs w:val="24"/>
          <w:lang w:val="en-US" w:eastAsia="zh-CN"/>
        </w:rPr>
        <w:t>67192564@qq.com</w:t>
      </w:r>
      <w:r>
        <w:rPr>
          <w:rFonts w:hint="eastAsia" w:ascii="方正仿宋_GBK" w:hAnsi="宋体" w:eastAsia="方正仿宋_GBK"/>
          <w:color w:val="000000"/>
          <w:sz w:val="24"/>
          <w:szCs w:val="24"/>
        </w:rPr>
        <w:t>（邮箱）</w:t>
      </w:r>
      <w:r>
        <w:rPr>
          <w:rFonts w:hint="eastAsia" w:ascii="方正仿宋_GBK" w:hAnsi="宋体" w:eastAsia="方正仿宋_GBK"/>
          <w:color w:val="000000"/>
          <w:sz w:val="24"/>
          <w:szCs w:val="24"/>
          <w:lang w:val="en-US" w:eastAsia="zh-CN"/>
        </w:rPr>
        <w:t>后电话通知比选代理机构，比选代理机构将竞争性比选文件和相关的资料按来递邮箱发送给报名成功的投标人。</w:t>
      </w:r>
    </w:p>
    <w:p w14:paraId="2A206544">
      <w:pPr>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3.</w:t>
      </w:r>
      <w:r>
        <w:rPr>
          <w:rFonts w:hint="eastAsia" w:ascii="方正仿宋_GBK" w:hAnsi="宋体" w:eastAsia="方正仿宋_GBK"/>
          <w:color w:val="000000"/>
          <w:sz w:val="24"/>
          <w:szCs w:val="24"/>
          <w:lang w:val="en-US" w:eastAsia="zh-CN"/>
        </w:rPr>
        <w:t>竞争性比选</w:t>
      </w:r>
      <w:r>
        <w:rPr>
          <w:rFonts w:hint="eastAsia" w:ascii="方正仿宋_GBK" w:hAnsi="宋体" w:eastAsia="方正仿宋_GBK"/>
          <w:color w:val="000000"/>
          <w:sz w:val="24"/>
          <w:szCs w:val="24"/>
        </w:rPr>
        <w:t>文件售价：人民币</w:t>
      </w:r>
      <w:r>
        <w:rPr>
          <w:rFonts w:hint="eastAsia" w:ascii="方正仿宋_GBK" w:hAnsi="宋体" w:eastAsia="方正仿宋_GBK"/>
          <w:color w:val="000000"/>
          <w:sz w:val="24"/>
          <w:szCs w:val="24"/>
          <w:lang w:val="en-US" w:eastAsia="zh-CN"/>
        </w:rPr>
        <w:t>500</w:t>
      </w:r>
      <w:r>
        <w:rPr>
          <w:rFonts w:hint="eastAsia" w:ascii="方正仿宋_GBK" w:hAnsi="宋体" w:eastAsia="方正仿宋_GBK"/>
          <w:color w:val="000000"/>
          <w:sz w:val="24"/>
          <w:szCs w:val="24"/>
        </w:rPr>
        <w:t>元/包</w:t>
      </w:r>
      <w:r>
        <w:rPr>
          <w:rFonts w:hint="eastAsia" w:ascii="方正仿宋_GBK" w:hAnsi="宋体" w:eastAsia="方正仿宋_GBK"/>
          <w:color w:val="000000"/>
          <w:sz w:val="24"/>
          <w:szCs w:val="24"/>
          <w:lang w:eastAsia="zh-CN"/>
        </w:rPr>
        <w:t>，</w:t>
      </w:r>
      <w:r>
        <w:rPr>
          <w:rFonts w:hint="eastAsia" w:ascii="方正仿宋_GBK" w:hAnsi="宋体" w:eastAsia="方正仿宋_GBK"/>
          <w:color w:val="000000"/>
          <w:sz w:val="24"/>
          <w:szCs w:val="24"/>
          <w:lang w:val="en-US" w:eastAsia="zh-CN"/>
        </w:rPr>
        <w:t>在报名时支付比选文件费用，售后不退</w:t>
      </w:r>
      <w:r>
        <w:rPr>
          <w:rFonts w:hint="eastAsia" w:ascii="方正仿宋_GBK" w:hAnsi="宋体" w:eastAsia="方正仿宋_GBK"/>
          <w:color w:val="000000"/>
          <w:sz w:val="24"/>
          <w:szCs w:val="24"/>
        </w:rPr>
        <w:t>。</w:t>
      </w:r>
    </w:p>
    <w:p w14:paraId="528AB71D">
      <w:pPr>
        <w:spacing w:line="400" w:lineRule="exact"/>
        <w:ind w:firstLine="480" w:firstLineChars="200"/>
        <w:rPr>
          <w:rFonts w:hint="eastAsia" w:ascii="方正仿宋_GBK" w:hAnsi="宋体" w:eastAsia="方正仿宋_GBK"/>
          <w:color w:val="000000"/>
          <w:sz w:val="24"/>
          <w:szCs w:val="24"/>
          <w:lang w:val="en-US" w:eastAsia="zh-CN"/>
        </w:rPr>
      </w:pPr>
      <w:r>
        <w:rPr>
          <w:rFonts w:hint="eastAsia" w:ascii="方正仿宋_GBK" w:hAnsi="宋体" w:eastAsia="方正仿宋_GBK"/>
          <w:color w:val="000000"/>
          <w:sz w:val="24"/>
          <w:szCs w:val="24"/>
          <w:lang w:val="en-US" w:eastAsia="zh-CN"/>
        </w:rPr>
        <w:t>（四）线下递交投标文件</w:t>
      </w:r>
    </w:p>
    <w:p w14:paraId="61934D38">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线下（投标现场）</w:t>
      </w:r>
      <w:r>
        <w:rPr>
          <w:rFonts w:hint="eastAsia" w:ascii="方正仿宋_GBK" w:hAnsi="宋体" w:eastAsia="方正仿宋_GBK"/>
          <w:color w:val="000000"/>
          <w:sz w:val="24"/>
          <w:szCs w:val="24"/>
          <w:lang w:val="en-US" w:eastAsia="zh-CN"/>
        </w:rPr>
        <w:t>投标</w:t>
      </w:r>
      <w:r>
        <w:rPr>
          <w:rFonts w:hint="eastAsia" w:ascii="方正仿宋_GBK" w:hAnsi="宋体" w:eastAsia="方正仿宋_GBK"/>
          <w:color w:val="000000"/>
          <w:sz w:val="24"/>
          <w:szCs w:val="24"/>
        </w:rPr>
        <w:t>文件提交规则：</w:t>
      </w:r>
    </w:p>
    <w:p w14:paraId="2922EA0F">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（1）</w:t>
      </w:r>
      <w:r>
        <w:rPr>
          <w:rFonts w:hint="eastAsia" w:ascii="方正仿宋_GBK" w:hAnsi="宋体" w:eastAsia="方正仿宋_GBK"/>
          <w:color w:val="000000"/>
          <w:sz w:val="24"/>
          <w:szCs w:val="24"/>
          <w:lang w:val="en-US" w:eastAsia="zh-CN"/>
        </w:rPr>
        <w:t>投标</w:t>
      </w:r>
      <w:r>
        <w:rPr>
          <w:rFonts w:hint="eastAsia" w:ascii="方正仿宋_GBK" w:hAnsi="宋体" w:eastAsia="方正仿宋_GBK"/>
          <w:color w:val="000000"/>
          <w:sz w:val="24"/>
          <w:szCs w:val="24"/>
        </w:rPr>
        <w:t>文件一式</w:t>
      </w:r>
      <w:r>
        <w:rPr>
          <w:rFonts w:hint="eastAsia" w:ascii="方正仿宋_GBK" w:hAnsi="宋体" w:eastAsia="方正仿宋_GBK"/>
          <w:color w:val="000000"/>
          <w:sz w:val="24"/>
          <w:szCs w:val="24"/>
          <w:lang w:val="en-US" w:eastAsia="zh-CN"/>
        </w:rPr>
        <w:t>三</w:t>
      </w:r>
      <w:r>
        <w:rPr>
          <w:rFonts w:hint="eastAsia" w:ascii="方正仿宋_GBK" w:hAnsi="宋体" w:eastAsia="方正仿宋_GBK"/>
          <w:color w:val="000000"/>
          <w:sz w:val="24"/>
          <w:szCs w:val="24"/>
        </w:rPr>
        <w:t>份，其中正本一份，副本一份，</w:t>
      </w:r>
      <w:r>
        <w:rPr>
          <w:rFonts w:hint="eastAsia" w:ascii="方正仿宋_GBK" w:hAnsi="宋体" w:eastAsia="方正仿宋_GBK"/>
          <w:color w:val="000000"/>
          <w:sz w:val="24"/>
          <w:szCs w:val="24"/>
          <w:lang w:val="en-US" w:eastAsia="zh-CN"/>
        </w:rPr>
        <w:t>电子档（U盘）一份；</w:t>
      </w:r>
      <w:r>
        <w:rPr>
          <w:rFonts w:hint="eastAsia" w:ascii="方正仿宋_GBK" w:hAnsi="宋体" w:eastAsia="方正仿宋_GBK"/>
          <w:color w:val="000000"/>
          <w:sz w:val="24"/>
          <w:szCs w:val="24"/>
        </w:rPr>
        <w:t>副本可为正本的复印件，应与正本一致，如出现不一致情况以正本为准。</w:t>
      </w:r>
    </w:p>
    <w:p w14:paraId="57999D17">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2</w:t>
      </w: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投标</w:t>
      </w:r>
      <w:r>
        <w:rPr>
          <w:rFonts w:hint="eastAsia" w:ascii="方正仿宋_GBK" w:hAnsi="宋体" w:eastAsia="方正仿宋_GBK"/>
          <w:color w:val="000000"/>
          <w:sz w:val="24"/>
          <w:szCs w:val="24"/>
        </w:rPr>
        <w:t>文件的密封与标记</w:t>
      </w:r>
    </w:p>
    <w:p w14:paraId="31362E54">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lang w:val="en-US" w:eastAsia="zh-CN"/>
        </w:rPr>
        <w:t>投标</w:t>
      </w:r>
      <w:r>
        <w:rPr>
          <w:rFonts w:hint="eastAsia" w:ascii="方正仿宋_GBK" w:hAnsi="宋体" w:eastAsia="方正仿宋_GBK"/>
          <w:color w:val="000000"/>
          <w:sz w:val="24"/>
          <w:szCs w:val="24"/>
        </w:rPr>
        <w:t>文件的正本、副本均应密封送达</w:t>
      </w:r>
      <w:r>
        <w:rPr>
          <w:rFonts w:hint="eastAsia" w:ascii="方正仿宋_GBK" w:hAnsi="宋体" w:eastAsia="方正仿宋_GBK"/>
          <w:color w:val="000000"/>
          <w:sz w:val="24"/>
          <w:szCs w:val="24"/>
          <w:lang w:val="en-US" w:eastAsia="zh-CN"/>
        </w:rPr>
        <w:t>开标</w:t>
      </w:r>
      <w:r>
        <w:rPr>
          <w:rFonts w:hint="eastAsia" w:ascii="方正仿宋_GBK" w:hAnsi="宋体" w:eastAsia="方正仿宋_GBK"/>
          <w:color w:val="000000"/>
          <w:sz w:val="24"/>
          <w:szCs w:val="24"/>
        </w:rPr>
        <w:t>地点，应在封套上注明项目名称、供应商名称。</w:t>
      </w:r>
    </w:p>
    <w:p w14:paraId="35ED72CA">
      <w:pPr>
        <w:spacing w:line="400" w:lineRule="exact"/>
        <w:ind w:firstLine="480" w:firstLineChars="200"/>
        <w:rPr>
          <w:rFonts w:hint="eastAsia" w:ascii="方正仿宋_GBK" w:hAnsi="宋体" w:eastAsia="方正仿宋_GBK"/>
          <w:b/>
          <w:bCs/>
          <w:color w:val="000000"/>
          <w:sz w:val="24"/>
          <w:szCs w:val="24"/>
        </w:rPr>
      </w:pP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3</w:t>
      </w: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投标</w:t>
      </w:r>
      <w:r>
        <w:rPr>
          <w:rFonts w:hint="eastAsia" w:ascii="方正仿宋_GBK" w:hAnsi="宋体" w:eastAsia="方正仿宋_GBK"/>
          <w:color w:val="000000"/>
          <w:sz w:val="24"/>
          <w:szCs w:val="24"/>
        </w:rPr>
        <w:t>文件现场递交，</w:t>
      </w:r>
      <w:r>
        <w:rPr>
          <w:rFonts w:hint="eastAsia" w:ascii="方正仿宋_GBK" w:hAnsi="宋体" w:eastAsia="方正仿宋_GBK"/>
          <w:color w:val="000000"/>
          <w:sz w:val="24"/>
          <w:szCs w:val="24"/>
          <w:lang w:val="en-US" w:eastAsia="zh-CN"/>
        </w:rPr>
        <w:t>投标人</w:t>
      </w:r>
      <w:r>
        <w:rPr>
          <w:rFonts w:hint="eastAsia" w:ascii="方正仿宋_GBK" w:hAnsi="宋体" w:eastAsia="方正仿宋_GBK"/>
          <w:color w:val="000000"/>
          <w:sz w:val="24"/>
          <w:szCs w:val="24"/>
        </w:rPr>
        <w:t>应将</w:t>
      </w:r>
      <w:r>
        <w:rPr>
          <w:rFonts w:hint="eastAsia" w:ascii="方正仿宋_GBK" w:hAnsi="宋体" w:eastAsia="方正仿宋_GBK"/>
          <w:color w:val="000000"/>
          <w:sz w:val="24"/>
          <w:szCs w:val="24"/>
          <w:lang w:val="en-US" w:eastAsia="zh-CN"/>
        </w:rPr>
        <w:t>投标</w:t>
      </w:r>
      <w:r>
        <w:rPr>
          <w:rFonts w:hint="eastAsia" w:ascii="方正仿宋_GBK" w:hAnsi="宋体" w:eastAsia="方正仿宋_GBK"/>
          <w:color w:val="000000"/>
          <w:sz w:val="24"/>
          <w:szCs w:val="24"/>
        </w:rPr>
        <w:t>文件密封完好，</w:t>
      </w:r>
      <w:r>
        <w:rPr>
          <w:rFonts w:hint="eastAsia" w:ascii="方正仿宋_GBK" w:hAnsi="宋体" w:eastAsia="方正仿宋_GBK"/>
          <w:b/>
          <w:bCs/>
          <w:color w:val="000000"/>
          <w:sz w:val="24"/>
          <w:szCs w:val="24"/>
        </w:rPr>
        <w:t>并请确保开标前送至</w:t>
      </w:r>
      <w:r>
        <w:rPr>
          <w:rFonts w:hint="eastAsia" w:ascii="方正仿宋_GBK" w:hAnsi="宋体" w:eastAsia="方正仿宋_GBK"/>
          <w:b/>
          <w:bCs/>
          <w:color w:val="000000"/>
          <w:sz w:val="24"/>
          <w:szCs w:val="24"/>
          <w:lang w:eastAsia="zh-CN"/>
        </w:rPr>
        <w:t>重庆多杰数字科技咨询服务有限公司</w:t>
      </w:r>
      <w:r>
        <w:rPr>
          <w:rFonts w:hint="eastAsia" w:ascii="方正仿宋_GBK" w:hAnsi="宋体" w:eastAsia="方正仿宋_GBK"/>
          <w:b/>
          <w:bCs/>
          <w:color w:val="000000"/>
          <w:sz w:val="24"/>
          <w:szCs w:val="24"/>
        </w:rPr>
        <w:t>会议室。</w:t>
      </w:r>
    </w:p>
    <w:p w14:paraId="2606D478">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4</w:t>
      </w:r>
      <w:r>
        <w:rPr>
          <w:rFonts w:hint="eastAsia" w:ascii="方正仿宋_GBK" w:hAnsi="宋体" w:eastAsia="方正仿宋_GBK"/>
          <w:color w:val="000000"/>
          <w:sz w:val="24"/>
          <w:szCs w:val="24"/>
        </w:rPr>
        <w:t>）如果未按上述规定进行密封的，</w:t>
      </w:r>
      <w:r>
        <w:rPr>
          <w:rFonts w:hint="eastAsia" w:ascii="方正仿宋_GBK" w:hAnsi="宋体" w:eastAsia="方正仿宋_GBK"/>
          <w:color w:val="000000"/>
          <w:sz w:val="24"/>
          <w:szCs w:val="24"/>
          <w:lang w:val="en-US" w:eastAsia="zh-CN"/>
        </w:rPr>
        <w:t>比选</w:t>
      </w:r>
      <w:r>
        <w:rPr>
          <w:rFonts w:hint="eastAsia" w:ascii="方正仿宋_GBK" w:hAnsi="宋体" w:eastAsia="方正仿宋_GBK"/>
          <w:color w:val="000000"/>
          <w:sz w:val="24"/>
          <w:szCs w:val="24"/>
        </w:rPr>
        <w:t>人、</w:t>
      </w:r>
      <w:r>
        <w:rPr>
          <w:rFonts w:hint="eastAsia" w:ascii="方正仿宋_GBK" w:hAnsi="宋体" w:eastAsia="方正仿宋_GBK"/>
          <w:color w:val="000000"/>
          <w:sz w:val="24"/>
          <w:szCs w:val="24"/>
          <w:lang w:val="en-US" w:eastAsia="zh-CN"/>
        </w:rPr>
        <w:t>比选</w:t>
      </w:r>
      <w:r>
        <w:rPr>
          <w:rFonts w:hint="eastAsia" w:ascii="方正仿宋_GBK" w:hAnsi="宋体" w:eastAsia="方正仿宋_GBK"/>
          <w:color w:val="000000"/>
          <w:sz w:val="24"/>
          <w:szCs w:val="24"/>
        </w:rPr>
        <w:t>代理机构将拒收其</w:t>
      </w:r>
      <w:r>
        <w:rPr>
          <w:rFonts w:hint="eastAsia" w:ascii="方正仿宋_GBK" w:hAnsi="宋体" w:eastAsia="方正仿宋_GBK"/>
          <w:color w:val="000000"/>
          <w:sz w:val="24"/>
          <w:szCs w:val="24"/>
          <w:lang w:val="en-US" w:eastAsia="zh-CN"/>
        </w:rPr>
        <w:t>投标</w:t>
      </w:r>
      <w:r>
        <w:rPr>
          <w:rFonts w:hint="eastAsia" w:ascii="方正仿宋_GBK" w:hAnsi="宋体" w:eastAsia="方正仿宋_GBK"/>
          <w:color w:val="000000"/>
          <w:sz w:val="24"/>
          <w:szCs w:val="24"/>
        </w:rPr>
        <w:t>文件。</w:t>
      </w:r>
    </w:p>
    <w:p w14:paraId="3FCD9DB3">
      <w:pPr>
        <w:pStyle w:val="2"/>
        <w:spacing w:line="400" w:lineRule="exact"/>
        <w:ind w:firstLine="480" w:firstLineChars="200"/>
        <w:rPr>
          <w:rFonts w:hint="eastAsia" w:ascii="方正仿宋_GBK" w:eastAsia="方正仿宋_GBK"/>
          <w:b w:val="0"/>
          <w:bCs/>
          <w:color w:val="000000"/>
          <w:sz w:val="24"/>
        </w:rPr>
      </w:pPr>
      <w:bookmarkStart w:id="80" w:name="_Toc22111"/>
      <w:bookmarkStart w:id="81" w:name="_Toc24604"/>
      <w:bookmarkStart w:id="82" w:name="_Toc7836"/>
      <w:bookmarkStart w:id="83" w:name="_Toc11844"/>
      <w:bookmarkStart w:id="84" w:name="_Toc23960"/>
      <w:bookmarkStart w:id="85" w:name="_Toc18100"/>
      <w:bookmarkStart w:id="86" w:name="_Toc25854"/>
      <w:bookmarkStart w:id="87" w:name="_Toc15717"/>
      <w:bookmarkStart w:id="88" w:name="_Toc3476"/>
      <w:bookmarkStart w:id="89" w:name="_Toc30895"/>
      <w:bookmarkStart w:id="90" w:name="_Toc75793500"/>
      <w:bookmarkStart w:id="91" w:name="_Toc12090"/>
      <w:bookmarkStart w:id="92" w:name="_Toc9290"/>
      <w:bookmarkStart w:id="93" w:name="_Toc524"/>
      <w:bookmarkStart w:id="94" w:name="_Toc12663"/>
      <w:bookmarkStart w:id="95" w:name="_Toc106030376"/>
      <w:r>
        <w:rPr>
          <w:rFonts w:hint="eastAsia" w:ascii="方正仿宋_GBK" w:eastAsia="方正仿宋_GBK"/>
          <w:b w:val="0"/>
          <w:bCs/>
          <w:color w:val="000000"/>
          <w:sz w:val="24"/>
        </w:rPr>
        <w:t>（</w:t>
      </w:r>
      <w:r>
        <w:rPr>
          <w:rFonts w:hint="eastAsia" w:ascii="方正仿宋_GBK" w:eastAsia="方正仿宋_GBK"/>
          <w:b w:val="0"/>
          <w:bCs/>
          <w:color w:val="000000"/>
          <w:sz w:val="24"/>
          <w:lang w:eastAsia="zh-CN"/>
        </w:rPr>
        <w:t>5</w:t>
      </w:r>
      <w:r>
        <w:rPr>
          <w:rFonts w:hint="eastAsia" w:ascii="方正仿宋_GBK" w:eastAsia="方正仿宋_GBK"/>
          <w:b w:val="0"/>
          <w:bCs/>
          <w:color w:val="000000"/>
          <w:sz w:val="24"/>
        </w:rPr>
        <w:t>）纸质</w:t>
      </w:r>
      <w:r>
        <w:rPr>
          <w:rFonts w:hint="eastAsia" w:ascii="方正仿宋_GBK" w:eastAsia="方正仿宋_GBK"/>
          <w:b w:val="0"/>
          <w:bCs/>
          <w:color w:val="000000"/>
          <w:sz w:val="24"/>
          <w:lang w:val="en-US" w:eastAsia="zh-CN"/>
        </w:rPr>
        <w:t>投标</w:t>
      </w:r>
      <w:r>
        <w:rPr>
          <w:rFonts w:hint="eastAsia" w:ascii="方正仿宋_GBK" w:eastAsia="方正仿宋_GBK"/>
          <w:b w:val="0"/>
          <w:bCs/>
          <w:color w:val="000000"/>
          <w:sz w:val="24"/>
        </w:rPr>
        <w:t>文件递交时间：202</w:t>
      </w:r>
      <w:r>
        <w:rPr>
          <w:rFonts w:hint="eastAsia" w:ascii="方正仿宋_GBK" w:eastAsia="方正仿宋_GBK"/>
          <w:b w:val="0"/>
          <w:bCs/>
          <w:color w:val="000000"/>
          <w:sz w:val="24"/>
          <w:lang w:val="en-US" w:eastAsia="zh-CN"/>
        </w:rPr>
        <w:t>5</w:t>
      </w:r>
      <w:r>
        <w:rPr>
          <w:rFonts w:hint="eastAsia" w:ascii="方正仿宋_GBK" w:eastAsia="方正仿宋_GBK"/>
          <w:b w:val="0"/>
          <w:bCs/>
          <w:color w:val="000000"/>
          <w:sz w:val="24"/>
        </w:rPr>
        <w:t>年</w:t>
      </w:r>
      <w:r>
        <w:rPr>
          <w:rFonts w:hint="eastAsia" w:ascii="方正仿宋_GBK" w:eastAsia="方正仿宋_GBK"/>
          <w:b w:val="0"/>
          <w:bCs/>
          <w:color w:val="000000"/>
          <w:sz w:val="24"/>
          <w:lang w:val="en-US" w:eastAsia="zh-CN"/>
        </w:rPr>
        <w:t>7</w:t>
      </w:r>
      <w:r>
        <w:rPr>
          <w:rFonts w:hint="eastAsia" w:ascii="方正仿宋_GBK" w:eastAsia="方正仿宋_GBK"/>
          <w:b w:val="0"/>
          <w:bCs/>
          <w:color w:val="000000"/>
          <w:sz w:val="24"/>
        </w:rPr>
        <w:t>月</w:t>
      </w:r>
      <w:r>
        <w:rPr>
          <w:rFonts w:hint="eastAsia" w:ascii="方正仿宋_GBK" w:eastAsia="方正仿宋_GBK"/>
          <w:b w:val="0"/>
          <w:bCs/>
          <w:color w:val="000000"/>
          <w:sz w:val="24"/>
          <w:lang w:val="en-US" w:eastAsia="zh-CN"/>
        </w:rPr>
        <w:t>30</w:t>
      </w:r>
      <w:r>
        <w:rPr>
          <w:rFonts w:hint="eastAsia" w:ascii="方正仿宋_GBK" w:eastAsia="方正仿宋_GBK"/>
          <w:b w:val="0"/>
          <w:bCs/>
          <w:color w:val="000000"/>
          <w:sz w:val="24"/>
        </w:rPr>
        <w:t>日</w:t>
      </w:r>
      <w:r>
        <w:rPr>
          <w:rFonts w:hint="eastAsia" w:ascii="方正仿宋_GBK" w:eastAsia="方正仿宋_GBK"/>
          <w:b w:val="0"/>
          <w:bCs/>
          <w:color w:val="000000"/>
          <w:sz w:val="24"/>
          <w:lang w:val="en-US" w:eastAsia="zh-CN"/>
        </w:rPr>
        <w:t>14</w:t>
      </w:r>
      <w:r>
        <w:rPr>
          <w:rFonts w:hint="eastAsia" w:ascii="方正仿宋_GBK" w:eastAsia="方正仿宋_GBK"/>
          <w:b w:val="0"/>
          <w:bCs/>
          <w:color w:val="000000"/>
          <w:sz w:val="24"/>
        </w:rPr>
        <w:t>：</w:t>
      </w:r>
      <w:r>
        <w:rPr>
          <w:rFonts w:hint="eastAsia" w:ascii="方正仿宋_GBK" w:eastAsia="方正仿宋_GBK"/>
          <w:b w:val="0"/>
          <w:bCs/>
          <w:color w:val="000000"/>
          <w:sz w:val="24"/>
          <w:lang w:val="en-US" w:eastAsia="zh-CN"/>
        </w:rPr>
        <w:t>0</w:t>
      </w:r>
      <w:r>
        <w:rPr>
          <w:rFonts w:hint="eastAsia" w:ascii="方正仿宋_GBK" w:eastAsia="方正仿宋_GBK"/>
          <w:b w:val="0"/>
          <w:bCs/>
          <w:color w:val="000000"/>
          <w:sz w:val="24"/>
        </w:rPr>
        <w:t>0时</w:t>
      </w:r>
      <w:r>
        <w:rPr>
          <w:rFonts w:hint="eastAsia" w:ascii="方正仿宋_GBK" w:eastAsia="方正仿宋_GBK"/>
          <w:b w:val="0"/>
          <w:bCs/>
          <w:color w:val="000000"/>
          <w:sz w:val="24"/>
          <w:lang w:val="en-US" w:eastAsia="zh-CN"/>
        </w:rPr>
        <w:t>至14</w:t>
      </w:r>
      <w:r>
        <w:rPr>
          <w:rFonts w:hint="eastAsia" w:ascii="方正仿宋_GBK" w:eastAsia="方正仿宋_GBK"/>
          <w:b w:val="0"/>
          <w:bCs/>
          <w:color w:val="000000"/>
          <w:sz w:val="24"/>
        </w:rPr>
        <w:t>:</w:t>
      </w:r>
      <w:r>
        <w:rPr>
          <w:rFonts w:hint="eastAsia" w:ascii="方正仿宋_GBK" w:eastAsia="方正仿宋_GBK"/>
          <w:b w:val="0"/>
          <w:bCs/>
          <w:color w:val="000000"/>
          <w:sz w:val="24"/>
          <w:lang w:val="en-US" w:eastAsia="zh-CN"/>
        </w:rPr>
        <w:t>3</w:t>
      </w:r>
      <w:r>
        <w:rPr>
          <w:rFonts w:hint="eastAsia" w:ascii="方正仿宋_GBK" w:eastAsia="方正仿宋_GBK"/>
          <w:b w:val="0"/>
          <w:bCs/>
          <w:color w:val="000000"/>
          <w:sz w:val="24"/>
        </w:rPr>
        <w:t>0时（以代理机构收到时间为准）。</w:t>
      </w:r>
      <w:r>
        <w:rPr>
          <w:rFonts w:hint="eastAsia" w:ascii="方正仿宋_GBK" w:eastAsia="方正仿宋_GBK"/>
          <w:b w:val="0"/>
          <w:bCs/>
          <w:color w:val="000000"/>
          <w:sz w:val="24"/>
          <w:lang w:val="en-US" w:eastAsia="zh-CN"/>
        </w:rPr>
        <w:t>投标人</w:t>
      </w:r>
      <w:r>
        <w:rPr>
          <w:rFonts w:hint="eastAsia" w:ascii="方正仿宋_GBK" w:eastAsia="方正仿宋_GBK"/>
          <w:b w:val="0"/>
          <w:bCs/>
          <w:color w:val="000000"/>
          <w:sz w:val="24"/>
        </w:rPr>
        <w:t>在提交</w:t>
      </w:r>
      <w:r>
        <w:rPr>
          <w:rFonts w:hint="eastAsia" w:ascii="方正仿宋_GBK" w:eastAsia="方正仿宋_GBK"/>
          <w:b w:val="0"/>
          <w:bCs/>
          <w:color w:val="000000"/>
          <w:sz w:val="24"/>
          <w:lang w:val="en-US" w:eastAsia="zh-CN"/>
        </w:rPr>
        <w:t>投标</w:t>
      </w:r>
      <w:r>
        <w:rPr>
          <w:rFonts w:hint="eastAsia" w:ascii="方正仿宋_GBK" w:eastAsia="方正仿宋_GBK"/>
          <w:b w:val="0"/>
          <w:bCs/>
          <w:color w:val="000000"/>
          <w:sz w:val="24"/>
        </w:rPr>
        <w:t>文件截止时间前，可以对所提交的</w:t>
      </w:r>
      <w:r>
        <w:rPr>
          <w:rFonts w:hint="eastAsia" w:ascii="方正仿宋_GBK" w:eastAsia="方正仿宋_GBK"/>
          <w:b w:val="0"/>
          <w:bCs/>
          <w:color w:val="000000"/>
          <w:sz w:val="24"/>
          <w:lang w:val="en-US" w:eastAsia="zh-CN"/>
        </w:rPr>
        <w:t>投标</w:t>
      </w:r>
      <w:r>
        <w:rPr>
          <w:rFonts w:hint="eastAsia" w:ascii="方正仿宋_GBK" w:eastAsia="方正仿宋_GBK"/>
          <w:b w:val="0"/>
          <w:bCs/>
          <w:color w:val="000000"/>
          <w:sz w:val="24"/>
        </w:rPr>
        <w:t>文件进行补充、修改或者撤回，并书面通知</w:t>
      </w:r>
      <w:r>
        <w:rPr>
          <w:rFonts w:hint="eastAsia" w:ascii="方正仿宋_GBK" w:eastAsia="方正仿宋_GBK"/>
          <w:b w:val="0"/>
          <w:bCs/>
          <w:color w:val="000000"/>
          <w:sz w:val="24"/>
          <w:lang w:val="en-US" w:eastAsia="zh-CN"/>
        </w:rPr>
        <w:t>比选</w:t>
      </w:r>
      <w:r>
        <w:rPr>
          <w:rFonts w:hint="eastAsia" w:ascii="方正仿宋_GBK" w:eastAsia="方正仿宋_GBK"/>
          <w:b w:val="0"/>
          <w:bCs/>
          <w:color w:val="000000"/>
          <w:sz w:val="24"/>
        </w:rPr>
        <w:t>人、</w:t>
      </w:r>
      <w:r>
        <w:rPr>
          <w:rFonts w:hint="eastAsia" w:ascii="方正仿宋_GBK" w:eastAsia="方正仿宋_GBK"/>
          <w:b w:val="0"/>
          <w:bCs/>
          <w:color w:val="000000"/>
          <w:sz w:val="24"/>
          <w:lang w:val="en-US" w:eastAsia="zh-CN"/>
        </w:rPr>
        <w:t>比选</w:t>
      </w:r>
      <w:r>
        <w:rPr>
          <w:rFonts w:hint="eastAsia" w:ascii="方正仿宋_GBK" w:eastAsia="方正仿宋_GBK"/>
          <w:b w:val="0"/>
          <w:bCs/>
          <w:color w:val="000000"/>
          <w:sz w:val="24"/>
        </w:rPr>
        <w:t>代理机构。补充、修改的内容作为</w:t>
      </w:r>
      <w:r>
        <w:rPr>
          <w:rFonts w:hint="eastAsia" w:ascii="方正仿宋_GBK" w:eastAsia="方正仿宋_GBK"/>
          <w:b w:val="0"/>
          <w:bCs/>
          <w:color w:val="000000"/>
          <w:sz w:val="24"/>
          <w:lang w:val="en-US" w:eastAsia="zh-CN"/>
        </w:rPr>
        <w:t>投标</w:t>
      </w:r>
      <w:r>
        <w:rPr>
          <w:rFonts w:hint="eastAsia" w:ascii="方正仿宋_GBK" w:eastAsia="方正仿宋_GBK"/>
          <w:b w:val="0"/>
          <w:bCs/>
          <w:color w:val="000000"/>
          <w:sz w:val="24"/>
        </w:rPr>
        <w:t>文件的组成部分。补充、修改的内容与</w:t>
      </w:r>
      <w:r>
        <w:rPr>
          <w:rFonts w:hint="eastAsia" w:ascii="方正仿宋_GBK" w:eastAsia="方正仿宋_GBK"/>
          <w:b w:val="0"/>
          <w:bCs/>
          <w:color w:val="000000"/>
          <w:sz w:val="24"/>
          <w:lang w:val="en-US" w:eastAsia="zh-CN"/>
        </w:rPr>
        <w:t>投标</w:t>
      </w:r>
      <w:r>
        <w:rPr>
          <w:rFonts w:hint="eastAsia" w:ascii="方正仿宋_GBK" w:eastAsia="方正仿宋_GBK"/>
          <w:b w:val="0"/>
          <w:bCs/>
          <w:color w:val="000000"/>
          <w:sz w:val="24"/>
        </w:rPr>
        <w:t>文件不一致的，以补充、修改的内容为准。</w:t>
      </w:r>
    </w:p>
    <w:p w14:paraId="5346E876">
      <w:pPr>
        <w:pStyle w:val="2"/>
        <w:spacing w:line="400" w:lineRule="exact"/>
        <w:ind w:firstLine="480" w:firstLineChars="200"/>
        <w:rPr>
          <w:rFonts w:hint="eastAsia" w:ascii="方正仿宋_GBK" w:eastAsia="方正仿宋_GBK"/>
          <w:b w:val="0"/>
          <w:bCs/>
          <w:color w:val="000000"/>
          <w:sz w:val="24"/>
        </w:rPr>
      </w:pPr>
      <w:r>
        <w:rPr>
          <w:rFonts w:hint="eastAsia" w:ascii="方正仿宋_GBK" w:eastAsia="方正仿宋_GBK"/>
          <w:b w:val="0"/>
          <w:bCs/>
          <w:color w:val="000000"/>
          <w:sz w:val="24"/>
          <w:lang w:val="en-US" w:eastAsia="zh-CN"/>
        </w:rPr>
        <w:t>注：投标人</w:t>
      </w:r>
      <w:r>
        <w:rPr>
          <w:rFonts w:hint="eastAsia" w:ascii="方正仿宋_GBK" w:eastAsia="方正仿宋_GBK"/>
          <w:b w:val="0"/>
          <w:bCs/>
          <w:color w:val="000000"/>
          <w:sz w:val="24"/>
        </w:rPr>
        <w:t>须满足以下要求，其</w:t>
      </w:r>
      <w:r>
        <w:rPr>
          <w:rFonts w:hint="eastAsia" w:ascii="方正仿宋_GBK" w:eastAsia="方正仿宋_GBK"/>
          <w:b w:val="0"/>
          <w:bCs/>
          <w:color w:val="000000"/>
          <w:sz w:val="24"/>
          <w:lang w:val="en-US" w:eastAsia="zh-CN"/>
        </w:rPr>
        <w:t>投标</w:t>
      </w:r>
      <w:r>
        <w:rPr>
          <w:rFonts w:hint="eastAsia" w:ascii="方正仿宋_GBK" w:eastAsia="方正仿宋_GBK"/>
          <w:b w:val="0"/>
          <w:bCs/>
          <w:color w:val="000000"/>
          <w:sz w:val="24"/>
        </w:rPr>
        <w:t>文件才被接受：</w:t>
      </w:r>
    </w:p>
    <w:p w14:paraId="0C0D1701">
      <w:pPr>
        <w:pStyle w:val="2"/>
        <w:spacing w:line="400" w:lineRule="exact"/>
        <w:ind w:firstLine="480" w:firstLineChars="200"/>
        <w:rPr>
          <w:rFonts w:hint="eastAsia" w:ascii="方正仿宋_GBK" w:eastAsia="方正仿宋_GBK"/>
          <w:b w:val="0"/>
          <w:bCs/>
          <w:color w:val="000000"/>
          <w:sz w:val="24"/>
        </w:rPr>
      </w:pPr>
      <w:r>
        <w:rPr>
          <w:rFonts w:hint="eastAsia" w:ascii="方正仿宋_GBK" w:eastAsia="方正仿宋_GBK"/>
          <w:b w:val="0"/>
          <w:bCs/>
          <w:color w:val="000000"/>
          <w:sz w:val="24"/>
        </w:rPr>
        <w:t>1.</w:t>
      </w:r>
      <w:r>
        <w:rPr>
          <w:rFonts w:hint="eastAsia" w:ascii="方正仿宋_GBK" w:eastAsia="方正仿宋_GBK"/>
          <w:b w:val="0"/>
          <w:bCs/>
          <w:color w:val="000000"/>
          <w:sz w:val="24"/>
          <w:lang w:val="en-US" w:eastAsia="zh-CN"/>
        </w:rPr>
        <w:t>投标人</w:t>
      </w:r>
      <w:r>
        <w:rPr>
          <w:rFonts w:hint="eastAsia" w:ascii="方正仿宋_GBK" w:eastAsia="方正仿宋_GBK"/>
          <w:b w:val="0"/>
          <w:bCs/>
          <w:color w:val="000000"/>
          <w:sz w:val="24"/>
        </w:rPr>
        <w:t>须按照文件要求报名。</w:t>
      </w:r>
    </w:p>
    <w:p w14:paraId="691AD370">
      <w:pPr>
        <w:pStyle w:val="2"/>
        <w:spacing w:line="400" w:lineRule="exact"/>
        <w:ind w:firstLine="480" w:firstLineChars="200"/>
        <w:rPr>
          <w:rFonts w:hint="eastAsia" w:ascii="方正仿宋_GBK" w:eastAsia="方正仿宋_GBK"/>
          <w:b/>
          <w:color w:val="000000"/>
          <w:sz w:val="24"/>
        </w:rPr>
      </w:pPr>
      <w:r>
        <w:rPr>
          <w:rFonts w:hint="eastAsia" w:ascii="方正仿宋_GBK" w:eastAsia="方正仿宋_GBK"/>
          <w:b w:val="0"/>
          <w:bCs/>
          <w:color w:val="000000"/>
          <w:sz w:val="24"/>
          <w:lang w:val="en-US" w:eastAsia="zh-CN"/>
        </w:rPr>
        <w:t>2.</w:t>
      </w:r>
      <w:r>
        <w:rPr>
          <w:rFonts w:hint="eastAsia" w:ascii="方正仿宋_GBK" w:eastAsia="方正仿宋_GBK"/>
          <w:b w:val="0"/>
          <w:bCs/>
          <w:color w:val="000000"/>
          <w:sz w:val="24"/>
        </w:rPr>
        <w:t>按时递交了纸质版</w:t>
      </w:r>
      <w:r>
        <w:rPr>
          <w:rFonts w:hint="eastAsia" w:ascii="方正仿宋_GBK" w:eastAsia="方正仿宋_GBK"/>
          <w:b w:val="0"/>
          <w:bCs/>
          <w:color w:val="000000"/>
          <w:sz w:val="24"/>
          <w:lang w:val="en-US" w:eastAsia="zh-CN"/>
        </w:rPr>
        <w:t>投标</w:t>
      </w:r>
      <w:r>
        <w:rPr>
          <w:rFonts w:hint="eastAsia" w:ascii="方正仿宋_GBK" w:eastAsia="方正仿宋_GBK"/>
          <w:b w:val="0"/>
          <w:bCs/>
          <w:color w:val="000000"/>
          <w:sz w:val="24"/>
        </w:rPr>
        <w:t>文件。</w:t>
      </w:r>
    </w:p>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14:paraId="747B125D">
      <w:pPr>
        <w:pStyle w:val="2"/>
        <w:spacing w:line="400" w:lineRule="exact"/>
        <w:ind w:firstLine="482" w:firstLineChars="200"/>
        <w:rPr>
          <w:rFonts w:hint="eastAsia" w:ascii="方正仿宋_GBK" w:eastAsia="方正仿宋_GBK"/>
          <w:b/>
          <w:color w:val="000000"/>
          <w:sz w:val="24"/>
        </w:rPr>
      </w:pPr>
      <w:bookmarkStart w:id="96" w:name="_Toc18802"/>
      <w:bookmarkStart w:id="97" w:name="_Toc28799"/>
      <w:bookmarkStart w:id="98" w:name="_Toc106030377"/>
      <w:bookmarkStart w:id="99" w:name="_Toc21524"/>
      <w:bookmarkStart w:id="100" w:name="_Toc12760"/>
      <w:bookmarkStart w:id="101" w:name="_Toc24689"/>
      <w:bookmarkStart w:id="102" w:name="_Toc9257"/>
      <w:bookmarkStart w:id="103" w:name="_Toc8081"/>
      <w:bookmarkStart w:id="104" w:name="_Toc29945"/>
      <w:bookmarkStart w:id="105" w:name="_Toc5839"/>
      <w:bookmarkStart w:id="106" w:name="_Toc441"/>
      <w:bookmarkStart w:id="107" w:name="_Toc3188"/>
      <w:bookmarkStart w:id="108" w:name="_Toc75793501"/>
      <w:bookmarkStart w:id="109" w:name="_Toc24588"/>
      <w:bookmarkStart w:id="110" w:name="_Toc16198"/>
      <w:bookmarkStart w:id="111" w:name="_Toc29744"/>
      <w:r>
        <w:rPr>
          <w:rFonts w:hint="eastAsia" w:ascii="方正仿宋_GBK" w:eastAsia="方正仿宋_GBK"/>
          <w:b/>
          <w:color w:val="000000"/>
          <w:sz w:val="24"/>
          <w:lang w:val="en-US" w:eastAsia="zh-CN"/>
        </w:rPr>
        <w:t>五</w:t>
      </w:r>
      <w:r>
        <w:rPr>
          <w:rFonts w:hint="eastAsia" w:ascii="方正仿宋_GBK" w:eastAsia="方正仿宋_GBK"/>
          <w:b/>
          <w:color w:val="000000"/>
          <w:sz w:val="24"/>
        </w:rPr>
        <w:t>、采购项目需落实的政府采购政策</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77235D7A">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0ACC5251">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（二）按照财政部、工业和信息化部关于印发《政府采购促进中小企业发展管理办法》的通知（财库〔2020〕46号）的规定，落实促进中小企业发展政策。</w:t>
      </w:r>
    </w:p>
    <w:p w14:paraId="56F1F4C7">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（三）按照《财政部、司法部关于政府采购支持监狱企业发展有关问题的通知》（财库〔2014〕68号）的规定，落实支持监狱企业发展政策。</w:t>
      </w:r>
    </w:p>
    <w:p w14:paraId="43E1F7CD">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（四）按照《三部门联合发布关于促进残疾人就业政府采购政策的通知》（财库〔2017〕 141号）的规定，落实支持残疾人福利性单位发展政策。</w:t>
      </w:r>
    </w:p>
    <w:p w14:paraId="7E06388E">
      <w:pPr>
        <w:pStyle w:val="2"/>
        <w:spacing w:line="400" w:lineRule="exact"/>
        <w:ind w:firstLine="482" w:firstLineChars="200"/>
        <w:rPr>
          <w:rFonts w:hint="eastAsia" w:ascii="方正仿宋_GBK" w:eastAsia="方正仿宋_GBK"/>
          <w:b/>
          <w:color w:val="000000"/>
          <w:sz w:val="24"/>
        </w:rPr>
      </w:pPr>
      <w:bookmarkStart w:id="112" w:name="_Toc16322"/>
      <w:bookmarkStart w:id="113" w:name="_Toc3810"/>
      <w:bookmarkStart w:id="114" w:name="_Toc13146"/>
      <w:bookmarkStart w:id="115" w:name="_Toc4869"/>
      <w:bookmarkStart w:id="116" w:name="_Toc10747"/>
      <w:bookmarkStart w:id="117" w:name="_Toc1373"/>
      <w:bookmarkStart w:id="118" w:name="_Toc18921"/>
      <w:bookmarkStart w:id="119" w:name="_Toc13460"/>
      <w:bookmarkStart w:id="120" w:name="_Toc29169"/>
      <w:bookmarkStart w:id="121" w:name="_Toc75793502"/>
      <w:bookmarkStart w:id="122" w:name="_Toc21799"/>
      <w:bookmarkStart w:id="123" w:name="_Toc22428"/>
      <w:bookmarkStart w:id="124" w:name="_Toc106030378"/>
      <w:bookmarkStart w:id="125" w:name="_Toc30916"/>
      <w:bookmarkStart w:id="126" w:name="_Toc9931"/>
      <w:bookmarkStart w:id="127" w:name="_Toc19755"/>
      <w:r>
        <w:rPr>
          <w:rFonts w:hint="eastAsia" w:ascii="方正仿宋_GBK" w:eastAsia="方正仿宋_GBK"/>
          <w:b/>
          <w:color w:val="000000"/>
          <w:sz w:val="24"/>
          <w:lang w:val="en-US" w:eastAsia="zh-CN"/>
        </w:rPr>
        <w:t>六</w:t>
      </w:r>
      <w:r>
        <w:rPr>
          <w:rFonts w:hint="eastAsia" w:ascii="方正仿宋_GBK" w:eastAsia="方正仿宋_GBK"/>
          <w:b/>
          <w:color w:val="000000"/>
          <w:sz w:val="24"/>
        </w:rPr>
        <w:t>、投标有关规定</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0B4722E1">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（一）单位负责人为同一人或者存在直接控股、管理关系的不同投标人，不得参加同一合同项（包）下的政府采购活动。</w:t>
      </w:r>
    </w:p>
    <w:p w14:paraId="69D31B67">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（二）为采购项目提供整体设计、规范编制或者项目管理、监理、检测等服务的投标人，不得再参加该采购项目的其他采购活动。</w:t>
      </w:r>
    </w:p>
    <w:p w14:paraId="10BDAC4A">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三</w:t>
      </w:r>
      <w:r>
        <w:rPr>
          <w:rFonts w:hint="eastAsia" w:ascii="方正仿宋_GBK" w:hAnsi="宋体" w:eastAsia="方正仿宋_GBK"/>
          <w:color w:val="000000"/>
          <w:sz w:val="24"/>
          <w:szCs w:val="24"/>
        </w:rPr>
        <w:t>）</w:t>
      </w:r>
      <w:r>
        <w:rPr>
          <w:rFonts w:hint="eastAsia" w:ascii="方正仿宋_GBK" w:hAnsi="仿宋" w:eastAsia="方正仿宋_GBK"/>
          <w:color w:val="000000"/>
          <w:sz w:val="24"/>
          <w:szCs w:val="24"/>
        </w:rPr>
        <w:t>本项目若有澄清文件一律在“</w:t>
      </w:r>
      <w:r>
        <w:rPr>
          <w:rFonts w:hint="eastAsia" w:ascii="方正仿宋_GBK" w:hAnsi="仿宋" w:eastAsia="方正仿宋_GBK"/>
          <w:color w:val="000000"/>
          <w:sz w:val="24"/>
          <w:szCs w:val="24"/>
          <w:lang w:val="en-US" w:eastAsia="zh-CN"/>
        </w:rPr>
        <w:t>行采家（http://www.gec123.com）</w:t>
      </w:r>
      <w:r>
        <w:rPr>
          <w:rFonts w:hint="eastAsia" w:ascii="方正仿宋_GBK" w:hAnsi="仿宋" w:eastAsia="方正仿宋_GBK"/>
          <w:color w:val="000000"/>
          <w:sz w:val="24"/>
          <w:szCs w:val="24"/>
        </w:rPr>
        <w:t>”上发布，请各投标人注意下载或到</w:t>
      </w:r>
      <w:r>
        <w:rPr>
          <w:rFonts w:hint="eastAsia" w:ascii="方正仿宋_GBK" w:hAnsi="仿宋" w:eastAsia="方正仿宋_GBK"/>
          <w:color w:val="000000"/>
          <w:sz w:val="24"/>
          <w:szCs w:val="24"/>
          <w:lang w:val="en-US" w:eastAsia="zh-CN"/>
        </w:rPr>
        <w:t>比选</w:t>
      </w:r>
      <w:r>
        <w:rPr>
          <w:rFonts w:hint="eastAsia" w:ascii="方正仿宋_GBK" w:hAnsi="仿宋" w:eastAsia="方正仿宋_GBK"/>
          <w:color w:val="000000"/>
          <w:sz w:val="24"/>
          <w:szCs w:val="24"/>
        </w:rPr>
        <w:t>代理机构领取；无论投标人下载或领取与否，均视同投标人已知晓本项目澄清文件的内容。</w:t>
      </w:r>
    </w:p>
    <w:p w14:paraId="7C4DB1A8">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四</w:t>
      </w:r>
      <w:r>
        <w:rPr>
          <w:rFonts w:hint="eastAsia" w:ascii="方正仿宋_GBK" w:hAnsi="宋体" w:eastAsia="方正仿宋_GBK"/>
          <w:color w:val="000000"/>
          <w:sz w:val="24"/>
          <w:szCs w:val="24"/>
        </w:rPr>
        <w:t>）超过投标截止时间递交的投标文件，恕不接收。</w:t>
      </w:r>
    </w:p>
    <w:p w14:paraId="12FD65F9">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五</w:t>
      </w:r>
      <w:r>
        <w:rPr>
          <w:rFonts w:hint="eastAsia" w:ascii="方正仿宋_GBK" w:hAnsi="宋体" w:eastAsia="方正仿宋_GBK"/>
          <w:color w:val="000000"/>
          <w:sz w:val="24"/>
          <w:szCs w:val="24"/>
        </w:rPr>
        <w:t>）投标费用：</w:t>
      </w:r>
      <w:r>
        <w:rPr>
          <w:rFonts w:hint="eastAsia" w:ascii="方正仿宋_GBK" w:eastAsia="方正仿宋_GBK"/>
          <w:color w:val="000000"/>
          <w:sz w:val="24"/>
          <w:szCs w:val="24"/>
        </w:rPr>
        <w:t>无论投标结果如何，投标人参与本项目投标的所有费用均应由投标人自行承担。</w:t>
      </w:r>
    </w:p>
    <w:p w14:paraId="650D0DD7">
      <w:pPr>
        <w:snapToGrid w:val="0"/>
        <w:spacing w:line="400" w:lineRule="exact"/>
        <w:ind w:firstLine="482" w:firstLineChars="200"/>
        <w:rPr>
          <w:rFonts w:hint="eastAsia" w:ascii="方正仿宋_GBK" w:hAnsi="宋体" w:eastAsia="方正仿宋_GBK"/>
          <w:b/>
          <w:bCs/>
          <w:color w:val="000000"/>
          <w:sz w:val="24"/>
          <w:szCs w:val="24"/>
        </w:rPr>
      </w:pPr>
      <w:r>
        <w:rPr>
          <w:rFonts w:hint="eastAsia" w:ascii="方正仿宋_GBK" w:hAnsi="宋体" w:eastAsia="方正仿宋_GBK"/>
          <w:b/>
          <w:bCs/>
          <w:color w:val="000000"/>
          <w:sz w:val="24"/>
          <w:szCs w:val="24"/>
        </w:rPr>
        <w:t>（</w:t>
      </w:r>
      <w:r>
        <w:rPr>
          <w:rFonts w:hint="eastAsia" w:ascii="方正仿宋_GBK" w:hAnsi="宋体" w:eastAsia="方正仿宋_GBK"/>
          <w:b/>
          <w:bCs/>
          <w:color w:val="000000"/>
          <w:sz w:val="24"/>
          <w:szCs w:val="24"/>
          <w:lang w:val="en-US" w:eastAsia="zh-CN"/>
        </w:rPr>
        <w:t>六</w:t>
      </w:r>
      <w:r>
        <w:rPr>
          <w:rFonts w:hint="eastAsia" w:ascii="方正仿宋_GBK" w:hAnsi="宋体" w:eastAsia="方正仿宋_GBK"/>
          <w:b/>
          <w:bCs/>
          <w:color w:val="000000"/>
          <w:sz w:val="24"/>
          <w:szCs w:val="24"/>
        </w:rPr>
        <w:t>）</w:t>
      </w:r>
      <w:r>
        <w:rPr>
          <w:rFonts w:hint="eastAsia" w:ascii="方正仿宋_GBK" w:hAnsi="宋体" w:eastAsia="方正仿宋_GBK"/>
          <w:b/>
          <w:bCs/>
          <w:i w:val="0"/>
          <w:iCs w:val="0"/>
          <w:color w:val="000000"/>
          <w:sz w:val="24"/>
          <w:szCs w:val="24"/>
        </w:rPr>
        <w:t>本项目不接受联合体参与投标，否则按无效投标处理</w:t>
      </w:r>
      <w:r>
        <w:rPr>
          <w:rFonts w:hint="eastAsia" w:ascii="方正仿宋_GBK" w:hAnsi="宋体" w:eastAsia="方正仿宋_GBK"/>
          <w:b/>
          <w:bCs/>
          <w:color w:val="000000"/>
          <w:sz w:val="24"/>
          <w:szCs w:val="24"/>
        </w:rPr>
        <w:t>。</w:t>
      </w:r>
    </w:p>
    <w:p w14:paraId="00DE2525">
      <w:pPr>
        <w:snapToGrid w:val="0"/>
        <w:spacing w:line="400" w:lineRule="exact"/>
        <w:ind w:firstLine="482" w:firstLineChars="200"/>
        <w:rPr>
          <w:rFonts w:hint="eastAsia" w:ascii="方正仿宋_GBK" w:hAnsi="宋体" w:eastAsia="方正仿宋_GBK"/>
          <w:b/>
          <w:bCs/>
          <w:color w:val="000000"/>
          <w:sz w:val="24"/>
          <w:szCs w:val="24"/>
        </w:rPr>
      </w:pPr>
      <w:r>
        <w:rPr>
          <w:rFonts w:hint="eastAsia" w:ascii="方正仿宋_GBK" w:hAnsi="宋体" w:eastAsia="方正仿宋_GBK"/>
          <w:b/>
          <w:bCs/>
          <w:color w:val="000000"/>
          <w:sz w:val="24"/>
          <w:szCs w:val="24"/>
        </w:rPr>
        <w:t>（</w:t>
      </w:r>
      <w:r>
        <w:rPr>
          <w:rFonts w:hint="eastAsia" w:ascii="方正仿宋_GBK" w:hAnsi="宋体" w:eastAsia="方正仿宋_GBK"/>
          <w:b/>
          <w:bCs/>
          <w:color w:val="000000"/>
          <w:sz w:val="24"/>
          <w:szCs w:val="24"/>
          <w:lang w:val="en-US" w:eastAsia="zh-CN"/>
        </w:rPr>
        <w:t>七</w:t>
      </w:r>
      <w:r>
        <w:rPr>
          <w:rFonts w:hint="eastAsia" w:ascii="方正仿宋_GBK" w:hAnsi="宋体" w:eastAsia="方正仿宋_GBK"/>
          <w:b/>
          <w:bCs/>
          <w:color w:val="000000"/>
          <w:sz w:val="24"/>
          <w:szCs w:val="24"/>
        </w:rPr>
        <w:t>）</w:t>
      </w:r>
      <w:r>
        <w:rPr>
          <w:rFonts w:hint="eastAsia" w:ascii="方正仿宋_GBK" w:hAnsi="宋体" w:eastAsia="方正仿宋_GBK"/>
          <w:b/>
          <w:bCs/>
          <w:i w:val="0"/>
          <w:iCs w:val="0"/>
          <w:color w:val="000000"/>
          <w:sz w:val="24"/>
          <w:szCs w:val="24"/>
        </w:rPr>
        <w:t>本项目不接受合同分包，否则按无效投标处理</w:t>
      </w:r>
      <w:r>
        <w:rPr>
          <w:rFonts w:hint="eastAsia" w:ascii="方正仿宋_GBK" w:eastAsia="方正仿宋_GBK"/>
          <w:b/>
          <w:bCs/>
          <w:color w:val="000000"/>
          <w:sz w:val="24"/>
          <w:szCs w:val="24"/>
        </w:rPr>
        <w:t>。</w:t>
      </w:r>
    </w:p>
    <w:p w14:paraId="25AD1990">
      <w:pPr>
        <w:snapToGrid w:val="0"/>
        <w:spacing w:line="400" w:lineRule="exact"/>
        <w:ind w:firstLine="480" w:firstLineChars="200"/>
        <w:rPr>
          <w:rFonts w:hint="eastAsia" w:ascii="方正仿宋_GBK" w:eastAsia="方正仿宋_GBK"/>
          <w:color w:val="000000"/>
          <w:sz w:val="24"/>
          <w:szCs w:val="24"/>
        </w:rPr>
      </w:pPr>
      <w:r>
        <w:rPr>
          <w:rFonts w:hint="eastAsia" w:ascii="方正仿宋_GBK" w:hAnsi="宋体" w:eastAsia="方正仿宋_GBK"/>
          <w:color w:val="000000"/>
          <w:sz w:val="24"/>
          <w:szCs w:val="24"/>
        </w:rPr>
        <w:t>（</w:t>
      </w:r>
      <w:r>
        <w:rPr>
          <w:rFonts w:hint="eastAsia" w:ascii="方正仿宋_GBK" w:hAnsi="宋体" w:eastAsia="方正仿宋_GBK"/>
          <w:color w:val="000000"/>
          <w:sz w:val="24"/>
          <w:szCs w:val="24"/>
          <w:lang w:val="en-US" w:eastAsia="zh-CN"/>
        </w:rPr>
        <w:t>八</w:t>
      </w:r>
      <w:r>
        <w:rPr>
          <w:rFonts w:hint="eastAsia" w:ascii="方正仿宋_GBK" w:hAnsi="宋体" w:eastAsia="方正仿宋_GBK"/>
          <w:color w:val="000000"/>
          <w:sz w:val="24"/>
          <w:szCs w:val="24"/>
        </w:rPr>
        <w:t>）</w:t>
      </w:r>
      <w:bookmarkStart w:id="128" w:name="OLE_LINK1"/>
      <w:bookmarkStart w:id="129" w:name="OLE_LINK2"/>
      <w:r>
        <w:rPr>
          <w:rFonts w:hint="eastAsia" w:ascii="方正仿宋_GBK" w:eastAsia="方正仿宋_GBK"/>
          <w:color w:val="000000"/>
          <w:sz w:val="24"/>
          <w:szCs w:val="24"/>
        </w:rPr>
        <w:t>按照</w:t>
      </w:r>
      <w:r>
        <w:rPr>
          <w:rFonts w:hint="eastAsia" w:ascii="方正仿宋_GBK" w:hAnsi="宋体" w:eastAsia="方正仿宋_GBK"/>
          <w:color w:val="000000"/>
          <w:sz w:val="24"/>
          <w:szCs w:val="24"/>
        </w:rPr>
        <w:t>《</w:t>
      </w:r>
      <w:r>
        <w:rPr>
          <w:rFonts w:hint="eastAsia" w:ascii="方正仿宋_GBK" w:eastAsia="方正仿宋_GBK"/>
          <w:color w:val="000000"/>
          <w:sz w:val="24"/>
          <w:szCs w:val="24"/>
        </w:rPr>
        <w:t>财政部关于在政府采购活动中查询及使用信用记录有关问题的通知</w:t>
      </w:r>
      <w:r>
        <w:rPr>
          <w:rFonts w:hint="eastAsia" w:ascii="方正仿宋_GBK" w:hAnsi="宋体" w:eastAsia="方正仿宋_GBK"/>
          <w:color w:val="000000"/>
          <w:sz w:val="24"/>
          <w:szCs w:val="24"/>
        </w:rPr>
        <w:t>》</w:t>
      </w:r>
      <w:r>
        <w:rPr>
          <w:rFonts w:hint="eastAsia" w:ascii="方正仿宋_GBK" w:eastAsia="方正仿宋_GBK"/>
          <w:color w:val="000000"/>
          <w:sz w:val="24"/>
          <w:szCs w:val="24"/>
        </w:rPr>
        <w:t>财库〔2016〕125号，投标人列入失信被执行人、重大税收违法案件当事人名单、政府采购严重违法失信行为记录名单及其他不符合《中华人民共和国政府采购法》第二十二条规定条件的</w:t>
      </w:r>
      <w:bookmarkEnd w:id="128"/>
      <w:bookmarkEnd w:id="129"/>
      <w:r>
        <w:rPr>
          <w:rFonts w:hint="eastAsia" w:ascii="方正仿宋_GBK" w:eastAsia="方正仿宋_GBK"/>
          <w:color w:val="000000"/>
          <w:sz w:val="24"/>
          <w:szCs w:val="24"/>
        </w:rPr>
        <w:t>投标人，将拒绝其参与政府采购活动。</w:t>
      </w:r>
    </w:p>
    <w:p w14:paraId="20B3B7B5">
      <w:pPr>
        <w:pStyle w:val="2"/>
        <w:spacing w:line="400" w:lineRule="exact"/>
        <w:ind w:firstLine="482" w:firstLineChars="200"/>
        <w:rPr>
          <w:rFonts w:hint="eastAsia" w:ascii="方正仿宋_GBK" w:eastAsia="方正仿宋_GBK"/>
          <w:b/>
          <w:color w:val="000000"/>
          <w:sz w:val="24"/>
        </w:rPr>
      </w:pPr>
      <w:bookmarkStart w:id="130" w:name="_Toc5228"/>
      <w:bookmarkStart w:id="131" w:name="_Toc67"/>
      <w:bookmarkStart w:id="132" w:name="_Toc29351"/>
      <w:bookmarkStart w:id="133" w:name="_Toc11494"/>
      <w:bookmarkStart w:id="134" w:name="_Toc26782"/>
      <w:bookmarkStart w:id="135" w:name="_Toc15522"/>
      <w:bookmarkStart w:id="136" w:name="_Toc12717"/>
      <w:bookmarkStart w:id="137" w:name="_Toc28772"/>
      <w:bookmarkStart w:id="138" w:name="_Toc13885"/>
      <w:bookmarkStart w:id="139" w:name="_Toc20452"/>
      <w:bookmarkStart w:id="140" w:name="_Toc75793503"/>
      <w:bookmarkStart w:id="141" w:name="_Toc24181"/>
      <w:bookmarkStart w:id="142" w:name="_Toc9632"/>
      <w:bookmarkStart w:id="143" w:name="_Toc19676"/>
      <w:bookmarkStart w:id="144" w:name="_Toc106030379"/>
      <w:bookmarkStart w:id="145" w:name="_Toc30488"/>
      <w:r>
        <w:rPr>
          <w:rFonts w:hint="eastAsia" w:ascii="方正仿宋_GBK" w:eastAsia="方正仿宋_GBK"/>
          <w:b/>
          <w:color w:val="000000"/>
          <w:sz w:val="24"/>
          <w:lang w:val="en-US" w:eastAsia="zh-CN"/>
        </w:rPr>
        <w:tab/>
      </w:r>
      <w:r>
        <w:rPr>
          <w:rFonts w:hint="eastAsia" w:ascii="方正仿宋_GBK" w:eastAsia="方正仿宋_GBK"/>
          <w:b/>
          <w:color w:val="000000"/>
          <w:sz w:val="24"/>
          <w:lang w:val="en-US" w:eastAsia="zh-CN"/>
        </w:rPr>
        <w:t>七</w:t>
      </w:r>
      <w:r>
        <w:rPr>
          <w:rFonts w:hint="eastAsia" w:ascii="方正仿宋_GBK" w:eastAsia="方正仿宋_GBK"/>
          <w:b/>
          <w:color w:val="000000"/>
          <w:sz w:val="24"/>
        </w:rPr>
        <w:t>、联系方式</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42A949BE">
      <w:pPr>
        <w:snapToGrid w:val="0"/>
        <w:spacing w:line="400" w:lineRule="exact"/>
        <w:ind w:firstLine="480" w:firstLineChars="200"/>
        <w:outlineLvl w:val="2"/>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（一）</w:t>
      </w:r>
      <w:r>
        <w:rPr>
          <w:rFonts w:hint="eastAsia" w:ascii="方正仿宋_GBK" w:hAnsi="宋体" w:eastAsia="方正仿宋_GBK"/>
          <w:color w:val="000000"/>
          <w:sz w:val="24"/>
          <w:szCs w:val="24"/>
          <w:lang w:val="en-US" w:eastAsia="zh-CN"/>
        </w:rPr>
        <w:t>比选</w:t>
      </w:r>
      <w:r>
        <w:rPr>
          <w:rFonts w:hint="eastAsia" w:ascii="方正仿宋_GBK" w:hAnsi="宋体" w:eastAsia="方正仿宋_GBK"/>
          <w:color w:val="000000"/>
          <w:sz w:val="24"/>
          <w:szCs w:val="24"/>
        </w:rPr>
        <w:t>人：重庆市</w:t>
      </w:r>
      <w:r>
        <w:rPr>
          <w:rFonts w:hint="eastAsia" w:ascii="方正仿宋_GBK" w:hAnsi="宋体" w:eastAsia="方正仿宋_GBK"/>
          <w:color w:val="000000"/>
          <w:sz w:val="24"/>
          <w:szCs w:val="24"/>
          <w:lang w:val="en-US" w:eastAsia="zh-CN"/>
        </w:rPr>
        <w:t>石柱土家族自治县西沱镇中心卫生院</w:t>
      </w:r>
      <w:r>
        <w:rPr>
          <w:rFonts w:hint="eastAsia" w:ascii="方正仿宋_GBK" w:hAnsi="宋体" w:eastAsia="方正仿宋_GBK"/>
          <w:color w:val="000000"/>
          <w:sz w:val="24"/>
          <w:szCs w:val="24"/>
        </w:rPr>
        <w:t xml:space="preserve"> </w:t>
      </w:r>
    </w:p>
    <w:p w14:paraId="158878EC">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联系人：</w:t>
      </w:r>
      <w:r>
        <w:rPr>
          <w:rFonts w:hint="eastAsia" w:ascii="方正仿宋_GBK" w:hAnsi="宋体" w:eastAsia="方正仿宋_GBK"/>
          <w:color w:val="000000"/>
          <w:sz w:val="24"/>
          <w:szCs w:val="24"/>
          <w:lang w:val="en-US" w:eastAsia="zh-CN"/>
        </w:rPr>
        <w:t>成老师</w:t>
      </w:r>
      <w:r>
        <w:rPr>
          <w:rFonts w:hint="eastAsia" w:ascii="方正仿宋_GBK" w:hAnsi="宋体" w:eastAsia="方正仿宋_GBK"/>
          <w:color w:val="000000"/>
          <w:sz w:val="24"/>
          <w:szCs w:val="24"/>
        </w:rPr>
        <w:t xml:space="preserve"> </w:t>
      </w:r>
    </w:p>
    <w:p w14:paraId="246C4C96">
      <w:pPr>
        <w:snapToGrid w:val="0"/>
        <w:spacing w:line="400" w:lineRule="exact"/>
        <w:ind w:firstLine="480" w:firstLineChars="200"/>
        <w:rPr>
          <w:rFonts w:hint="default" w:ascii="方正仿宋_GBK" w:hAnsi="宋体" w:eastAsia="方正仿宋_GBK"/>
          <w:color w:val="000000"/>
          <w:sz w:val="24"/>
          <w:szCs w:val="24"/>
          <w:lang w:val="en-US"/>
        </w:rPr>
      </w:pPr>
      <w:r>
        <w:rPr>
          <w:rFonts w:hint="eastAsia" w:ascii="方正仿宋_GBK" w:hAnsi="宋体" w:eastAsia="方正仿宋_GBK"/>
          <w:color w:val="000000"/>
          <w:sz w:val="24"/>
          <w:szCs w:val="24"/>
        </w:rPr>
        <w:t>电  话：</w:t>
      </w:r>
      <w:r>
        <w:rPr>
          <w:rFonts w:hint="eastAsia" w:ascii="方正仿宋_GBK" w:hAnsi="宋体" w:eastAsia="方正仿宋_GBK"/>
          <w:color w:val="000000"/>
          <w:sz w:val="24"/>
          <w:szCs w:val="24"/>
          <w:lang w:eastAsia="zh-CN"/>
        </w:rPr>
        <w:t>023-</w:t>
      </w:r>
      <w:r>
        <w:rPr>
          <w:rFonts w:hint="eastAsia" w:ascii="方正仿宋_GBK" w:hAnsi="宋体" w:eastAsia="方正仿宋_GBK"/>
          <w:color w:val="000000"/>
          <w:sz w:val="24"/>
          <w:szCs w:val="24"/>
          <w:lang w:val="en-US" w:eastAsia="zh-CN"/>
        </w:rPr>
        <w:t>73363551</w:t>
      </w:r>
    </w:p>
    <w:p w14:paraId="0BB6D5F1">
      <w:pPr>
        <w:snapToGrid w:val="0"/>
        <w:spacing w:line="400" w:lineRule="exact"/>
        <w:ind w:firstLine="480" w:firstLineChars="200"/>
        <w:rPr>
          <w:rFonts w:hint="default" w:ascii="方正仿宋_GBK" w:hAnsi="宋体" w:eastAsia="方正仿宋_GBK"/>
          <w:color w:val="000000"/>
          <w:sz w:val="24"/>
          <w:szCs w:val="24"/>
          <w:lang w:val="en-US" w:eastAsia="zh-CN"/>
        </w:rPr>
      </w:pPr>
      <w:r>
        <w:rPr>
          <w:rFonts w:hint="eastAsia" w:ascii="方正仿宋_GBK" w:hAnsi="宋体" w:eastAsia="方正仿宋_GBK"/>
          <w:color w:val="000000"/>
          <w:sz w:val="24"/>
          <w:szCs w:val="24"/>
        </w:rPr>
        <w:t>地  址：</w:t>
      </w:r>
      <w:r>
        <w:rPr>
          <w:rFonts w:hint="eastAsia" w:ascii="方正仿宋_GBK" w:hAnsi="宋体" w:eastAsia="方正仿宋_GBK"/>
          <w:color w:val="000000"/>
          <w:sz w:val="24"/>
          <w:szCs w:val="24"/>
          <w:lang w:eastAsia="zh-CN"/>
        </w:rPr>
        <w:t>重庆市</w:t>
      </w:r>
      <w:r>
        <w:rPr>
          <w:rFonts w:hint="eastAsia" w:ascii="方正仿宋_GBK" w:hAnsi="宋体" w:eastAsia="方正仿宋_GBK"/>
          <w:color w:val="000000"/>
          <w:sz w:val="24"/>
          <w:szCs w:val="24"/>
          <w:lang w:val="en-US" w:eastAsia="zh-CN"/>
        </w:rPr>
        <w:t>石柱县土家族自治县西沱镇月台路51号</w:t>
      </w:r>
    </w:p>
    <w:p w14:paraId="5931EC61">
      <w:pPr>
        <w:snapToGrid w:val="0"/>
        <w:spacing w:line="400" w:lineRule="exact"/>
        <w:ind w:firstLine="480" w:firstLineChars="200"/>
        <w:outlineLvl w:val="2"/>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（二）</w:t>
      </w:r>
      <w:r>
        <w:rPr>
          <w:rFonts w:hint="eastAsia" w:ascii="方正仿宋_GBK" w:hAnsi="宋体" w:eastAsia="方正仿宋_GBK"/>
          <w:color w:val="000000"/>
          <w:sz w:val="24"/>
          <w:szCs w:val="24"/>
          <w:lang w:val="en-US" w:eastAsia="zh-CN"/>
        </w:rPr>
        <w:t>比选</w:t>
      </w:r>
      <w:r>
        <w:rPr>
          <w:rFonts w:hint="eastAsia" w:ascii="方正仿宋_GBK" w:hAnsi="宋体" w:eastAsia="方正仿宋_GBK"/>
          <w:color w:val="000000"/>
          <w:sz w:val="24"/>
          <w:szCs w:val="24"/>
        </w:rPr>
        <w:t>代理机构：</w:t>
      </w:r>
      <w:r>
        <w:rPr>
          <w:rFonts w:hint="eastAsia" w:ascii="方正仿宋_GBK" w:hAnsi="宋体" w:eastAsia="方正仿宋_GBK"/>
          <w:color w:val="000000"/>
          <w:sz w:val="24"/>
          <w:szCs w:val="24"/>
          <w:lang w:eastAsia="zh-CN"/>
        </w:rPr>
        <w:t>重庆多杰数字科技咨询服务有限公司</w:t>
      </w:r>
      <w:r>
        <w:rPr>
          <w:rFonts w:hint="eastAsia" w:ascii="方正仿宋_GBK" w:hAnsi="宋体" w:eastAsia="方正仿宋_GBK"/>
          <w:color w:val="000000"/>
          <w:sz w:val="24"/>
          <w:szCs w:val="24"/>
        </w:rPr>
        <w:t xml:space="preserve"> </w:t>
      </w:r>
    </w:p>
    <w:p w14:paraId="3B25BCC7">
      <w:pPr>
        <w:snapToGrid w:val="0"/>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联系人：</w:t>
      </w:r>
      <w:r>
        <w:rPr>
          <w:rFonts w:hint="eastAsia" w:ascii="方正仿宋_GBK" w:hAnsi="宋体" w:eastAsia="方正仿宋_GBK"/>
          <w:color w:val="000000"/>
          <w:sz w:val="24"/>
          <w:szCs w:val="24"/>
          <w:lang w:val="en-US" w:eastAsia="zh-CN"/>
        </w:rPr>
        <w:t>李老师</w:t>
      </w:r>
      <w:r>
        <w:rPr>
          <w:rFonts w:hint="eastAsia" w:ascii="方正仿宋_GBK" w:hAnsi="宋体" w:eastAsia="方正仿宋_GBK"/>
          <w:color w:val="000000"/>
          <w:sz w:val="24"/>
          <w:szCs w:val="24"/>
        </w:rPr>
        <w:t xml:space="preserve"> </w:t>
      </w:r>
    </w:p>
    <w:p w14:paraId="5DFABB0B">
      <w:pPr>
        <w:snapToGrid w:val="0"/>
        <w:spacing w:line="400" w:lineRule="exact"/>
        <w:ind w:firstLine="480" w:firstLineChars="200"/>
        <w:rPr>
          <w:rFonts w:hint="eastAsia" w:ascii="方正仿宋_GBK" w:hAnsi="宋体" w:eastAsia="方正仿宋_GBK"/>
          <w:color w:val="000000"/>
          <w:sz w:val="24"/>
          <w:szCs w:val="24"/>
          <w:lang w:val="en-US" w:eastAsia="zh-CN"/>
        </w:rPr>
      </w:pPr>
      <w:r>
        <w:rPr>
          <w:rFonts w:hint="eastAsia" w:ascii="方正仿宋_GBK" w:hAnsi="宋体" w:eastAsia="方正仿宋_GBK"/>
          <w:color w:val="000000"/>
          <w:sz w:val="24"/>
          <w:szCs w:val="24"/>
        </w:rPr>
        <w:t>电  话：</w:t>
      </w:r>
      <w:r>
        <w:rPr>
          <w:rFonts w:hint="eastAsia" w:ascii="方正仿宋_GBK" w:hAnsi="宋体" w:eastAsia="方正仿宋_GBK"/>
          <w:color w:val="000000"/>
          <w:sz w:val="24"/>
          <w:szCs w:val="24"/>
          <w:lang w:val="en-US" w:eastAsia="zh-CN"/>
        </w:rPr>
        <w:t>18623379562</w:t>
      </w:r>
    </w:p>
    <w:p w14:paraId="2AF249A3">
      <w:pPr>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地  址：重庆市经开区长生桥镇江峡路8号13-1幢1楼</w:t>
      </w:r>
    </w:p>
    <w:p w14:paraId="65C5A5CC">
      <w:pPr>
        <w:ind w:firstLine="480" w:firstLineChars="200"/>
        <w:rPr>
          <w:rFonts w:hint="eastAsia" w:ascii="方正仿宋_GBK" w:hAnsi="宋体" w:eastAsia="方正仿宋_GBK"/>
          <w:color w:val="000000"/>
          <w:sz w:val="24"/>
          <w:szCs w:val="24"/>
        </w:rPr>
      </w:pPr>
    </w:p>
    <w:p w14:paraId="6D41E7F1">
      <w:pPr>
        <w:ind w:firstLine="480" w:firstLineChars="200"/>
        <w:rPr>
          <w:rFonts w:hint="eastAsia" w:ascii="方正仿宋_GBK" w:hAnsi="宋体" w:eastAsia="方正仿宋_GBK"/>
          <w:color w:val="000000"/>
          <w:sz w:val="24"/>
          <w:szCs w:val="24"/>
        </w:rPr>
      </w:pPr>
    </w:p>
    <w:p w14:paraId="3C046026">
      <w:pPr>
        <w:ind w:firstLine="480" w:firstLineChars="200"/>
        <w:rPr>
          <w:rFonts w:hint="eastAsia" w:ascii="方正仿宋_GBK" w:hAnsi="宋体" w:eastAsia="方正仿宋_GBK"/>
          <w:color w:val="000000"/>
          <w:sz w:val="24"/>
          <w:szCs w:val="24"/>
        </w:rPr>
      </w:pPr>
    </w:p>
    <w:p w14:paraId="54EB2D62">
      <w:pPr>
        <w:ind w:firstLine="480" w:firstLineChars="200"/>
        <w:rPr>
          <w:rFonts w:hint="eastAsia" w:ascii="方正仿宋_GBK" w:hAnsi="宋体" w:eastAsia="方正仿宋_GBK"/>
          <w:color w:val="000000"/>
          <w:sz w:val="24"/>
          <w:szCs w:val="24"/>
        </w:rPr>
      </w:pPr>
    </w:p>
    <w:p w14:paraId="6EBA8112">
      <w:pPr>
        <w:ind w:firstLine="480" w:firstLineChars="200"/>
        <w:rPr>
          <w:rFonts w:hint="eastAsia" w:ascii="方正仿宋_GBK" w:hAnsi="宋体" w:eastAsia="方正仿宋_GBK"/>
          <w:color w:val="000000"/>
          <w:sz w:val="24"/>
          <w:szCs w:val="24"/>
        </w:rPr>
      </w:pPr>
    </w:p>
    <w:p w14:paraId="63D19F1F">
      <w:pPr>
        <w:ind w:firstLine="480" w:firstLineChars="200"/>
        <w:rPr>
          <w:rFonts w:hint="eastAsia" w:ascii="方正仿宋_GBK" w:hAnsi="宋体" w:eastAsia="方正仿宋_GBK"/>
          <w:color w:val="000000"/>
          <w:sz w:val="24"/>
          <w:szCs w:val="24"/>
        </w:rPr>
      </w:pPr>
    </w:p>
    <w:p w14:paraId="3062EC93">
      <w:pPr>
        <w:ind w:firstLine="480" w:firstLineChars="200"/>
        <w:rPr>
          <w:rFonts w:hint="eastAsia" w:ascii="方正仿宋_GBK" w:hAnsi="宋体" w:eastAsia="方正仿宋_GBK"/>
          <w:color w:val="000000"/>
          <w:sz w:val="24"/>
          <w:szCs w:val="24"/>
        </w:rPr>
      </w:pPr>
    </w:p>
    <w:p w14:paraId="2E8C0785">
      <w:pPr>
        <w:ind w:firstLine="480" w:firstLineChars="200"/>
        <w:rPr>
          <w:rFonts w:hint="eastAsia" w:ascii="方正仿宋_GBK" w:hAnsi="宋体" w:eastAsia="方正仿宋_GBK"/>
          <w:color w:val="000000"/>
          <w:sz w:val="24"/>
          <w:szCs w:val="24"/>
        </w:rPr>
      </w:pPr>
    </w:p>
    <w:p w14:paraId="178DE59C">
      <w:pPr>
        <w:ind w:firstLine="480" w:firstLineChars="200"/>
        <w:rPr>
          <w:rFonts w:hint="eastAsia" w:ascii="方正仿宋_GBK" w:hAnsi="宋体" w:eastAsia="方正仿宋_GBK"/>
          <w:color w:val="000000"/>
          <w:sz w:val="24"/>
          <w:szCs w:val="24"/>
        </w:rPr>
      </w:pPr>
    </w:p>
    <w:p w14:paraId="2461DD29">
      <w:pPr>
        <w:pStyle w:val="4"/>
        <w:rPr>
          <w:rFonts w:ascii="仿宋" w:hAnsi="仿宋" w:eastAsia="仿宋" w:cs="仿宋"/>
          <w:b/>
          <w:bCs/>
          <w:color w:val="000000"/>
          <w:sz w:val="36"/>
          <w:szCs w:val="36"/>
        </w:rPr>
      </w:pPr>
      <w:r>
        <w:rPr>
          <w:rFonts w:hint="eastAsia" w:ascii="仿宋" w:hAnsi="仿宋" w:eastAsia="仿宋" w:cs="仿宋"/>
          <w:color w:val="000000"/>
          <w:sz w:val="32"/>
          <w:szCs w:val="32"/>
        </w:rPr>
        <w:t>附：</w:t>
      </w:r>
    </w:p>
    <w:p w14:paraId="7A4553F6">
      <w:pPr>
        <w:jc w:val="center"/>
        <w:outlineLvl w:val="1"/>
        <w:rPr>
          <w:rFonts w:ascii="仿宋" w:hAnsi="仿宋" w:eastAsia="仿宋" w:cs="仿宋"/>
          <w:b/>
          <w:bCs/>
          <w:color w:val="000000"/>
          <w:sz w:val="36"/>
          <w:szCs w:val="36"/>
        </w:rPr>
      </w:pPr>
      <w:bookmarkStart w:id="146" w:name="_Toc26889"/>
      <w:bookmarkStart w:id="147" w:name="_Toc23703"/>
      <w:bookmarkStart w:id="148" w:name="_Toc13209"/>
      <w:r>
        <w:rPr>
          <w:rFonts w:hint="eastAsia" w:ascii="仿宋" w:hAnsi="仿宋" w:eastAsia="仿宋" w:cs="仿宋"/>
          <w:b/>
          <w:bCs/>
          <w:color w:val="000000"/>
          <w:sz w:val="36"/>
          <w:szCs w:val="36"/>
        </w:rPr>
        <w:t>比选文件发售登记表</w:t>
      </w:r>
      <w:bookmarkEnd w:id="146"/>
      <w:bookmarkEnd w:id="147"/>
      <w:bookmarkEnd w:id="148"/>
    </w:p>
    <w:tbl>
      <w:tblPr>
        <w:tblStyle w:val="8"/>
        <w:tblW w:w="8655" w:type="dxa"/>
        <w:jc w:val="center"/>
        <w:tblLayout w:type="fixed"/>
        <w:tblCellMar>
          <w:top w:w="0" w:type="dxa"/>
          <w:left w:w="0" w:type="dxa"/>
          <w:bottom w:w="0" w:type="dxa"/>
          <w:right w:w="0" w:type="dxa"/>
        </w:tblCellMar>
      </w:tblPr>
      <w:tblGrid>
        <w:gridCol w:w="1830"/>
        <w:gridCol w:w="2105"/>
        <w:gridCol w:w="1517"/>
        <w:gridCol w:w="3203"/>
      </w:tblGrid>
      <w:tr w14:paraId="487DEBA0">
        <w:tblPrEx>
          <w:tblCellMar>
            <w:top w:w="0" w:type="dxa"/>
            <w:left w:w="0" w:type="dxa"/>
            <w:bottom w:w="0" w:type="dxa"/>
            <w:right w:w="0" w:type="dxa"/>
          </w:tblCellMar>
        </w:tblPrEx>
        <w:trPr>
          <w:trHeight w:val="764" w:hRule="atLeast"/>
          <w:jc w:val="center"/>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200E9AC1">
            <w:pPr>
              <w:snapToGrid w:val="0"/>
              <w:spacing w:before="64" w:line="360" w:lineRule="auto"/>
              <w:ind w:right="-110"/>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项目编号</w:t>
            </w:r>
          </w:p>
        </w:tc>
        <w:tc>
          <w:tcPr>
            <w:tcW w:w="6825" w:type="dxa"/>
            <w:gridSpan w:val="3"/>
            <w:tcBorders>
              <w:top w:val="single" w:color="000000" w:sz="4" w:space="0"/>
              <w:left w:val="single" w:color="000000" w:sz="4" w:space="0"/>
              <w:bottom w:val="single" w:color="000000" w:sz="4" w:space="0"/>
              <w:right w:val="single" w:color="000000" w:sz="4" w:space="0"/>
            </w:tcBorders>
            <w:noWrap w:val="0"/>
            <w:vAlign w:val="center"/>
          </w:tcPr>
          <w:p w14:paraId="6893662F">
            <w:pPr>
              <w:snapToGrid w:val="0"/>
              <w:spacing w:before="64" w:line="360" w:lineRule="auto"/>
              <w:ind w:right="-110"/>
              <w:jc w:val="center"/>
              <w:textAlignment w:val="baseline"/>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lang w:val="en-US" w:eastAsia="zh-CN"/>
              </w:rPr>
              <w:t>DJZB-2025-07</w:t>
            </w:r>
          </w:p>
        </w:tc>
      </w:tr>
      <w:tr w14:paraId="36D7C598">
        <w:tblPrEx>
          <w:tblCellMar>
            <w:top w:w="0" w:type="dxa"/>
            <w:left w:w="0" w:type="dxa"/>
            <w:bottom w:w="0" w:type="dxa"/>
            <w:right w:w="0" w:type="dxa"/>
          </w:tblCellMar>
        </w:tblPrEx>
        <w:trPr>
          <w:trHeight w:val="1140" w:hRule="atLeast"/>
          <w:jc w:val="center"/>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36726D2C">
            <w:pPr>
              <w:snapToGrid w:val="0"/>
              <w:spacing w:before="64" w:line="360" w:lineRule="auto"/>
              <w:ind w:right="-110"/>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rPr>
              <w:t>比选代理机构</w:t>
            </w:r>
          </w:p>
        </w:tc>
        <w:tc>
          <w:tcPr>
            <w:tcW w:w="6825" w:type="dxa"/>
            <w:gridSpan w:val="3"/>
            <w:tcBorders>
              <w:top w:val="single" w:color="000000" w:sz="4" w:space="0"/>
              <w:left w:val="single" w:color="000000" w:sz="4" w:space="0"/>
              <w:bottom w:val="single" w:color="000000" w:sz="4" w:space="0"/>
              <w:right w:val="single" w:color="000000" w:sz="4" w:space="0"/>
            </w:tcBorders>
            <w:noWrap w:val="0"/>
            <w:vAlign w:val="center"/>
          </w:tcPr>
          <w:p w14:paraId="5C8B2DF1">
            <w:pPr>
              <w:snapToGrid w:val="0"/>
              <w:spacing w:before="64" w:line="360" w:lineRule="auto"/>
              <w:ind w:right="-110"/>
              <w:jc w:val="center"/>
              <w:textAlignment w:val="baseline"/>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重庆多杰数字科技咨询服务有限公司</w:t>
            </w:r>
          </w:p>
        </w:tc>
      </w:tr>
      <w:tr w14:paraId="719E52C8">
        <w:tblPrEx>
          <w:tblCellMar>
            <w:top w:w="0" w:type="dxa"/>
            <w:left w:w="0" w:type="dxa"/>
            <w:bottom w:w="0" w:type="dxa"/>
            <w:right w:w="0" w:type="dxa"/>
          </w:tblCellMar>
        </w:tblPrEx>
        <w:trPr>
          <w:trHeight w:val="1300" w:hRule="atLeast"/>
          <w:jc w:val="center"/>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20C69810">
            <w:pPr>
              <w:snapToGrid w:val="0"/>
              <w:spacing w:before="64" w:line="360" w:lineRule="auto"/>
              <w:ind w:right="-110" w:rightChars="0"/>
              <w:jc w:val="center"/>
              <w:textAlignment w:val="baseline"/>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项目名称</w:t>
            </w:r>
          </w:p>
        </w:tc>
        <w:tc>
          <w:tcPr>
            <w:tcW w:w="6825" w:type="dxa"/>
            <w:gridSpan w:val="3"/>
            <w:tcBorders>
              <w:top w:val="single" w:color="000000" w:sz="4" w:space="0"/>
              <w:left w:val="single" w:color="000000" w:sz="4" w:space="0"/>
              <w:bottom w:val="single" w:color="000000" w:sz="4" w:space="0"/>
              <w:right w:val="single" w:color="000000" w:sz="4" w:space="0"/>
            </w:tcBorders>
            <w:noWrap w:val="0"/>
            <w:vAlign w:val="center"/>
          </w:tcPr>
          <w:p w14:paraId="46E7F6BB">
            <w:pPr>
              <w:snapToGrid w:val="0"/>
              <w:spacing w:before="64" w:line="360" w:lineRule="auto"/>
              <w:ind w:right="-110" w:rightChars="0"/>
              <w:jc w:val="center"/>
              <w:textAlignment w:val="baseline"/>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石柱土家族自治县西沱镇中心卫生院办公桌椅采购</w:t>
            </w:r>
          </w:p>
        </w:tc>
      </w:tr>
      <w:tr w14:paraId="10B8C642">
        <w:tblPrEx>
          <w:tblCellMar>
            <w:top w:w="0" w:type="dxa"/>
            <w:left w:w="0" w:type="dxa"/>
            <w:bottom w:w="0" w:type="dxa"/>
            <w:right w:w="0" w:type="dxa"/>
          </w:tblCellMar>
        </w:tblPrEx>
        <w:trPr>
          <w:trHeight w:val="1577" w:hRule="atLeast"/>
          <w:jc w:val="center"/>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5122CCA1">
            <w:pPr>
              <w:snapToGrid w:val="0"/>
              <w:spacing w:before="64" w:line="360" w:lineRule="auto"/>
              <w:ind w:right="-110"/>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投标人</w:t>
            </w:r>
            <w:r>
              <w:rPr>
                <w:rFonts w:hint="eastAsia" w:ascii="仿宋" w:hAnsi="仿宋" w:eastAsia="仿宋" w:cs="仿宋"/>
                <w:b/>
                <w:bCs/>
                <w:color w:val="000000"/>
                <w:sz w:val="28"/>
                <w:szCs w:val="28"/>
              </w:rPr>
              <w:t>名称</w:t>
            </w:r>
          </w:p>
        </w:tc>
        <w:tc>
          <w:tcPr>
            <w:tcW w:w="6825" w:type="dxa"/>
            <w:gridSpan w:val="3"/>
            <w:tcBorders>
              <w:top w:val="single" w:color="000000" w:sz="4" w:space="0"/>
              <w:left w:val="single" w:color="000000" w:sz="4" w:space="0"/>
              <w:bottom w:val="single" w:color="000000" w:sz="4" w:space="0"/>
              <w:right w:val="single" w:color="000000" w:sz="4" w:space="0"/>
            </w:tcBorders>
            <w:noWrap w:val="0"/>
            <w:vAlign w:val="center"/>
          </w:tcPr>
          <w:p w14:paraId="71530F9A">
            <w:pPr>
              <w:snapToGrid w:val="0"/>
              <w:spacing w:before="64" w:line="360" w:lineRule="auto"/>
              <w:ind w:right="-110"/>
              <w:jc w:val="right"/>
              <w:textAlignment w:val="baseline"/>
              <w:rPr>
                <w:rFonts w:ascii="仿宋" w:hAnsi="仿宋" w:eastAsia="仿宋" w:cs="仿宋"/>
                <w:color w:val="000000"/>
                <w:sz w:val="28"/>
                <w:szCs w:val="28"/>
              </w:rPr>
            </w:pPr>
            <w:r>
              <w:rPr>
                <w:rFonts w:hint="eastAsia" w:ascii="仿宋" w:hAnsi="仿宋" w:eastAsia="仿宋" w:cs="仿宋"/>
                <w:b/>
                <w:bCs/>
                <w:color w:val="000000"/>
                <w:sz w:val="28"/>
                <w:szCs w:val="28"/>
              </w:rPr>
              <w:t>（单位公章）</w:t>
            </w:r>
          </w:p>
        </w:tc>
      </w:tr>
      <w:tr w14:paraId="7EC9D2A2">
        <w:tblPrEx>
          <w:tblCellMar>
            <w:top w:w="0" w:type="dxa"/>
            <w:left w:w="0" w:type="dxa"/>
            <w:bottom w:w="0" w:type="dxa"/>
            <w:right w:w="0" w:type="dxa"/>
          </w:tblCellMar>
        </w:tblPrEx>
        <w:trPr>
          <w:trHeight w:val="720" w:hRule="atLeast"/>
          <w:jc w:val="center"/>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18E495AF">
            <w:pPr>
              <w:snapToGrid w:val="0"/>
              <w:spacing w:before="64" w:line="360" w:lineRule="auto"/>
              <w:ind w:right="-110"/>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rPr>
              <w:t>联系人</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14:paraId="2C5B3658">
            <w:pPr>
              <w:snapToGrid w:val="0"/>
              <w:spacing w:before="64" w:line="360" w:lineRule="auto"/>
              <w:ind w:right="-110"/>
              <w:jc w:val="center"/>
              <w:textAlignment w:val="baseline"/>
              <w:rPr>
                <w:rFonts w:ascii="仿宋" w:hAnsi="仿宋" w:eastAsia="仿宋" w:cs="仿宋"/>
                <w:color w:val="000000"/>
                <w:sz w:val="28"/>
                <w:szCs w:val="28"/>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6F42BDBF">
            <w:pPr>
              <w:snapToGrid w:val="0"/>
              <w:spacing w:before="64" w:line="360" w:lineRule="auto"/>
              <w:ind w:right="-110"/>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rPr>
              <w:t>手机</w:t>
            </w:r>
          </w:p>
        </w:tc>
        <w:tc>
          <w:tcPr>
            <w:tcW w:w="3203" w:type="dxa"/>
            <w:tcBorders>
              <w:top w:val="single" w:color="000000" w:sz="4" w:space="0"/>
              <w:left w:val="single" w:color="000000" w:sz="4" w:space="0"/>
              <w:bottom w:val="single" w:color="000000" w:sz="4" w:space="0"/>
              <w:right w:val="single" w:color="000000" w:sz="4" w:space="0"/>
            </w:tcBorders>
            <w:noWrap w:val="0"/>
            <w:vAlign w:val="center"/>
          </w:tcPr>
          <w:p w14:paraId="77FCA446">
            <w:pPr>
              <w:snapToGrid w:val="0"/>
              <w:spacing w:before="64" w:line="360" w:lineRule="auto"/>
              <w:ind w:right="-110"/>
              <w:jc w:val="center"/>
              <w:textAlignment w:val="baseline"/>
              <w:rPr>
                <w:rFonts w:ascii="仿宋" w:hAnsi="仿宋" w:eastAsia="仿宋" w:cs="仿宋"/>
                <w:color w:val="000000"/>
                <w:sz w:val="28"/>
                <w:szCs w:val="28"/>
              </w:rPr>
            </w:pPr>
          </w:p>
        </w:tc>
      </w:tr>
      <w:tr w14:paraId="154CD386">
        <w:tblPrEx>
          <w:tblCellMar>
            <w:top w:w="0" w:type="dxa"/>
            <w:left w:w="0" w:type="dxa"/>
            <w:bottom w:w="0" w:type="dxa"/>
            <w:right w:w="0" w:type="dxa"/>
          </w:tblCellMar>
        </w:tblPrEx>
        <w:trPr>
          <w:trHeight w:val="720" w:hRule="atLeast"/>
          <w:jc w:val="center"/>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51219E7E">
            <w:pPr>
              <w:snapToGrid w:val="0"/>
              <w:spacing w:before="64" w:line="360" w:lineRule="auto"/>
              <w:ind w:right="-110"/>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rPr>
              <w:t>办公电话</w:t>
            </w:r>
          </w:p>
        </w:tc>
        <w:tc>
          <w:tcPr>
            <w:tcW w:w="2105" w:type="dxa"/>
            <w:tcBorders>
              <w:top w:val="single" w:color="000000" w:sz="4" w:space="0"/>
              <w:left w:val="single" w:color="000000" w:sz="4" w:space="0"/>
              <w:bottom w:val="single" w:color="000000" w:sz="4" w:space="0"/>
              <w:right w:val="single" w:color="000000" w:sz="4" w:space="0"/>
            </w:tcBorders>
            <w:noWrap w:val="0"/>
            <w:vAlign w:val="center"/>
          </w:tcPr>
          <w:p w14:paraId="2CA14E36">
            <w:pPr>
              <w:snapToGrid w:val="0"/>
              <w:spacing w:before="64" w:line="360" w:lineRule="auto"/>
              <w:ind w:right="-110"/>
              <w:jc w:val="center"/>
              <w:textAlignment w:val="baseline"/>
              <w:rPr>
                <w:rFonts w:ascii="仿宋" w:hAnsi="仿宋" w:eastAsia="仿宋" w:cs="仿宋"/>
                <w:color w:val="000000"/>
                <w:sz w:val="28"/>
                <w:szCs w:val="28"/>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6216E7E3">
            <w:pPr>
              <w:snapToGrid w:val="0"/>
              <w:spacing w:before="64" w:line="360" w:lineRule="auto"/>
              <w:ind w:right="-110"/>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rPr>
              <w:t>传真</w:t>
            </w:r>
          </w:p>
        </w:tc>
        <w:tc>
          <w:tcPr>
            <w:tcW w:w="3203" w:type="dxa"/>
            <w:tcBorders>
              <w:top w:val="single" w:color="000000" w:sz="4" w:space="0"/>
              <w:left w:val="single" w:color="000000" w:sz="4" w:space="0"/>
              <w:bottom w:val="single" w:color="000000" w:sz="4" w:space="0"/>
              <w:right w:val="single" w:color="000000" w:sz="4" w:space="0"/>
            </w:tcBorders>
            <w:noWrap w:val="0"/>
            <w:vAlign w:val="center"/>
          </w:tcPr>
          <w:p w14:paraId="0162F445">
            <w:pPr>
              <w:snapToGrid w:val="0"/>
              <w:spacing w:before="64" w:line="360" w:lineRule="auto"/>
              <w:ind w:right="-110"/>
              <w:jc w:val="center"/>
              <w:textAlignment w:val="baseline"/>
              <w:rPr>
                <w:rFonts w:ascii="仿宋" w:hAnsi="仿宋" w:eastAsia="仿宋" w:cs="仿宋"/>
                <w:color w:val="000000"/>
                <w:sz w:val="28"/>
                <w:szCs w:val="28"/>
              </w:rPr>
            </w:pPr>
          </w:p>
        </w:tc>
      </w:tr>
      <w:tr w14:paraId="04459318">
        <w:tblPrEx>
          <w:tblCellMar>
            <w:top w:w="0" w:type="dxa"/>
            <w:left w:w="0" w:type="dxa"/>
            <w:bottom w:w="0" w:type="dxa"/>
            <w:right w:w="0" w:type="dxa"/>
          </w:tblCellMar>
        </w:tblPrEx>
        <w:trPr>
          <w:trHeight w:val="870" w:hRule="atLeast"/>
          <w:jc w:val="center"/>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720AAA00">
            <w:pPr>
              <w:snapToGrid w:val="0"/>
              <w:spacing w:before="64" w:line="360" w:lineRule="auto"/>
              <w:ind w:right="-110"/>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rPr>
              <w:t>E-mail</w:t>
            </w:r>
          </w:p>
        </w:tc>
        <w:tc>
          <w:tcPr>
            <w:tcW w:w="6825" w:type="dxa"/>
            <w:gridSpan w:val="3"/>
            <w:tcBorders>
              <w:top w:val="single" w:color="000000" w:sz="4" w:space="0"/>
              <w:left w:val="single" w:color="000000" w:sz="4" w:space="0"/>
              <w:bottom w:val="single" w:color="000000" w:sz="4" w:space="0"/>
              <w:right w:val="single" w:color="000000" w:sz="4" w:space="0"/>
            </w:tcBorders>
            <w:noWrap w:val="0"/>
            <w:vAlign w:val="center"/>
          </w:tcPr>
          <w:p w14:paraId="6A5DD226">
            <w:pPr>
              <w:snapToGrid w:val="0"/>
              <w:spacing w:before="64" w:line="360" w:lineRule="auto"/>
              <w:ind w:right="-110"/>
              <w:jc w:val="center"/>
              <w:textAlignment w:val="baseline"/>
              <w:rPr>
                <w:rFonts w:ascii="仿宋" w:hAnsi="仿宋" w:eastAsia="仿宋" w:cs="仿宋"/>
                <w:color w:val="000000"/>
                <w:sz w:val="28"/>
                <w:szCs w:val="28"/>
              </w:rPr>
            </w:pPr>
          </w:p>
        </w:tc>
      </w:tr>
      <w:tr w14:paraId="6F081C5E">
        <w:tblPrEx>
          <w:tblCellMar>
            <w:top w:w="0" w:type="dxa"/>
            <w:left w:w="0" w:type="dxa"/>
            <w:bottom w:w="0" w:type="dxa"/>
            <w:right w:w="0" w:type="dxa"/>
          </w:tblCellMar>
        </w:tblPrEx>
        <w:trPr>
          <w:trHeight w:val="1000" w:hRule="atLeast"/>
          <w:jc w:val="center"/>
        </w:trPr>
        <w:tc>
          <w:tcPr>
            <w:tcW w:w="1830" w:type="dxa"/>
            <w:tcBorders>
              <w:top w:val="single" w:color="000000" w:sz="4" w:space="0"/>
              <w:left w:val="single" w:color="000000" w:sz="4" w:space="0"/>
              <w:bottom w:val="single" w:color="000000" w:sz="4" w:space="0"/>
              <w:right w:val="single" w:color="000000" w:sz="4" w:space="0"/>
            </w:tcBorders>
            <w:noWrap w:val="0"/>
            <w:vAlign w:val="center"/>
          </w:tcPr>
          <w:p w14:paraId="331B6A62">
            <w:pPr>
              <w:snapToGrid w:val="0"/>
              <w:spacing w:before="64" w:line="360" w:lineRule="auto"/>
              <w:ind w:right="-110"/>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rPr>
              <w:t>单位地址</w:t>
            </w:r>
          </w:p>
        </w:tc>
        <w:tc>
          <w:tcPr>
            <w:tcW w:w="6825" w:type="dxa"/>
            <w:gridSpan w:val="3"/>
            <w:tcBorders>
              <w:top w:val="single" w:color="000000" w:sz="4" w:space="0"/>
              <w:left w:val="single" w:color="000000" w:sz="4" w:space="0"/>
              <w:bottom w:val="single" w:color="000000" w:sz="4" w:space="0"/>
              <w:right w:val="single" w:color="000000" w:sz="4" w:space="0"/>
            </w:tcBorders>
            <w:noWrap w:val="0"/>
            <w:vAlign w:val="center"/>
          </w:tcPr>
          <w:p w14:paraId="211A47FC">
            <w:pPr>
              <w:snapToGrid w:val="0"/>
              <w:spacing w:before="64" w:line="360" w:lineRule="auto"/>
              <w:ind w:right="-110"/>
              <w:jc w:val="center"/>
              <w:textAlignment w:val="baseline"/>
              <w:rPr>
                <w:rFonts w:ascii="仿宋" w:hAnsi="仿宋" w:eastAsia="仿宋" w:cs="仿宋"/>
                <w:color w:val="000000"/>
                <w:sz w:val="28"/>
                <w:szCs w:val="28"/>
              </w:rPr>
            </w:pPr>
          </w:p>
        </w:tc>
      </w:tr>
    </w:tbl>
    <w:p w14:paraId="6A51A36F">
      <w:pPr>
        <w:pStyle w:val="4"/>
        <w:outlineLvl w:val="1"/>
        <w:rPr>
          <w:rFonts w:hint="eastAsia" w:ascii="方正仿宋_GBK" w:hAnsi="方正仿宋_GBK" w:eastAsia="方正仿宋_GBK" w:cs="方正仿宋_GBK"/>
          <w:color w:val="000000"/>
          <w:sz w:val="28"/>
          <w:szCs w:val="28"/>
        </w:rPr>
      </w:pPr>
      <w:bookmarkStart w:id="149" w:name="_Toc28011"/>
      <w:bookmarkStart w:id="150" w:name="_Toc12635"/>
      <w:bookmarkStart w:id="151" w:name="_Toc22025"/>
      <w:r>
        <w:rPr>
          <w:rFonts w:hint="eastAsia" w:ascii="方正仿宋_GBK" w:hAnsi="方正仿宋_GBK" w:eastAsia="方正仿宋_GBK" w:cs="方正仿宋_GBK"/>
          <w:color w:val="000000"/>
          <w:sz w:val="28"/>
          <w:szCs w:val="28"/>
        </w:rPr>
        <w:t>比选文件售价：人民币</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00元/份（售后不退）</w:t>
      </w:r>
      <w:bookmarkEnd w:id="149"/>
      <w:bookmarkEnd w:id="150"/>
      <w:bookmarkEnd w:id="151"/>
      <w:r>
        <w:rPr>
          <w:rFonts w:hint="eastAsia" w:ascii="方正仿宋_GBK" w:hAnsi="方正仿宋_GBK" w:eastAsia="方正仿宋_GBK" w:cs="方正仿宋_GBK"/>
          <w:color w:val="000000"/>
          <w:sz w:val="28"/>
          <w:szCs w:val="28"/>
        </w:rPr>
        <w:t xml:space="preserve">  </w:t>
      </w:r>
    </w:p>
    <w:p w14:paraId="5D6FDEE9">
      <w:pPr>
        <w:jc w:val="righ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    年  月  日</w:t>
      </w:r>
    </w:p>
    <w:p w14:paraId="293077B7">
      <w:pPr>
        <w:pStyle w:val="4"/>
        <w:spacing w:after="0" w:line="360" w:lineRule="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说明：</w:t>
      </w:r>
    </w:p>
    <w:p w14:paraId="1A049AD3">
      <w:pPr>
        <w:numPr>
          <w:ilvl w:val="0"/>
          <w:numId w:val="1"/>
        </w:num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Cs w:val="28"/>
        </w:rPr>
        <w:fldChar w:fldCharType="begin"/>
      </w:r>
      <w:r>
        <w:rPr>
          <w:rFonts w:hint="eastAsia" w:ascii="方正仿宋_GBK" w:hAnsi="方正仿宋_GBK" w:eastAsia="方正仿宋_GBK" w:cs="方正仿宋_GBK"/>
          <w:color w:val="000000"/>
          <w:szCs w:val="28"/>
        </w:rPr>
        <w:instrText xml:space="preserve"> HYPERLINK "mailto:在比选文件发售期内，潜在比选申请人将《重庆安瑞达工程咨询有限公司比选文件发售登记表》（加盖比选申请人公章）扫描后发送至875961959@qq.com，视为具备报名资格，否则视为无效。" </w:instrText>
      </w:r>
      <w:r>
        <w:rPr>
          <w:rFonts w:hint="eastAsia" w:ascii="方正仿宋_GBK" w:hAnsi="方正仿宋_GBK" w:eastAsia="方正仿宋_GBK" w:cs="方正仿宋_GBK"/>
          <w:color w:val="000000"/>
          <w:szCs w:val="28"/>
        </w:rPr>
        <w:fldChar w:fldCharType="separate"/>
      </w:r>
      <w:r>
        <w:rPr>
          <w:rStyle w:val="10"/>
          <w:rFonts w:hint="eastAsia" w:ascii="方正仿宋_GBK" w:hAnsi="方正仿宋_GBK" w:eastAsia="方正仿宋_GBK" w:cs="方正仿宋_GBK"/>
          <w:color w:val="000000"/>
          <w:sz w:val="28"/>
          <w:szCs w:val="28"/>
          <w:u w:val="none"/>
        </w:rPr>
        <w:t>在</w:t>
      </w:r>
      <w:r>
        <w:rPr>
          <w:rStyle w:val="10"/>
          <w:rFonts w:hint="eastAsia" w:ascii="方正仿宋_GBK" w:hAnsi="方正仿宋_GBK" w:eastAsia="方正仿宋_GBK" w:cs="方正仿宋_GBK"/>
          <w:color w:val="000000"/>
          <w:sz w:val="28"/>
          <w:szCs w:val="28"/>
          <w:u w:val="none"/>
          <w:lang w:val="en-US" w:eastAsia="zh-CN"/>
        </w:rPr>
        <w:t>竞争性比选</w:t>
      </w:r>
      <w:r>
        <w:rPr>
          <w:rStyle w:val="10"/>
          <w:rFonts w:hint="eastAsia" w:ascii="方正仿宋_GBK" w:hAnsi="方正仿宋_GBK" w:eastAsia="方正仿宋_GBK" w:cs="方正仿宋_GBK"/>
          <w:color w:val="000000"/>
          <w:sz w:val="28"/>
          <w:szCs w:val="28"/>
          <w:u w:val="none"/>
        </w:rPr>
        <w:t>文件发售期内，潜在</w:t>
      </w:r>
      <w:r>
        <w:rPr>
          <w:rStyle w:val="10"/>
          <w:rFonts w:hint="eastAsia" w:ascii="方正仿宋_GBK" w:hAnsi="方正仿宋_GBK" w:eastAsia="方正仿宋_GBK" w:cs="方正仿宋_GBK"/>
          <w:color w:val="000000"/>
          <w:sz w:val="28"/>
          <w:szCs w:val="28"/>
          <w:u w:val="none"/>
          <w:lang w:val="en-US" w:eastAsia="zh-CN"/>
        </w:rPr>
        <w:t>投标</w:t>
      </w:r>
      <w:r>
        <w:rPr>
          <w:rStyle w:val="10"/>
          <w:rFonts w:hint="eastAsia" w:ascii="方正仿宋_GBK" w:hAnsi="方正仿宋_GBK" w:eastAsia="方正仿宋_GBK" w:cs="方正仿宋_GBK"/>
          <w:color w:val="000000"/>
          <w:sz w:val="28"/>
          <w:szCs w:val="28"/>
          <w:u w:val="none"/>
        </w:rPr>
        <w:t>人将《比选文件发售登记表》（加盖</w:t>
      </w:r>
      <w:r>
        <w:rPr>
          <w:rStyle w:val="10"/>
          <w:rFonts w:hint="eastAsia" w:ascii="方正仿宋_GBK" w:hAnsi="方正仿宋_GBK" w:eastAsia="方正仿宋_GBK" w:cs="方正仿宋_GBK"/>
          <w:color w:val="000000"/>
          <w:sz w:val="28"/>
          <w:szCs w:val="28"/>
          <w:u w:val="none"/>
          <w:lang w:val="en-US" w:eastAsia="zh-CN"/>
        </w:rPr>
        <w:t>投标人</w:t>
      </w:r>
      <w:r>
        <w:rPr>
          <w:rStyle w:val="10"/>
          <w:rFonts w:hint="eastAsia" w:ascii="方正仿宋_GBK" w:hAnsi="方正仿宋_GBK" w:eastAsia="方正仿宋_GBK" w:cs="方正仿宋_GBK"/>
          <w:color w:val="000000"/>
          <w:sz w:val="28"/>
          <w:szCs w:val="28"/>
          <w:u w:val="none"/>
        </w:rPr>
        <w:t>公章）扫描后发送至</w:t>
      </w:r>
      <w:r>
        <w:rPr>
          <w:rStyle w:val="10"/>
          <w:rFonts w:hint="eastAsia" w:ascii="方正仿宋_GBK" w:hAnsi="方正仿宋_GBK" w:eastAsia="方正仿宋_GBK" w:cs="方正仿宋_GBK"/>
          <w:color w:val="000000"/>
          <w:sz w:val="28"/>
          <w:szCs w:val="28"/>
          <w:u w:val="none"/>
          <w:lang w:val="en-US" w:eastAsia="zh-CN"/>
        </w:rPr>
        <w:t>67192564</w:t>
      </w:r>
      <w:r>
        <w:rPr>
          <w:rStyle w:val="10"/>
          <w:rFonts w:hint="eastAsia" w:ascii="方正仿宋_GBK" w:hAnsi="方正仿宋_GBK" w:eastAsia="方正仿宋_GBK" w:cs="方正仿宋_GBK"/>
          <w:color w:val="000000"/>
          <w:sz w:val="28"/>
          <w:szCs w:val="28"/>
          <w:u w:val="none"/>
        </w:rPr>
        <w:t>@qq.com，视为具备报名资格，否则视为无效。</w:t>
      </w:r>
      <w:r>
        <w:rPr>
          <w:rStyle w:val="10"/>
          <w:rFonts w:hint="eastAsia" w:ascii="方正仿宋_GBK" w:hAnsi="方正仿宋_GBK" w:eastAsia="方正仿宋_GBK" w:cs="方正仿宋_GBK"/>
          <w:color w:val="000000"/>
          <w:sz w:val="28"/>
          <w:szCs w:val="28"/>
          <w:u w:val="none"/>
        </w:rPr>
        <w:fldChar w:fldCharType="end"/>
      </w:r>
    </w:p>
    <w:p w14:paraId="46118234">
      <w:pPr>
        <w:ind w:firstLine="560" w:firstLineChars="200"/>
        <w:rPr>
          <w:rFonts w:hint="eastAsia" w:ascii="方正仿宋_GBK" w:hAnsi="宋体" w:eastAsia="方正仿宋_GBK"/>
          <w:color w:val="000000"/>
          <w:sz w:val="24"/>
          <w:szCs w:val="24"/>
        </w:rPr>
      </w:pPr>
      <w:r>
        <w:rPr>
          <w:rFonts w:hint="eastAsia" w:ascii="方正仿宋_GBK" w:hAnsi="方正仿宋_GBK" w:eastAsia="方正仿宋_GBK" w:cs="方正仿宋_GBK"/>
          <w:color w:val="000000"/>
          <w:sz w:val="28"/>
          <w:szCs w:val="28"/>
        </w:rPr>
        <w:t>报名和比选文件发售期202</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lang w:val="en-US" w:eastAsia="zh-CN"/>
        </w:rPr>
        <w:t>7</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25</w:t>
      </w:r>
      <w:r>
        <w:rPr>
          <w:rFonts w:hint="eastAsia" w:ascii="方正仿宋_GBK" w:hAnsi="方正仿宋_GBK" w:eastAsia="方正仿宋_GBK" w:cs="方正仿宋_GBK"/>
          <w:color w:val="000000"/>
          <w:sz w:val="28"/>
          <w:szCs w:val="28"/>
        </w:rPr>
        <w:t xml:space="preserve">日- </w:t>
      </w:r>
      <w:r>
        <w:rPr>
          <w:rFonts w:hint="eastAsia" w:ascii="方正仿宋_GBK" w:hAnsi="方正仿宋_GBK" w:eastAsia="方正仿宋_GBK" w:cs="方正仿宋_GBK"/>
          <w:color w:val="000000"/>
          <w:sz w:val="28"/>
          <w:szCs w:val="28"/>
          <w:lang w:val="en-US" w:eastAsia="zh-CN"/>
        </w:rPr>
        <w:t>7</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29</w:t>
      </w:r>
      <w:r>
        <w:rPr>
          <w:rFonts w:hint="eastAsia" w:ascii="方正仿宋_GBK" w:hAnsi="方正仿宋_GBK" w:eastAsia="方正仿宋_GBK" w:cs="方正仿宋_GBK"/>
          <w:color w:val="000000"/>
          <w:sz w:val="28"/>
          <w:szCs w:val="28"/>
        </w:rPr>
        <w:t>日17:00。</w:t>
      </w:r>
      <w:bookmarkStart w:id="152" w:name="_GoBack"/>
      <w:bookmarkEnd w:id="15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242EEFD-7A03-4D84-A048-313AC7030B2C}"/>
  </w:font>
  <w:font w:name="方正仿宋_GBK">
    <w:panose1 w:val="02000000000000000000"/>
    <w:charset w:val="86"/>
    <w:family w:val="script"/>
    <w:pitch w:val="default"/>
    <w:sig w:usb0="A00002BF" w:usb1="38CF7CFA" w:usb2="00082016" w:usb3="00000000" w:csb0="00040001" w:csb1="00000000"/>
    <w:embedRegular r:id="rId2" w:fontKey="{CA938D86-6E80-46AB-9E1A-7326B6C36650}"/>
  </w:font>
  <w:font w:name="仿宋">
    <w:panose1 w:val="02010609060101010101"/>
    <w:charset w:val="86"/>
    <w:family w:val="modern"/>
    <w:pitch w:val="default"/>
    <w:sig w:usb0="800002BF" w:usb1="38CF7CFA" w:usb2="00000016" w:usb3="00000000" w:csb0="00040001" w:csb1="00000000"/>
    <w:embedRegular r:id="rId3" w:fontKey="{071C5FE1-08F1-4228-8A99-4B9BA154EF19}"/>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33815"/>
    <w:multiLevelType w:val="singleLevel"/>
    <w:tmpl w:val="AF43381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66CEA"/>
    <w:rsid w:val="23F52288"/>
    <w:rsid w:val="41AF06D0"/>
    <w:rsid w:val="5FB66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3"/>
    <w:qFormat/>
    <w:uiPriority w:val="0"/>
    <w:pPr>
      <w:keepNext/>
      <w:keepLines/>
      <w:adjustRightInd w:val="0"/>
      <w:snapToGrid w:val="0"/>
      <w:spacing w:line="360" w:lineRule="auto"/>
      <w:outlineLvl w:val="1"/>
    </w:pPr>
    <w:rPr>
      <w:rFonts w:ascii="宋体" w:hAnsi="宋体"/>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val="0"/>
      <w:snapToGrid w:val="0"/>
      <w:spacing w:line="360" w:lineRule="auto"/>
      <w:ind w:firstLine="420"/>
    </w:pPr>
    <w:rPr>
      <w:sz w:val="24"/>
    </w:rPr>
  </w:style>
  <w:style w:type="paragraph" w:styleId="4">
    <w:name w:val="Body Text"/>
    <w:basedOn w:val="1"/>
    <w:uiPriority w:val="0"/>
    <w:rPr>
      <w:rFonts w:ascii="仿宋_GB2312" w:eastAsia="仿宋_GB2312"/>
      <w:kern w:val="2"/>
      <w:sz w:val="32"/>
    </w:rPr>
  </w:style>
  <w:style w:type="paragraph" w:styleId="5">
    <w:name w:val="Body Text Indent"/>
    <w:basedOn w:val="1"/>
    <w:next w:val="6"/>
    <w:qFormat/>
    <w:uiPriority w:val="0"/>
    <w:pPr>
      <w:spacing w:line="700" w:lineRule="exact"/>
      <w:ind w:left="960"/>
    </w:pPr>
    <w:rPr>
      <w:sz w:val="44"/>
    </w:rPr>
  </w:style>
  <w:style w:type="paragraph" w:styleId="6">
    <w:name w:val="envelope return"/>
    <w:basedOn w:val="1"/>
    <w:semiHidden/>
    <w:qFormat/>
    <w:uiPriority w:val="0"/>
    <w:pPr>
      <w:snapToGrid w:val="0"/>
    </w:pPr>
    <w:rPr>
      <w:rFonts w:ascii="Arial" w:hAnsi="Arial" w:cs="Arial"/>
    </w:rPr>
  </w:style>
  <w:style w:type="paragraph" w:styleId="7">
    <w:name w:val="toc 1"/>
    <w:basedOn w:val="1"/>
    <w:next w:val="1"/>
    <w:uiPriority w:val="39"/>
    <w:pPr>
      <w:tabs>
        <w:tab w:val="left" w:pos="1260"/>
        <w:tab w:val="left" w:pos="1685"/>
        <w:tab w:val="right" w:leader="dot" w:pos="8400"/>
      </w:tabs>
      <w:spacing w:line="320" w:lineRule="exact"/>
      <w:ind w:firstLine="280" w:firstLineChars="100"/>
    </w:pPr>
    <w:rPr>
      <w:rFonts w:ascii="Times New Roman" w:hAnsi="Times New Roman" w:eastAsia="宋体"/>
      <w:b/>
    </w:rPr>
  </w:style>
  <w:style w:type="character" w:styleId="10">
    <w:name w:val="Hyperlink"/>
    <w:basedOn w:val="9"/>
    <w:qFormat/>
    <w:uiPriority w:val="99"/>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1982</Words>
  <Characters>2128</Characters>
  <Lines>0</Lines>
  <Paragraphs>0</Paragraphs>
  <TotalTime>1</TotalTime>
  <ScaleCrop>false</ScaleCrop>
  <LinksUpToDate>false</LinksUpToDate>
  <CharactersWithSpaces>2145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2025-07-25T02:35:00Z</dcterms:created>
  <dc:creator>Tan~~</dc:creator>
  <cp:lastModifiedBy>Tan~~</cp:lastModifiedBy>
  <dcterms:modified xsi:type="dcterms:W3CDTF">2025-07-25T02:39:04Z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1FCFFD0804FF4BA99CB364390A2DF6FA_11</vt:lpwstr>
  </property>
  <property fmtid="{D5CDD505-2E9C-101B-9397-08002B2CF9AE}" pid="4" name="KSOTemplateDocerSaveRecord">
    <vt:lpwstr>eyJoZGlkIjoiZjkwNTE1MmY1MmE1NmI0ZjFjYWQyN2E0NzI4ZDk2Y2IiLCJ1c2VySWQiOiIyNzYyMDI0MTYifQ==</vt:lpwstr>
  </property>
</Properties>
</file>