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480FE">
      <w:pPr>
        <w:autoSpaceDE w:val="0"/>
        <w:autoSpaceDN w:val="0"/>
        <w:adjustRightInd w:val="0"/>
        <w:snapToGrid w:val="0"/>
        <w:spacing w:line="360" w:lineRule="auto"/>
        <w:jc w:val="center"/>
        <w:rPr>
          <w:b/>
          <w:color w:val="auto"/>
          <w:kern w:val="0"/>
          <w:sz w:val="28"/>
          <w:szCs w:val="28"/>
          <w:highlight w:val="none"/>
        </w:rPr>
      </w:pPr>
      <w:bookmarkStart w:id="0" w:name="_Toc9785"/>
      <w:bookmarkStart w:id="1" w:name="_Toc31730"/>
      <w:bookmarkStart w:id="2" w:name="_Toc287620665"/>
    </w:p>
    <w:p w14:paraId="5A333F20">
      <w:pPr>
        <w:autoSpaceDE w:val="0"/>
        <w:autoSpaceDN w:val="0"/>
        <w:adjustRightInd w:val="0"/>
        <w:snapToGrid w:val="0"/>
        <w:spacing w:line="360" w:lineRule="auto"/>
        <w:jc w:val="center"/>
        <w:rPr>
          <w:rFonts w:hint="eastAsia" w:ascii="宋体" w:hAnsi="宋体" w:eastAsia="宋体"/>
          <w:b/>
          <w:color w:val="auto"/>
          <w:w w:val="90"/>
          <w:sz w:val="52"/>
          <w:szCs w:val="52"/>
          <w:highlight w:val="none"/>
          <w:lang w:eastAsia="zh-CN"/>
        </w:rPr>
      </w:pPr>
      <w:r>
        <w:rPr>
          <w:rFonts w:hint="eastAsia"/>
          <w:b/>
          <w:color w:val="auto"/>
          <w:w w:val="90"/>
          <w:kern w:val="0"/>
          <w:sz w:val="32"/>
          <w:szCs w:val="32"/>
          <w:highlight w:val="none"/>
          <w:lang w:eastAsia="zh-CN"/>
        </w:rPr>
        <w:t>重庆市第一一0中学校五公里校区改扩建项目监理</w:t>
      </w:r>
    </w:p>
    <w:p w14:paraId="2B9A8C1F">
      <w:pPr>
        <w:pStyle w:val="9"/>
        <w:snapToGrid w:val="0"/>
        <w:spacing w:line="360" w:lineRule="auto"/>
        <w:ind w:left="0" w:right="0" w:firstLine="0" w:firstLineChars="0"/>
        <w:rPr>
          <w:rFonts w:ascii="宋体" w:hAnsi="宋体" w:eastAsia="宋体"/>
          <w:b/>
          <w:color w:val="auto"/>
          <w:sz w:val="56"/>
          <w:szCs w:val="56"/>
          <w:highlight w:val="none"/>
        </w:rPr>
      </w:pPr>
    </w:p>
    <w:p w14:paraId="4A9E9EB3">
      <w:pPr>
        <w:pStyle w:val="9"/>
        <w:snapToGrid w:val="0"/>
        <w:spacing w:line="360" w:lineRule="auto"/>
        <w:ind w:left="0" w:right="0" w:firstLine="0" w:firstLineChars="0"/>
        <w:jc w:val="center"/>
        <w:rPr>
          <w:rFonts w:ascii="宋体" w:hAnsi="宋体" w:eastAsia="宋体"/>
          <w:b/>
          <w:color w:val="auto"/>
          <w:sz w:val="84"/>
          <w:szCs w:val="84"/>
          <w:highlight w:val="none"/>
        </w:rPr>
      </w:pPr>
    </w:p>
    <w:p w14:paraId="258C15DF">
      <w:pPr>
        <w:pStyle w:val="9"/>
        <w:snapToGrid w:val="0"/>
        <w:spacing w:line="360" w:lineRule="auto"/>
        <w:ind w:left="0" w:right="0" w:firstLine="0" w:firstLineChars="0"/>
        <w:jc w:val="center"/>
        <w:rPr>
          <w:rFonts w:ascii="宋体" w:hAnsi="宋体" w:eastAsia="宋体"/>
          <w:b/>
          <w:color w:val="auto"/>
          <w:sz w:val="84"/>
          <w:szCs w:val="84"/>
          <w:highlight w:val="none"/>
        </w:rPr>
      </w:pPr>
    </w:p>
    <w:p w14:paraId="13B81477">
      <w:pPr>
        <w:autoSpaceDE w:val="0"/>
        <w:autoSpaceDN w:val="0"/>
        <w:adjustRightInd w:val="0"/>
        <w:snapToGrid w:val="0"/>
        <w:spacing w:line="360" w:lineRule="auto"/>
        <w:jc w:val="center"/>
        <w:rPr>
          <w:rFonts w:ascii="黑体" w:hAnsi="黑体" w:eastAsia="黑体" w:cs="黑体"/>
          <w:b/>
          <w:color w:val="auto"/>
          <w:kern w:val="0"/>
          <w:sz w:val="72"/>
          <w:szCs w:val="72"/>
          <w:highlight w:val="none"/>
        </w:rPr>
      </w:pPr>
      <w:r>
        <w:rPr>
          <w:rFonts w:hint="eastAsia" w:ascii="黑体" w:hAnsi="黑体" w:eastAsia="黑体" w:cs="黑体"/>
          <w:b/>
          <w:color w:val="auto"/>
          <w:kern w:val="0"/>
          <w:sz w:val="72"/>
          <w:szCs w:val="72"/>
          <w:highlight w:val="none"/>
        </w:rPr>
        <w:t>竞争性比选文件</w:t>
      </w:r>
    </w:p>
    <w:p w14:paraId="5DF0A29D">
      <w:pPr>
        <w:autoSpaceDE w:val="0"/>
        <w:autoSpaceDN w:val="0"/>
        <w:adjustRightInd w:val="0"/>
        <w:snapToGrid w:val="0"/>
        <w:spacing w:line="360" w:lineRule="auto"/>
        <w:jc w:val="center"/>
        <w:rPr>
          <w:rFonts w:ascii="宋体" w:hAnsi="宋体"/>
          <w:color w:val="auto"/>
          <w:kern w:val="0"/>
          <w:position w:val="-5"/>
          <w:sz w:val="44"/>
          <w:szCs w:val="44"/>
          <w:highlight w:val="none"/>
        </w:rPr>
      </w:pPr>
    </w:p>
    <w:p w14:paraId="2365812F">
      <w:pPr>
        <w:pStyle w:val="7"/>
        <w:rPr>
          <w:color w:val="auto"/>
          <w:highlight w:val="none"/>
        </w:rPr>
      </w:pPr>
    </w:p>
    <w:p w14:paraId="1DC99708">
      <w:pPr>
        <w:pStyle w:val="4"/>
        <w:rPr>
          <w:color w:val="auto"/>
          <w:highlight w:val="none"/>
        </w:rPr>
      </w:pPr>
    </w:p>
    <w:p w14:paraId="7AD6FCA8">
      <w:pPr>
        <w:rPr>
          <w:color w:val="auto"/>
          <w:highlight w:val="none"/>
        </w:rPr>
      </w:pPr>
    </w:p>
    <w:p w14:paraId="207CEF0F">
      <w:pPr>
        <w:autoSpaceDE w:val="0"/>
        <w:autoSpaceDN w:val="0"/>
        <w:adjustRightInd w:val="0"/>
        <w:snapToGrid w:val="0"/>
        <w:spacing w:line="360" w:lineRule="auto"/>
        <w:jc w:val="center"/>
        <w:rPr>
          <w:rFonts w:ascii="宋体" w:hAnsi="宋体"/>
          <w:b/>
          <w:color w:val="auto"/>
          <w:kern w:val="0"/>
          <w:position w:val="-5"/>
          <w:sz w:val="32"/>
          <w:szCs w:val="48"/>
          <w:highlight w:val="none"/>
        </w:rPr>
      </w:pPr>
    </w:p>
    <w:p w14:paraId="75BF8CAC">
      <w:pPr>
        <w:spacing w:line="800" w:lineRule="exact"/>
        <w:ind w:firstLine="843" w:firstLineChars="300"/>
        <w:rPr>
          <w:color w:val="auto"/>
          <w:sz w:val="28"/>
          <w:szCs w:val="28"/>
          <w:highlight w:val="none"/>
        </w:rPr>
      </w:pPr>
      <w:r>
        <w:rPr>
          <w:rFonts w:hint="eastAsia" w:ascii="宋体" w:hAnsi="宋体" w:cs="宋体"/>
          <w:b/>
          <w:color w:val="auto"/>
          <w:sz w:val="28"/>
          <w:szCs w:val="28"/>
          <w:highlight w:val="none"/>
        </w:rPr>
        <w:t>比选人：</w:t>
      </w:r>
      <w:r>
        <w:rPr>
          <w:rFonts w:hint="eastAsia" w:ascii="宋体" w:hAnsi="宋体" w:cs="宋体"/>
          <w:b/>
          <w:color w:val="auto"/>
          <w:sz w:val="28"/>
          <w:szCs w:val="28"/>
          <w:highlight w:val="none"/>
          <w:u w:val="single"/>
          <w:lang w:eastAsia="zh-CN"/>
        </w:rPr>
        <w:t>重庆市江南城市建设发展（集团）有限公司</w:t>
      </w:r>
      <w:r>
        <w:rPr>
          <w:rFonts w:hint="eastAsia" w:ascii="宋体" w:hAnsi="宋体" w:cs="宋体"/>
          <w:b/>
          <w:color w:val="auto"/>
          <w:sz w:val="28"/>
          <w:szCs w:val="28"/>
          <w:highlight w:val="none"/>
          <w:u w:val="single"/>
        </w:rPr>
        <w:t>（盖单位法人章）</w:t>
      </w:r>
    </w:p>
    <w:p w14:paraId="172066CD">
      <w:pPr>
        <w:spacing w:line="800" w:lineRule="exact"/>
        <w:ind w:firstLine="843" w:firstLineChars="300"/>
        <w:rPr>
          <w:rFonts w:ascii="宋体" w:hAnsi="宋体" w:cs="宋体"/>
          <w:b/>
          <w:color w:val="auto"/>
          <w:sz w:val="28"/>
          <w:szCs w:val="28"/>
          <w:highlight w:val="none"/>
        </w:rPr>
      </w:pPr>
      <w:r>
        <w:rPr>
          <w:rFonts w:hint="eastAsia" w:ascii="宋体" w:hAnsi="宋体" w:cs="宋体"/>
          <w:b/>
          <w:color w:val="auto"/>
          <w:sz w:val="28"/>
          <w:szCs w:val="28"/>
          <w:highlight w:val="none"/>
        </w:rPr>
        <w:t>比选代理机构：</w:t>
      </w:r>
      <w:r>
        <w:rPr>
          <w:rFonts w:hint="eastAsia" w:ascii="宋体" w:hAnsi="宋体" w:cs="宋体"/>
          <w:b/>
          <w:color w:val="auto"/>
          <w:sz w:val="28"/>
          <w:szCs w:val="28"/>
          <w:highlight w:val="none"/>
          <w:u w:val="single"/>
          <w:lang w:eastAsia="zh-CN"/>
        </w:rPr>
        <w:t>重庆京琳工程咨询有限公司</w:t>
      </w:r>
      <w:r>
        <w:rPr>
          <w:rFonts w:hint="eastAsia" w:ascii="宋体" w:hAnsi="宋体" w:cs="宋体"/>
          <w:b/>
          <w:color w:val="auto"/>
          <w:sz w:val="28"/>
          <w:szCs w:val="28"/>
          <w:highlight w:val="none"/>
          <w:u w:val="single"/>
        </w:rPr>
        <w:t xml:space="preserve"> （盖单位法人章）</w:t>
      </w:r>
    </w:p>
    <w:p w14:paraId="73DB0EB8">
      <w:pPr>
        <w:pStyle w:val="45"/>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3851FF29">
      <w:pPr>
        <w:pStyle w:val="45"/>
        <w:jc w:val="center"/>
        <w:rPr>
          <w:rFonts w:ascii="宋体" w:hAnsi="宋体" w:cs="宋体"/>
          <w:b/>
          <w:color w:val="auto"/>
          <w:sz w:val="30"/>
          <w:szCs w:val="30"/>
          <w:highlight w:val="none"/>
        </w:rPr>
      </w:pPr>
    </w:p>
    <w:p w14:paraId="26D0716D">
      <w:pPr>
        <w:pStyle w:val="45"/>
        <w:jc w:val="center"/>
        <w:rPr>
          <w:rFonts w:ascii="宋体" w:hAnsi="宋体" w:cs="宋体"/>
          <w:b/>
          <w:color w:val="auto"/>
          <w:sz w:val="30"/>
          <w:szCs w:val="30"/>
          <w:highlight w:val="none"/>
        </w:rPr>
      </w:pPr>
    </w:p>
    <w:p w14:paraId="28FC1CA6">
      <w:pPr>
        <w:autoSpaceDE w:val="0"/>
        <w:autoSpaceDN w:val="0"/>
        <w:adjustRightInd w:val="0"/>
        <w:snapToGrid w:val="0"/>
        <w:spacing w:line="360" w:lineRule="auto"/>
        <w:jc w:val="center"/>
        <w:rPr>
          <w:rFonts w:ascii="宋体" w:hAnsi="宋体"/>
          <w:b/>
          <w:color w:val="auto"/>
          <w:spacing w:val="8"/>
          <w:kern w:val="0"/>
          <w:sz w:val="28"/>
          <w:szCs w:val="28"/>
          <w:highlight w:val="none"/>
        </w:rPr>
      </w:pPr>
      <w:r>
        <w:rPr>
          <w:rFonts w:hint="eastAsia" w:ascii="宋体" w:hAnsi="宋体"/>
          <w:b/>
          <w:color w:val="auto"/>
          <w:spacing w:val="8"/>
          <w:kern w:val="0"/>
          <w:sz w:val="28"/>
          <w:szCs w:val="28"/>
          <w:highlight w:val="none"/>
          <w:u w:val="single"/>
        </w:rPr>
        <w:t>202</w:t>
      </w:r>
      <w:r>
        <w:rPr>
          <w:rFonts w:hint="eastAsia" w:ascii="宋体" w:hAnsi="宋体"/>
          <w:b/>
          <w:color w:val="auto"/>
          <w:spacing w:val="8"/>
          <w:kern w:val="0"/>
          <w:sz w:val="28"/>
          <w:szCs w:val="28"/>
          <w:highlight w:val="none"/>
          <w:u w:val="single"/>
          <w:lang w:val="en-US" w:eastAsia="zh-CN"/>
        </w:rPr>
        <w:t>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12</w:t>
      </w:r>
      <w:r>
        <w:rPr>
          <w:rFonts w:ascii="宋体" w:hAnsi="宋体"/>
          <w:b/>
          <w:color w:val="auto"/>
          <w:spacing w:val="8"/>
          <w:kern w:val="0"/>
          <w:sz w:val="28"/>
          <w:szCs w:val="28"/>
          <w:highlight w:val="none"/>
        </w:rPr>
        <w:t>月</w:t>
      </w:r>
    </w:p>
    <w:p w14:paraId="1D998E9E">
      <w:pPr>
        <w:rPr>
          <w:rFonts w:ascii="宋体" w:hAnsi="宋体"/>
          <w:b/>
          <w:color w:val="auto"/>
          <w:spacing w:val="8"/>
          <w:kern w:val="0"/>
          <w:sz w:val="28"/>
          <w:szCs w:val="28"/>
          <w:highlight w:val="none"/>
        </w:rPr>
      </w:pPr>
    </w:p>
    <w:bookmarkEnd w:id="0"/>
    <w:bookmarkEnd w:id="1"/>
    <w:bookmarkEnd w:id="2"/>
    <w:p w14:paraId="26DECF32">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8"/>
          <w:szCs w:val="28"/>
          <w:highlight w:val="none"/>
          <w:lang w:val="en-US" w:eastAsia="zh-CN" w:bidi="ar-SA"/>
        </w:rPr>
        <w:sectPr>
          <w:headerReference r:id="rId3" w:type="default"/>
          <w:footerReference r:id="rId4" w:type="default"/>
          <w:footerReference r:id="rId5" w:type="even"/>
          <w:pgSz w:w="11906" w:h="16838"/>
          <w:pgMar w:top="1304" w:right="1134" w:bottom="1304" w:left="1304" w:header="567" w:footer="283" w:gutter="0"/>
          <w:cols w:space="720" w:num="1"/>
          <w:docGrid w:type="lines" w:linePitch="312" w:charSpace="0"/>
        </w:sectPr>
      </w:pPr>
    </w:p>
    <w:sdt>
      <w:sdtPr>
        <w:rPr>
          <w:rFonts w:ascii="宋体" w:hAnsi="宋体" w:eastAsia="宋体" w:cs="Times New Roman"/>
          <w:color w:val="auto"/>
          <w:kern w:val="2"/>
          <w:sz w:val="28"/>
          <w:szCs w:val="28"/>
          <w:highlight w:val="none"/>
          <w:lang w:val="en-US" w:eastAsia="zh-CN" w:bidi="ar-SA"/>
        </w:rPr>
        <w:id w:val="147473970"/>
        <w15:color w:val="DBDBDB"/>
        <w:docPartObj>
          <w:docPartGallery w:val="Table of Contents"/>
          <w:docPartUnique/>
        </w:docPartObj>
      </w:sdtPr>
      <w:sdtEndPr>
        <w:rPr>
          <w:rFonts w:ascii="宋体" w:hAnsi="宋体" w:eastAsia="宋体" w:cs="宋体"/>
          <w:snapToGrid w:val="0"/>
          <w:color w:val="auto"/>
          <w:kern w:val="0"/>
          <w:sz w:val="21"/>
          <w:szCs w:val="15"/>
          <w:highlight w:val="none"/>
          <w:lang w:val="en-US" w:eastAsia="zh-CN" w:bidi="ar-SA"/>
        </w:rPr>
      </w:sdtEndPr>
      <w:sdtContent>
        <w:p w14:paraId="0786FAF9">
          <w:pPr>
            <w:spacing w:before="0" w:beforeLines="0" w:after="0" w:afterLines="0" w:line="240" w:lineRule="auto"/>
            <w:ind w:left="0" w:leftChars="0" w:right="0" w:rightChars="0" w:firstLine="0" w:firstLineChars="0"/>
            <w:jc w:val="center"/>
            <w:rPr>
              <w:rFonts w:ascii="宋体" w:hAnsi="宋体" w:eastAsia="宋体"/>
              <w:color w:val="auto"/>
              <w:sz w:val="32"/>
              <w:szCs w:val="32"/>
              <w:highlight w:val="none"/>
            </w:rPr>
          </w:pPr>
          <w:r>
            <w:rPr>
              <w:rFonts w:ascii="宋体" w:hAnsi="宋体" w:eastAsia="宋体"/>
              <w:color w:val="auto"/>
              <w:sz w:val="32"/>
              <w:szCs w:val="32"/>
              <w:highlight w:val="none"/>
            </w:rPr>
            <w:t>目录</w:t>
          </w:r>
        </w:p>
        <w:p w14:paraId="2961C3D9">
          <w:pPr>
            <w:pStyle w:val="14"/>
            <w:rPr>
              <w:color w:val="auto"/>
              <w:highlight w:val="none"/>
            </w:rPr>
          </w:pPr>
        </w:p>
        <w:p w14:paraId="1633D589">
          <w:pPr>
            <w:pStyle w:val="14"/>
            <w:tabs>
              <w:tab w:val="right" w:leader="dot" w:pos="9468"/>
            </w:tabs>
            <w:spacing w:line="480" w:lineRule="auto"/>
            <w:rPr>
              <w:color w:val="auto"/>
              <w:sz w:val="24"/>
              <w:szCs w:val="24"/>
              <w:highlight w:val="none"/>
            </w:rPr>
          </w:pPr>
          <w:r>
            <w:rPr>
              <w:rFonts w:ascii="宋体" w:hAnsi="宋体" w:cs="宋体"/>
              <w:snapToGrid w:val="0"/>
              <w:color w:val="auto"/>
              <w:kern w:val="0"/>
              <w:sz w:val="15"/>
              <w:szCs w:val="15"/>
              <w:highlight w:val="none"/>
            </w:rPr>
            <w:fldChar w:fldCharType="begin"/>
          </w:r>
          <w:r>
            <w:rPr>
              <w:rFonts w:ascii="宋体" w:hAnsi="宋体" w:cs="宋体"/>
              <w:snapToGrid w:val="0"/>
              <w:color w:val="auto"/>
              <w:kern w:val="0"/>
              <w:sz w:val="15"/>
              <w:szCs w:val="15"/>
              <w:highlight w:val="none"/>
            </w:rPr>
            <w:instrText xml:space="preserve">TOC \o "1-1" \h \u </w:instrText>
          </w:r>
          <w:r>
            <w:rPr>
              <w:rFonts w:ascii="宋体" w:hAnsi="宋体" w:cs="宋体"/>
              <w:snapToGrid w:val="0"/>
              <w:color w:val="auto"/>
              <w:kern w:val="0"/>
              <w:sz w:val="15"/>
              <w:szCs w:val="15"/>
              <w:highlight w:val="none"/>
            </w:rPr>
            <w:fldChar w:fldCharType="separate"/>
          </w:r>
          <w:r>
            <w:rPr>
              <w:rFonts w:ascii="宋体" w:hAnsi="宋体" w:cs="宋体"/>
              <w:snapToGrid w:val="0"/>
              <w:color w:val="auto"/>
              <w:kern w:val="0"/>
              <w:sz w:val="24"/>
              <w:szCs w:val="24"/>
              <w:highlight w:val="none"/>
            </w:rPr>
            <w:fldChar w:fldCharType="begin"/>
          </w:r>
          <w:r>
            <w:rPr>
              <w:rFonts w:ascii="宋体" w:hAnsi="宋体" w:cs="宋体"/>
              <w:snapToGrid w:val="0"/>
              <w:color w:val="auto"/>
              <w:kern w:val="0"/>
              <w:sz w:val="24"/>
              <w:szCs w:val="24"/>
              <w:highlight w:val="none"/>
            </w:rPr>
            <w:instrText xml:space="preserve"> HYPERLINK \l _Toc28394 </w:instrText>
          </w:r>
          <w:r>
            <w:rPr>
              <w:rFonts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第一章  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_Toc28394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宋体" w:hAnsi="宋体" w:cs="宋体"/>
              <w:snapToGrid w:val="0"/>
              <w:color w:val="auto"/>
              <w:kern w:val="0"/>
              <w:sz w:val="24"/>
              <w:szCs w:val="24"/>
              <w:highlight w:val="none"/>
            </w:rPr>
            <w:fldChar w:fldCharType="end"/>
          </w:r>
        </w:p>
        <w:p w14:paraId="44CB622C">
          <w:pPr>
            <w:pStyle w:val="14"/>
            <w:tabs>
              <w:tab w:val="right" w:leader="dot" w:pos="9468"/>
            </w:tabs>
            <w:spacing w:line="480" w:lineRule="auto"/>
            <w:rPr>
              <w:color w:val="auto"/>
              <w:sz w:val="24"/>
              <w:szCs w:val="24"/>
              <w:highlight w:val="none"/>
            </w:rPr>
          </w:pPr>
          <w:r>
            <w:rPr>
              <w:rFonts w:ascii="宋体" w:hAnsi="宋体" w:cs="宋体"/>
              <w:snapToGrid w:val="0"/>
              <w:color w:val="auto"/>
              <w:kern w:val="0"/>
              <w:sz w:val="24"/>
              <w:szCs w:val="24"/>
              <w:highlight w:val="none"/>
            </w:rPr>
            <w:fldChar w:fldCharType="begin"/>
          </w:r>
          <w:r>
            <w:rPr>
              <w:rFonts w:ascii="宋体" w:hAnsi="宋体" w:cs="宋体"/>
              <w:snapToGrid w:val="0"/>
              <w:color w:val="auto"/>
              <w:kern w:val="0"/>
              <w:sz w:val="24"/>
              <w:szCs w:val="24"/>
              <w:highlight w:val="none"/>
            </w:rPr>
            <w:instrText xml:space="preserve"> HYPERLINK \l _Toc6002 </w:instrText>
          </w:r>
          <w:r>
            <w:rPr>
              <w:rFonts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第二章  竞选人须知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_Toc6002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cs="宋体"/>
              <w:snapToGrid w:val="0"/>
              <w:color w:val="auto"/>
              <w:kern w:val="0"/>
              <w:sz w:val="24"/>
              <w:szCs w:val="24"/>
              <w:highlight w:val="none"/>
            </w:rPr>
            <w:fldChar w:fldCharType="end"/>
          </w:r>
        </w:p>
        <w:p w14:paraId="3247A505">
          <w:pPr>
            <w:pStyle w:val="14"/>
            <w:tabs>
              <w:tab w:val="right" w:leader="dot" w:pos="9468"/>
            </w:tabs>
            <w:spacing w:line="480" w:lineRule="auto"/>
            <w:rPr>
              <w:color w:val="auto"/>
              <w:sz w:val="24"/>
              <w:szCs w:val="24"/>
              <w:highlight w:val="none"/>
            </w:rPr>
          </w:pPr>
          <w:r>
            <w:rPr>
              <w:rFonts w:ascii="宋体" w:hAnsi="宋体" w:cs="宋体"/>
              <w:snapToGrid w:val="0"/>
              <w:color w:val="auto"/>
              <w:kern w:val="0"/>
              <w:sz w:val="24"/>
              <w:szCs w:val="24"/>
              <w:highlight w:val="none"/>
            </w:rPr>
            <w:fldChar w:fldCharType="begin"/>
          </w:r>
          <w:r>
            <w:rPr>
              <w:rFonts w:ascii="宋体" w:hAnsi="宋体" w:cs="宋体"/>
              <w:snapToGrid w:val="0"/>
              <w:color w:val="auto"/>
              <w:kern w:val="0"/>
              <w:sz w:val="24"/>
              <w:szCs w:val="24"/>
              <w:highlight w:val="none"/>
            </w:rPr>
            <w:instrText xml:space="preserve"> HYPERLINK \l _Toc22241 </w:instrText>
          </w:r>
          <w:r>
            <w:rPr>
              <w:rFonts w:ascii="宋体" w:hAnsi="宋体" w:cs="宋体"/>
              <w:snapToGrid w:val="0"/>
              <w:color w:val="auto"/>
              <w:kern w:val="0"/>
              <w:sz w:val="24"/>
              <w:szCs w:val="24"/>
              <w:highlight w:val="none"/>
            </w:rPr>
            <w:fldChar w:fldCharType="separate"/>
          </w:r>
          <w:r>
            <w:rPr>
              <w:rFonts w:hint="eastAsia" w:ascii="宋体" w:hAnsi="宋体" w:cs="宋体"/>
              <w:color w:val="auto"/>
              <w:kern w:val="1"/>
              <w:sz w:val="24"/>
              <w:szCs w:val="24"/>
              <w:highlight w:val="none"/>
            </w:rPr>
            <w:t>第三章  评选办法（综合评估法）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_Toc22241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宋体" w:hAnsi="宋体" w:cs="宋体"/>
              <w:snapToGrid w:val="0"/>
              <w:color w:val="auto"/>
              <w:kern w:val="0"/>
              <w:sz w:val="24"/>
              <w:szCs w:val="24"/>
              <w:highlight w:val="none"/>
            </w:rPr>
            <w:fldChar w:fldCharType="end"/>
          </w:r>
        </w:p>
        <w:p w14:paraId="6104E354">
          <w:pPr>
            <w:pStyle w:val="14"/>
            <w:tabs>
              <w:tab w:val="right" w:leader="dot" w:pos="9468"/>
            </w:tabs>
            <w:spacing w:line="480" w:lineRule="auto"/>
            <w:rPr>
              <w:color w:val="auto"/>
              <w:sz w:val="24"/>
              <w:szCs w:val="24"/>
              <w:highlight w:val="none"/>
            </w:rPr>
          </w:pPr>
          <w:r>
            <w:rPr>
              <w:rFonts w:ascii="宋体" w:hAnsi="宋体" w:cs="宋体"/>
              <w:snapToGrid w:val="0"/>
              <w:color w:val="auto"/>
              <w:kern w:val="0"/>
              <w:sz w:val="24"/>
              <w:szCs w:val="24"/>
              <w:highlight w:val="none"/>
            </w:rPr>
            <w:fldChar w:fldCharType="begin"/>
          </w:r>
          <w:r>
            <w:rPr>
              <w:rFonts w:ascii="宋体" w:hAnsi="宋体" w:cs="宋体"/>
              <w:snapToGrid w:val="0"/>
              <w:color w:val="auto"/>
              <w:kern w:val="0"/>
              <w:sz w:val="24"/>
              <w:szCs w:val="24"/>
              <w:highlight w:val="none"/>
            </w:rPr>
            <w:instrText xml:space="preserve"> HYPERLINK \l _Toc11441 </w:instrText>
          </w:r>
          <w:r>
            <w:rPr>
              <w:rFonts w:ascii="宋体" w:hAnsi="宋体" w:cs="宋体"/>
              <w:snapToGrid w:val="0"/>
              <w:color w:val="auto"/>
              <w:kern w:val="0"/>
              <w:sz w:val="24"/>
              <w:szCs w:val="24"/>
              <w:highlight w:val="none"/>
            </w:rPr>
            <w:fldChar w:fldCharType="separate"/>
          </w:r>
          <w:r>
            <w:rPr>
              <w:rFonts w:hint="eastAsia"/>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_Toc11441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ascii="宋体" w:hAnsi="宋体" w:cs="宋体"/>
              <w:snapToGrid w:val="0"/>
              <w:color w:val="auto"/>
              <w:kern w:val="0"/>
              <w:sz w:val="24"/>
              <w:szCs w:val="24"/>
              <w:highlight w:val="none"/>
            </w:rPr>
            <w:fldChar w:fldCharType="end"/>
          </w:r>
        </w:p>
        <w:p w14:paraId="0A43B0D3">
          <w:pPr>
            <w:pStyle w:val="14"/>
            <w:tabs>
              <w:tab w:val="right" w:leader="dot" w:pos="9468"/>
            </w:tabs>
            <w:spacing w:line="360" w:lineRule="auto"/>
            <w:rPr>
              <w:color w:val="auto"/>
              <w:highlight w:val="none"/>
            </w:rPr>
          </w:pPr>
          <w:r>
            <w:rPr>
              <w:rFonts w:ascii="宋体" w:hAnsi="宋体" w:cs="宋体"/>
              <w:snapToGrid w:val="0"/>
              <w:color w:val="auto"/>
              <w:kern w:val="0"/>
              <w:sz w:val="24"/>
              <w:szCs w:val="24"/>
              <w:highlight w:val="none"/>
            </w:rPr>
            <w:fldChar w:fldCharType="begin"/>
          </w:r>
          <w:r>
            <w:rPr>
              <w:rFonts w:ascii="宋体" w:hAnsi="宋体" w:cs="宋体"/>
              <w:snapToGrid w:val="0"/>
              <w:color w:val="auto"/>
              <w:kern w:val="0"/>
              <w:sz w:val="24"/>
              <w:szCs w:val="24"/>
              <w:highlight w:val="none"/>
            </w:rPr>
            <w:instrText xml:space="preserve"> HYPERLINK \l _Toc8182 </w:instrText>
          </w:r>
          <w:r>
            <w:rPr>
              <w:rFonts w:ascii="宋体" w:hAnsi="宋体" w:cs="宋体"/>
              <w:snapToGrid w:val="0"/>
              <w:color w:val="auto"/>
              <w:kern w:val="0"/>
              <w:sz w:val="24"/>
              <w:szCs w:val="24"/>
              <w:highlight w:val="none"/>
            </w:rPr>
            <w:fldChar w:fldCharType="separate"/>
          </w:r>
          <w:r>
            <w:rPr>
              <w:rFonts w:hint="eastAsia" w:ascii="宋体" w:hAnsi="宋体" w:cs="宋体"/>
              <w:color w:val="auto"/>
              <w:sz w:val="24"/>
              <w:szCs w:val="24"/>
              <w:highlight w:val="none"/>
            </w:rPr>
            <w:t>第五章  竞选文件格式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_Toc8182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ascii="宋体" w:hAnsi="宋体" w:cs="宋体"/>
              <w:snapToGrid w:val="0"/>
              <w:color w:val="auto"/>
              <w:kern w:val="0"/>
              <w:sz w:val="24"/>
              <w:szCs w:val="24"/>
              <w:highlight w:val="none"/>
            </w:rPr>
            <w:fldChar w:fldCharType="end"/>
          </w:r>
        </w:p>
        <w:p w14:paraId="30EE350D">
          <w:pPr>
            <w:spacing w:line="360" w:lineRule="auto"/>
            <w:rPr>
              <w:rFonts w:ascii="宋体" w:hAnsi="宋体" w:eastAsia="宋体" w:cs="宋体"/>
              <w:snapToGrid w:val="0"/>
              <w:color w:val="auto"/>
              <w:kern w:val="0"/>
              <w:sz w:val="21"/>
              <w:szCs w:val="15"/>
              <w:highlight w:val="none"/>
              <w:lang w:val="en-US" w:eastAsia="zh-CN" w:bidi="ar-SA"/>
            </w:rPr>
            <w:sectPr>
              <w:footerReference r:id="rId6" w:type="default"/>
              <w:pgSz w:w="11906" w:h="16838"/>
              <w:pgMar w:top="1304" w:right="1134" w:bottom="1304" w:left="1304" w:header="567" w:footer="283" w:gutter="0"/>
              <w:pgNumType w:start="1"/>
              <w:cols w:space="720" w:num="1"/>
              <w:docGrid w:type="lines" w:linePitch="312" w:charSpace="0"/>
            </w:sectPr>
          </w:pPr>
          <w:r>
            <w:rPr>
              <w:rFonts w:ascii="宋体" w:hAnsi="宋体" w:cs="宋体"/>
              <w:snapToGrid w:val="0"/>
              <w:color w:val="auto"/>
              <w:kern w:val="0"/>
              <w:szCs w:val="15"/>
              <w:highlight w:val="none"/>
            </w:rPr>
            <w:fldChar w:fldCharType="end"/>
          </w:r>
        </w:p>
      </w:sdtContent>
    </w:sdt>
    <w:p w14:paraId="55178698">
      <w:pPr>
        <w:pStyle w:val="2"/>
        <w:spacing w:before="0" w:after="0" w:line="360" w:lineRule="auto"/>
        <w:jc w:val="center"/>
        <w:rPr>
          <w:rFonts w:ascii="宋体" w:hAnsi="宋体" w:cs="宋体"/>
          <w:snapToGrid w:val="0"/>
          <w:color w:val="auto"/>
          <w:kern w:val="0"/>
          <w:highlight w:val="none"/>
        </w:rPr>
      </w:pPr>
      <w:bookmarkStart w:id="3" w:name="_Toc28394"/>
      <w:r>
        <w:rPr>
          <w:rFonts w:hint="eastAsia" w:ascii="宋体" w:hAnsi="宋体" w:cs="宋体"/>
          <w:snapToGrid w:val="0"/>
          <w:color w:val="auto"/>
          <w:kern w:val="0"/>
          <w:highlight w:val="none"/>
        </w:rPr>
        <w:t>第一章  比选公告</w:t>
      </w:r>
      <w:bookmarkEnd w:id="3"/>
    </w:p>
    <w:p w14:paraId="2C1DEBD5">
      <w:pPr>
        <w:autoSpaceDE w:val="0"/>
        <w:autoSpaceDN w:val="0"/>
        <w:adjustRightInd w:val="0"/>
        <w:snapToGrid w:val="0"/>
        <w:spacing w:line="360" w:lineRule="auto"/>
        <w:jc w:val="center"/>
        <w:rPr>
          <w:rFonts w:hint="eastAsia" w:ascii="宋体" w:hAnsi="宋体" w:eastAsia="宋体" w:cs="宋体"/>
          <w:b/>
          <w:snapToGrid w:val="0"/>
          <w:color w:val="auto"/>
          <w:kern w:val="0"/>
          <w:sz w:val="28"/>
          <w:szCs w:val="28"/>
          <w:highlight w:val="none"/>
          <w:lang w:eastAsia="zh-CN"/>
        </w:rPr>
      </w:pPr>
      <w:bookmarkStart w:id="4" w:name="OLE_LINK2"/>
      <w:r>
        <w:rPr>
          <w:rFonts w:hint="eastAsia" w:ascii="宋体" w:hAnsi="宋体" w:cs="宋体"/>
          <w:b/>
          <w:snapToGrid w:val="0"/>
          <w:color w:val="auto"/>
          <w:kern w:val="0"/>
          <w:sz w:val="28"/>
          <w:szCs w:val="28"/>
          <w:highlight w:val="none"/>
          <w:lang w:eastAsia="zh-CN"/>
        </w:rPr>
        <w:t>重庆市第一一0中学校五公里校区改扩建项目监理</w:t>
      </w:r>
    </w:p>
    <w:p w14:paraId="253AE913">
      <w:pPr>
        <w:autoSpaceDE w:val="0"/>
        <w:autoSpaceDN w:val="0"/>
        <w:adjustRightInd w:val="0"/>
        <w:snapToGrid w:val="0"/>
        <w:spacing w:line="360" w:lineRule="auto"/>
        <w:jc w:val="center"/>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竞争性比选公告</w:t>
      </w:r>
    </w:p>
    <w:p w14:paraId="4685BD42">
      <w:pPr>
        <w:pStyle w:val="3"/>
        <w:spacing w:before="100" w:after="100" w:line="400" w:lineRule="exact"/>
        <w:rPr>
          <w:rFonts w:ascii="宋体" w:hAnsi="宋体" w:cs="宋体"/>
          <w:bCs w:val="0"/>
          <w:snapToGrid w:val="0"/>
          <w:color w:val="auto"/>
          <w:sz w:val="21"/>
          <w:szCs w:val="21"/>
          <w:highlight w:val="none"/>
        </w:rPr>
      </w:pPr>
      <w:bookmarkStart w:id="5" w:name="_Toc31381"/>
      <w:bookmarkStart w:id="6" w:name="_Toc13786"/>
      <w:bookmarkStart w:id="7" w:name="_Toc7072"/>
      <w:r>
        <w:rPr>
          <w:rFonts w:hint="eastAsia" w:ascii="宋体" w:hAnsi="宋体" w:cs="宋体"/>
          <w:bCs w:val="0"/>
          <w:snapToGrid w:val="0"/>
          <w:color w:val="auto"/>
          <w:sz w:val="21"/>
          <w:szCs w:val="21"/>
          <w:highlight w:val="none"/>
        </w:rPr>
        <w:t>一、比选条件</w:t>
      </w:r>
      <w:bookmarkEnd w:id="5"/>
      <w:bookmarkEnd w:id="6"/>
      <w:bookmarkEnd w:id="7"/>
    </w:p>
    <w:p w14:paraId="37A73DEE">
      <w:pPr>
        <w:keepNext w:val="0"/>
        <w:keepLines w:val="0"/>
        <w:widowControl/>
        <w:suppressLineNumbers w:val="0"/>
        <w:pBdr>
          <w:top w:val="none" w:color="auto" w:sz="0" w:space="0"/>
          <w:left w:val="none" w:color="auto" w:sz="0" w:space="0"/>
          <w:bottom w:val="none" w:color="auto" w:sz="0" w:space="0"/>
          <w:right w:val="none" w:color="auto" w:sz="0" w:space="0"/>
        </w:pBdr>
        <w:tabs>
          <w:tab w:val="left" w:pos="3315"/>
          <w:tab w:val="left" w:pos="3390"/>
          <w:tab w:val="left" w:pos="6120"/>
          <w:tab w:val="left" w:pos="8850"/>
        </w:tabs>
        <w:adjustRightInd w:val="0"/>
        <w:spacing w:before="0" w:beforeAutospacing="0" w:after="156" w:afterAutospacing="0" w:line="460" w:lineRule="exact"/>
        <w:ind w:left="0" w:right="0" w:firstLine="420"/>
        <w:jc w:val="left"/>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本项目</w:t>
      </w:r>
      <w:r>
        <w:rPr>
          <w:rFonts w:hint="eastAsia" w:ascii="宋体" w:hAnsi="宋体" w:cs="宋体"/>
          <w:snapToGrid w:val="0"/>
          <w:color w:val="auto"/>
          <w:kern w:val="0"/>
          <w:szCs w:val="21"/>
          <w:highlight w:val="none"/>
          <w:u w:val="single"/>
          <w:lang w:eastAsia="zh-CN"/>
        </w:rPr>
        <w:t>重庆市第一一0中学校五公里校区改扩建项目</w:t>
      </w:r>
      <w:r>
        <w:rPr>
          <w:rFonts w:hint="eastAsia" w:ascii="宋体" w:hAnsi="宋体" w:eastAsia="宋体" w:cs="宋体"/>
          <w:snapToGrid w:val="0"/>
          <w:color w:val="auto"/>
          <w:kern w:val="0"/>
          <w:szCs w:val="21"/>
          <w:highlight w:val="none"/>
        </w:rPr>
        <w:t>已由</w:t>
      </w:r>
      <w:r>
        <w:rPr>
          <w:rFonts w:hint="eastAsia" w:ascii="宋体" w:hAnsi="宋体" w:eastAsia="宋体" w:cs="宋体"/>
          <w:snapToGrid w:val="0"/>
          <w:color w:val="auto"/>
          <w:kern w:val="0"/>
          <w:szCs w:val="21"/>
          <w:highlight w:val="none"/>
          <w:u w:val="single"/>
        </w:rPr>
        <w:t>重庆市南岸区发展和改革委员会</w:t>
      </w:r>
      <w:r>
        <w:rPr>
          <w:rFonts w:hint="eastAsia" w:ascii="宋体" w:hAnsi="宋体" w:eastAsia="宋体" w:cs="宋体"/>
          <w:snapToGrid w:val="0"/>
          <w:color w:val="auto"/>
          <w:kern w:val="0"/>
          <w:szCs w:val="21"/>
          <w:highlight w:val="none"/>
        </w:rPr>
        <w:t>以</w:t>
      </w:r>
      <w:r>
        <w:rPr>
          <w:rFonts w:hint="eastAsia" w:ascii="宋体" w:hAnsi="宋体" w:eastAsia="宋体" w:cs="宋体"/>
          <w:color w:val="auto"/>
          <w:szCs w:val="21"/>
          <w:highlight w:val="none"/>
          <w:u w:val="single"/>
          <w:shd w:val="clear" w:color="auto" w:fill="FFFFFF"/>
        </w:rPr>
        <w:t>南岸发改</w:t>
      </w:r>
      <w:r>
        <w:rPr>
          <w:rFonts w:hint="eastAsia" w:ascii="宋体" w:hAnsi="宋体" w:eastAsia="宋体" w:cs="宋体"/>
          <w:color w:val="333333"/>
          <w:kern w:val="0"/>
          <w:sz w:val="21"/>
          <w:szCs w:val="21"/>
          <w:u w:val="single"/>
          <w:shd w:val="clear" w:fill="FFFFFF"/>
          <w:lang w:val="en-US" w:eastAsia="zh-CN" w:bidi="ar"/>
        </w:rPr>
        <w:t>〔2025〕</w:t>
      </w:r>
      <w:r>
        <w:rPr>
          <w:rFonts w:hint="eastAsia" w:ascii="宋体" w:hAnsi="宋体" w:cs="宋体"/>
          <w:color w:val="333333"/>
          <w:kern w:val="0"/>
          <w:sz w:val="21"/>
          <w:szCs w:val="21"/>
          <w:u w:val="single"/>
          <w:shd w:val="clear" w:fill="FFFFFF"/>
          <w:lang w:val="en-US" w:eastAsia="zh-CN" w:bidi="ar"/>
        </w:rPr>
        <w:t>217</w:t>
      </w:r>
      <w:r>
        <w:rPr>
          <w:rFonts w:hint="eastAsia" w:ascii="宋体" w:hAnsi="宋体" w:eastAsia="宋体" w:cs="宋体"/>
          <w:color w:val="auto"/>
          <w:szCs w:val="21"/>
          <w:highlight w:val="none"/>
          <w:u w:val="single"/>
          <w:shd w:val="clear" w:color="auto" w:fill="FFFFFF"/>
        </w:rPr>
        <w:t>号文</w:t>
      </w:r>
      <w:r>
        <w:rPr>
          <w:rFonts w:hint="eastAsia" w:ascii="宋体" w:hAnsi="宋体" w:eastAsia="宋体" w:cs="宋体"/>
          <w:snapToGrid w:val="0"/>
          <w:color w:val="auto"/>
          <w:kern w:val="0"/>
          <w:szCs w:val="21"/>
          <w:highlight w:val="none"/>
        </w:rPr>
        <w:t>批准建设，项目业主为</w:t>
      </w:r>
      <w:r>
        <w:rPr>
          <w:rFonts w:hint="eastAsia" w:ascii="宋体" w:hAnsi="宋体" w:cs="宋体"/>
          <w:snapToGrid w:val="0"/>
          <w:color w:val="auto"/>
          <w:kern w:val="0"/>
          <w:szCs w:val="21"/>
          <w:highlight w:val="none"/>
          <w:u w:val="single"/>
          <w:lang w:eastAsia="zh-CN"/>
        </w:rPr>
        <w:t>重庆市第一一0中学校</w:t>
      </w:r>
      <w:r>
        <w:rPr>
          <w:rFonts w:hint="eastAsia" w:ascii="宋体" w:hAnsi="宋体" w:eastAsia="宋体" w:cs="宋体"/>
          <w:snapToGrid w:val="0"/>
          <w:color w:val="auto"/>
          <w:kern w:val="0"/>
          <w:szCs w:val="21"/>
          <w:highlight w:val="none"/>
        </w:rPr>
        <w:t>，建设资金来自</w:t>
      </w:r>
      <w:r>
        <w:rPr>
          <w:rFonts w:hint="eastAsia" w:ascii="宋体" w:hAnsi="宋体" w:eastAsia="宋体" w:cs="宋体"/>
          <w:snapToGrid w:val="0"/>
          <w:color w:val="auto"/>
          <w:kern w:val="0"/>
          <w:szCs w:val="21"/>
          <w:highlight w:val="none"/>
          <w:u w:val="single"/>
          <w:lang w:val="en-US" w:eastAsia="zh-CN"/>
        </w:rPr>
        <w:t>义务教育薄弱环节改善与能力提升中央及市级资金</w:t>
      </w:r>
      <w:r>
        <w:rPr>
          <w:rFonts w:hint="eastAsia" w:ascii="宋体" w:hAnsi="宋体" w:eastAsia="宋体" w:cs="宋体"/>
          <w:snapToGrid w:val="0"/>
          <w:color w:val="auto"/>
          <w:kern w:val="0"/>
          <w:szCs w:val="21"/>
          <w:highlight w:val="none"/>
        </w:rPr>
        <w:t>，项目出资比例为</w:t>
      </w:r>
      <w:r>
        <w:rPr>
          <w:rFonts w:hint="eastAsia" w:ascii="宋体" w:hAnsi="宋体" w:eastAsia="宋体" w:cs="宋体"/>
          <w:snapToGrid w:val="0"/>
          <w:color w:val="auto"/>
          <w:kern w:val="0"/>
          <w:szCs w:val="21"/>
          <w:highlight w:val="none"/>
          <w:u w:val="single"/>
        </w:rPr>
        <w:t xml:space="preserve">100%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position w:val="-2"/>
          <w:szCs w:val="21"/>
          <w:highlight w:val="none"/>
        </w:rPr>
        <w:t>为</w:t>
      </w:r>
      <w:r>
        <w:rPr>
          <w:rFonts w:hint="eastAsia" w:ascii="宋体" w:hAnsi="宋体" w:cs="宋体"/>
          <w:snapToGrid w:val="0"/>
          <w:color w:val="auto"/>
          <w:kern w:val="0"/>
          <w:szCs w:val="21"/>
          <w:highlight w:val="none"/>
          <w:u w:val="single"/>
          <w:lang w:eastAsia="zh-CN"/>
        </w:rPr>
        <w:t>重庆市江南城市建设发展（集团）有限公司</w:t>
      </w:r>
      <w:r>
        <w:rPr>
          <w:rFonts w:hint="eastAsia" w:ascii="宋体" w:hAnsi="宋体" w:eastAsia="宋体" w:cs="宋体"/>
          <w:snapToGrid w:val="0"/>
          <w:color w:val="auto"/>
          <w:kern w:val="0"/>
          <w:position w:val="-2"/>
          <w:szCs w:val="21"/>
          <w:highlight w:val="none"/>
        </w:rPr>
        <w:t>。项目已具备比选条件，</w:t>
      </w:r>
      <w:r>
        <w:rPr>
          <w:rFonts w:ascii="宋体" w:hAnsi="宋体"/>
          <w:snapToGrid w:val="0"/>
          <w:color w:val="auto"/>
          <w:kern w:val="0"/>
          <w:position w:val="-2"/>
          <w:szCs w:val="21"/>
          <w:highlight w:val="none"/>
        </w:rPr>
        <w:t>现对</w:t>
      </w:r>
      <w:r>
        <w:rPr>
          <w:rFonts w:hint="eastAsia" w:ascii="宋体" w:hAnsi="宋体"/>
          <w:snapToGrid w:val="0"/>
          <w:color w:val="auto"/>
          <w:kern w:val="0"/>
          <w:position w:val="-2"/>
          <w:szCs w:val="21"/>
          <w:highlight w:val="none"/>
          <w:u w:val="single"/>
        </w:rPr>
        <w:t>该项目的监理</w:t>
      </w:r>
      <w:r>
        <w:rPr>
          <w:rFonts w:ascii="宋体" w:hAnsi="宋体"/>
          <w:snapToGrid w:val="0"/>
          <w:color w:val="auto"/>
          <w:kern w:val="0"/>
          <w:position w:val="-2"/>
          <w:szCs w:val="21"/>
          <w:highlight w:val="none"/>
        </w:rPr>
        <w:t>进行</w:t>
      </w:r>
      <w:r>
        <w:rPr>
          <w:rFonts w:hint="eastAsia" w:ascii="宋体" w:hAnsi="宋体"/>
          <w:snapToGrid w:val="0"/>
          <w:color w:val="auto"/>
          <w:kern w:val="0"/>
          <w:szCs w:val="21"/>
          <w:highlight w:val="none"/>
        </w:rPr>
        <w:t>公开竞争性比选，欢迎各潜在竞选人参与竞选。</w:t>
      </w:r>
    </w:p>
    <w:p w14:paraId="0333C62F">
      <w:pPr>
        <w:pStyle w:val="3"/>
        <w:numPr>
          <w:ilvl w:val="0"/>
          <w:numId w:val="1"/>
        </w:numPr>
        <w:spacing w:before="100" w:after="100" w:line="400" w:lineRule="exact"/>
        <w:rPr>
          <w:rFonts w:ascii="宋体" w:hAnsi="宋体" w:cs="宋体"/>
          <w:bCs w:val="0"/>
          <w:snapToGrid w:val="0"/>
          <w:color w:val="auto"/>
          <w:sz w:val="21"/>
          <w:szCs w:val="21"/>
          <w:highlight w:val="none"/>
        </w:rPr>
      </w:pPr>
      <w:bookmarkStart w:id="8" w:name="_Toc30487"/>
      <w:bookmarkStart w:id="9" w:name="_Toc17229"/>
      <w:bookmarkStart w:id="10" w:name="_Toc13219"/>
      <w:r>
        <w:rPr>
          <w:rFonts w:hint="eastAsia" w:ascii="宋体" w:hAnsi="宋体" w:cs="宋体"/>
          <w:bCs w:val="0"/>
          <w:snapToGrid w:val="0"/>
          <w:color w:val="auto"/>
          <w:sz w:val="21"/>
          <w:szCs w:val="21"/>
          <w:highlight w:val="none"/>
        </w:rPr>
        <w:t>项目概况与比选范围</w:t>
      </w:r>
    </w:p>
    <w:p w14:paraId="38FC04D3">
      <w:pPr>
        <w:tabs>
          <w:tab w:val="left" w:pos="3840"/>
          <w:tab w:val="left" w:pos="5300"/>
        </w:tabs>
        <w:adjustRightInd w:val="0"/>
        <w:snapToGrid w:val="0"/>
        <w:spacing w:line="480" w:lineRule="exact"/>
        <w:ind w:firstLine="420" w:firstLineChars="200"/>
        <w:jc w:val="left"/>
        <w:rPr>
          <w:rFonts w:ascii="宋体" w:hAnsi="宋体"/>
          <w:snapToGrid w:val="0"/>
          <w:color w:val="auto"/>
          <w:kern w:val="0"/>
          <w:szCs w:val="21"/>
          <w:highlight w:val="none"/>
          <w:u w:val="single"/>
        </w:rPr>
      </w:pPr>
      <w:bookmarkStart w:id="11" w:name="_Hlk536432704"/>
      <w:r>
        <w:rPr>
          <w:rFonts w:hint="eastAsia" w:asciiTheme="minorEastAsia" w:hAnsiTheme="minorEastAsia" w:eastAsiaTheme="minorEastAsia"/>
          <w:color w:val="auto"/>
          <w:szCs w:val="21"/>
          <w:highlight w:val="none"/>
        </w:rPr>
        <w:t>2.1 建设地点：</w:t>
      </w:r>
      <w:r>
        <w:rPr>
          <w:rFonts w:hint="eastAsia" w:asciiTheme="minorEastAsia" w:hAnsiTheme="minorEastAsia" w:eastAsiaTheme="minorEastAsia"/>
          <w:color w:val="auto"/>
          <w:szCs w:val="21"/>
          <w:highlight w:val="none"/>
          <w:u w:val="single"/>
          <w:lang w:eastAsia="zh-CN"/>
        </w:rPr>
        <w:t>重庆市第一一0中学校教育用地控规范围内</w:t>
      </w:r>
      <w:r>
        <w:rPr>
          <w:rFonts w:hint="eastAsia" w:asciiTheme="minorEastAsia" w:hAnsiTheme="minorEastAsia" w:eastAsiaTheme="minorEastAsia"/>
          <w:color w:val="auto"/>
          <w:szCs w:val="21"/>
          <w:highlight w:val="none"/>
          <w:u w:val="single"/>
        </w:rPr>
        <w:t>。</w:t>
      </w:r>
    </w:p>
    <w:p w14:paraId="46A9B7D5">
      <w:pPr>
        <w:tabs>
          <w:tab w:val="left" w:pos="3840"/>
          <w:tab w:val="left" w:pos="5300"/>
        </w:tabs>
        <w:adjustRightInd w:val="0"/>
        <w:snapToGrid w:val="0"/>
        <w:spacing w:line="480" w:lineRule="exact"/>
        <w:ind w:firstLine="420" w:firstLineChars="200"/>
        <w:jc w:val="left"/>
        <w:rPr>
          <w:rFonts w:hint="eastAsia"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 xml:space="preserve">2.2 </w:t>
      </w:r>
      <w:r>
        <w:rPr>
          <w:rFonts w:hint="eastAsia" w:asciiTheme="minorEastAsia" w:hAnsiTheme="minorEastAsia" w:eastAsiaTheme="minorEastAsia"/>
          <w:snapToGrid w:val="0"/>
          <w:color w:val="auto"/>
          <w:kern w:val="0"/>
          <w:szCs w:val="21"/>
          <w:highlight w:val="none"/>
        </w:rPr>
        <w:t>项目概况与建设规模</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lang w:eastAsia="zh-CN"/>
        </w:rPr>
        <w:t>项目主要为拆除、新建和改建。拆除面积为11513.49平方米(其中房屋拆除面积4513.49平方米)，包括拆除善学楼、男女生宿舍、食堂、公厕、男生浴室现状运动场及周边硬化地块、生化池(日处理量140立方米/天)一座;新建地上建筑面积为6167.94平方米，包括新建教学楼食堂，新建地下建筑面积为1806.90平方米，包括新建车库及设备用房、生化池;改建面积为8549.13平方米，包括改建广场、运动场。建设内容主要包括拆除工程、主体工程(土建工程、安装工程、装饰工程)、岩土工程、室外附属工程等</w:t>
      </w:r>
      <w:r>
        <w:rPr>
          <w:rFonts w:hint="eastAsia" w:asciiTheme="minorEastAsia" w:hAnsiTheme="minorEastAsia" w:eastAsiaTheme="minorEastAsia"/>
          <w:color w:val="auto"/>
          <w:szCs w:val="21"/>
          <w:highlight w:val="none"/>
          <w:u w:val="single"/>
        </w:rPr>
        <w:t>。</w:t>
      </w:r>
    </w:p>
    <w:p w14:paraId="0CBE80DD">
      <w:pPr>
        <w:tabs>
          <w:tab w:val="left" w:pos="3840"/>
          <w:tab w:val="left" w:pos="5300"/>
        </w:tabs>
        <w:adjustRightInd w:val="0"/>
        <w:snapToGrid w:val="0"/>
        <w:spacing w:line="480" w:lineRule="exact"/>
        <w:ind w:firstLine="420" w:firstLineChars="200"/>
        <w:jc w:val="left"/>
        <w:rPr>
          <w:rFonts w:ascii="宋体" w:hAnsi="宋体"/>
          <w:i/>
          <w:snapToGrid w:val="0"/>
          <w:color w:val="auto"/>
          <w:kern w:val="0"/>
          <w:szCs w:val="21"/>
          <w:highlight w:val="none"/>
        </w:rPr>
      </w:pPr>
      <w:r>
        <w:rPr>
          <w:rFonts w:hint="eastAsia" w:asciiTheme="minorEastAsia" w:hAnsiTheme="minorEastAsia" w:eastAsiaTheme="minorEastAsia"/>
          <w:color w:val="auto"/>
          <w:szCs w:val="21"/>
          <w:highlight w:val="none"/>
        </w:rPr>
        <w:t xml:space="preserve">2.3 </w:t>
      </w:r>
      <w:r>
        <w:rPr>
          <w:rFonts w:hint="eastAsia" w:asciiTheme="minorEastAsia" w:hAnsiTheme="minorEastAsia" w:eastAsiaTheme="minorEastAsia"/>
          <w:snapToGrid w:val="0"/>
          <w:color w:val="auto"/>
          <w:kern w:val="0"/>
          <w:szCs w:val="21"/>
          <w:highlight w:val="none"/>
        </w:rPr>
        <w:t>本次</w:t>
      </w:r>
      <w:r>
        <w:rPr>
          <w:rFonts w:hint="eastAsia" w:ascii="宋体" w:hAnsi="宋体"/>
          <w:snapToGrid w:val="0"/>
          <w:color w:val="auto"/>
          <w:szCs w:val="21"/>
          <w:highlight w:val="none"/>
        </w:rPr>
        <w:t>比选</w:t>
      </w:r>
      <w:r>
        <w:rPr>
          <w:rFonts w:hint="eastAsia" w:asciiTheme="minorEastAsia" w:hAnsiTheme="minorEastAsia" w:eastAsiaTheme="minorEastAsia"/>
          <w:snapToGrid w:val="0"/>
          <w:color w:val="auto"/>
          <w:kern w:val="0"/>
          <w:szCs w:val="21"/>
          <w:highlight w:val="none"/>
        </w:rPr>
        <w:t>项目建筑安装工程费估算金额：</w:t>
      </w:r>
      <w:r>
        <w:rPr>
          <w:rFonts w:hint="eastAsia" w:asciiTheme="minorEastAsia" w:hAnsiTheme="minorEastAsia" w:eastAsiaTheme="minorEastAsia"/>
          <w:snapToGrid w:val="0"/>
          <w:color w:val="auto"/>
          <w:kern w:val="0"/>
          <w:szCs w:val="21"/>
          <w:highlight w:val="none"/>
          <w:u w:val="single"/>
          <w:lang w:val="en-US" w:eastAsia="zh-CN"/>
        </w:rPr>
        <w:t>35874392.35元</w:t>
      </w:r>
      <w:r>
        <w:rPr>
          <w:rFonts w:hint="eastAsia" w:ascii="宋体" w:hAnsi="宋体"/>
          <w:snapToGrid w:val="0"/>
          <w:color w:val="auto"/>
          <w:kern w:val="0"/>
          <w:szCs w:val="21"/>
          <w:highlight w:val="none"/>
          <w:u w:val="single"/>
        </w:rPr>
        <w:t xml:space="preserve"> </w:t>
      </w:r>
    </w:p>
    <w:p w14:paraId="114E648B">
      <w:pPr>
        <w:tabs>
          <w:tab w:val="left" w:pos="3840"/>
          <w:tab w:val="left" w:pos="5300"/>
        </w:tabs>
        <w:adjustRightInd w:val="0"/>
        <w:snapToGrid w:val="0"/>
        <w:spacing w:line="480" w:lineRule="exact"/>
        <w:ind w:firstLine="840" w:firstLineChars="400"/>
        <w:jc w:val="left"/>
        <w:rPr>
          <w:rFonts w:ascii="宋体" w:hAnsi="宋体"/>
          <w:i/>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本次</w:t>
      </w:r>
      <w:r>
        <w:rPr>
          <w:rFonts w:hint="eastAsia" w:ascii="宋体" w:hAnsi="宋体"/>
          <w:snapToGrid w:val="0"/>
          <w:color w:val="auto"/>
          <w:szCs w:val="21"/>
          <w:highlight w:val="none"/>
        </w:rPr>
        <w:t>比选</w:t>
      </w:r>
      <w:r>
        <w:rPr>
          <w:rFonts w:hint="eastAsia" w:asciiTheme="minorEastAsia" w:hAnsiTheme="minorEastAsia" w:eastAsiaTheme="minorEastAsia"/>
          <w:snapToGrid w:val="0"/>
          <w:color w:val="auto"/>
          <w:kern w:val="0"/>
          <w:szCs w:val="21"/>
          <w:highlight w:val="none"/>
        </w:rPr>
        <w:t>项目监理合同估算金额：</w:t>
      </w:r>
      <w:r>
        <w:rPr>
          <w:rFonts w:hint="eastAsia" w:asciiTheme="minorEastAsia" w:hAnsiTheme="minorEastAsia" w:eastAsiaTheme="minorEastAsia"/>
          <w:snapToGrid w:val="0"/>
          <w:color w:val="auto"/>
          <w:kern w:val="0"/>
          <w:szCs w:val="21"/>
          <w:highlight w:val="none"/>
          <w:u w:val="single"/>
          <w:lang w:val="en-US" w:eastAsia="zh-CN"/>
        </w:rPr>
        <w:t>634492.79</w:t>
      </w:r>
      <w:r>
        <w:rPr>
          <w:rFonts w:hint="eastAsia" w:ascii="宋体" w:hAnsi="宋体"/>
          <w:snapToGrid w:val="0"/>
          <w:color w:val="auto"/>
          <w:kern w:val="0"/>
          <w:szCs w:val="21"/>
          <w:highlight w:val="none"/>
          <w:u w:val="single"/>
        </w:rPr>
        <w:t>元</w:t>
      </w:r>
    </w:p>
    <w:p w14:paraId="5F479D9C">
      <w:pPr>
        <w:tabs>
          <w:tab w:val="left" w:pos="3840"/>
          <w:tab w:val="left" w:pos="5300"/>
        </w:tabs>
        <w:adjustRightInd w:val="0"/>
        <w:snapToGrid w:val="0"/>
        <w:spacing w:line="480" w:lineRule="exact"/>
        <w:ind w:firstLine="420" w:firstLineChars="200"/>
        <w:jc w:val="left"/>
        <w:rPr>
          <w:rFonts w:hint="eastAsia" w:ascii="宋体" w:hAnsi="宋体" w:cs="宋体"/>
          <w:color w:val="auto"/>
          <w:szCs w:val="21"/>
          <w:highlight w:val="none"/>
          <w:u w:val="single"/>
        </w:rPr>
      </w:pPr>
      <w:r>
        <w:rPr>
          <w:rFonts w:hint="eastAsia" w:asciiTheme="minorEastAsia" w:hAnsiTheme="minorEastAsia" w:eastAsiaTheme="minorEastAsia"/>
          <w:color w:val="auto"/>
          <w:szCs w:val="21"/>
          <w:highlight w:val="none"/>
        </w:rPr>
        <w:t xml:space="preserve">2.4 </w:t>
      </w:r>
      <w:r>
        <w:rPr>
          <w:rFonts w:hint="eastAsia" w:ascii="宋体" w:hAnsi="宋体"/>
          <w:snapToGrid w:val="0"/>
          <w:color w:val="auto"/>
          <w:szCs w:val="21"/>
          <w:highlight w:val="none"/>
        </w:rPr>
        <w:t>比选</w:t>
      </w:r>
      <w:r>
        <w:rPr>
          <w:rFonts w:hint="eastAsia" w:asciiTheme="minorEastAsia" w:hAnsiTheme="minorEastAsia" w:eastAsiaTheme="minorEastAsia"/>
          <w:color w:val="auto"/>
          <w:szCs w:val="21"/>
          <w:highlight w:val="none"/>
        </w:rPr>
        <w:t>范围：</w:t>
      </w:r>
      <w:r>
        <w:rPr>
          <w:rFonts w:hint="eastAsia" w:ascii="宋体" w:hAnsi="宋体" w:cs="宋体"/>
          <w:color w:val="auto"/>
          <w:szCs w:val="21"/>
          <w:highlight w:val="none"/>
          <w:u w:val="single"/>
        </w:rPr>
        <w:t>包含施工、缺陷责任期内表现出的任何缺陷修复的监理服务。具体如下：</w:t>
      </w:r>
    </w:p>
    <w:p w14:paraId="722A0FF5">
      <w:pPr>
        <w:tabs>
          <w:tab w:val="left" w:pos="3840"/>
          <w:tab w:val="left" w:pos="5300"/>
        </w:tabs>
        <w:adjustRightInd w:val="0"/>
        <w:snapToGrid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施工阶段：含施工图设计及清单范围内全部工程施工及竣工验收的监理服务，包括施工准备阶段，施工过程中的质量，进度，费用控制，安全、文明施工监理，合同、信息方面的协调管理等。</w:t>
      </w:r>
    </w:p>
    <w:p w14:paraId="40819BDD">
      <w:pPr>
        <w:tabs>
          <w:tab w:val="left" w:pos="3840"/>
          <w:tab w:val="left" w:pos="5300"/>
        </w:tabs>
        <w:adjustRightInd w:val="0"/>
        <w:snapToGrid w:val="0"/>
        <w:spacing w:line="480" w:lineRule="exact"/>
        <w:ind w:firstLine="420" w:firstLineChars="200"/>
        <w:jc w:val="left"/>
        <w:rPr>
          <w:rFonts w:ascii="宋体" w:hAnsi="宋体"/>
          <w:i/>
          <w:snapToGrid w:val="0"/>
          <w:color w:val="auto"/>
          <w:kern w:val="0"/>
          <w:szCs w:val="21"/>
          <w:highlight w:val="none"/>
        </w:rPr>
      </w:pPr>
      <w:r>
        <w:rPr>
          <w:rFonts w:hint="eastAsia" w:ascii="宋体" w:hAnsi="宋体" w:cs="宋体"/>
          <w:color w:val="auto"/>
          <w:szCs w:val="21"/>
          <w:highlight w:val="none"/>
          <w:u w:val="single"/>
        </w:rPr>
        <w:t>缺陷责任期阶段：检查和记录工程质量缺陷，对缺陷原因进行调查分析并确定责任归属，审核修复方案，监督修复过程并验收，审核修复费用等保修阶段的监理服务</w:t>
      </w:r>
      <w:r>
        <w:rPr>
          <w:rFonts w:hint="eastAsia" w:ascii="宋体" w:hAnsi="宋体" w:cs="宋体"/>
          <w:color w:val="auto"/>
          <w:szCs w:val="21"/>
          <w:highlight w:val="none"/>
        </w:rPr>
        <w:t>。</w:t>
      </w:r>
    </w:p>
    <w:p w14:paraId="253047B1">
      <w:pPr>
        <w:tabs>
          <w:tab w:val="left" w:pos="3840"/>
          <w:tab w:val="left" w:pos="5300"/>
        </w:tabs>
        <w:adjustRightInd w:val="0"/>
        <w:snapToGrid w:val="0"/>
        <w:spacing w:line="480" w:lineRule="exact"/>
        <w:ind w:firstLine="420" w:firstLineChars="200"/>
        <w:jc w:val="left"/>
        <w:rPr>
          <w:rFonts w:hint="eastAsia"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2.5 监理服务期要求</w:t>
      </w:r>
      <w:bookmarkEnd w:id="8"/>
      <w:bookmarkEnd w:id="9"/>
      <w:bookmarkEnd w:id="10"/>
      <w:bookmarkEnd w:id="11"/>
      <w:bookmarkStart w:id="12" w:name="_Toc6792"/>
      <w:bookmarkStart w:id="13" w:name="_Toc4964"/>
      <w:bookmarkStart w:id="14" w:name="_Toc3686"/>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u w:val="single"/>
        </w:rPr>
        <w:t>从监理合同签订之日起至</w:t>
      </w:r>
      <w:r>
        <w:rPr>
          <w:rFonts w:hint="eastAsia" w:asciiTheme="minorEastAsia" w:hAnsiTheme="minorEastAsia" w:eastAsiaTheme="minorEastAsia"/>
          <w:color w:val="auto"/>
          <w:szCs w:val="21"/>
          <w:highlight w:val="none"/>
          <w:u w:val="single"/>
          <w:lang w:val="en-US" w:eastAsia="zh-CN"/>
        </w:rPr>
        <w:t>缺</w:t>
      </w:r>
      <w:r>
        <w:rPr>
          <w:rFonts w:hint="eastAsia" w:asciiTheme="minorEastAsia" w:hAnsiTheme="minorEastAsia" w:eastAsiaTheme="minorEastAsia"/>
          <w:color w:val="auto"/>
          <w:szCs w:val="21"/>
          <w:highlight w:val="none"/>
          <w:u w:val="single"/>
        </w:rPr>
        <w:t>陷责任期满止，其中</w:t>
      </w:r>
      <w:r>
        <w:rPr>
          <w:rFonts w:hint="eastAsia" w:asciiTheme="minorEastAsia" w:hAnsiTheme="minorEastAsia" w:eastAsiaTheme="minorEastAsia"/>
          <w:color w:val="auto"/>
          <w:szCs w:val="21"/>
          <w:highlight w:val="none"/>
          <w:u w:val="single"/>
          <w:lang w:eastAsia="zh-CN"/>
        </w:rPr>
        <w:t>：</w:t>
      </w:r>
      <w:r>
        <w:rPr>
          <w:rFonts w:hint="eastAsia" w:asciiTheme="minorEastAsia" w:hAnsiTheme="minorEastAsia" w:eastAsiaTheme="minorEastAsia"/>
          <w:color w:val="auto"/>
          <w:szCs w:val="21"/>
          <w:highlight w:val="none"/>
          <w:u w:val="single"/>
        </w:rPr>
        <w:t>计划施工工期:暂定施工阶段服务期</w:t>
      </w:r>
      <w:r>
        <w:rPr>
          <w:rFonts w:hint="eastAsia" w:asciiTheme="minorEastAsia" w:hAnsiTheme="minorEastAsia" w:eastAsiaTheme="minorEastAsia"/>
          <w:color w:val="auto"/>
          <w:szCs w:val="21"/>
          <w:highlight w:val="none"/>
          <w:u w:val="single"/>
          <w:lang w:val="en-US" w:eastAsia="zh-CN"/>
        </w:rPr>
        <w:t>300日历天</w:t>
      </w:r>
      <w:r>
        <w:rPr>
          <w:rFonts w:hint="eastAsia" w:asciiTheme="minorEastAsia" w:hAnsiTheme="minorEastAsia" w:eastAsiaTheme="minorEastAsia"/>
          <w:color w:val="auto"/>
          <w:szCs w:val="21"/>
          <w:highlight w:val="none"/>
          <w:u w:val="single"/>
        </w:rPr>
        <w:t>，缺陷责任期</w:t>
      </w:r>
      <w:r>
        <w:rPr>
          <w:rFonts w:hint="eastAsia" w:asciiTheme="minorEastAsia" w:hAnsiTheme="minorEastAsia" w:eastAsiaTheme="minorEastAsia"/>
          <w:color w:val="auto"/>
          <w:szCs w:val="21"/>
          <w:highlight w:val="none"/>
          <w:u w:val="single"/>
          <w:lang w:eastAsia="zh-CN"/>
        </w:rPr>
        <w:t>：</w:t>
      </w:r>
      <w:r>
        <w:rPr>
          <w:rFonts w:hint="eastAsia" w:asciiTheme="minorEastAsia" w:hAnsiTheme="minorEastAsia" w:eastAsiaTheme="minorEastAsia"/>
          <w:color w:val="auto"/>
          <w:szCs w:val="21"/>
          <w:highlight w:val="none"/>
          <w:u w:val="single"/>
        </w:rPr>
        <w:t>24个月</w:t>
      </w:r>
      <w:r>
        <w:rPr>
          <w:rFonts w:hint="eastAsia" w:asciiTheme="minorEastAsia" w:hAnsiTheme="minorEastAsia" w:eastAsiaTheme="minorEastAsia"/>
          <w:color w:val="auto"/>
          <w:szCs w:val="21"/>
          <w:highlight w:val="none"/>
          <w:u w:val="single"/>
          <w:lang w:eastAsia="zh-CN"/>
        </w:rPr>
        <w:t>，</w:t>
      </w:r>
      <w:r>
        <w:rPr>
          <w:rFonts w:hint="eastAsia" w:asciiTheme="minorEastAsia" w:hAnsiTheme="minorEastAsia" w:eastAsiaTheme="minorEastAsia"/>
          <w:color w:val="auto"/>
          <w:szCs w:val="21"/>
          <w:highlight w:val="none"/>
          <w:u w:val="single"/>
        </w:rPr>
        <w:t>具体以</w:t>
      </w:r>
      <w:r>
        <w:rPr>
          <w:rFonts w:hint="eastAsia" w:asciiTheme="minorEastAsia" w:hAnsiTheme="minorEastAsia" w:eastAsiaTheme="minorEastAsia"/>
          <w:color w:val="auto"/>
          <w:szCs w:val="21"/>
          <w:highlight w:val="none"/>
          <w:u w:val="single"/>
          <w:lang w:eastAsia="zh-CN"/>
        </w:rPr>
        <w:t>比选人</w:t>
      </w:r>
      <w:r>
        <w:rPr>
          <w:rFonts w:hint="eastAsia" w:asciiTheme="minorEastAsia" w:hAnsiTheme="minorEastAsia" w:eastAsiaTheme="minorEastAsia"/>
          <w:color w:val="auto"/>
          <w:szCs w:val="21"/>
          <w:highlight w:val="none"/>
          <w:u w:val="single"/>
        </w:rPr>
        <w:t>的</w:t>
      </w:r>
      <w:r>
        <w:rPr>
          <w:rFonts w:hint="eastAsia" w:asciiTheme="minorEastAsia" w:hAnsiTheme="minorEastAsia" w:eastAsiaTheme="minorEastAsia"/>
          <w:color w:val="auto"/>
          <w:szCs w:val="21"/>
          <w:highlight w:val="none"/>
          <w:u w:val="single"/>
          <w:lang w:val="en-US" w:eastAsia="zh-CN"/>
        </w:rPr>
        <w:t>书</w:t>
      </w:r>
      <w:r>
        <w:rPr>
          <w:rFonts w:hint="eastAsia" w:asciiTheme="minorEastAsia" w:hAnsiTheme="minorEastAsia" w:eastAsiaTheme="minorEastAsia"/>
          <w:color w:val="auto"/>
          <w:szCs w:val="21"/>
          <w:highlight w:val="none"/>
          <w:u w:val="single"/>
        </w:rPr>
        <w:t>面进场</w:t>
      </w:r>
      <w:r>
        <w:rPr>
          <w:rFonts w:hint="eastAsia" w:asciiTheme="minorEastAsia" w:hAnsiTheme="minorEastAsia" w:eastAsiaTheme="minorEastAsia"/>
          <w:color w:val="auto"/>
          <w:szCs w:val="21"/>
          <w:highlight w:val="none"/>
          <w:u w:val="single"/>
          <w:lang w:val="en-US" w:eastAsia="zh-CN"/>
        </w:rPr>
        <w:t>通知</w:t>
      </w:r>
      <w:r>
        <w:rPr>
          <w:rFonts w:hint="eastAsia" w:asciiTheme="minorEastAsia" w:hAnsiTheme="minorEastAsia" w:eastAsiaTheme="minorEastAsia"/>
          <w:color w:val="auto"/>
          <w:szCs w:val="21"/>
          <w:highlight w:val="none"/>
          <w:u w:val="single"/>
        </w:rPr>
        <w:t>为监理服务期的起始时间，以项目竣工验收合格且监理资料交接完成并协助建设单位取得工程</w:t>
      </w:r>
      <w:r>
        <w:rPr>
          <w:rFonts w:hint="eastAsia" w:asciiTheme="minorEastAsia" w:hAnsiTheme="minorEastAsia" w:eastAsiaTheme="minorEastAsia"/>
          <w:color w:val="auto"/>
          <w:szCs w:val="21"/>
          <w:highlight w:val="none"/>
          <w:u w:val="single"/>
          <w:lang w:val="en-US" w:eastAsia="zh-CN"/>
        </w:rPr>
        <w:t>备案</w:t>
      </w:r>
      <w:r>
        <w:rPr>
          <w:rFonts w:hint="eastAsia" w:asciiTheme="minorEastAsia" w:hAnsiTheme="minorEastAsia" w:eastAsiaTheme="minorEastAsia"/>
          <w:color w:val="auto"/>
          <w:szCs w:val="21"/>
          <w:highlight w:val="none"/>
          <w:u w:val="single"/>
        </w:rPr>
        <w:t>验收证书且缺陷责任期满为监理服务期的完成时间。</w:t>
      </w:r>
    </w:p>
    <w:p w14:paraId="16575479">
      <w:pPr>
        <w:tabs>
          <w:tab w:val="left" w:pos="3840"/>
          <w:tab w:val="left" w:pos="5300"/>
        </w:tabs>
        <w:adjustRightInd w:val="0"/>
        <w:snapToGrid w:val="0"/>
        <w:spacing w:line="480" w:lineRule="exact"/>
        <w:ind w:firstLine="422" w:firstLineChars="200"/>
        <w:jc w:val="left"/>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注：①如实际完工时间与计划完工时间有差异，以实际完工时间为准。</w:t>
      </w:r>
    </w:p>
    <w:p w14:paraId="7087B52C">
      <w:pPr>
        <w:tabs>
          <w:tab w:val="left" w:pos="3840"/>
          <w:tab w:val="left" w:pos="5300"/>
        </w:tabs>
        <w:adjustRightInd w:val="0"/>
        <w:snapToGrid w:val="0"/>
        <w:spacing w:line="480" w:lineRule="exact"/>
        <w:ind w:firstLine="843" w:firstLineChars="400"/>
        <w:jc w:val="left"/>
        <w:rPr>
          <w:rFonts w:hint="eastAsia" w:asciiTheme="minorEastAsia" w:hAnsiTheme="minorEastAsia" w:eastAsiaTheme="minorEastAsia"/>
          <w:color w:val="auto"/>
          <w:szCs w:val="21"/>
          <w:highlight w:val="none"/>
          <w:u w:val="single"/>
        </w:rPr>
      </w:pPr>
      <w:r>
        <w:rPr>
          <w:rFonts w:hint="eastAsia" w:ascii="宋体" w:hAnsi="宋体"/>
          <w:b/>
          <w:bCs/>
          <w:snapToGrid w:val="0"/>
          <w:color w:val="auto"/>
          <w:kern w:val="0"/>
          <w:szCs w:val="21"/>
          <w:highlight w:val="none"/>
        </w:rPr>
        <w:t>②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p w14:paraId="08A55F0B">
      <w:pPr>
        <w:tabs>
          <w:tab w:val="left" w:pos="3840"/>
          <w:tab w:val="left" w:pos="5300"/>
        </w:tabs>
        <w:autoSpaceDE w:val="0"/>
        <w:autoSpaceDN w:val="0"/>
        <w:adjustRightInd w:val="0"/>
        <w:snapToGrid w:val="0"/>
        <w:spacing w:line="460" w:lineRule="exact"/>
        <w:jc w:val="left"/>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三、竞选人资格要求</w:t>
      </w:r>
      <w:bookmarkEnd w:id="12"/>
      <w:bookmarkEnd w:id="13"/>
      <w:bookmarkEnd w:id="14"/>
    </w:p>
    <w:p w14:paraId="52E2E5A7">
      <w:pPr>
        <w:tabs>
          <w:tab w:val="left" w:pos="3840"/>
          <w:tab w:val="left" w:pos="5300"/>
        </w:tabs>
        <w:adjustRightInd w:val="0"/>
        <w:snapToGrid w:val="0"/>
        <w:spacing w:line="480" w:lineRule="exact"/>
        <w:ind w:firstLine="420" w:firstLineChars="200"/>
        <w:jc w:val="left"/>
        <w:rPr>
          <w:rFonts w:ascii="宋体" w:hAnsi="宋体"/>
          <w:snapToGrid w:val="0"/>
          <w:color w:val="auto"/>
          <w:kern w:val="0"/>
          <w:szCs w:val="21"/>
          <w:highlight w:val="none"/>
        </w:rPr>
      </w:pPr>
      <w:bookmarkStart w:id="15" w:name="_Toc29881"/>
      <w:bookmarkStart w:id="16" w:name="_Toc26534"/>
      <w:bookmarkStart w:id="17" w:name="_Toc22348"/>
      <w:r>
        <w:rPr>
          <w:rFonts w:hint="eastAsia" w:ascii="宋体" w:hAnsi="宋体"/>
          <w:snapToGrid w:val="0"/>
          <w:color w:val="auto"/>
          <w:kern w:val="0"/>
          <w:szCs w:val="21"/>
          <w:highlight w:val="none"/>
        </w:rPr>
        <w:t>1.竞选人具有独立的法人资格，具备建设行政主管部门颁发的</w:t>
      </w:r>
      <w:r>
        <w:rPr>
          <w:rFonts w:hint="eastAsia" w:ascii="宋体" w:hAnsi="宋体"/>
          <w:b/>
          <w:bCs/>
          <w:snapToGrid w:val="0"/>
          <w:color w:val="auto"/>
          <w:kern w:val="0"/>
          <w:szCs w:val="21"/>
          <w:highlight w:val="none"/>
        </w:rPr>
        <w:t>工程监理综合资质或</w:t>
      </w:r>
      <w:r>
        <w:rPr>
          <w:rFonts w:hint="eastAsia" w:ascii="宋体" w:hAnsi="宋体"/>
          <w:b/>
          <w:bCs/>
          <w:snapToGrid w:val="0"/>
          <w:color w:val="auto"/>
          <w:kern w:val="0"/>
          <w:szCs w:val="21"/>
          <w:highlight w:val="none"/>
          <w:lang w:eastAsia="zh-CN"/>
        </w:rPr>
        <w:t>房屋建筑工程</w:t>
      </w:r>
      <w:r>
        <w:rPr>
          <w:rFonts w:hint="eastAsia" w:ascii="宋体" w:hAnsi="宋体"/>
          <w:b/>
          <w:bCs/>
          <w:snapToGrid w:val="0"/>
          <w:color w:val="auto"/>
          <w:kern w:val="0"/>
          <w:szCs w:val="21"/>
          <w:highlight w:val="none"/>
        </w:rPr>
        <w:t>监理乙级及以上资质，</w:t>
      </w:r>
      <w:r>
        <w:rPr>
          <w:rFonts w:hint="eastAsia" w:ascii="宋体" w:hAnsi="宋体"/>
          <w:snapToGrid w:val="0"/>
          <w:color w:val="auto"/>
          <w:kern w:val="0"/>
          <w:szCs w:val="21"/>
          <w:highlight w:val="none"/>
        </w:rPr>
        <w:t xml:space="preserve">并在人员、设备、资金等方面具有相应的能力。 </w:t>
      </w:r>
    </w:p>
    <w:p w14:paraId="0C9377BB">
      <w:pPr>
        <w:tabs>
          <w:tab w:val="left" w:pos="3840"/>
          <w:tab w:val="left" w:pos="5300"/>
        </w:tabs>
        <w:adjustRightInd w:val="0"/>
        <w:snapToGrid w:val="0"/>
        <w:spacing w:line="48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2.具备有效的营业执照。 </w:t>
      </w:r>
    </w:p>
    <w:p w14:paraId="64AD0CCA">
      <w:pPr>
        <w:tabs>
          <w:tab w:val="left" w:pos="3045"/>
          <w:tab w:val="left" w:pos="8310"/>
        </w:tabs>
        <w:adjustRightInd w:val="0"/>
        <w:snapToGrid w:val="0"/>
        <w:spacing w:line="48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3.本次比选不接受联合体参加竞选</w:t>
      </w:r>
      <w:r>
        <w:rPr>
          <w:rFonts w:ascii="宋体" w:hAnsi="宋体"/>
          <w:snapToGrid w:val="0"/>
          <w:color w:val="auto"/>
          <w:kern w:val="0"/>
          <w:szCs w:val="21"/>
          <w:highlight w:val="none"/>
        </w:rPr>
        <w:t>。</w:t>
      </w:r>
    </w:p>
    <w:p w14:paraId="5057DC5B">
      <w:pPr>
        <w:pStyle w:val="17"/>
        <w:widowControl/>
        <w:snapToGrid w:val="0"/>
        <w:spacing w:beforeAutospacing="0" w:afterAutospacing="0" w:line="420" w:lineRule="exact"/>
        <w:rPr>
          <w:rFonts w:ascii="宋体" w:hAnsi="宋体" w:cs="宋体"/>
          <w:snapToGrid w:val="0"/>
          <w:color w:val="auto"/>
          <w:sz w:val="22"/>
          <w:szCs w:val="22"/>
          <w:highlight w:val="none"/>
        </w:rPr>
      </w:pPr>
      <w:r>
        <w:rPr>
          <w:rFonts w:hint="eastAsia" w:ascii="宋体" w:hAnsi="宋体" w:cs="宋体"/>
          <w:b/>
          <w:bCs/>
          <w:snapToGrid w:val="0"/>
          <w:color w:val="auto"/>
          <w:sz w:val="22"/>
          <w:szCs w:val="22"/>
          <w:highlight w:val="none"/>
        </w:rPr>
        <w:t>四、比选文件的购买</w:t>
      </w:r>
    </w:p>
    <w:p w14:paraId="585B317B">
      <w:pPr>
        <w:adjustRightInd w:val="0"/>
        <w:snapToGrid w:val="0"/>
        <w:spacing w:line="480" w:lineRule="exact"/>
        <w:ind w:firstLine="409" w:firstLineChars="186"/>
        <w:jc w:val="left"/>
        <w:rPr>
          <w:rFonts w:cs="宋体"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 w:val="22"/>
          <w:szCs w:val="22"/>
          <w:highlight w:val="none"/>
        </w:rPr>
        <w:t xml:space="preserve">4.1 </w:t>
      </w:r>
      <w:r>
        <w:rPr>
          <w:rFonts w:hint="eastAsia" w:ascii="宋体" w:hAnsi="宋体" w:cs="宋体"/>
          <w:snapToGrid w:val="0"/>
          <w:color w:val="auto"/>
          <w:kern w:val="0"/>
          <w:szCs w:val="21"/>
          <w:highlight w:val="none"/>
        </w:rPr>
        <w:t>凡有意参加竞选者，自竞争性比选公告发布之日起至竞选截止时间前，均可在“行采家”平台（https://www.gec123.com）上下载本项目竞争性比选</w:t>
      </w:r>
      <w:r>
        <w:rPr>
          <w:rFonts w:hint="eastAsia" w:ascii="宋体" w:hAnsi="宋体" w:cs="宋体"/>
          <w:snapToGrid w:val="0"/>
          <w:color w:val="auto"/>
          <w:kern w:val="0"/>
          <w:szCs w:val="21"/>
          <w:highlight w:val="none"/>
          <w:lang w:val="en-US" w:eastAsia="zh-CN"/>
        </w:rPr>
        <w:t>公告</w:t>
      </w:r>
      <w:r>
        <w:rPr>
          <w:rFonts w:hint="eastAsia" w:ascii="宋体" w:hAnsi="宋体" w:cs="宋体"/>
          <w:snapToGrid w:val="0"/>
          <w:color w:val="auto"/>
          <w:kern w:val="0"/>
          <w:szCs w:val="21"/>
          <w:highlight w:val="none"/>
        </w:rPr>
        <w:t>、补遗等开标前公布的所有相关资料。在公告期间，各竞选人应随时关注网上发布的补遗、澄清等文件内容，不管竞选人是否下载，均视为已知晓所有内容。</w:t>
      </w:r>
    </w:p>
    <w:p w14:paraId="6C08857B">
      <w:pPr>
        <w:adjustRightInd w:val="0"/>
        <w:snapToGrid w:val="0"/>
        <w:spacing w:line="480" w:lineRule="exact"/>
        <w:ind w:firstLine="390" w:firstLineChars="186"/>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 凡有意参加竞选者，请于2025年</w:t>
      </w:r>
      <w:r>
        <w:rPr>
          <w:rFonts w:hint="eastAsia" w:cs="宋体" w:asciiTheme="minorEastAsia" w:hAnsiTheme="minorEastAsia" w:eastAsiaTheme="minorEastAsia"/>
          <w:snapToGrid w:val="0"/>
          <w:color w:val="auto"/>
          <w:kern w:val="0"/>
          <w:szCs w:val="21"/>
          <w:highlight w:val="none"/>
          <w:lang w:val="en-US" w:eastAsia="zh-CN"/>
        </w:rPr>
        <w:t>12</w:t>
      </w:r>
      <w:r>
        <w:rPr>
          <w:rFonts w:hint="eastAsia" w:cs="宋体" w:asciiTheme="minorEastAsia" w:hAnsiTheme="minorEastAsia" w:eastAsiaTheme="minorEastAsia"/>
          <w:snapToGrid w:val="0"/>
          <w:color w:val="auto"/>
          <w:kern w:val="0"/>
          <w:szCs w:val="21"/>
          <w:highlight w:val="none"/>
        </w:rPr>
        <w:t>月</w:t>
      </w:r>
      <w:r>
        <w:rPr>
          <w:rFonts w:hint="eastAsia" w:cs="宋体" w:asciiTheme="minorEastAsia" w:hAnsiTheme="minorEastAsia" w:eastAsiaTheme="minorEastAsia"/>
          <w:snapToGrid w:val="0"/>
          <w:color w:val="auto"/>
          <w:kern w:val="0"/>
          <w:szCs w:val="21"/>
          <w:highlight w:val="none"/>
          <w:lang w:val="en-US" w:eastAsia="zh-CN"/>
        </w:rPr>
        <w:t>4</w:t>
      </w:r>
      <w:r>
        <w:rPr>
          <w:rFonts w:hint="eastAsia" w:cs="宋体" w:asciiTheme="minorEastAsia" w:hAnsiTheme="minorEastAsia" w:eastAsiaTheme="minorEastAsia"/>
          <w:snapToGrid w:val="0"/>
          <w:color w:val="auto"/>
          <w:kern w:val="0"/>
          <w:szCs w:val="21"/>
          <w:highlight w:val="none"/>
        </w:rPr>
        <w:t>日（北京时间，下同）1</w:t>
      </w:r>
      <w:r>
        <w:rPr>
          <w:rFonts w:hint="eastAsia" w:cs="宋体" w:asciiTheme="minorEastAsia" w:hAnsiTheme="minorEastAsia" w:eastAsiaTheme="minorEastAsia"/>
          <w:snapToGrid w:val="0"/>
          <w:color w:val="auto"/>
          <w:kern w:val="0"/>
          <w:szCs w:val="21"/>
          <w:highlight w:val="none"/>
          <w:lang w:val="en-US" w:eastAsia="zh-CN"/>
        </w:rPr>
        <w:t>6</w:t>
      </w: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0</w:t>
      </w:r>
      <w:r>
        <w:rPr>
          <w:rFonts w:hint="eastAsia" w:cs="宋体" w:asciiTheme="minorEastAsia" w:hAnsiTheme="minorEastAsia" w:eastAsiaTheme="minorEastAsia"/>
          <w:snapToGrid w:val="0"/>
          <w:color w:val="auto"/>
          <w:kern w:val="0"/>
          <w:szCs w:val="21"/>
          <w:highlight w:val="none"/>
        </w:rPr>
        <w:t>0</w:t>
      </w:r>
      <w:r>
        <w:rPr>
          <w:rFonts w:hint="eastAsia" w:cs="宋体" w:asciiTheme="minorEastAsia" w:hAnsiTheme="minorEastAsia" w:eastAsiaTheme="minorEastAsia"/>
          <w:snapToGrid w:val="0"/>
          <w:color w:val="auto"/>
          <w:kern w:val="0"/>
          <w:szCs w:val="21"/>
          <w:highlight w:val="none"/>
          <w:lang w:val="en-US" w:eastAsia="zh-CN"/>
        </w:rPr>
        <w:t>前</w:t>
      </w:r>
      <w:r>
        <w:rPr>
          <w:rFonts w:hint="eastAsia" w:cs="宋体" w:asciiTheme="minorEastAsia" w:hAnsiTheme="minorEastAsia" w:eastAsiaTheme="minorEastAsia"/>
          <w:snapToGrid w:val="0"/>
          <w:color w:val="auto"/>
          <w:kern w:val="0"/>
          <w:szCs w:val="21"/>
          <w:highlight w:val="none"/>
        </w:rPr>
        <w:t>将</w:t>
      </w:r>
      <w:r>
        <w:rPr>
          <w:rFonts w:hint="eastAsia" w:ascii="宋体" w:hAnsi="宋体" w:eastAsia="宋体" w:cs="宋体"/>
          <w:snapToGrid w:val="0"/>
          <w:color w:val="auto"/>
          <w:kern w:val="0"/>
          <w:szCs w:val="21"/>
          <w:highlight w:val="none"/>
        </w:rPr>
        <w:t>《文件获取登记表》</w:t>
      </w:r>
      <w:r>
        <w:rPr>
          <w:rFonts w:hint="eastAsia" w:cs="宋体" w:asciiTheme="minorEastAsia" w:hAnsiTheme="minorEastAsia" w:eastAsiaTheme="minorEastAsia"/>
          <w:snapToGrid w:val="0"/>
          <w:color w:val="auto"/>
          <w:kern w:val="0"/>
          <w:szCs w:val="21"/>
          <w:highlight w:val="none"/>
        </w:rPr>
        <w:t>（加盖竞选人公章）扫描后发送至</w:t>
      </w:r>
      <w:r>
        <w:rPr>
          <w:rFonts w:hint="eastAsia" w:cs="宋体" w:asciiTheme="minorEastAsia" w:hAnsiTheme="minorEastAsia" w:eastAsiaTheme="minorEastAsia"/>
          <w:snapToGrid w:val="0"/>
          <w:color w:val="auto"/>
          <w:kern w:val="0"/>
          <w:szCs w:val="21"/>
          <w:highlight w:val="none"/>
          <w:lang w:val="en-US" w:eastAsia="zh-CN"/>
        </w:rPr>
        <w:t>317562187</w:t>
      </w:r>
      <w:r>
        <w:rPr>
          <w:rFonts w:hint="eastAsia" w:cs="宋体" w:asciiTheme="minorEastAsia" w:hAnsiTheme="minorEastAsia" w:eastAsiaTheme="minorEastAsia"/>
          <w:snapToGrid w:val="0"/>
          <w:color w:val="auto"/>
          <w:kern w:val="0"/>
          <w:szCs w:val="21"/>
          <w:highlight w:val="none"/>
        </w:rPr>
        <w:t>@qq.com邮箱，并按邮箱回复的收款码支付竞争性比选文件购买费用完成报名。</w:t>
      </w:r>
    </w:p>
    <w:p w14:paraId="1D60A8BD">
      <w:pPr>
        <w:adjustRightInd w:val="0"/>
        <w:snapToGrid w:val="0"/>
        <w:spacing w:line="48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4.3比选文件每套售价</w:t>
      </w:r>
      <w:r>
        <w:rPr>
          <w:rFonts w:cs="宋体" w:asciiTheme="minorEastAsia" w:hAnsiTheme="minorEastAsia" w:eastAsiaTheme="minorEastAsia"/>
          <w:snapToGrid w:val="0"/>
          <w:color w:val="auto"/>
          <w:kern w:val="0"/>
          <w:szCs w:val="21"/>
          <w:highlight w:val="none"/>
        </w:rPr>
        <w:t>5</w:t>
      </w:r>
      <w:r>
        <w:rPr>
          <w:rFonts w:hint="eastAsia" w:cs="宋体" w:asciiTheme="minorEastAsia" w:hAnsiTheme="minorEastAsia" w:eastAsiaTheme="minorEastAsia"/>
          <w:snapToGrid w:val="0"/>
          <w:color w:val="auto"/>
          <w:kern w:val="0"/>
          <w:szCs w:val="21"/>
          <w:highlight w:val="none"/>
        </w:rPr>
        <w:t>00元/份，售后不退。</w:t>
      </w:r>
    </w:p>
    <w:p w14:paraId="0E144758">
      <w:pPr>
        <w:pStyle w:val="17"/>
        <w:widowControl/>
        <w:snapToGrid w:val="0"/>
        <w:spacing w:beforeAutospacing="0" w:afterAutospacing="0" w:line="420" w:lineRule="exact"/>
        <w:jc w:val="both"/>
        <w:rPr>
          <w:rFonts w:ascii="宋体" w:hAnsi="宋体" w:cs="宋体"/>
          <w:color w:val="auto"/>
          <w:sz w:val="22"/>
          <w:szCs w:val="22"/>
          <w:highlight w:val="none"/>
        </w:rPr>
      </w:pPr>
      <w:r>
        <w:rPr>
          <w:rFonts w:hint="eastAsia" w:ascii="宋体" w:hAnsi="宋体" w:cs="宋体"/>
          <w:b/>
          <w:snapToGrid w:val="0"/>
          <w:color w:val="auto"/>
          <w:sz w:val="22"/>
          <w:szCs w:val="22"/>
          <w:highlight w:val="none"/>
        </w:rPr>
        <w:t>五、竞选文件的递交</w:t>
      </w:r>
    </w:p>
    <w:p w14:paraId="05F6D4F8">
      <w:pPr>
        <w:adjustRightInd w:val="0"/>
        <w:snapToGrid w:val="0"/>
        <w:spacing w:line="480" w:lineRule="exact"/>
        <w:ind w:firstLine="390" w:firstLineChars="186"/>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val="en-US" w:eastAsia="zh-CN"/>
        </w:rPr>
        <w:t>5.1</w:t>
      </w:r>
      <w:r>
        <w:rPr>
          <w:rFonts w:hint="eastAsia" w:cs="宋体" w:asciiTheme="minorEastAsia" w:hAnsiTheme="minorEastAsia" w:eastAsiaTheme="minorEastAsia"/>
          <w:snapToGrid w:val="0"/>
          <w:color w:val="auto"/>
          <w:kern w:val="0"/>
          <w:szCs w:val="21"/>
          <w:highlight w:val="none"/>
        </w:rPr>
        <w:t>纸质</w:t>
      </w:r>
      <w:r>
        <w:rPr>
          <w:rFonts w:hint="eastAsia" w:cs="宋体" w:asciiTheme="minorEastAsia" w:hAnsiTheme="minorEastAsia" w:eastAsiaTheme="minorEastAsia"/>
          <w:snapToGrid w:val="0"/>
          <w:color w:val="auto"/>
          <w:kern w:val="0"/>
          <w:szCs w:val="21"/>
          <w:highlight w:val="none"/>
          <w:lang w:eastAsia="zh-CN"/>
        </w:rPr>
        <w:t>竞选</w:t>
      </w:r>
      <w:r>
        <w:rPr>
          <w:rFonts w:hint="eastAsia" w:cs="宋体" w:asciiTheme="minorEastAsia" w:hAnsiTheme="minorEastAsia" w:eastAsiaTheme="minorEastAsia"/>
          <w:snapToGrid w:val="0"/>
          <w:color w:val="auto"/>
          <w:kern w:val="0"/>
          <w:szCs w:val="21"/>
          <w:highlight w:val="none"/>
        </w:rPr>
        <w:t>文件递交时间：202</w:t>
      </w:r>
      <w:r>
        <w:rPr>
          <w:rFonts w:hint="eastAsia" w:cs="宋体" w:asciiTheme="minorEastAsia" w:hAnsiTheme="minorEastAsia" w:eastAsiaTheme="minorEastAsia"/>
          <w:snapToGrid w:val="0"/>
          <w:color w:val="auto"/>
          <w:kern w:val="0"/>
          <w:szCs w:val="21"/>
          <w:highlight w:val="none"/>
          <w:lang w:val="en-US" w:eastAsia="zh-CN"/>
        </w:rPr>
        <w:t>5</w:t>
      </w:r>
      <w:r>
        <w:rPr>
          <w:rFonts w:hint="eastAsia" w:cs="宋体" w:asciiTheme="minorEastAsia" w:hAnsiTheme="minorEastAsia" w:eastAsiaTheme="minorEastAsia"/>
          <w:snapToGrid w:val="0"/>
          <w:color w:val="auto"/>
          <w:kern w:val="0"/>
          <w:szCs w:val="21"/>
          <w:highlight w:val="none"/>
        </w:rPr>
        <w:t>年</w:t>
      </w:r>
      <w:r>
        <w:rPr>
          <w:rFonts w:hint="eastAsia" w:cs="宋体" w:asciiTheme="minorEastAsia" w:hAnsiTheme="minorEastAsia" w:eastAsiaTheme="minorEastAsia"/>
          <w:snapToGrid w:val="0"/>
          <w:color w:val="auto"/>
          <w:kern w:val="0"/>
          <w:szCs w:val="21"/>
          <w:highlight w:val="none"/>
          <w:lang w:val="en-US" w:eastAsia="zh-CN"/>
        </w:rPr>
        <w:t>12</w:t>
      </w:r>
      <w:r>
        <w:rPr>
          <w:rFonts w:hint="eastAsia" w:cs="宋体" w:asciiTheme="minorEastAsia" w:hAnsiTheme="minorEastAsia" w:eastAsiaTheme="minorEastAsia"/>
          <w:snapToGrid w:val="0"/>
          <w:color w:val="auto"/>
          <w:kern w:val="0"/>
          <w:szCs w:val="21"/>
          <w:highlight w:val="none"/>
        </w:rPr>
        <w:t>月</w:t>
      </w:r>
      <w:r>
        <w:rPr>
          <w:rFonts w:hint="eastAsia" w:cs="宋体" w:asciiTheme="minorEastAsia" w:hAnsiTheme="minorEastAsia" w:eastAsiaTheme="minorEastAsia"/>
          <w:snapToGrid w:val="0"/>
          <w:color w:val="auto"/>
          <w:kern w:val="0"/>
          <w:szCs w:val="21"/>
          <w:highlight w:val="none"/>
          <w:lang w:val="en-US" w:eastAsia="zh-CN"/>
        </w:rPr>
        <w:t>5</w:t>
      </w:r>
      <w:r>
        <w:rPr>
          <w:rFonts w:hint="eastAsia" w:cs="宋体" w:asciiTheme="minorEastAsia" w:hAnsiTheme="minorEastAsia" w:eastAsiaTheme="minorEastAsia"/>
          <w:snapToGrid w:val="0"/>
          <w:color w:val="auto"/>
          <w:kern w:val="0"/>
          <w:szCs w:val="21"/>
          <w:highlight w:val="none"/>
        </w:rPr>
        <w:t>日</w:t>
      </w:r>
      <w:r>
        <w:rPr>
          <w:rFonts w:hint="eastAsia" w:cs="宋体" w:asciiTheme="minorEastAsia" w:hAnsiTheme="minorEastAsia" w:eastAsiaTheme="minorEastAsia"/>
          <w:snapToGrid w:val="0"/>
          <w:color w:val="auto"/>
          <w:kern w:val="0"/>
          <w:szCs w:val="21"/>
          <w:highlight w:val="none"/>
          <w:lang w:val="en-US" w:eastAsia="zh-CN"/>
        </w:rPr>
        <w:t>9</w:t>
      </w:r>
      <w:r>
        <w:rPr>
          <w:rFonts w:hint="eastAsia" w:cs="宋体" w:asciiTheme="minorEastAsia" w:hAnsiTheme="minorEastAsia" w:eastAsiaTheme="minorEastAsia"/>
          <w:snapToGrid w:val="0"/>
          <w:color w:val="auto"/>
          <w:kern w:val="0"/>
          <w:szCs w:val="21"/>
          <w:highlight w:val="none"/>
        </w:rPr>
        <w:t>时00分至</w:t>
      </w:r>
      <w:r>
        <w:rPr>
          <w:rFonts w:hint="eastAsia" w:cs="宋体" w:asciiTheme="minorEastAsia" w:hAnsiTheme="minorEastAsia" w:eastAsiaTheme="minorEastAsia"/>
          <w:snapToGrid w:val="0"/>
          <w:color w:val="auto"/>
          <w:kern w:val="0"/>
          <w:szCs w:val="21"/>
          <w:highlight w:val="none"/>
          <w:lang w:val="en-US" w:eastAsia="zh-CN"/>
        </w:rPr>
        <w:t>9</w:t>
      </w:r>
      <w:r>
        <w:rPr>
          <w:rFonts w:hint="eastAsia" w:cs="宋体" w:asciiTheme="minorEastAsia" w:hAnsiTheme="minorEastAsia" w:eastAsiaTheme="minorEastAsia"/>
          <w:snapToGrid w:val="0"/>
          <w:color w:val="auto"/>
          <w:kern w:val="0"/>
          <w:szCs w:val="21"/>
          <w:highlight w:val="none"/>
        </w:rPr>
        <w:t>时30分（北京时间）。</w:t>
      </w:r>
    </w:p>
    <w:p w14:paraId="53A5392E">
      <w:pPr>
        <w:adjustRightInd w:val="0"/>
        <w:snapToGrid w:val="0"/>
        <w:spacing w:line="480" w:lineRule="exact"/>
        <w:ind w:firstLine="390" w:firstLineChars="186"/>
        <w:jc w:val="left"/>
        <w:rPr>
          <w:rFonts w:hint="default" w:cs="宋体" w:asciiTheme="minorEastAsia" w:hAnsiTheme="minorEastAsia" w:eastAsiaTheme="minorEastAsia"/>
          <w:snapToGrid w:val="0"/>
          <w:color w:val="auto"/>
          <w:kern w:val="0"/>
          <w:szCs w:val="21"/>
          <w:highlight w:val="none"/>
          <w:lang w:val="en-US"/>
        </w:rPr>
      </w:pPr>
      <w:r>
        <w:rPr>
          <w:rFonts w:hint="eastAsia" w:cs="宋体" w:asciiTheme="minorEastAsia" w:hAnsiTheme="minorEastAsia" w:eastAsiaTheme="minorEastAsia"/>
          <w:snapToGrid w:val="0"/>
          <w:color w:val="auto"/>
          <w:kern w:val="0"/>
          <w:szCs w:val="21"/>
          <w:highlight w:val="none"/>
          <w:lang w:val="en-US" w:eastAsia="zh-CN"/>
        </w:rPr>
        <w:t>5.2</w:t>
      </w:r>
      <w:r>
        <w:rPr>
          <w:rFonts w:hint="eastAsia" w:cs="宋体" w:asciiTheme="minorEastAsia" w:hAnsiTheme="minorEastAsia" w:eastAsiaTheme="minorEastAsia"/>
          <w:snapToGrid w:val="0"/>
          <w:color w:val="auto"/>
          <w:kern w:val="0"/>
          <w:szCs w:val="21"/>
          <w:highlight w:val="none"/>
        </w:rPr>
        <w:t>纸质</w:t>
      </w:r>
      <w:r>
        <w:rPr>
          <w:rFonts w:hint="eastAsia" w:cs="宋体" w:asciiTheme="minorEastAsia" w:hAnsiTheme="minorEastAsia" w:eastAsiaTheme="minorEastAsia"/>
          <w:snapToGrid w:val="0"/>
          <w:color w:val="auto"/>
          <w:kern w:val="0"/>
          <w:szCs w:val="21"/>
          <w:highlight w:val="none"/>
          <w:lang w:eastAsia="zh-CN"/>
        </w:rPr>
        <w:t>竞选</w:t>
      </w:r>
      <w:r>
        <w:rPr>
          <w:rFonts w:hint="eastAsia" w:cs="宋体" w:asciiTheme="minorEastAsia" w:hAnsiTheme="minorEastAsia" w:eastAsiaTheme="minorEastAsia"/>
          <w:snapToGrid w:val="0"/>
          <w:color w:val="auto"/>
          <w:kern w:val="0"/>
          <w:szCs w:val="21"/>
          <w:highlight w:val="none"/>
        </w:rPr>
        <w:t>文件递交及开标地点：</w:t>
      </w:r>
      <w:r>
        <w:rPr>
          <w:rFonts w:hint="default" w:cs="宋体" w:asciiTheme="minorEastAsia" w:hAnsiTheme="minorEastAsia" w:eastAsiaTheme="minorEastAsia"/>
          <w:snapToGrid w:val="0"/>
          <w:color w:val="auto"/>
          <w:kern w:val="0"/>
          <w:szCs w:val="21"/>
          <w:highlight w:val="none"/>
          <w:lang w:val="en-US" w:eastAsia="zh-CN"/>
        </w:rPr>
        <w:t>重庆市</w:t>
      </w:r>
      <w:r>
        <w:rPr>
          <w:rFonts w:hint="eastAsia" w:cs="宋体" w:asciiTheme="minorEastAsia" w:hAnsiTheme="minorEastAsia" w:eastAsiaTheme="minorEastAsia"/>
          <w:snapToGrid w:val="0"/>
          <w:color w:val="auto"/>
          <w:kern w:val="0"/>
          <w:szCs w:val="21"/>
          <w:highlight w:val="none"/>
          <w:lang w:val="en-US" w:eastAsia="zh-CN"/>
        </w:rPr>
        <w:t>南岸区</w:t>
      </w:r>
      <w:r>
        <w:rPr>
          <w:rFonts w:hint="default" w:cs="宋体" w:asciiTheme="minorEastAsia" w:hAnsiTheme="minorEastAsia" w:eastAsiaTheme="minorEastAsia"/>
          <w:snapToGrid w:val="0"/>
          <w:color w:val="auto"/>
          <w:kern w:val="0"/>
          <w:szCs w:val="21"/>
          <w:highlight w:val="none"/>
          <w:lang w:val="en-US" w:eastAsia="zh-CN"/>
        </w:rPr>
        <w:t>公共资源交易</w:t>
      </w:r>
      <w:r>
        <w:rPr>
          <w:rFonts w:hint="eastAsia" w:cs="宋体" w:asciiTheme="minorEastAsia" w:hAnsiTheme="minorEastAsia" w:eastAsiaTheme="minorEastAsia"/>
          <w:snapToGrid w:val="0"/>
          <w:color w:val="auto"/>
          <w:kern w:val="0"/>
          <w:szCs w:val="21"/>
          <w:highlight w:val="none"/>
          <w:lang w:val="en-US" w:eastAsia="zh-CN"/>
        </w:rPr>
        <w:t>中心（重庆市南岸区天文街道广福大道12号区行政中心B区2号楼4楼），具体开标室以开标当天交易中心屏幕显示为准。</w:t>
      </w:r>
    </w:p>
    <w:p w14:paraId="44CE499D">
      <w:pPr>
        <w:adjustRightInd w:val="0"/>
        <w:snapToGrid w:val="0"/>
        <w:spacing w:line="480" w:lineRule="exact"/>
        <w:ind w:firstLine="390" w:firstLineChars="186"/>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val="en-US" w:eastAsia="zh-CN"/>
        </w:rPr>
        <w:t>5.3</w:t>
      </w:r>
      <w:r>
        <w:rPr>
          <w:rFonts w:hint="eastAsia" w:ascii="宋体" w:hAnsi="宋体"/>
          <w:snapToGrid w:val="0"/>
          <w:color w:val="auto"/>
          <w:kern w:val="0"/>
          <w:szCs w:val="21"/>
          <w:highlight w:val="none"/>
        </w:rPr>
        <w:t>竞选人</w:t>
      </w:r>
      <w:r>
        <w:rPr>
          <w:rFonts w:hint="eastAsia" w:cs="宋体" w:asciiTheme="minorEastAsia" w:hAnsiTheme="minorEastAsia" w:eastAsiaTheme="minorEastAsia"/>
          <w:snapToGrid w:val="0"/>
          <w:color w:val="auto"/>
          <w:kern w:val="0"/>
          <w:szCs w:val="21"/>
          <w:highlight w:val="none"/>
        </w:rPr>
        <w:t>须满足以下要件，其</w:t>
      </w:r>
      <w:r>
        <w:rPr>
          <w:rFonts w:hint="eastAsia" w:cs="宋体" w:asciiTheme="minorEastAsia" w:hAnsiTheme="minorEastAsia" w:eastAsiaTheme="minorEastAsia"/>
          <w:snapToGrid w:val="0"/>
          <w:color w:val="auto"/>
          <w:kern w:val="0"/>
          <w:szCs w:val="21"/>
          <w:highlight w:val="none"/>
          <w:lang w:eastAsia="zh-CN"/>
        </w:rPr>
        <w:t>竞选文件</w:t>
      </w:r>
      <w:r>
        <w:rPr>
          <w:rFonts w:hint="eastAsia" w:cs="宋体" w:asciiTheme="minorEastAsia" w:hAnsiTheme="minorEastAsia" w:eastAsiaTheme="minorEastAsia"/>
          <w:snapToGrid w:val="0"/>
          <w:color w:val="auto"/>
          <w:kern w:val="0"/>
          <w:szCs w:val="21"/>
          <w:highlight w:val="none"/>
        </w:rPr>
        <w:t>才被接受，否则将失去</w:t>
      </w:r>
      <w:r>
        <w:rPr>
          <w:rFonts w:hint="eastAsia" w:cs="宋体" w:asciiTheme="minorEastAsia" w:hAnsiTheme="minorEastAsia" w:eastAsiaTheme="minorEastAsia"/>
          <w:snapToGrid w:val="0"/>
          <w:color w:val="auto"/>
          <w:kern w:val="0"/>
          <w:szCs w:val="21"/>
          <w:highlight w:val="none"/>
          <w:lang w:eastAsia="zh-CN"/>
        </w:rPr>
        <w:t>竞选</w:t>
      </w:r>
      <w:r>
        <w:rPr>
          <w:rFonts w:hint="eastAsia" w:cs="宋体" w:asciiTheme="minorEastAsia" w:hAnsiTheme="minorEastAsia" w:eastAsiaTheme="minorEastAsia"/>
          <w:snapToGrid w:val="0"/>
          <w:color w:val="auto"/>
          <w:kern w:val="0"/>
          <w:szCs w:val="21"/>
          <w:highlight w:val="none"/>
        </w:rPr>
        <w:t xml:space="preserve">资格： </w:t>
      </w:r>
    </w:p>
    <w:p w14:paraId="4D6709E2">
      <w:pPr>
        <w:keepNext w:val="0"/>
        <w:keepLines w:val="0"/>
        <w:pageBreakBefore w:val="0"/>
        <w:kinsoku/>
        <w:wordWrap/>
        <w:overflowPunct/>
        <w:topLinePunct w:val="0"/>
        <w:bidi w:val="0"/>
        <w:adjustRightInd w:val="0"/>
        <w:snapToGrid w:val="0"/>
        <w:spacing w:line="420" w:lineRule="exact"/>
        <w:ind w:firstLine="390" w:firstLineChars="186"/>
        <w:jc w:val="lef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5.3.1</w:t>
      </w:r>
      <w:r>
        <w:rPr>
          <w:rFonts w:hint="eastAsia" w:ascii="宋体" w:hAnsi="宋体" w:eastAsia="宋体" w:cs="宋体"/>
          <w:snapToGrid w:val="0"/>
          <w:color w:val="auto"/>
          <w:kern w:val="0"/>
          <w:szCs w:val="21"/>
          <w:highlight w:val="none"/>
        </w:rPr>
        <w:t>按比选文件</w:t>
      </w:r>
      <w:r>
        <w:rPr>
          <w:rFonts w:hint="eastAsia" w:ascii="宋体" w:hAnsi="宋体" w:eastAsia="宋体" w:cs="宋体"/>
          <w:snapToGrid w:val="0"/>
          <w:color w:val="auto"/>
          <w:kern w:val="0"/>
          <w:szCs w:val="21"/>
          <w:highlight w:val="none"/>
          <w:lang w:val="en-US" w:eastAsia="zh-CN"/>
        </w:rPr>
        <w:t>要求</w:t>
      </w:r>
      <w:r>
        <w:rPr>
          <w:rFonts w:hint="eastAsia" w:ascii="宋体" w:hAnsi="宋体" w:eastAsia="宋体" w:cs="宋体"/>
          <w:snapToGrid w:val="0"/>
          <w:color w:val="auto"/>
          <w:kern w:val="0"/>
          <w:szCs w:val="21"/>
          <w:highlight w:val="none"/>
        </w:rPr>
        <w:t xml:space="preserve">报名并缴纳了标书费； </w:t>
      </w:r>
    </w:p>
    <w:p w14:paraId="1DEB3052">
      <w:pPr>
        <w:keepNext w:val="0"/>
        <w:keepLines w:val="0"/>
        <w:pageBreakBefore w:val="0"/>
        <w:kinsoku/>
        <w:wordWrap/>
        <w:overflowPunct/>
        <w:topLinePunct w:val="0"/>
        <w:bidi w:val="0"/>
        <w:adjustRightInd w:val="0"/>
        <w:snapToGrid w:val="0"/>
        <w:spacing w:line="420" w:lineRule="exact"/>
        <w:ind w:firstLine="390" w:firstLineChars="186"/>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5.3.2</w:t>
      </w:r>
      <w:r>
        <w:rPr>
          <w:rFonts w:hint="eastAsia" w:ascii="宋体" w:hAnsi="宋体" w:eastAsia="宋体" w:cs="宋体"/>
          <w:snapToGrid w:val="0"/>
          <w:color w:val="auto"/>
          <w:kern w:val="0"/>
          <w:szCs w:val="21"/>
          <w:highlight w:val="none"/>
          <w:lang w:eastAsia="zh-CN"/>
        </w:rPr>
        <w:t>按比选文件的要求，按时</w:t>
      </w:r>
      <w:r>
        <w:rPr>
          <w:rFonts w:hint="eastAsia" w:ascii="宋体" w:hAnsi="宋体" w:eastAsia="宋体" w:cs="宋体"/>
          <w:snapToGrid w:val="0"/>
          <w:color w:val="auto"/>
          <w:kern w:val="0"/>
          <w:szCs w:val="21"/>
          <w:highlight w:val="none"/>
          <w:lang w:val="en-US" w:eastAsia="zh-CN"/>
        </w:rPr>
        <w:t>签到并</w:t>
      </w:r>
      <w:r>
        <w:rPr>
          <w:rFonts w:hint="eastAsia" w:ascii="宋体" w:hAnsi="宋体" w:eastAsia="宋体" w:cs="宋体"/>
          <w:snapToGrid w:val="0"/>
          <w:color w:val="auto"/>
          <w:kern w:val="0"/>
          <w:szCs w:val="21"/>
          <w:highlight w:val="none"/>
          <w:lang w:eastAsia="zh-CN"/>
        </w:rPr>
        <w:t>递交纸质竞选文件。</w:t>
      </w:r>
    </w:p>
    <w:p w14:paraId="622ADE80">
      <w:pPr>
        <w:pStyle w:val="17"/>
        <w:widowControl/>
        <w:snapToGrid w:val="0"/>
        <w:spacing w:beforeAutospacing="0" w:afterAutospacing="0" w:line="420" w:lineRule="exact"/>
        <w:jc w:val="both"/>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六、发布公告的媒介</w:t>
      </w:r>
    </w:p>
    <w:p w14:paraId="6DCBF322">
      <w:pPr>
        <w:pStyle w:val="17"/>
        <w:widowControl/>
        <w:snapToGrid w:val="0"/>
        <w:spacing w:beforeAutospacing="0" w:afterAutospacing="0" w:line="480" w:lineRule="exact"/>
        <w:ind w:firstLine="420" w:firstLineChars="200"/>
        <w:jc w:val="both"/>
        <w:rPr>
          <w:rFonts w:ascii="宋体" w:hAnsi="宋体" w:cs="宋体"/>
          <w:color w:val="auto"/>
          <w:sz w:val="21"/>
          <w:szCs w:val="21"/>
          <w:highlight w:val="none"/>
        </w:rPr>
      </w:pPr>
      <w:r>
        <w:rPr>
          <w:rFonts w:hint="eastAsia" w:ascii="宋体" w:hAnsi="宋体" w:cs="宋体"/>
          <w:snapToGrid w:val="0"/>
          <w:color w:val="auto"/>
          <w:sz w:val="21"/>
          <w:szCs w:val="21"/>
          <w:highlight w:val="none"/>
        </w:rPr>
        <w:t>本次比选公告在“行采家”网站（https://www.gec123.com/）上发布。</w:t>
      </w:r>
    </w:p>
    <w:p w14:paraId="2C4CC978">
      <w:pPr>
        <w:pStyle w:val="17"/>
        <w:widowControl/>
        <w:snapToGrid w:val="0"/>
        <w:spacing w:beforeAutospacing="0" w:afterAutospacing="0" w:line="420" w:lineRule="exact"/>
        <w:jc w:val="both"/>
        <w:rPr>
          <w:color w:val="auto"/>
          <w:highlight w:val="none"/>
        </w:rPr>
      </w:pPr>
      <w:r>
        <w:rPr>
          <w:rFonts w:hint="eastAsia" w:ascii="宋体" w:hAnsi="宋体" w:cs="宋体"/>
          <w:b/>
          <w:snapToGrid w:val="0"/>
          <w:color w:val="auto"/>
          <w:sz w:val="22"/>
          <w:szCs w:val="22"/>
          <w:highlight w:val="none"/>
        </w:rPr>
        <w:t>七、联系方式</w:t>
      </w:r>
    </w:p>
    <w:bookmarkEnd w:id="4"/>
    <w:bookmarkEnd w:id="15"/>
    <w:bookmarkEnd w:id="16"/>
    <w:bookmarkEnd w:id="17"/>
    <w:p w14:paraId="42CA7D7C">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bookmarkStart w:id="18" w:name="_Toc224103315"/>
      <w:bookmarkStart w:id="19" w:name="_Toc287620683"/>
      <w:bookmarkStart w:id="20" w:name="_Toc30449"/>
      <w:bookmarkStart w:id="21" w:name="_Toc430530432"/>
      <w:bookmarkStart w:id="22" w:name="_Toc287607744"/>
      <w:bookmarkStart w:id="23" w:name="_Toc1178"/>
      <w:r>
        <w:rPr>
          <w:rFonts w:hint="eastAsia" w:ascii="宋体" w:hAnsi="宋体"/>
          <w:color w:val="auto"/>
          <w:szCs w:val="21"/>
          <w:highlight w:val="none"/>
        </w:rPr>
        <w:t xml:space="preserve"> 比选人：</w:t>
      </w:r>
      <w:r>
        <w:rPr>
          <w:rFonts w:hint="eastAsia" w:ascii="宋体" w:hAnsi="宋体"/>
          <w:color w:val="auto"/>
          <w:szCs w:val="21"/>
          <w:highlight w:val="none"/>
          <w:lang w:eastAsia="zh-CN"/>
        </w:rPr>
        <w:t>重庆市江南城市建设发展（集团）有限公司</w:t>
      </w:r>
      <w:r>
        <w:rPr>
          <w:rFonts w:hint="eastAsia" w:ascii="宋体" w:hAnsi="宋体"/>
          <w:color w:val="auto"/>
          <w:szCs w:val="21"/>
          <w:highlight w:val="none"/>
        </w:rPr>
        <w:t xml:space="preserve">      </w:t>
      </w:r>
    </w:p>
    <w:p w14:paraId="25A94B57">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地址：重庆市南岸区米兰路51号电子信息标准化厂房2号楼                        </w:t>
      </w:r>
    </w:p>
    <w:p w14:paraId="0C47D323">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联系人：赵老师                                           </w:t>
      </w:r>
    </w:p>
    <w:p w14:paraId="37878028">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电  话：023-62820331</w:t>
      </w:r>
    </w:p>
    <w:p w14:paraId="0DE56FC0">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lang w:eastAsia="zh-CN"/>
        </w:rPr>
      </w:pPr>
      <w:bookmarkStart w:id="24" w:name="_Toc6002"/>
    </w:p>
    <w:p w14:paraId="5B08A16D">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比选代理机构：</w:t>
      </w:r>
      <w:r>
        <w:rPr>
          <w:rFonts w:hint="eastAsia" w:ascii="宋体" w:hAnsi="宋体" w:cs="Times New Roman"/>
          <w:color w:val="auto"/>
          <w:szCs w:val="21"/>
          <w:highlight w:val="none"/>
          <w:lang w:eastAsia="zh-CN"/>
        </w:rPr>
        <w:t>重庆京琳工程咨询有限公司</w:t>
      </w:r>
    </w:p>
    <w:p w14:paraId="239A529A">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地址：重庆市</w:t>
      </w:r>
      <w:r>
        <w:rPr>
          <w:rFonts w:hint="eastAsia" w:ascii="宋体" w:hAnsi="宋体" w:eastAsia="宋体" w:cs="Times New Roman"/>
          <w:color w:val="auto"/>
          <w:szCs w:val="21"/>
          <w:highlight w:val="none"/>
          <w:lang w:val="en-US" w:eastAsia="zh-CN"/>
        </w:rPr>
        <w:t>两江新</w:t>
      </w:r>
      <w:r>
        <w:rPr>
          <w:rFonts w:hint="eastAsia" w:ascii="宋体" w:hAnsi="宋体" w:eastAsia="宋体" w:cs="Times New Roman"/>
          <w:color w:val="auto"/>
          <w:szCs w:val="21"/>
          <w:highlight w:val="none"/>
          <w:lang w:eastAsia="zh-CN"/>
        </w:rPr>
        <w:t>区泰山大道2号贝蒙盘古7栋406</w:t>
      </w:r>
    </w:p>
    <w:p w14:paraId="763D04C0">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联系人：</w:t>
      </w:r>
      <w:r>
        <w:rPr>
          <w:rFonts w:hint="eastAsia" w:ascii="宋体" w:hAnsi="宋体" w:cs="Times New Roman"/>
          <w:color w:val="auto"/>
          <w:szCs w:val="21"/>
          <w:highlight w:val="none"/>
          <w:lang w:val="en-US" w:eastAsia="zh-CN"/>
        </w:rPr>
        <w:t>张</w:t>
      </w:r>
      <w:r>
        <w:rPr>
          <w:rFonts w:hint="eastAsia" w:ascii="宋体" w:hAnsi="宋体" w:eastAsia="宋体" w:cs="Times New Roman"/>
          <w:color w:val="auto"/>
          <w:szCs w:val="21"/>
          <w:highlight w:val="none"/>
          <w:lang w:eastAsia="zh-CN"/>
        </w:rPr>
        <w:t xml:space="preserve">老师  </w:t>
      </w:r>
    </w:p>
    <w:p w14:paraId="1B047D1E">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cs="宋体"/>
          <w:snapToGrid w:val="0"/>
          <w:color w:val="auto"/>
          <w:kern w:val="0"/>
          <w:highlight w:val="none"/>
        </w:rPr>
      </w:pPr>
      <w:r>
        <w:rPr>
          <w:rFonts w:hint="eastAsia" w:ascii="宋体" w:hAnsi="宋体" w:eastAsia="宋体" w:cs="Times New Roman"/>
          <w:color w:val="auto"/>
          <w:szCs w:val="21"/>
          <w:highlight w:val="none"/>
          <w:lang w:eastAsia="zh-CN"/>
        </w:rPr>
        <w:t>电  话：</w:t>
      </w:r>
      <w:r>
        <w:rPr>
          <w:rFonts w:hint="eastAsia" w:ascii="宋体" w:hAnsi="宋体" w:cs="Times New Roman"/>
          <w:color w:val="auto"/>
          <w:szCs w:val="21"/>
          <w:highlight w:val="none"/>
          <w:lang w:val="en-US" w:eastAsia="zh-CN"/>
        </w:rPr>
        <w:t>13627642324</w:t>
      </w:r>
      <w:r>
        <w:rPr>
          <w:rFonts w:hint="eastAsia" w:ascii="宋体" w:hAnsi="宋体" w:cs="宋体"/>
          <w:snapToGrid w:val="0"/>
          <w:color w:val="auto"/>
          <w:kern w:val="0"/>
          <w:highlight w:val="none"/>
        </w:rPr>
        <w:br w:type="page"/>
      </w:r>
    </w:p>
    <w:p w14:paraId="6DD5723A">
      <w:pPr>
        <w:pStyle w:val="2"/>
        <w:spacing w:before="0" w:after="0" w:line="360" w:lineRule="auto"/>
        <w:jc w:val="center"/>
        <w:rPr>
          <w:rFonts w:ascii="宋体" w:hAnsi="宋体" w:cs="宋体"/>
          <w:bCs w:val="0"/>
          <w:snapToGrid w:val="0"/>
          <w:color w:val="auto"/>
          <w:kern w:val="0"/>
          <w:highlight w:val="none"/>
        </w:rPr>
      </w:pPr>
      <w:r>
        <w:rPr>
          <w:rFonts w:hint="eastAsia" w:ascii="宋体" w:hAnsi="宋体" w:cs="宋体"/>
          <w:snapToGrid w:val="0"/>
          <w:color w:val="auto"/>
          <w:kern w:val="0"/>
          <w:highlight w:val="none"/>
        </w:rPr>
        <w:t>第二章  竞选人须知</w:t>
      </w:r>
      <w:bookmarkEnd w:id="18"/>
      <w:bookmarkEnd w:id="19"/>
      <w:bookmarkEnd w:id="20"/>
      <w:bookmarkEnd w:id="21"/>
      <w:bookmarkEnd w:id="22"/>
      <w:bookmarkEnd w:id="23"/>
      <w:bookmarkEnd w:id="24"/>
      <w:bookmarkStart w:id="25" w:name="_Toc287620684"/>
      <w:bookmarkStart w:id="26" w:name="_Toc287607745"/>
      <w:bookmarkStart w:id="27" w:name="_Toc277082551"/>
      <w:bookmarkStart w:id="28" w:name="_Toc224103316"/>
      <w:bookmarkStart w:id="29" w:name="_Toc430530433"/>
    </w:p>
    <w:p w14:paraId="68F2346E">
      <w:pPr>
        <w:pStyle w:val="3"/>
        <w:spacing w:before="100" w:after="100" w:line="360" w:lineRule="auto"/>
        <w:rPr>
          <w:rFonts w:ascii="宋体" w:hAnsi="宋体" w:cs="宋体"/>
          <w:color w:val="auto"/>
          <w:highlight w:val="none"/>
        </w:rPr>
      </w:pPr>
      <w:bookmarkStart w:id="30" w:name="_Toc4746"/>
      <w:bookmarkStart w:id="31" w:name="_Toc509218708"/>
      <w:bookmarkStart w:id="32" w:name="_Toc15182"/>
      <w:bookmarkStart w:id="33" w:name="_Toc9850"/>
      <w:r>
        <w:rPr>
          <w:rFonts w:hint="eastAsia" w:ascii="宋体" w:hAnsi="宋体" w:cs="宋体"/>
          <w:color w:val="auto"/>
          <w:highlight w:val="none"/>
        </w:rPr>
        <w:t>竞选人须知前附表</w:t>
      </w:r>
      <w:bookmarkEnd w:id="25"/>
      <w:bookmarkEnd w:id="26"/>
      <w:bookmarkEnd w:id="27"/>
      <w:bookmarkEnd w:id="28"/>
      <w:bookmarkEnd w:id="29"/>
      <w:bookmarkEnd w:id="30"/>
      <w:bookmarkEnd w:id="31"/>
      <w:bookmarkEnd w:id="32"/>
      <w:bookmarkEnd w:id="33"/>
    </w:p>
    <w:p w14:paraId="54EA7701">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若竞选人须知前附表与正文不一致的地方，以竞选人须知前附表为准。</w:t>
      </w:r>
    </w:p>
    <w:tbl>
      <w:tblPr>
        <w:tblStyle w:val="21"/>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2C34B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9F05DC9">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964" w:type="dxa"/>
            <w:vAlign w:val="center"/>
          </w:tcPr>
          <w:p w14:paraId="4A4B0447">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372" w:type="dxa"/>
            <w:vAlign w:val="center"/>
          </w:tcPr>
          <w:p w14:paraId="6B678AC7">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21D3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5C82D7B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964" w:type="dxa"/>
            <w:vAlign w:val="center"/>
          </w:tcPr>
          <w:p w14:paraId="5681095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372" w:type="dxa"/>
          </w:tcPr>
          <w:p w14:paraId="51CA4EEC">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名称：</w:t>
            </w:r>
            <w:r>
              <w:rPr>
                <w:rFonts w:hint="eastAsia" w:ascii="宋体" w:hAnsi="宋体"/>
                <w:snapToGrid w:val="0"/>
                <w:color w:val="auto"/>
                <w:kern w:val="0"/>
                <w:szCs w:val="21"/>
                <w:highlight w:val="none"/>
                <w:lang w:eastAsia="zh-CN"/>
              </w:rPr>
              <w:t>重庆市江南城市建设发展（集团）有限公司</w:t>
            </w:r>
          </w:p>
          <w:p w14:paraId="373BCC7D">
            <w:pPr>
              <w:snapToGrid w:val="0"/>
              <w:spacing w:line="400" w:lineRule="exact"/>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snapToGrid w:val="0"/>
                <w:color w:val="auto"/>
                <w:kern w:val="0"/>
                <w:szCs w:val="21"/>
                <w:highlight w:val="none"/>
              </w:rPr>
              <w:t>重庆市南岸区米兰路51号电子信息标准化厂房2号楼</w:t>
            </w:r>
          </w:p>
          <w:p w14:paraId="30322D1C">
            <w:pPr>
              <w:snapToGrid w:val="0"/>
              <w:spacing w:line="400" w:lineRule="exact"/>
              <w:rPr>
                <w:rFonts w:hint="eastAsia"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rPr>
              <w:t>赵老师</w:t>
            </w:r>
          </w:p>
          <w:p w14:paraId="544745E6">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ascii="宋体" w:hAnsi="宋体"/>
                <w:snapToGrid w:val="0"/>
                <w:color w:val="auto"/>
                <w:kern w:val="0"/>
                <w:szCs w:val="21"/>
                <w:highlight w:val="none"/>
              </w:rPr>
              <w:t>023-62820331</w:t>
            </w:r>
          </w:p>
        </w:tc>
      </w:tr>
      <w:tr w14:paraId="76358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05A872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964" w:type="dxa"/>
            <w:vAlign w:val="center"/>
          </w:tcPr>
          <w:p w14:paraId="5D9AE1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372" w:type="dxa"/>
          </w:tcPr>
          <w:p w14:paraId="6E2E7DB0">
            <w:pPr>
              <w:tabs>
                <w:tab w:val="left" w:pos="5140"/>
                <w:tab w:val="left" w:pos="8520"/>
              </w:tabs>
              <w:autoSpaceDE w:val="0"/>
              <w:autoSpaceDN w:val="0"/>
              <w:adjustRightInd w:val="0"/>
              <w:snapToGrid w:val="0"/>
              <w:spacing w:line="42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比选代理机构：</w:t>
            </w:r>
            <w:r>
              <w:rPr>
                <w:rFonts w:hint="eastAsia" w:ascii="宋体" w:hAnsi="宋体" w:cs="Times New Roman"/>
                <w:color w:val="auto"/>
                <w:szCs w:val="21"/>
                <w:highlight w:val="none"/>
                <w:lang w:eastAsia="zh-CN"/>
              </w:rPr>
              <w:t>重庆京琳工程咨询有限公司</w:t>
            </w:r>
          </w:p>
          <w:p w14:paraId="387CD928">
            <w:pPr>
              <w:tabs>
                <w:tab w:val="left" w:pos="5140"/>
                <w:tab w:val="left" w:pos="8520"/>
              </w:tabs>
              <w:autoSpaceDE w:val="0"/>
              <w:autoSpaceDN w:val="0"/>
              <w:adjustRightInd w:val="0"/>
              <w:snapToGrid w:val="0"/>
              <w:spacing w:line="42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地址：重庆市</w:t>
            </w:r>
            <w:r>
              <w:rPr>
                <w:rFonts w:hint="eastAsia" w:ascii="宋体" w:hAnsi="宋体" w:eastAsia="宋体" w:cs="Times New Roman"/>
                <w:color w:val="auto"/>
                <w:szCs w:val="21"/>
                <w:highlight w:val="none"/>
                <w:lang w:val="en-US" w:eastAsia="zh-CN"/>
              </w:rPr>
              <w:t>两江新</w:t>
            </w:r>
            <w:r>
              <w:rPr>
                <w:rFonts w:hint="eastAsia" w:ascii="宋体" w:hAnsi="宋体" w:eastAsia="宋体" w:cs="Times New Roman"/>
                <w:color w:val="auto"/>
                <w:szCs w:val="21"/>
                <w:highlight w:val="none"/>
                <w:lang w:eastAsia="zh-CN"/>
              </w:rPr>
              <w:t>区泰山大道2号贝蒙盘古7栋406</w:t>
            </w:r>
          </w:p>
          <w:p w14:paraId="78A5709F">
            <w:pPr>
              <w:tabs>
                <w:tab w:val="left" w:pos="5140"/>
                <w:tab w:val="left" w:pos="8520"/>
              </w:tabs>
              <w:autoSpaceDE w:val="0"/>
              <w:autoSpaceDN w:val="0"/>
              <w:adjustRightInd w:val="0"/>
              <w:snapToGrid w:val="0"/>
              <w:spacing w:line="42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联系人：</w:t>
            </w:r>
            <w:r>
              <w:rPr>
                <w:rFonts w:hint="eastAsia" w:ascii="宋体" w:hAnsi="宋体" w:cs="Times New Roman"/>
                <w:color w:val="auto"/>
                <w:szCs w:val="21"/>
                <w:highlight w:val="none"/>
                <w:lang w:val="en-US" w:eastAsia="zh-CN"/>
              </w:rPr>
              <w:t>张</w:t>
            </w:r>
            <w:r>
              <w:rPr>
                <w:rFonts w:hint="eastAsia" w:ascii="宋体" w:hAnsi="宋体" w:eastAsia="宋体" w:cs="Times New Roman"/>
                <w:color w:val="auto"/>
                <w:szCs w:val="21"/>
                <w:highlight w:val="none"/>
                <w:lang w:eastAsia="zh-CN"/>
              </w:rPr>
              <w:t xml:space="preserve">老师  </w:t>
            </w:r>
          </w:p>
          <w:p w14:paraId="076F43C3">
            <w:pPr>
              <w:autoSpaceDE w:val="0"/>
              <w:autoSpaceDN w:val="0"/>
              <w:adjustRightInd w:val="0"/>
              <w:snapToGrid w:val="0"/>
              <w:spacing w:line="440" w:lineRule="exact"/>
              <w:rPr>
                <w:rFonts w:hint="default" w:ascii="宋体" w:hAnsi="宋体"/>
                <w:color w:val="auto"/>
                <w:kern w:val="0"/>
                <w:szCs w:val="21"/>
                <w:highlight w:val="none"/>
                <w:lang w:val="en-US"/>
              </w:rPr>
            </w:pPr>
            <w:r>
              <w:rPr>
                <w:rFonts w:hint="eastAsia" w:ascii="宋体" w:hAnsi="宋体" w:eastAsia="宋体" w:cs="Times New Roman"/>
                <w:color w:val="auto"/>
                <w:szCs w:val="21"/>
                <w:highlight w:val="none"/>
                <w:lang w:eastAsia="zh-CN"/>
              </w:rPr>
              <w:t>电 话：</w:t>
            </w:r>
            <w:r>
              <w:rPr>
                <w:rFonts w:hint="eastAsia" w:ascii="宋体" w:hAnsi="宋体" w:cs="Times New Roman"/>
                <w:color w:val="auto"/>
                <w:szCs w:val="21"/>
                <w:highlight w:val="none"/>
                <w:lang w:val="en-US" w:eastAsia="zh-CN"/>
              </w:rPr>
              <w:t>13627642324</w:t>
            </w:r>
          </w:p>
        </w:tc>
      </w:tr>
      <w:tr w14:paraId="09131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4D1A6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964" w:type="dxa"/>
            <w:vAlign w:val="center"/>
          </w:tcPr>
          <w:p w14:paraId="75D67CE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372" w:type="dxa"/>
          </w:tcPr>
          <w:p w14:paraId="47BCD20B">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lang w:eastAsia="zh-CN"/>
              </w:rPr>
              <w:t>重庆市第一一0中学校五公里校区改扩建项目监理</w:t>
            </w:r>
            <w:r>
              <w:rPr>
                <w:rFonts w:hint="eastAsia" w:ascii="宋体" w:hAnsi="宋体"/>
                <w:color w:val="auto"/>
                <w:kern w:val="0"/>
                <w:szCs w:val="21"/>
                <w:highlight w:val="none"/>
              </w:rPr>
              <w:t xml:space="preserve">                </w:t>
            </w:r>
          </w:p>
        </w:tc>
      </w:tr>
      <w:tr w14:paraId="504A3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646068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964" w:type="dxa"/>
            <w:vAlign w:val="center"/>
          </w:tcPr>
          <w:p w14:paraId="6929F75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372" w:type="dxa"/>
          </w:tcPr>
          <w:p w14:paraId="5ED3E07D">
            <w:pPr>
              <w:widowControl/>
              <w:shd w:val="clear" w:color="auto" w:fill="FFFFFF"/>
              <w:spacing w:line="420" w:lineRule="exact"/>
              <w:jc w:val="left"/>
              <w:rPr>
                <w:color w:val="auto"/>
                <w:highlight w:val="none"/>
              </w:rPr>
            </w:pPr>
            <w:r>
              <w:rPr>
                <w:rFonts w:hint="eastAsia" w:asciiTheme="minorEastAsia" w:hAnsiTheme="minorEastAsia" w:eastAsiaTheme="minorEastAsia"/>
                <w:color w:val="auto"/>
                <w:szCs w:val="21"/>
                <w:highlight w:val="none"/>
                <w:u w:val="none"/>
                <w:lang w:eastAsia="zh-CN"/>
              </w:rPr>
              <w:t>重庆市第一一0中学校教育用地控规范围内</w:t>
            </w:r>
            <w:r>
              <w:rPr>
                <w:rFonts w:hint="eastAsia" w:ascii="宋体" w:hAnsi="宋体"/>
                <w:snapToGrid w:val="0"/>
                <w:color w:val="auto"/>
                <w:kern w:val="0"/>
                <w:szCs w:val="21"/>
                <w:highlight w:val="none"/>
                <w:u w:val="none"/>
              </w:rPr>
              <w:t>。</w:t>
            </w:r>
          </w:p>
        </w:tc>
      </w:tr>
      <w:tr w14:paraId="58986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F8E3D9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964" w:type="dxa"/>
            <w:vAlign w:val="center"/>
          </w:tcPr>
          <w:p w14:paraId="05CCA6ED">
            <w:pPr>
              <w:snapToGrid w:val="0"/>
              <w:spacing w:line="400" w:lineRule="exact"/>
              <w:jc w:val="center"/>
              <w:rPr>
                <w:rFonts w:ascii="宋体" w:hAnsi="宋体" w:cs="宋体"/>
                <w:color w:val="auto"/>
                <w:kern w:val="0"/>
                <w:szCs w:val="21"/>
                <w:highlight w:val="none"/>
              </w:rPr>
            </w:pPr>
            <w:r>
              <w:rPr>
                <w:rFonts w:hint="eastAsia" w:ascii="宋体" w:hAnsi="宋体"/>
                <w:snapToGrid w:val="0"/>
                <w:color w:val="auto"/>
                <w:kern w:val="0"/>
                <w:szCs w:val="21"/>
                <w:highlight w:val="none"/>
              </w:rPr>
              <w:t>项目概况与建设规模</w:t>
            </w:r>
          </w:p>
        </w:tc>
        <w:tc>
          <w:tcPr>
            <w:tcW w:w="6372" w:type="dxa"/>
            <w:vAlign w:val="center"/>
          </w:tcPr>
          <w:p w14:paraId="19A81EF9">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Theme="minorEastAsia" w:hAnsiTheme="minorEastAsia" w:eastAsiaTheme="minorEastAsia"/>
                <w:color w:val="auto"/>
                <w:szCs w:val="21"/>
                <w:highlight w:val="none"/>
                <w:u w:val="none"/>
                <w:lang w:eastAsia="zh-CN"/>
              </w:rPr>
              <w:t>项目主要为拆除、新建和改建。拆除面积为11513.49平方米(其中房屋拆除面积4513.49平方米)，包括拆除善学楼、男女生宿舍、食堂、公厕、男生浴室现状运动场及周边硬化地块、生化池(日处理量140立方米/天)一座;新建地上建筑面积为6167.94平方米，包括新建教学楼食堂，新建地下建筑面积为1806.90平方米，包括新建车库及设备用房、生化池;改建面积为8549.13平方米，包括改建广场、运动场。建设内容主要包括拆除工程、主体工程(土建工程、安装工程、装饰工程)、岩土工程、室外附属工程等</w:t>
            </w:r>
            <w:r>
              <w:rPr>
                <w:rFonts w:hint="eastAsia" w:asciiTheme="minorEastAsia" w:hAnsiTheme="minorEastAsia" w:eastAsiaTheme="minorEastAsia"/>
                <w:color w:val="auto"/>
                <w:szCs w:val="21"/>
                <w:highlight w:val="none"/>
                <w:u w:val="none"/>
              </w:rPr>
              <w:t>。</w:t>
            </w:r>
          </w:p>
        </w:tc>
      </w:tr>
      <w:tr w14:paraId="21F79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33" w:type="dxa"/>
            <w:vAlign w:val="center"/>
          </w:tcPr>
          <w:p w14:paraId="6788D75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964" w:type="dxa"/>
            <w:vAlign w:val="center"/>
          </w:tcPr>
          <w:p w14:paraId="3C747C1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372" w:type="dxa"/>
            <w:vAlign w:val="center"/>
          </w:tcPr>
          <w:p w14:paraId="2835809D">
            <w:pPr>
              <w:snapToGrid w:val="0"/>
              <w:spacing w:line="400" w:lineRule="exact"/>
              <w:rPr>
                <w:rFonts w:ascii="宋体" w:hAnsi="宋体" w:cs="宋体"/>
                <w:color w:val="auto"/>
                <w:szCs w:val="21"/>
                <w:highlight w:val="none"/>
                <w:u w:val="none"/>
              </w:rPr>
            </w:pPr>
            <w:r>
              <w:rPr>
                <w:rFonts w:hint="eastAsia" w:ascii="宋体" w:hAnsi="宋体" w:eastAsia="宋体" w:cs="宋体"/>
                <w:color w:val="auto"/>
                <w:highlight w:val="none"/>
              </w:rPr>
              <w:t>义务教育薄弱环节改善与能力提升中央及市级资金</w:t>
            </w:r>
          </w:p>
        </w:tc>
      </w:tr>
      <w:tr w14:paraId="7B904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7A5EEF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964" w:type="dxa"/>
            <w:vAlign w:val="center"/>
          </w:tcPr>
          <w:p w14:paraId="4F36EDA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372" w:type="dxa"/>
            <w:vAlign w:val="center"/>
          </w:tcPr>
          <w:p w14:paraId="7996E9CD">
            <w:pPr>
              <w:snapToGrid w:val="0"/>
              <w:spacing w:line="400" w:lineRule="exact"/>
              <w:jc w:val="left"/>
              <w:rPr>
                <w:rFonts w:ascii="宋体" w:hAnsi="宋体" w:cs="宋体"/>
                <w:color w:val="auto"/>
                <w:szCs w:val="21"/>
                <w:highlight w:val="none"/>
                <w:u w:val="none"/>
              </w:rPr>
            </w:pPr>
            <w:r>
              <w:rPr>
                <w:rFonts w:hint="eastAsia" w:ascii="宋体" w:hAnsi="宋体" w:cs="宋体"/>
                <w:color w:val="auto"/>
                <w:szCs w:val="21"/>
                <w:highlight w:val="none"/>
                <w:u w:val="none"/>
              </w:rPr>
              <w:t>100%</w:t>
            </w:r>
          </w:p>
        </w:tc>
      </w:tr>
      <w:tr w14:paraId="0A308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D759C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964" w:type="dxa"/>
            <w:vAlign w:val="center"/>
          </w:tcPr>
          <w:p w14:paraId="142E63F0">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372" w:type="dxa"/>
            <w:vAlign w:val="center"/>
          </w:tcPr>
          <w:p w14:paraId="2CD5E671">
            <w:pPr>
              <w:snapToGrid w:val="0"/>
              <w:spacing w:line="400" w:lineRule="exact"/>
              <w:jc w:val="left"/>
              <w:rPr>
                <w:rFonts w:ascii="宋体" w:hAnsi="宋体" w:cs="宋体"/>
                <w:color w:val="auto"/>
                <w:szCs w:val="21"/>
                <w:highlight w:val="none"/>
                <w:u w:val="none"/>
              </w:rPr>
            </w:pPr>
            <w:r>
              <w:rPr>
                <w:rFonts w:hint="eastAsia" w:ascii="宋体" w:hAnsi="宋体" w:cs="宋体"/>
                <w:color w:val="auto"/>
                <w:szCs w:val="21"/>
                <w:highlight w:val="none"/>
                <w:u w:val="none"/>
              </w:rPr>
              <w:t>已落实</w:t>
            </w:r>
          </w:p>
        </w:tc>
      </w:tr>
      <w:tr w14:paraId="7705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DC4CFC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964" w:type="dxa"/>
            <w:vAlign w:val="center"/>
          </w:tcPr>
          <w:p w14:paraId="566DBE4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372" w:type="dxa"/>
            <w:vAlign w:val="center"/>
          </w:tcPr>
          <w:p w14:paraId="6AD04743">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包含施工、缺陷责任期内表现出的任何缺陷修复的监理服务。具体如下：</w:t>
            </w:r>
          </w:p>
          <w:p w14:paraId="70961580">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施工阶段：含施工图设计及清单范围内全部工程施工及竣工验收的监理服务，包括施工准备阶段，施工过程中的质量，进度，费用控制，安全、文明施工监理，合同、信息方面的协助管理等。</w:t>
            </w:r>
          </w:p>
          <w:p w14:paraId="2E136F7B">
            <w:pPr>
              <w:tabs>
                <w:tab w:val="left" w:pos="3840"/>
                <w:tab w:val="left" w:pos="5300"/>
              </w:tabs>
              <w:autoSpaceDE w:val="0"/>
              <w:autoSpaceDN w:val="0"/>
              <w:adjustRightInd w:val="0"/>
              <w:snapToGrid w:val="0"/>
              <w:spacing w:line="360" w:lineRule="auto"/>
              <w:ind w:firstLine="420" w:firstLineChars="200"/>
              <w:jc w:val="left"/>
              <w:rPr>
                <w:rFonts w:ascii="宋体" w:hAnsi="宋体"/>
                <w:i/>
                <w:snapToGrid w:val="0"/>
                <w:color w:val="auto"/>
                <w:kern w:val="0"/>
                <w:szCs w:val="21"/>
                <w:highlight w:val="none"/>
                <w:u w:val="none"/>
              </w:rPr>
            </w:pPr>
            <w:r>
              <w:rPr>
                <w:rFonts w:hint="eastAsia" w:ascii="宋体" w:hAnsi="宋体" w:cs="宋体"/>
                <w:color w:val="auto"/>
                <w:szCs w:val="21"/>
                <w:highlight w:val="none"/>
                <w:u w:val="none"/>
              </w:rPr>
              <w:t>缺陷责任期阶段：检查和记录工程质量缺陷，对缺陷原因进行调查分析并确定责任归属，审核修复方案，监督修复过程并验收，审核修复费用等保修阶段的监理服务。</w:t>
            </w:r>
          </w:p>
        </w:tc>
      </w:tr>
      <w:tr w14:paraId="611C4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940BEF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964" w:type="dxa"/>
            <w:vAlign w:val="center"/>
          </w:tcPr>
          <w:p w14:paraId="2C1585F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监理服务期</w:t>
            </w:r>
          </w:p>
        </w:tc>
        <w:tc>
          <w:tcPr>
            <w:tcW w:w="6372" w:type="dxa"/>
            <w:vAlign w:val="center"/>
          </w:tcPr>
          <w:p w14:paraId="1B4736C4">
            <w:pPr>
              <w:tabs>
                <w:tab w:val="left" w:pos="3840"/>
                <w:tab w:val="left" w:pos="5300"/>
              </w:tabs>
              <w:autoSpaceDE w:val="0"/>
              <w:autoSpaceDN w:val="0"/>
              <w:adjustRightInd w:val="0"/>
              <w:snapToGrid w:val="0"/>
              <w:spacing w:line="360" w:lineRule="auto"/>
              <w:ind w:firstLine="420" w:firstLineChars="200"/>
              <w:jc w:val="left"/>
              <w:rPr>
                <w:rFonts w:hint="eastAsia" w:asciiTheme="minorEastAsia" w:hAnsiTheme="minorEastAsia" w:eastAsiaTheme="minorEastAsia"/>
                <w:color w:val="auto"/>
                <w:szCs w:val="21"/>
                <w:highlight w:val="none"/>
                <w:u w:val="none"/>
              </w:rPr>
            </w:pPr>
            <w:r>
              <w:rPr>
                <w:rFonts w:hint="eastAsia" w:asciiTheme="minorEastAsia" w:hAnsiTheme="minorEastAsia" w:eastAsiaTheme="minorEastAsia"/>
                <w:color w:val="auto"/>
                <w:szCs w:val="21"/>
                <w:highlight w:val="none"/>
                <w:u w:val="none"/>
              </w:rPr>
              <w:t>从监理合同签订之日起至</w:t>
            </w:r>
            <w:r>
              <w:rPr>
                <w:rFonts w:hint="eastAsia" w:asciiTheme="minorEastAsia" w:hAnsiTheme="minorEastAsia" w:eastAsiaTheme="minorEastAsia"/>
                <w:color w:val="auto"/>
                <w:szCs w:val="21"/>
                <w:highlight w:val="none"/>
                <w:u w:val="none"/>
                <w:lang w:val="en-US" w:eastAsia="zh-CN"/>
              </w:rPr>
              <w:t>缺</w:t>
            </w:r>
            <w:r>
              <w:rPr>
                <w:rFonts w:hint="eastAsia" w:asciiTheme="minorEastAsia" w:hAnsiTheme="minorEastAsia" w:eastAsiaTheme="minorEastAsia"/>
                <w:color w:val="auto"/>
                <w:szCs w:val="21"/>
                <w:highlight w:val="none"/>
                <w:u w:val="none"/>
              </w:rPr>
              <w:t>陷责任期满止，其中</w:t>
            </w:r>
            <w:r>
              <w:rPr>
                <w:rFonts w:hint="eastAsia" w:asciiTheme="minorEastAsia" w:hAnsiTheme="minorEastAsia" w:eastAsiaTheme="minorEastAsia"/>
                <w:color w:val="auto"/>
                <w:szCs w:val="21"/>
                <w:highlight w:val="none"/>
                <w:u w:val="none"/>
                <w:lang w:eastAsia="zh-CN"/>
              </w:rPr>
              <w:t>：</w:t>
            </w:r>
            <w:r>
              <w:rPr>
                <w:rFonts w:hint="eastAsia" w:asciiTheme="minorEastAsia" w:hAnsiTheme="minorEastAsia" w:eastAsiaTheme="minorEastAsia"/>
                <w:color w:val="auto"/>
                <w:szCs w:val="21"/>
                <w:highlight w:val="none"/>
                <w:u w:val="none"/>
              </w:rPr>
              <w:t>计划施工工期:暂定施工阶段服务期</w:t>
            </w:r>
            <w:r>
              <w:rPr>
                <w:rFonts w:hint="eastAsia" w:asciiTheme="minorEastAsia" w:hAnsiTheme="minorEastAsia" w:eastAsiaTheme="minorEastAsia"/>
                <w:color w:val="auto"/>
                <w:szCs w:val="21"/>
                <w:highlight w:val="none"/>
                <w:u w:val="none"/>
                <w:lang w:val="en-US" w:eastAsia="zh-CN"/>
              </w:rPr>
              <w:t>300</w:t>
            </w:r>
            <w:r>
              <w:rPr>
                <w:rFonts w:hint="eastAsia" w:asciiTheme="minorEastAsia" w:hAnsiTheme="minorEastAsia" w:eastAsiaTheme="minorEastAsia"/>
                <w:color w:val="auto"/>
                <w:szCs w:val="21"/>
                <w:highlight w:val="none"/>
                <w:u w:val="none"/>
              </w:rPr>
              <w:t>日历天，缺陷责任期</w:t>
            </w:r>
            <w:r>
              <w:rPr>
                <w:rFonts w:hint="eastAsia" w:asciiTheme="minorEastAsia" w:hAnsiTheme="minorEastAsia" w:eastAsiaTheme="minorEastAsia"/>
                <w:color w:val="auto"/>
                <w:szCs w:val="21"/>
                <w:highlight w:val="none"/>
                <w:u w:val="none"/>
                <w:lang w:eastAsia="zh-CN"/>
              </w:rPr>
              <w:t>：</w:t>
            </w:r>
            <w:r>
              <w:rPr>
                <w:rFonts w:hint="eastAsia" w:asciiTheme="minorEastAsia" w:hAnsiTheme="minorEastAsia" w:eastAsiaTheme="minorEastAsia"/>
                <w:color w:val="auto"/>
                <w:szCs w:val="21"/>
                <w:highlight w:val="none"/>
                <w:u w:val="none"/>
              </w:rPr>
              <w:t>24个月</w:t>
            </w:r>
            <w:r>
              <w:rPr>
                <w:rFonts w:hint="eastAsia" w:asciiTheme="minorEastAsia" w:hAnsiTheme="minorEastAsia" w:eastAsiaTheme="minorEastAsia"/>
                <w:color w:val="auto"/>
                <w:szCs w:val="21"/>
                <w:highlight w:val="none"/>
                <w:u w:val="none"/>
                <w:lang w:eastAsia="zh-CN"/>
              </w:rPr>
              <w:t>，</w:t>
            </w:r>
            <w:r>
              <w:rPr>
                <w:rFonts w:hint="eastAsia" w:asciiTheme="minorEastAsia" w:hAnsiTheme="minorEastAsia" w:eastAsiaTheme="minorEastAsia"/>
                <w:color w:val="auto"/>
                <w:szCs w:val="21"/>
                <w:highlight w:val="none"/>
                <w:u w:val="none"/>
              </w:rPr>
              <w:t>具体以</w:t>
            </w:r>
            <w:r>
              <w:rPr>
                <w:rFonts w:hint="eastAsia" w:asciiTheme="minorEastAsia" w:hAnsiTheme="minorEastAsia" w:eastAsiaTheme="minorEastAsia"/>
                <w:color w:val="auto"/>
                <w:szCs w:val="21"/>
                <w:highlight w:val="none"/>
                <w:u w:val="none"/>
                <w:lang w:eastAsia="zh-CN"/>
              </w:rPr>
              <w:t>比选人</w:t>
            </w:r>
            <w:r>
              <w:rPr>
                <w:rFonts w:hint="eastAsia" w:asciiTheme="minorEastAsia" w:hAnsiTheme="minorEastAsia" w:eastAsiaTheme="minorEastAsia"/>
                <w:color w:val="auto"/>
                <w:szCs w:val="21"/>
                <w:highlight w:val="none"/>
                <w:u w:val="none"/>
              </w:rPr>
              <w:t>的</w:t>
            </w:r>
            <w:r>
              <w:rPr>
                <w:rFonts w:hint="eastAsia" w:asciiTheme="minorEastAsia" w:hAnsiTheme="minorEastAsia" w:eastAsiaTheme="minorEastAsia"/>
                <w:color w:val="auto"/>
                <w:szCs w:val="21"/>
                <w:highlight w:val="none"/>
                <w:u w:val="none"/>
                <w:lang w:val="en-US" w:eastAsia="zh-CN"/>
              </w:rPr>
              <w:t>书</w:t>
            </w:r>
            <w:r>
              <w:rPr>
                <w:rFonts w:hint="eastAsia" w:asciiTheme="minorEastAsia" w:hAnsiTheme="minorEastAsia" w:eastAsiaTheme="minorEastAsia"/>
                <w:color w:val="auto"/>
                <w:szCs w:val="21"/>
                <w:highlight w:val="none"/>
                <w:u w:val="none"/>
              </w:rPr>
              <w:t>面进场</w:t>
            </w:r>
            <w:r>
              <w:rPr>
                <w:rFonts w:hint="eastAsia" w:asciiTheme="minorEastAsia" w:hAnsiTheme="minorEastAsia" w:eastAsiaTheme="minorEastAsia"/>
                <w:color w:val="auto"/>
                <w:szCs w:val="21"/>
                <w:highlight w:val="none"/>
                <w:u w:val="none"/>
                <w:lang w:val="en-US" w:eastAsia="zh-CN"/>
              </w:rPr>
              <w:t>通知</w:t>
            </w:r>
            <w:r>
              <w:rPr>
                <w:rFonts w:hint="eastAsia" w:asciiTheme="minorEastAsia" w:hAnsiTheme="minorEastAsia" w:eastAsiaTheme="minorEastAsia"/>
                <w:color w:val="auto"/>
                <w:szCs w:val="21"/>
                <w:highlight w:val="none"/>
                <w:u w:val="none"/>
              </w:rPr>
              <w:t>为监理服务期的起始时间，以项目竣工验收合格且监理资料交接完成并协助建设单位取得工程</w:t>
            </w:r>
            <w:r>
              <w:rPr>
                <w:rFonts w:hint="eastAsia" w:asciiTheme="minorEastAsia" w:hAnsiTheme="minorEastAsia" w:eastAsiaTheme="minorEastAsia"/>
                <w:color w:val="auto"/>
                <w:szCs w:val="21"/>
                <w:highlight w:val="none"/>
                <w:u w:val="none"/>
                <w:lang w:val="en-US" w:eastAsia="zh-CN"/>
              </w:rPr>
              <w:t>备案</w:t>
            </w:r>
            <w:r>
              <w:rPr>
                <w:rFonts w:hint="eastAsia" w:asciiTheme="minorEastAsia" w:hAnsiTheme="minorEastAsia" w:eastAsiaTheme="minorEastAsia"/>
                <w:color w:val="auto"/>
                <w:szCs w:val="21"/>
                <w:highlight w:val="none"/>
                <w:u w:val="none"/>
              </w:rPr>
              <w:t>验收证书且缺陷责任期满为监理服务期的完成时间。</w:t>
            </w:r>
          </w:p>
          <w:p w14:paraId="1B7E6C14">
            <w:pPr>
              <w:tabs>
                <w:tab w:val="left" w:pos="3840"/>
                <w:tab w:val="left" w:pos="5300"/>
              </w:tabs>
              <w:autoSpaceDE w:val="0"/>
              <w:autoSpaceDN w:val="0"/>
              <w:adjustRightInd w:val="0"/>
              <w:snapToGrid w:val="0"/>
              <w:spacing w:line="360" w:lineRule="auto"/>
              <w:ind w:firstLine="422" w:firstLineChars="200"/>
              <w:jc w:val="left"/>
              <w:rPr>
                <w:rFonts w:hint="eastAsia" w:cs="Times New Roman" w:asciiTheme="minorEastAsia" w:hAnsiTheme="minorEastAsia" w:eastAsiaTheme="minorEastAsia"/>
                <w:b/>
                <w:bCs/>
                <w:color w:val="auto"/>
                <w:szCs w:val="21"/>
                <w:highlight w:val="none"/>
                <w:u w:val="none"/>
              </w:rPr>
            </w:pPr>
            <w:r>
              <w:rPr>
                <w:rFonts w:hint="eastAsia" w:cs="Times New Roman" w:asciiTheme="minorEastAsia" w:hAnsiTheme="minorEastAsia" w:eastAsiaTheme="minorEastAsia"/>
                <w:b/>
                <w:bCs/>
                <w:color w:val="auto"/>
                <w:szCs w:val="21"/>
                <w:highlight w:val="none"/>
                <w:u w:val="none"/>
              </w:rPr>
              <w:t>注：①如实际完工时间与计划完工时间有差异，将以实际完工时间为准。</w:t>
            </w:r>
          </w:p>
          <w:p w14:paraId="2DE788BF">
            <w:pPr>
              <w:tabs>
                <w:tab w:val="left" w:pos="3840"/>
                <w:tab w:val="left" w:pos="5300"/>
              </w:tabs>
              <w:autoSpaceDE w:val="0"/>
              <w:autoSpaceDN w:val="0"/>
              <w:adjustRightInd w:val="0"/>
              <w:snapToGrid w:val="0"/>
              <w:spacing w:line="360" w:lineRule="auto"/>
              <w:ind w:firstLine="422" w:firstLineChars="200"/>
              <w:jc w:val="left"/>
              <w:rPr>
                <w:rFonts w:ascii="宋体" w:hAnsi="宋体"/>
                <w:i/>
                <w:snapToGrid w:val="0"/>
                <w:color w:val="auto"/>
                <w:kern w:val="0"/>
                <w:szCs w:val="21"/>
                <w:highlight w:val="none"/>
              </w:rPr>
            </w:pPr>
            <w:r>
              <w:rPr>
                <w:rFonts w:hint="eastAsia" w:cs="Times New Roman" w:asciiTheme="minorEastAsia" w:hAnsiTheme="minorEastAsia" w:eastAsiaTheme="minorEastAsia"/>
                <w:b/>
                <w:bCs/>
                <w:color w:val="auto"/>
                <w:szCs w:val="21"/>
                <w:highlight w:val="none"/>
                <w:u w:val="none"/>
              </w:rPr>
              <w:t>②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tc>
      </w:tr>
      <w:tr w14:paraId="325B6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33" w:type="dxa"/>
            <w:vAlign w:val="center"/>
          </w:tcPr>
          <w:p w14:paraId="1E296A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964" w:type="dxa"/>
            <w:vAlign w:val="center"/>
          </w:tcPr>
          <w:p w14:paraId="4FB8AB73">
            <w:pPr>
              <w:pStyle w:val="40"/>
              <w:spacing w:line="400" w:lineRule="exact"/>
              <w:jc w:val="center"/>
              <w:rPr>
                <w:rFonts w:ascii="宋体" w:hAnsi="宋体"/>
                <w:color w:val="auto"/>
                <w:szCs w:val="21"/>
                <w:highlight w:val="none"/>
              </w:rPr>
            </w:pPr>
            <w:r>
              <w:rPr>
                <w:rFonts w:hint="eastAsia"/>
                <w:color w:val="auto"/>
                <w:szCs w:val="21"/>
                <w:highlight w:val="none"/>
              </w:rPr>
              <w:t>质量标准</w:t>
            </w:r>
          </w:p>
        </w:tc>
        <w:tc>
          <w:tcPr>
            <w:tcW w:w="6372" w:type="dxa"/>
            <w:vAlign w:val="center"/>
          </w:tcPr>
          <w:p w14:paraId="03603ED4">
            <w:pPr>
              <w:pStyle w:val="40"/>
              <w:spacing w:line="400" w:lineRule="exact"/>
              <w:ind w:firstLine="420" w:firstLineChars="200"/>
              <w:rPr>
                <w:rFonts w:ascii="宋体" w:hAnsi="宋体"/>
                <w:color w:val="auto"/>
                <w:szCs w:val="21"/>
                <w:highlight w:val="none"/>
              </w:rPr>
            </w:pPr>
            <w:r>
              <w:rPr>
                <w:rFonts w:hint="eastAsia" w:asciiTheme="minorEastAsia" w:hAnsiTheme="minorEastAsia" w:eastAsiaTheme="minorEastAsia"/>
                <w:color w:val="auto"/>
                <w:szCs w:val="21"/>
                <w:highlight w:val="none"/>
                <w:u w:val="single"/>
              </w:rPr>
              <w:t>服务质量达到《建设工程监理规范》（GB/T50319—2013）等国家现行有关法规要求</w:t>
            </w:r>
            <w:r>
              <w:rPr>
                <w:rFonts w:hint="eastAsia"/>
                <w:snapToGrid w:val="0"/>
                <w:color w:val="auto"/>
                <w:szCs w:val="21"/>
                <w:highlight w:val="none"/>
              </w:rPr>
              <w:t>。</w:t>
            </w:r>
          </w:p>
        </w:tc>
      </w:tr>
      <w:tr w14:paraId="56F79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98BC7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1.3.4</w:t>
            </w:r>
          </w:p>
        </w:tc>
        <w:tc>
          <w:tcPr>
            <w:tcW w:w="1964" w:type="dxa"/>
            <w:vAlign w:val="center"/>
          </w:tcPr>
          <w:p w14:paraId="47C947C5">
            <w:pPr>
              <w:pStyle w:val="40"/>
              <w:spacing w:line="400" w:lineRule="exact"/>
              <w:jc w:val="center"/>
              <w:rPr>
                <w:color w:val="auto"/>
                <w:szCs w:val="21"/>
                <w:highlight w:val="none"/>
              </w:rPr>
            </w:pPr>
            <w:r>
              <w:rPr>
                <w:rFonts w:hint="eastAsia" w:ascii="宋体" w:hAnsi="宋体"/>
                <w:color w:val="auto"/>
                <w:kern w:val="0"/>
                <w:szCs w:val="21"/>
                <w:highlight w:val="none"/>
              </w:rPr>
              <w:t>服务目标</w:t>
            </w:r>
          </w:p>
        </w:tc>
        <w:tc>
          <w:tcPr>
            <w:tcW w:w="6372" w:type="dxa"/>
            <w:vAlign w:val="center"/>
          </w:tcPr>
          <w:p w14:paraId="1875AEA6">
            <w:pPr>
              <w:spacing w:line="40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（1）质量控制目标：</w:t>
            </w:r>
            <w:r>
              <w:rPr>
                <w:rFonts w:hint="eastAsia" w:asciiTheme="minorEastAsia" w:hAnsiTheme="minorEastAsia" w:eastAsiaTheme="minorEastAsia"/>
                <w:color w:val="auto"/>
                <w:szCs w:val="21"/>
                <w:highlight w:val="none"/>
                <w:u w:val="single"/>
              </w:rPr>
              <w:t>达到国家现行有关施工质量验收规范要求并验收合格</w:t>
            </w:r>
            <w:r>
              <w:rPr>
                <w:rFonts w:hint="eastAsia" w:asciiTheme="minorEastAsia" w:hAnsiTheme="minorEastAsia" w:eastAsiaTheme="minorEastAsia"/>
                <w:color w:val="auto"/>
                <w:szCs w:val="21"/>
                <w:highlight w:val="none"/>
              </w:rPr>
              <w:t>。</w:t>
            </w:r>
          </w:p>
          <w:p w14:paraId="5C254237">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（2）造价控制目标：</w:t>
            </w:r>
            <w:r>
              <w:rPr>
                <w:rFonts w:hint="eastAsia" w:asciiTheme="minorEastAsia" w:hAnsiTheme="minorEastAsia" w:eastAsiaTheme="minorEastAsia"/>
                <w:color w:val="auto"/>
                <w:szCs w:val="21"/>
                <w:highlight w:val="none"/>
                <w:u w:val="single"/>
              </w:rPr>
              <w:t>控制在概算批复内，无超前支付发生，严格控制工程变更</w:t>
            </w:r>
            <w:r>
              <w:rPr>
                <w:rFonts w:hint="eastAsia" w:asciiTheme="minorEastAsia" w:hAnsiTheme="minorEastAsia" w:eastAsiaTheme="minorEastAsia"/>
                <w:color w:val="auto"/>
                <w:szCs w:val="21"/>
                <w:highlight w:val="none"/>
              </w:rPr>
              <w:t>。</w:t>
            </w:r>
          </w:p>
          <w:p w14:paraId="231065A4">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（3）进度控制目标：</w:t>
            </w:r>
            <w:r>
              <w:rPr>
                <w:rFonts w:hint="eastAsia" w:asciiTheme="minorEastAsia" w:hAnsiTheme="minorEastAsia" w:eastAsiaTheme="minorEastAsia"/>
                <w:color w:val="auto"/>
                <w:szCs w:val="21"/>
                <w:highlight w:val="none"/>
                <w:u w:val="single"/>
              </w:rPr>
              <w:t>督促施工单位采用合理的施工工艺和工序按期完工</w:t>
            </w:r>
            <w:r>
              <w:rPr>
                <w:rFonts w:hint="eastAsia" w:asciiTheme="minorEastAsia" w:hAnsiTheme="minorEastAsia" w:eastAsiaTheme="minorEastAsia"/>
                <w:color w:val="auto"/>
                <w:szCs w:val="21"/>
                <w:highlight w:val="none"/>
              </w:rPr>
              <w:t>。</w:t>
            </w:r>
          </w:p>
          <w:p w14:paraId="66B98359">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（4）合同管理：</w:t>
            </w:r>
            <w:r>
              <w:rPr>
                <w:rFonts w:hint="eastAsia" w:asciiTheme="minorEastAsia" w:hAnsiTheme="minorEastAsia" w:eastAsiaTheme="minorEastAsia"/>
                <w:color w:val="auto"/>
                <w:szCs w:val="21"/>
                <w:highlight w:val="none"/>
                <w:u w:val="single"/>
              </w:rPr>
              <w:t>正确处理项目有关的合同索赔和合同纠纷</w:t>
            </w:r>
            <w:r>
              <w:rPr>
                <w:rFonts w:hint="eastAsia" w:asciiTheme="minorEastAsia" w:hAnsiTheme="minorEastAsia" w:eastAsiaTheme="minorEastAsia"/>
                <w:color w:val="auto"/>
                <w:szCs w:val="21"/>
                <w:highlight w:val="none"/>
              </w:rPr>
              <w:t>。</w:t>
            </w:r>
          </w:p>
          <w:p w14:paraId="4481B70E">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（5）信息管理：</w:t>
            </w:r>
            <w:r>
              <w:rPr>
                <w:rFonts w:hint="eastAsia" w:asciiTheme="minorEastAsia" w:hAnsiTheme="minorEastAsia" w:eastAsiaTheme="minorEastAsia"/>
                <w:color w:val="auto"/>
                <w:szCs w:val="21"/>
                <w:highlight w:val="none"/>
                <w:u w:val="single"/>
              </w:rPr>
              <w:t>对项目施工阶段的信息进行收集、整理和保管，保证过程中重要环节的可追溯性</w:t>
            </w:r>
            <w:r>
              <w:rPr>
                <w:rFonts w:hint="eastAsia" w:asciiTheme="minorEastAsia" w:hAnsiTheme="minorEastAsia" w:eastAsiaTheme="minorEastAsia"/>
                <w:color w:val="auto"/>
                <w:szCs w:val="21"/>
                <w:highlight w:val="none"/>
              </w:rPr>
              <w:t>。</w:t>
            </w:r>
          </w:p>
          <w:p w14:paraId="51303FCE">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（6）协调管理：</w:t>
            </w:r>
            <w:r>
              <w:rPr>
                <w:rFonts w:hint="eastAsia" w:asciiTheme="minorEastAsia" w:hAnsiTheme="minorEastAsia" w:eastAsiaTheme="minorEastAsia"/>
                <w:color w:val="auto"/>
                <w:szCs w:val="21"/>
                <w:highlight w:val="none"/>
                <w:u w:val="single"/>
              </w:rPr>
              <w:t>对工程建设相关方的关系进行协调</w:t>
            </w:r>
            <w:r>
              <w:rPr>
                <w:rFonts w:hint="eastAsia" w:asciiTheme="minorEastAsia" w:hAnsiTheme="minorEastAsia" w:eastAsiaTheme="minorEastAsia"/>
                <w:color w:val="auto"/>
                <w:szCs w:val="21"/>
                <w:highlight w:val="none"/>
              </w:rPr>
              <w:t>。</w:t>
            </w:r>
          </w:p>
          <w:p w14:paraId="27C5E1CF">
            <w:pPr>
              <w:pStyle w:val="40"/>
              <w:spacing w:line="40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（7）安全生产履职：</w:t>
            </w:r>
            <w:r>
              <w:rPr>
                <w:rFonts w:hint="eastAsia" w:asciiTheme="minorEastAsia" w:hAnsiTheme="minorEastAsia" w:eastAsiaTheme="minorEastAsia"/>
                <w:color w:val="auto"/>
                <w:szCs w:val="21"/>
                <w:highlight w:val="none"/>
                <w:u w:val="single"/>
              </w:rPr>
              <w:t>履行建设工程安全生产管理法定职责</w:t>
            </w:r>
            <w:r>
              <w:rPr>
                <w:rFonts w:hint="eastAsia" w:asciiTheme="minorEastAsia" w:hAnsiTheme="minorEastAsia" w:eastAsiaTheme="minorEastAsia"/>
                <w:color w:val="auto"/>
                <w:szCs w:val="21"/>
                <w:highlight w:val="none"/>
              </w:rPr>
              <w:t>。</w:t>
            </w:r>
          </w:p>
        </w:tc>
      </w:tr>
      <w:tr w14:paraId="55CBC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7D6AC5A">
            <w:pPr>
              <w:spacing w:line="400" w:lineRule="exact"/>
              <w:jc w:val="center"/>
              <w:rPr>
                <w:rFonts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1.3.5</w:t>
            </w:r>
          </w:p>
        </w:tc>
        <w:tc>
          <w:tcPr>
            <w:tcW w:w="1964" w:type="dxa"/>
            <w:vAlign w:val="center"/>
          </w:tcPr>
          <w:p w14:paraId="0CEDFE71">
            <w:pPr>
              <w:spacing w:line="400" w:lineRule="exact"/>
              <w:jc w:val="center"/>
              <w:rPr>
                <w:rFonts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监理工作内容</w:t>
            </w:r>
          </w:p>
        </w:tc>
        <w:tc>
          <w:tcPr>
            <w:tcW w:w="6372" w:type="dxa"/>
            <w:vAlign w:val="center"/>
          </w:tcPr>
          <w:p w14:paraId="49DBDCB5">
            <w:pPr>
              <w:spacing w:line="400" w:lineRule="exact"/>
              <w:ind w:firstLine="420" w:firstLineChars="200"/>
              <w:rPr>
                <w:rFonts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u w:val="single"/>
              </w:rPr>
              <w:t>施工阶段及缺陷责任期全过程监理，包括：“三控制、两管理、一协调、一履职”即：质量控制、造价控制、进度控制，合同管理、信息管理，对工程建设相关方的关系进行协调，履行建设工程安全生产管理法定职责</w:t>
            </w:r>
            <w:r>
              <w:rPr>
                <w:rFonts w:hint="eastAsia" w:asciiTheme="minorEastAsia" w:hAnsiTheme="minorEastAsia" w:eastAsiaTheme="minorEastAsia"/>
                <w:b w:val="0"/>
                <w:bCs/>
                <w:color w:val="auto"/>
                <w:szCs w:val="21"/>
                <w:highlight w:val="none"/>
              </w:rPr>
              <w:t>。</w:t>
            </w:r>
          </w:p>
        </w:tc>
      </w:tr>
      <w:tr w14:paraId="7AF1D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61136B6">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1.3.6</w:t>
            </w:r>
          </w:p>
        </w:tc>
        <w:tc>
          <w:tcPr>
            <w:tcW w:w="1964" w:type="dxa"/>
            <w:vAlign w:val="center"/>
          </w:tcPr>
          <w:p w14:paraId="1C14E619">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监理工作的其他说明</w:t>
            </w:r>
          </w:p>
        </w:tc>
        <w:tc>
          <w:tcPr>
            <w:tcW w:w="6372" w:type="dxa"/>
            <w:vAlign w:val="center"/>
          </w:tcPr>
          <w:p w14:paraId="21205E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中选人应按委托人批准的监理规划和监理细则开展监理工作：</w:t>
            </w:r>
          </w:p>
          <w:p w14:paraId="10C18E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1、竞标人应按委托人批准的监理规划和监理细则开展监理工作：</w:t>
            </w:r>
          </w:p>
          <w:p w14:paraId="6B8C5E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协助委托人对设计单位进行协调管理，协助审查设计深度，使用技术规范合理性，提出设计评估报告（包括各设计阶段的核查意见和优化建议），协助审核设计概算；</w:t>
            </w:r>
          </w:p>
          <w:p w14:paraId="52E81F5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2、审查承包人提交的开工报告、批准开工报告，审查承包人各项施工准备工作，经</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批准后，负责向承包人下达开工令；</w:t>
            </w:r>
          </w:p>
          <w:p w14:paraId="631F55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3、督促承包人施工管理制度和质量保证体系的建立、健全与实施；</w:t>
            </w:r>
          </w:p>
          <w:p w14:paraId="320F4F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4、审查承包人提交的施工组织设计、施工技术方案、施工质量保证措施、安全文明施工措施和专项安全技术方案并督促实施；</w:t>
            </w:r>
          </w:p>
          <w:p w14:paraId="1CE9A8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5、编制进度目标控制计划、审查承包商编制的网络进度计划，经</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批准后组织实施；</w:t>
            </w:r>
          </w:p>
          <w:p w14:paraId="2C9EF1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6、协助组织设计交底，图纸会审，审查设计变更；</w:t>
            </w:r>
          </w:p>
          <w:p w14:paraId="7915FCB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7、根据施工合同约定，审核承包人提出的分包工程项目及选择分包的单位；</w:t>
            </w:r>
          </w:p>
          <w:p w14:paraId="3DD4E8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8、编制投资目标控制计划，审核承包人的已完工程量及月进度报表，审核并签署工程中期付款进度报表，经跟踪审核单位审查，报委托人审核批准后办理支付手续，签署中期付款凭证；</w:t>
            </w:r>
          </w:p>
          <w:p w14:paraId="0C3BA84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9、设计变更经设计单位审核、委托人批准后，由</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人发出施工工程变更令；检查工程变更执行情况并作出书面记录；</w:t>
            </w:r>
          </w:p>
          <w:p w14:paraId="6C9816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检查施工现场原材料、构配件的采购、入库、保管、领用等管理制度及其执行情况；审查工程使用的原材料、半成品、成品、构配件和设备的实物质量和资料，并按规定进行检测和监控，对有疑问的必须进行复测；参与材料设备的认质核价工作；</w:t>
            </w:r>
          </w:p>
          <w:p w14:paraId="69A223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11、监督承包人严格按国家有关技术规范、标准和设计文件施工；</w:t>
            </w:r>
          </w:p>
          <w:p w14:paraId="0B18100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12、编制质量目标控制计划，控制工程质量，对工程的重要部位督促承包人实施预控措施；</w:t>
            </w:r>
          </w:p>
          <w:p w14:paraId="4F9608D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13、抽查工程施工质量，必须对隐蔽工程实施旁站监理，与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现场代表共同对隐蔽工程进行复验签证，主持工程质量事故的调查、分析及处理；</w:t>
            </w:r>
          </w:p>
          <w:p w14:paraId="09B395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14、分阶段进行进度控制，及时提出调整意见，督促承包人按批准的施工进度计划组织施工，定期对工程进度完成情况进行检查并向委托人报告相关情况；</w:t>
            </w:r>
          </w:p>
          <w:p w14:paraId="6C27AC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15、对工程承发包合同实施管理，处理合同纠纷和索赔事宜，协调委托人与承包人之间的争议；</w:t>
            </w:r>
          </w:p>
          <w:p w14:paraId="316CF1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16、督促检查安全生产，文明施工；</w:t>
            </w:r>
          </w:p>
          <w:p w14:paraId="2E8C61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17、现场监理工程师如实填写监理日志并报总监审核。监理人如实编制监理工作月报、监理工作总结和质检运行报告，报委托人和区有关主管部门，并按规定要求提交归档资料；</w:t>
            </w:r>
          </w:p>
          <w:p w14:paraId="380A9D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18、督促承包人按合同规定及要求整理施工技术档案资料；认真审核竣工图纸和其他技术文件资料；</w:t>
            </w:r>
          </w:p>
          <w:p w14:paraId="2A53933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19、组织对工程初验，参与工程竣工验收，对施工质量提出评价意见，对工程使用中出现的缺陷及时调查原因，确定相应责任方和整改方案并督促承包人进行整改；</w:t>
            </w:r>
          </w:p>
          <w:p w14:paraId="42A7CB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20、审核竣工图纸和其他技术文件资料；</w:t>
            </w:r>
          </w:p>
          <w:p w14:paraId="199041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21、工程完工后，编制监理工作竣工文件及档案资料和项目工程最终总结；</w:t>
            </w:r>
          </w:p>
          <w:p w14:paraId="1D62AB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22、工程完工交验合格后，经</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批准，向承包人签发交工验收证书和工程缺陷责任终止证书；</w:t>
            </w:r>
          </w:p>
          <w:p w14:paraId="58125D2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23、审查承包人的最终付款申请，经</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批准后，向承包人签发最终支付证书。</w:t>
            </w:r>
          </w:p>
          <w:p w14:paraId="7DDF36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严格按照《建筑工程安全施工管理条例》、《安全生产法》和《关于落实建设工程安全生产监理责任的若干意见》（建市[2006]248号）等国家、地方颁布的安全法律、法规开展安全监理工作，认真履行监理的安全责任。</w:t>
            </w:r>
          </w:p>
          <w:p w14:paraId="53708C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25、现场需常驻监理工程师对设计变更、签证、新增内容、认质认价、月进度报表进行审核，并在施工单位报价后3天内审核完毕送委托人。</w:t>
            </w:r>
          </w:p>
          <w:p w14:paraId="7D56FC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26、配合委托人完成工程结算相关工作。</w:t>
            </w:r>
          </w:p>
          <w:p w14:paraId="411CA8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27、完成《建设工程监理规范》（2018年最新版本）规定的其他相应监理工作内容。</w:t>
            </w:r>
          </w:p>
          <w:p w14:paraId="31A4F436">
            <w:pPr>
              <w:adjustRightInd w:val="0"/>
              <w:snapToGrid w:val="0"/>
              <w:spacing w:line="360" w:lineRule="auto"/>
              <w:ind w:firstLine="420" w:firstLineChars="200"/>
              <w:rPr>
                <w:rFonts w:asciiTheme="minorEastAsia" w:hAnsiTheme="minorEastAsia" w:eastAsiaTheme="minorEastAsia"/>
                <w:color w:val="auto"/>
                <w:szCs w:val="21"/>
                <w:highlight w:val="none"/>
                <w:u w:val="single"/>
              </w:rPr>
            </w:pPr>
            <w:r>
              <w:rPr>
                <w:rFonts w:hint="eastAsia" w:ascii="宋体" w:hAnsi="宋体" w:cs="宋体"/>
                <w:bCs/>
                <w:color w:val="auto"/>
                <w:szCs w:val="21"/>
                <w:highlight w:val="none"/>
              </w:rPr>
              <w:t>28、具体监理内容以签订合同时，发包人最终确认为准</w:t>
            </w:r>
            <w:r>
              <w:rPr>
                <w:rFonts w:hint="eastAsia" w:ascii="宋体" w:hAnsi="宋体" w:cs="宋体"/>
                <w:color w:val="auto"/>
                <w:szCs w:val="21"/>
                <w:highlight w:val="none"/>
              </w:rPr>
              <w:t>。</w:t>
            </w:r>
          </w:p>
        </w:tc>
      </w:tr>
      <w:tr w14:paraId="2D625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3C3B6D6C">
            <w:pPr>
              <w:snapToGrid w:val="0"/>
              <w:spacing w:line="400" w:lineRule="exact"/>
              <w:jc w:val="center"/>
              <w:rPr>
                <w:rFonts w:ascii="宋体" w:hAnsi="宋体" w:cs="宋体"/>
                <w:color w:val="auto"/>
                <w:kern w:val="0"/>
                <w:szCs w:val="21"/>
                <w:highlight w:val="none"/>
              </w:rPr>
            </w:pPr>
          </w:p>
          <w:p w14:paraId="2C4C1613">
            <w:pPr>
              <w:snapToGrid w:val="0"/>
              <w:spacing w:line="400" w:lineRule="exact"/>
              <w:jc w:val="center"/>
              <w:rPr>
                <w:rFonts w:ascii="宋体" w:hAnsi="宋体" w:cs="宋体"/>
                <w:color w:val="auto"/>
                <w:kern w:val="0"/>
                <w:szCs w:val="21"/>
                <w:highlight w:val="none"/>
              </w:rPr>
            </w:pPr>
          </w:p>
          <w:p w14:paraId="1401BD2A">
            <w:pPr>
              <w:snapToGrid w:val="0"/>
              <w:spacing w:line="400" w:lineRule="exact"/>
              <w:jc w:val="center"/>
              <w:rPr>
                <w:rFonts w:ascii="宋体" w:hAnsi="宋体" w:cs="宋体"/>
                <w:color w:val="auto"/>
                <w:kern w:val="0"/>
                <w:szCs w:val="21"/>
                <w:highlight w:val="none"/>
              </w:rPr>
            </w:pPr>
          </w:p>
          <w:p w14:paraId="77D2D585">
            <w:pPr>
              <w:snapToGrid w:val="0"/>
              <w:spacing w:line="400" w:lineRule="exact"/>
              <w:jc w:val="center"/>
              <w:rPr>
                <w:rFonts w:ascii="宋体" w:hAnsi="宋体" w:cs="宋体"/>
                <w:color w:val="auto"/>
                <w:kern w:val="0"/>
                <w:szCs w:val="21"/>
                <w:highlight w:val="none"/>
              </w:rPr>
            </w:pPr>
          </w:p>
          <w:p w14:paraId="53E7355C">
            <w:pPr>
              <w:snapToGrid w:val="0"/>
              <w:spacing w:line="400" w:lineRule="exact"/>
              <w:jc w:val="center"/>
              <w:rPr>
                <w:rFonts w:ascii="宋体" w:hAnsi="宋体" w:cs="宋体"/>
                <w:color w:val="auto"/>
                <w:kern w:val="0"/>
                <w:szCs w:val="21"/>
                <w:highlight w:val="none"/>
              </w:rPr>
            </w:pPr>
          </w:p>
          <w:p w14:paraId="35FDCC2C">
            <w:pPr>
              <w:snapToGrid w:val="0"/>
              <w:spacing w:line="400" w:lineRule="exact"/>
              <w:jc w:val="center"/>
              <w:rPr>
                <w:rFonts w:ascii="宋体" w:hAnsi="宋体" w:cs="宋体"/>
                <w:color w:val="auto"/>
                <w:kern w:val="0"/>
                <w:szCs w:val="21"/>
                <w:highlight w:val="none"/>
              </w:rPr>
            </w:pPr>
          </w:p>
          <w:p w14:paraId="178E6C4A">
            <w:pPr>
              <w:snapToGrid w:val="0"/>
              <w:spacing w:line="400" w:lineRule="exact"/>
              <w:jc w:val="center"/>
              <w:rPr>
                <w:rFonts w:ascii="宋体" w:hAnsi="宋体" w:cs="宋体"/>
                <w:color w:val="auto"/>
                <w:kern w:val="0"/>
                <w:szCs w:val="21"/>
                <w:highlight w:val="none"/>
              </w:rPr>
            </w:pPr>
          </w:p>
          <w:p w14:paraId="6D14D766">
            <w:pPr>
              <w:snapToGrid w:val="0"/>
              <w:spacing w:line="400" w:lineRule="exact"/>
              <w:jc w:val="center"/>
              <w:rPr>
                <w:rFonts w:ascii="宋体" w:hAnsi="宋体" w:cs="宋体"/>
                <w:color w:val="auto"/>
                <w:kern w:val="0"/>
                <w:szCs w:val="21"/>
                <w:highlight w:val="none"/>
              </w:rPr>
            </w:pPr>
          </w:p>
          <w:p w14:paraId="06A0CA10">
            <w:pPr>
              <w:snapToGrid w:val="0"/>
              <w:spacing w:line="400" w:lineRule="exact"/>
              <w:jc w:val="center"/>
              <w:rPr>
                <w:rFonts w:ascii="宋体" w:hAnsi="宋体" w:cs="宋体"/>
                <w:color w:val="auto"/>
                <w:kern w:val="0"/>
                <w:szCs w:val="21"/>
                <w:highlight w:val="none"/>
              </w:rPr>
            </w:pPr>
          </w:p>
          <w:p w14:paraId="3A0F9A19">
            <w:pPr>
              <w:snapToGrid w:val="0"/>
              <w:spacing w:line="400" w:lineRule="exact"/>
              <w:jc w:val="center"/>
              <w:rPr>
                <w:rFonts w:ascii="宋体" w:hAnsi="宋体" w:cs="宋体"/>
                <w:color w:val="auto"/>
                <w:kern w:val="0"/>
                <w:szCs w:val="21"/>
                <w:highlight w:val="none"/>
              </w:rPr>
            </w:pPr>
          </w:p>
          <w:p w14:paraId="38BEA7D3">
            <w:pPr>
              <w:snapToGrid w:val="0"/>
              <w:spacing w:line="400" w:lineRule="exact"/>
              <w:jc w:val="center"/>
              <w:rPr>
                <w:rFonts w:ascii="宋体" w:hAnsi="宋体" w:cs="宋体"/>
                <w:color w:val="auto"/>
                <w:kern w:val="0"/>
                <w:szCs w:val="21"/>
                <w:highlight w:val="none"/>
              </w:rPr>
            </w:pPr>
          </w:p>
          <w:p w14:paraId="006BF017">
            <w:pPr>
              <w:snapToGrid w:val="0"/>
              <w:spacing w:line="400" w:lineRule="exact"/>
              <w:jc w:val="center"/>
              <w:rPr>
                <w:rFonts w:ascii="宋体" w:hAnsi="宋体" w:cs="宋体"/>
                <w:color w:val="auto"/>
                <w:kern w:val="0"/>
                <w:szCs w:val="21"/>
                <w:highlight w:val="none"/>
              </w:rPr>
            </w:pPr>
          </w:p>
          <w:p w14:paraId="6D38A3AC">
            <w:pPr>
              <w:snapToGrid w:val="0"/>
              <w:spacing w:line="400" w:lineRule="exact"/>
              <w:jc w:val="center"/>
              <w:rPr>
                <w:rFonts w:ascii="宋体" w:hAnsi="宋体" w:cs="宋体"/>
                <w:color w:val="auto"/>
                <w:kern w:val="0"/>
                <w:szCs w:val="21"/>
                <w:highlight w:val="none"/>
              </w:rPr>
            </w:pPr>
          </w:p>
          <w:p w14:paraId="0027AEC2">
            <w:pPr>
              <w:snapToGrid w:val="0"/>
              <w:spacing w:line="400" w:lineRule="exact"/>
              <w:jc w:val="center"/>
              <w:rPr>
                <w:rFonts w:ascii="宋体" w:hAnsi="宋体" w:cs="宋体"/>
                <w:color w:val="auto"/>
                <w:kern w:val="0"/>
                <w:szCs w:val="21"/>
                <w:highlight w:val="none"/>
              </w:rPr>
            </w:pPr>
          </w:p>
          <w:p w14:paraId="2A536CB7">
            <w:pPr>
              <w:snapToGrid w:val="0"/>
              <w:spacing w:line="400" w:lineRule="exact"/>
              <w:jc w:val="center"/>
              <w:rPr>
                <w:rFonts w:ascii="宋体" w:hAnsi="宋体" w:cs="宋体"/>
                <w:color w:val="auto"/>
                <w:kern w:val="0"/>
                <w:szCs w:val="21"/>
                <w:highlight w:val="none"/>
              </w:rPr>
            </w:pPr>
          </w:p>
          <w:p w14:paraId="7C6307D0">
            <w:pPr>
              <w:snapToGrid w:val="0"/>
              <w:spacing w:line="400" w:lineRule="exact"/>
              <w:jc w:val="center"/>
              <w:rPr>
                <w:rFonts w:ascii="宋体" w:hAnsi="宋体" w:cs="宋体"/>
                <w:color w:val="auto"/>
                <w:kern w:val="0"/>
                <w:szCs w:val="21"/>
                <w:highlight w:val="none"/>
              </w:rPr>
            </w:pPr>
          </w:p>
          <w:p w14:paraId="75A799DD">
            <w:pPr>
              <w:snapToGrid w:val="0"/>
              <w:spacing w:line="400" w:lineRule="exact"/>
              <w:jc w:val="center"/>
              <w:rPr>
                <w:rFonts w:ascii="宋体" w:hAnsi="宋体" w:cs="宋体"/>
                <w:color w:val="auto"/>
                <w:kern w:val="0"/>
                <w:szCs w:val="21"/>
                <w:highlight w:val="none"/>
              </w:rPr>
            </w:pPr>
          </w:p>
          <w:p w14:paraId="071A65D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p w14:paraId="50343544">
            <w:pPr>
              <w:snapToGrid w:val="0"/>
              <w:spacing w:line="400" w:lineRule="exact"/>
              <w:jc w:val="center"/>
              <w:rPr>
                <w:rFonts w:ascii="宋体" w:hAnsi="宋体" w:cs="宋体"/>
                <w:color w:val="auto"/>
                <w:kern w:val="0"/>
                <w:szCs w:val="21"/>
                <w:highlight w:val="none"/>
              </w:rPr>
            </w:pPr>
          </w:p>
          <w:p w14:paraId="434168CA">
            <w:pPr>
              <w:snapToGrid w:val="0"/>
              <w:spacing w:line="400" w:lineRule="exact"/>
              <w:jc w:val="center"/>
              <w:rPr>
                <w:rFonts w:ascii="宋体" w:hAnsi="宋体" w:cs="宋体"/>
                <w:color w:val="auto"/>
                <w:kern w:val="0"/>
                <w:szCs w:val="21"/>
                <w:highlight w:val="none"/>
              </w:rPr>
            </w:pPr>
          </w:p>
          <w:p w14:paraId="62261B71">
            <w:pPr>
              <w:snapToGrid w:val="0"/>
              <w:spacing w:line="400" w:lineRule="exact"/>
              <w:jc w:val="center"/>
              <w:rPr>
                <w:rFonts w:ascii="宋体" w:hAnsi="宋体" w:cs="宋体"/>
                <w:color w:val="auto"/>
                <w:kern w:val="0"/>
                <w:szCs w:val="21"/>
                <w:highlight w:val="none"/>
              </w:rPr>
            </w:pPr>
          </w:p>
          <w:p w14:paraId="48984657">
            <w:pPr>
              <w:snapToGrid w:val="0"/>
              <w:spacing w:line="400" w:lineRule="exact"/>
              <w:jc w:val="center"/>
              <w:rPr>
                <w:rFonts w:ascii="宋体" w:hAnsi="宋体" w:cs="宋体"/>
                <w:color w:val="auto"/>
                <w:kern w:val="0"/>
                <w:szCs w:val="21"/>
                <w:highlight w:val="none"/>
              </w:rPr>
            </w:pPr>
          </w:p>
          <w:p w14:paraId="63D8D080">
            <w:pPr>
              <w:snapToGrid w:val="0"/>
              <w:spacing w:line="400" w:lineRule="exact"/>
              <w:jc w:val="center"/>
              <w:rPr>
                <w:rFonts w:ascii="宋体" w:hAnsi="宋体" w:cs="宋体"/>
                <w:color w:val="auto"/>
                <w:kern w:val="0"/>
                <w:szCs w:val="21"/>
                <w:highlight w:val="none"/>
              </w:rPr>
            </w:pPr>
          </w:p>
          <w:p w14:paraId="301A77C3">
            <w:pPr>
              <w:snapToGrid w:val="0"/>
              <w:spacing w:line="400" w:lineRule="exact"/>
              <w:jc w:val="center"/>
              <w:rPr>
                <w:rFonts w:ascii="宋体" w:hAnsi="宋体" w:cs="宋体"/>
                <w:color w:val="auto"/>
                <w:kern w:val="0"/>
                <w:szCs w:val="21"/>
                <w:highlight w:val="none"/>
              </w:rPr>
            </w:pPr>
          </w:p>
          <w:p w14:paraId="575E7534">
            <w:pPr>
              <w:snapToGrid w:val="0"/>
              <w:spacing w:line="400" w:lineRule="exact"/>
              <w:jc w:val="center"/>
              <w:rPr>
                <w:rFonts w:ascii="宋体" w:hAnsi="宋体" w:cs="宋体"/>
                <w:color w:val="auto"/>
                <w:kern w:val="0"/>
                <w:szCs w:val="21"/>
                <w:highlight w:val="none"/>
              </w:rPr>
            </w:pPr>
          </w:p>
          <w:p w14:paraId="610739D2">
            <w:pPr>
              <w:snapToGrid w:val="0"/>
              <w:spacing w:line="400" w:lineRule="exact"/>
              <w:jc w:val="center"/>
              <w:rPr>
                <w:rFonts w:ascii="宋体" w:hAnsi="宋体" w:cs="宋体"/>
                <w:color w:val="auto"/>
                <w:kern w:val="0"/>
                <w:szCs w:val="21"/>
                <w:highlight w:val="none"/>
              </w:rPr>
            </w:pPr>
          </w:p>
          <w:p w14:paraId="77E38178">
            <w:pPr>
              <w:snapToGrid w:val="0"/>
              <w:spacing w:line="400" w:lineRule="exact"/>
              <w:jc w:val="center"/>
              <w:rPr>
                <w:rFonts w:ascii="宋体" w:hAnsi="宋体" w:cs="宋体"/>
                <w:color w:val="auto"/>
                <w:kern w:val="0"/>
                <w:szCs w:val="21"/>
                <w:highlight w:val="none"/>
              </w:rPr>
            </w:pPr>
          </w:p>
          <w:p w14:paraId="75243127">
            <w:pPr>
              <w:snapToGrid w:val="0"/>
              <w:spacing w:line="400" w:lineRule="exact"/>
              <w:jc w:val="center"/>
              <w:rPr>
                <w:rFonts w:ascii="宋体" w:hAnsi="宋体" w:cs="宋体"/>
                <w:color w:val="auto"/>
                <w:kern w:val="0"/>
                <w:szCs w:val="21"/>
                <w:highlight w:val="none"/>
              </w:rPr>
            </w:pPr>
          </w:p>
          <w:p w14:paraId="3B5F68F3">
            <w:pPr>
              <w:snapToGrid w:val="0"/>
              <w:spacing w:line="400" w:lineRule="exact"/>
              <w:jc w:val="center"/>
              <w:rPr>
                <w:rFonts w:ascii="宋体" w:hAnsi="宋体" w:cs="宋体"/>
                <w:color w:val="auto"/>
                <w:kern w:val="0"/>
                <w:szCs w:val="21"/>
                <w:highlight w:val="none"/>
              </w:rPr>
            </w:pPr>
          </w:p>
          <w:p w14:paraId="771B18C6">
            <w:pPr>
              <w:snapToGrid w:val="0"/>
              <w:spacing w:line="400" w:lineRule="exact"/>
              <w:jc w:val="center"/>
              <w:rPr>
                <w:rFonts w:ascii="宋体" w:hAnsi="宋体" w:cs="宋体"/>
                <w:color w:val="auto"/>
                <w:kern w:val="0"/>
                <w:szCs w:val="21"/>
                <w:highlight w:val="none"/>
              </w:rPr>
            </w:pPr>
          </w:p>
          <w:p w14:paraId="63F9FB01">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1964" w:type="dxa"/>
            <w:vAlign w:val="center"/>
          </w:tcPr>
          <w:p w14:paraId="6F361E58">
            <w:pPr>
              <w:snapToGrid w:val="0"/>
              <w:spacing w:line="400" w:lineRule="exact"/>
              <w:jc w:val="center"/>
              <w:rPr>
                <w:rFonts w:ascii="宋体" w:hAnsi="宋体" w:cs="宋体"/>
                <w:color w:val="auto"/>
                <w:kern w:val="0"/>
                <w:szCs w:val="21"/>
                <w:highlight w:val="none"/>
              </w:rPr>
            </w:pPr>
          </w:p>
          <w:p w14:paraId="3B58A9C4">
            <w:pPr>
              <w:snapToGrid w:val="0"/>
              <w:spacing w:line="400" w:lineRule="exact"/>
              <w:jc w:val="center"/>
              <w:rPr>
                <w:rFonts w:ascii="宋体" w:hAnsi="宋体" w:cs="宋体"/>
                <w:color w:val="auto"/>
                <w:kern w:val="0"/>
                <w:szCs w:val="21"/>
                <w:highlight w:val="none"/>
              </w:rPr>
            </w:pPr>
          </w:p>
          <w:p w14:paraId="53534F65">
            <w:pPr>
              <w:snapToGrid w:val="0"/>
              <w:spacing w:line="400" w:lineRule="exact"/>
              <w:jc w:val="center"/>
              <w:rPr>
                <w:rFonts w:ascii="宋体" w:hAnsi="宋体" w:cs="宋体"/>
                <w:color w:val="auto"/>
                <w:kern w:val="0"/>
                <w:szCs w:val="21"/>
                <w:highlight w:val="none"/>
              </w:rPr>
            </w:pPr>
          </w:p>
          <w:p w14:paraId="648E4114">
            <w:pPr>
              <w:snapToGrid w:val="0"/>
              <w:spacing w:line="400" w:lineRule="exact"/>
              <w:jc w:val="center"/>
              <w:rPr>
                <w:rFonts w:ascii="宋体" w:hAnsi="宋体" w:cs="宋体"/>
                <w:color w:val="auto"/>
                <w:kern w:val="0"/>
                <w:szCs w:val="21"/>
                <w:highlight w:val="none"/>
              </w:rPr>
            </w:pPr>
          </w:p>
          <w:p w14:paraId="71FE2400">
            <w:pPr>
              <w:snapToGrid w:val="0"/>
              <w:spacing w:line="400" w:lineRule="exact"/>
              <w:jc w:val="center"/>
              <w:rPr>
                <w:rFonts w:ascii="宋体" w:hAnsi="宋体" w:cs="宋体"/>
                <w:color w:val="auto"/>
                <w:kern w:val="0"/>
                <w:szCs w:val="21"/>
                <w:highlight w:val="none"/>
              </w:rPr>
            </w:pPr>
          </w:p>
          <w:p w14:paraId="1B004870">
            <w:pPr>
              <w:snapToGrid w:val="0"/>
              <w:spacing w:line="400" w:lineRule="exact"/>
              <w:jc w:val="center"/>
              <w:rPr>
                <w:rFonts w:ascii="宋体" w:hAnsi="宋体" w:cs="宋体"/>
                <w:color w:val="auto"/>
                <w:kern w:val="0"/>
                <w:szCs w:val="21"/>
                <w:highlight w:val="none"/>
              </w:rPr>
            </w:pPr>
          </w:p>
          <w:p w14:paraId="60EF0CB1">
            <w:pPr>
              <w:snapToGrid w:val="0"/>
              <w:spacing w:line="400" w:lineRule="exact"/>
              <w:jc w:val="center"/>
              <w:rPr>
                <w:rFonts w:ascii="宋体" w:hAnsi="宋体" w:cs="宋体"/>
                <w:color w:val="auto"/>
                <w:kern w:val="0"/>
                <w:szCs w:val="21"/>
                <w:highlight w:val="none"/>
              </w:rPr>
            </w:pPr>
          </w:p>
          <w:p w14:paraId="60BDFA6B">
            <w:pPr>
              <w:snapToGrid w:val="0"/>
              <w:spacing w:line="400" w:lineRule="exact"/>
              <w:jc w:val="center"/>
              <w:rPr>
                <w:rFonts w:ascii="宋体" w:hAnsi="宋体" w:cs="宋体"/>
                <w:color w:val="auto"/>
                <w:kern w:val="0"/>
                <w:szCs w:val="21"/>
                <w:highlight w:val="none"/>
              </w:rPr>
            </w:pPr>
          </w:p>
          <w:p w14:paraId="05B87DFC">
            <w:pPr>
              <w:snapToGrid w:val="0"/>
              <w:spacing w:line="400" w:lineRule="exact"/>
              <w:jc w:val="center"/>
              <w:rPr>
                <w:rFonts w:ascii="宋体" w:hAnsi="宋体" w:cs="宋体"/>
                <w:color w:val="auto"/>
                <w:kern w:val="0"/>
                <w:szCs w:val="21"/>
                <w:highlight w:val="none"/>
              </w:rPr>
            </w:pPr>
          </w:p>
          <w:p w14:paraId="7C9D5D1A">
            <w:pPr>
              <w:snapToGrid w:val="0"/>
              <w:spacing w:line="400" w:lineRule="exact"/>
              <w:jc w:val="center"/>
              <w:rPr>
                <w:rFonts w:ascii="宋体" w:hAnsi="宋体" w:cs="宋体"/>
                <w:color w:val="auto"/>
                <w:kern w:val="0"/>
                <w:szCs w:val="21"/>
                <w:highlight w:val="none"/>
              </w:rPr>
            </w:pPr>
          </w:p>
          <w:p w14:paraId="22220FA0">
            <w:pPr>
              <w:snapToGrid w:val="0"/>
              <w:spacing w:line="400" w:lineRule="exact"/>
              <w:jc w:val="center"/>
              <w:rPr>
                <w:rFonts w:ascii="宋体" w:hAnsi="宋体" w:cs="宋体"/>
                <w:color w:val="auto"/>
                <w:kern w:val="0"/>
                <w:szCs w:val="21"/>
                <w:highlight w:val="none"/>
              </w:rPr>
            </w:pPr>
          </w:p>
          <w:p w14:paraId="5C018711">
            <w:pPr>
              <w:snapToGrid w:val="0"/>
              <w:spacing w:line="400" w:lineRule="exact"/>
              <w:jc w:val="center"/>
              <w:rPr>
                <w:rFonts w:ascii="宋体" w:hAnsi="宋体" w:cs="宋体"/>
                <w:color w:val="auto"/>
                <w:kern w:val="0"/>
                <w:szCs w:val="21"/>
                <w:highlight w:val="none"/>
              </w:rPr>
            </w:pPr>
          </w:p>
          <w:p w14:paraId="3B3142FE">
            <w:pPr>
              <w:snapToGrid w:val="0"/>
              <w:spacing w:line="400" w:lineRule="exact"/>
              <w:jc w:val="center"/>
              <w:rPr>
                <w:rFonts w:ascii="宋体" w:hAnsi="宋体" w:cs="宋体"/>
                <w:color w:val="auto"/>
                <w:kern w:val="0"/>
                <w:szCs w:val="21"/>
                <w:highlight w:val="none"/>
              </w:rPr>
            </w:pPr>
          </w:p>
          <w:p w14:paraId="62C7D0C0">
            <w:pPr>
              <w:snapToGrid w:val="0"/>
              <w:spacing w:line="400" w:lineRule="exact"/>
              <w:jc w:val="center"/>
              <w:rPr>
                <w:rFonts w:ascii="宋体" w:hAnsi="宋体" w:cs="宋体"/>
                <w:color w:val="auto"/>
                <w:kern w:val="0"/>
                <w:szCs w:val="21"/>
                <w:highlight w:val="none"/>
              </w:rPr>
            </w:pPr>
          </w:p>
          <w:p w14:paraId="0E63125A">
            <w:pPr>
              <w:snapToGrid w:val="0"/>
              <w:spacing w:line="400" w:lineRule="exact"/>
              <w:jc w:val="center"/>
              <w:rPr>
                <w:rFonts w:ascii="宋体" w:hAnsi="宋体" w:cs="宋体"/>
                <w:color w:val="auto"/>
                <w:kern w:val="0"/>
                <w:szCs w:val="21"/>
                <w:highlight w:val="none"/>
              </w:rPr>
            </w:pPr>
          </w:p>
          <w:p w14:paraId="72120068">
            <w:pPr>
              <w:snapToGrid w:val="0"/>
              <w:spacing w:line="400" w:lineRule="exact"/>
              <w:jc w:val="center"/>
              <w:rPr>
                <w:rFonts w:ascii="宋体" w:hAnsi="宋体" w:cs="宋体"/>
                <w:color w:val="auto"/>
                <w:kern w:val="0"/>
                <w:szCs w:val="21"/>
                <w:highlight w:val="none"/>
              </w:rPr>
            </w:pPr>
          </w:p>
          <w:p w14:paraId="4E79503A">
            <w:pPr>
              <w:snapToGrid w:val="0"/>
              <w:spacing w:line="400" w:lineRule="exact"/>
              <w:jc w:val="center"/>
              <w:rPr>
                <w:rFonts w:ascii="宋体" w:hAnsi="宋体" w:cs="宋体"/>
                <w:color w:val="auto"/>
                <w:kern w:val="0"/>
                <w:szCs w:val="21"/>
                <w:highlight w:val="none"/>
              </w:rPr>
            </w:pPr>
          </w:p>
          <w:p w14:paraId="63C0031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竞选人资质条件、能力和信誉</w:t>
            </w:r>
          </w:p>
          <w:p w14:paraId="7F5F5158">
            <w:pPr>
              <w:snapToGrid w:val="0"/>
              <w:spacing w:line="400" w:lineRule="exact"/>
              <w:jc w:val="center"/>
              <w:rPr>
                <w:rFonts w:ascii="宋体" w:hAnsi="宋体" w:cs="宋体"/>
                <w:color w:val="auto"/>
                <w:kern w:val="0"/>
                <w:szCs w:val="21"/>
                <w:highlight w:val="none"/>
              </w:rPr>
            </w:pPr>
          </w:p>
          <w:p w14:paraId="2D650319">
            <w:pPr>
              <w:snapToGrid w:val="0"/>
              <w:spacing w:line="400" w:lineRule="exact"/>
              <w:jc w:val="center"/>
              <w:rPr>
                <w:rFonts w:ascii="宋体" w:hAnsi="宋体" w:cs="宋体"/>
                <w:color w:val="auto"/>
                <w:kern w:val="0"/>
                <w:szCs w:val="21"/>
                <w:highlight w:val="none"/>
              </w:rPr>
            </w:pPr>
          </w:p>
          <w:p w14:paraId="4068E763">
            <w:pPr>
              <w:snapToGrid w:val="0"/>
              <w:spacing w:line="400" w:lineRule="exact"/>
              <w:jc w:val="center"/>
              <w:rPr>
                <w:rFonts w:ascii="宋体" w:hAnsi="宋体" w:cs="宋体"/>
                <w:color w:val="auto"/>
                <w:kern w:val="0"/>
                <w:szCs w:val="21"/>
                <w:highlight w:val="none"/>
              </w:rPr>
            </w:pPr>
          </w:p>
          <w:p w14:paraId="67C20216">
            <w:pPr>
              <w:snapToGrid w:val="0"/>
              <w:spacing w:line="400" w:lineRule="exact"/>
              <w:jc w:val="center"/>
              <w:rPr>
                <w:rFonts w:ascii="宋体" w:hAnsi="宋体" w:cs="宋体"/>
                <w:color w:val="auto"/>
                <w:kern w:val="0"/>
                <w:szCs w:val="21"/>
                <w:highlight w:val="none"/>
              </w:rPr>
            </w:pPr>
          </w:p>
          <w:p w14:paraId="5C7C1291">
            <w:pPr>
              <w:snapToGrid w:val="0"/>
              <w:spacing w:line="400" w:lineRule="exact"/>
              <w:jc w:val="center"/>
              <w:rPr>
                <w:rFonts w:ascii="宋体" w:hAnsi="宋体" w:cs="宋体"/>
                <w:color w:val="auto"/>
                <w:kern w:val="0"/>
                <w:szCs w:val="21"/>
                <w:highlight w:val="none"/>
              </w:rPr>
            </w:pPr>
          </w:p>
          <w:p w14:paraId="1A4C54F9">
            <w:pPr>
              <w:snapToGrid w:val="0"/>
              <w:spacing w:line="400" w:lineRule="exact"/>
              <w:jc w:val="center"/>
              <w:rPr>
                <w:rFonts w:ascii="宋体" w:hAnsi="宋体" w:cs="宋体"/>
                <w:color w:val="auto"/>
                <w:kern w:val="0"/>
                <w:szCs w:val="21"/>
                <w:highlight w:val="none"/>
              </w:rPr>
            </w:pPr>
          </w:p>
          <w:p w14:paraId="4842699E">
            <w:pPr>
              <w:snapToGrid w:val="0"/>
              <w:spacing w:line="400" w:lineRule="exact"/>
              <w:jc w:val="center"/>
              <w:rPr>
                <w:rFonts w:ascii="宋体" w:hAnsi="宋体" w:cs="宋体"/>
                <w:color w:val="auto"/>
                <w:kern w:val="0"/>
                <w:szCs w:val="21"/>
                <w:highlight w:val="none"/>
              </w:rPr>
            </w:pPr>
          </w:p>
          <w:p w14:paraId="146A4DE2">
            <w:pPr>
              <w:snapToGrid w:val="0"/>
              <w:spacing w:line="400" w:lineRule="exact"/>
              <w:jc w:val="center"/>
              <w:rPr>
                <w:rFonts w:ascii="宋体" w:hAnsi="宋体" w:cs="宋体"/>
                <w:color w:val="auto"/>
                <w:kern w:val="0"/>
                <w:szCs w:val="21"/>
                <w:highlight w:val="none"/>
              </w:rPr>
            </w:pPr>
          </w:p>
          <w:p w14:paraId="4C8D1D8C">
            <w:pPr>
              <w:snapToGrid w:val="0"/>
              <w:spacing w:line="400" w:lineRule="exact"/>
              <w:jc w:val="center"/>
              <w:rPr>
                <w:rFonts w:ascii="宋体" w:hAnsi="宋体" w:cs="宋体"/>
                <w:color w:val="auto"/>
                <w:kern w:val="0"/>
                <w:szCs w:val="21"/>
                <w:highlight w:val="none"/>
              </w:rPr>
            </w:pPr>
          </w:p>
          <w:p w14:paraId="239B6E20">
            <w:pPr>
              <w:snapToGrid w:val="0"/>
              <w:spacing w:line="400" w:lineRule="exact"/>
              <w:jc w:val="center"/>
              <w:rPr>
                <w:rFonts w:ascii="宋体" w:hAnsi="宋体" w:cs="宋体"/>
                <w:color w:val="auto"/>
                <w:kern w:val="0"/>
                <w:szCs w:val="21"/>
                <w:highlight w:val="none"/>
              </w:rPr>
            </w:pPr>
          </w:p>
          <w:p w14:paraId="1D190147">
            <w:pPr>
              <w:snapToGrid w:val="0"/>
              <w:spacing w:line="400" w:lineRule="exact"/>
              <w:rPr>
                <w:rFonts w:ascii="宋体" w:hAnsi="宋体" w:cs="宋体"/>
                <w:color w:val="auto"/>
                <w:kern w:val="0"/>
                <w:szCs w:val="21"/>
                <w:highlight w:val="none"/>
              </w:rPr>
            </w:pPr>
          </w:p>
          <w:p w14:paraId="4D4E6317">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竞选人资质条件、能力和信誉</w:t>
            </w:r>
          </w:p>
        </w:tc>
        <w:tc>
          <w:tcPr>
            <w:tcW w:w="6372" w:type="dxa"/>
            <w:vAlign w:val="center"/>
          </w:tcPr>
          <w:p w14:paraId="50507FF2">
            <w:pPr>
              <w:snapToGrid w:val="0"/>
              <w:spacing w:line="400" w:lineRule="exact"/>
              <w:ind w:firstLine="420" w:firstLineChars="200"/>
              <w:rPr>
                <w:rFonts w:ascii="宋体" w:hAnsi="宋体" w:cs="宋体"/>
                <w:color w:val="auto"/>
                <w:highlight w:val="none"/>
              </w:rPr>
            </w:pPr>
            <w:bookmarkStart w:id="34" w:name="OLE_LINK1"/>
            <w:r>
              <w:rPr>
                <w:rFonts w:hint="eastAsia" w:ascii="宋体" w:hAnsi="宋体" w:cs="宋体"/>
                <w:color w:val="auto"/>
                <w:highlight w:val="none"/>
              </w:rPr>
              <w:t>本次比选实行资格后审，</w:t>
            </w:r>
            <w:bookmarkStart w:id="35" w:name="一是"/>
            <w:bookmarkEnd w:id="35"/>
            <w:r>
              <w:rPr>
                <w:rFonts w:hint="eastAsia" w:ascii="宋体" w:hAnsi="宋体" w:cs="宋体"/>
                <w:color w:val="auto"/>
                <w:highlight w:val="none"/>
              </w:rPr>
              <w:t>竞选人须具备以下资格条件：</w:t>
            </w:r>
          </w:p>
          <w:bookmarkEnd w:id="34"/>
          <w:p w14:paraId="65199492">
            <w:pPr>
              <w:snapToGrid w:val="0"/>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1.资质条件、营业执照</w:t>
            </w:r>
          </w:p>
          <w:p w14:paraId="331B233C">
            <w:pPr>
              <w:snapToGrid w:val="0"/>
              <w:spacing w:line="400" w:lineRule="exact"/>
              <w:ind w:firstLine="420" w:firstLineChars="200"/>
              <w:rPr>
                <w:rFonts w:hint="eastAsia" w:ascii="宋体" w:hAnsi="宋体" w:eastAsia="宋体"/>
                <w:b/>
                <w:bCs/>
                <w:snapToGrid w:val="0"/>
                <w:color w:val="auto"/>
                <w:kern w:val="0"/>
                <w:szCs w:val="21"/>
                <w:highlight w:val="none"/>
                <w:lang w:eastAsia="zh-CN"/>
              </w:rPr>
            </w:pPr>
            <w:r>
              <w:rPr>
                <w:rFonts w:hint="eastAsia" w:ascii="宋体" w:hAnsi="宋体" w:cs="宋体"/>
                <w:color w:val="auto"/>
                <w:highlight w:val="none"/>
              </w:rPr>
              <w:t>（1）具备建设行政主管部门颁发的</w:t>
            </w:r>
            <w:r>
              <w:rPr>
                <w:rFonts w:hint="eastAsia" w:ascii="宋体" w:hAnsi="宋体"/>
                <w:b/>
                <w:bCs/>
                <w:snapToGrid w:val="0"/>
                <w:color w:val="auto"/>
                <w:kern w:val="0"/>
                <w:szCs w:val="21"/>
                <w:highlight w:val="none"/>
              </w:rPr>
              <w:t>工程监理综合资质或</w:t>
            </w:r>
            <w:r>
              <w:rPr>
                <w:rFonts w:hint="eastAsia" w:ascii="宋体" w:hAnsi="宋体"/>
                <w:b/>
                <w:bCs/>
                <w:snapToGrid w:val="0"/>
                <w:color w:val="auto"/>
                <w:kern w:val="0"/>
                <w:szCs w:val="21"/>
                <w:highlight w:val="none"/>
                <w:lang w:eastAsia="zh-CN"/>
              </w:rPr>
              <w:t>房屋建筑工程</w:t>
            </w:r>
            <w:r>
              <w:rPr>
                <w:rFonts w:hint="eastAsia" w:ascii="宋体" w:hAnsi="宋体"/>
                <w:b/>
                <w:bCs/>
                <w:snapToGrid w:val="0"/>
                <w:color w:val="auto"/>
                <w:kern w:val="0"/>
                <w:szCs w:val="21"/>
                <w:highlight w:val="none"/>
              </w:rPr>
              <w:t>监理乙级及以上资质</w:t>
            </w:r>
            <w:r>
              <w:rPr>
                <w:rFonts w:hint="eastAsia" w:ascii="宋体" w:hAnsi="宋体"/>
                <w:b/>
                <w:bCs/>
                <w:snapToGrid w:val="0"/>
                <w:color w:val="auto"/>
                <w:kern w:val="0"/>
                <w:szCs w:val="21"/>
                <w:highlight w:val="none"/>
                <w:lang w:eastAsia="zh-CN"/>
              </w:rPr>
              <w:t>。</w:t>
            </w:r>
          </w:p>
          <w:p w14:paraId="27A5A5C1">
            <w:pPr>
              <w:snapToGrid w:val="0"/>
              <w:spacing w:line="400" w:lineRule="exact"/>
              <w:ind w:firstLine="420" w:firstLineChars="200"/>
              <w:rPr>
                <w:rFonts w:ascii="宋体" w:hAnsi="宋体" w:cs="宋体"/>
                <w:b/>
                <w:bCs/>
                <w:color w:val="auto"/>
                <w:highlight w:val="none"/>
              </w:rPr>
            </w:pPr>
            <w:r>
              <w:rPr>
                <w:rFonts w:hint="eastAsia" w:ascii="宋体" w:hAnsi="宋体" w:cs="宋体"/>
                <w:color w:val="auto"/>
                <w:highlight w:val="none"/>
              </w:rPr>
              <w:t>竞选人须在竞选文件资格审查部分提供有效的资质证书。</w:t>
            </w:r>
          </w:p>
          <w:p w14:paraId="7BC1C474">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（2）具备有效的营业执照。</w:t>
            </w:r>
          </w:p>
          <w:p w14:paraId="281B2457">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竞选人须在竞选文件资格审查部分</w:t>
            </w:r>
            <w:r>
              <w:rPr>
                <w:rFonts w:hint="eastAsia" w:asciiTheme="minorEastAsia" w:hAnsiTheme="minorEastAsia" w:eastAsiaTheme="minorEastAsia" w:cstheme="minorEastAsia"/>
                <w:color w:val="auto"/>
                <w:szCs w:val="21"/>
                <w:highlight w:val="none"/>
              </w:rPr>
              <w:t>提供有效的营业执照。注：不得将</w:t>
            </w: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营业执照记载的经营范围作为评审因素。</w:t>
            </w:r>
          </w:p>
          <w:p w14:paraId="5BDDDA79">
            <w:pPr>
              <w:spacing w:line="400" w:lineRule="exact"/>
              <w:ind w:firstLine="420" w:firstLineChars="200"/>
              <w:rPr>
                <w:rFonts w:asciiTheme="minorEastAsia" w:hAnsiTheme="minorEastAsia" w:eastAsiaTheme="minorEastAsia" w:cstheme="minorEastAsia"/>
                <w:b/>
                <w:color w:val="auto"/>
                <w:szCs w:val="21"/>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Theme="minorEastAsia" w:hAnsiTheme="minorEastAsia" w:eastAsiaTheme="minorEastAsia" w:cstheme="minorEastAsia"/>
                <w:b/>
                <w:color w:val="auto"/>
                <w:szCs w:val="21"/>
                <w:highlight w:val="none"/>
                <w:lang w:val="en-US" w:eastAsia="zh-CN"/>
              </w:rPr>
              <w:t>竞选</w:t>
            </w:r>
            <w:r>
              <w:rPr>
                <w:rFonts w:hint="eastAsia" w:asciiTheme="minorEastAsia" w:hAnsiTheme="minorEastAsia" w:eastAsiaTheme="minorEastAsia" w:cstheme="minorEastAsia"/>
                <w:b/>
                <w:color w:val="auto"/>
                <w:szCs w:val="21"/>
                <w:highlight w:val="none"/>
              </w:rPr>
              <w:t>截止日</w:t>
            </w:r>
            <w:r>
              <w:rPr>
                <w:rFonts w:hint="eastAsia" w:asciiTheme="minorEastAsia" w:hAnsiTheme="minorEastAsia" w:eastAsiaTheme="minorEastAsia" w:cstheme="minorEastAsia"/>
                <w:b/>
                <w:color w:val="auto"/>
                <w:szCs w:val="21"/>
                <w:highlight w:val="none"/>
                <w:lang w:val="en-US" w:eastAsia="zh-CN"/>
              </w:rPr>
              <w:t>竞选</w:t>
            </w:r>
            <w:r>
              <w:rPr>
                <w:rFonts w:hint="eastAsia" w:asciiTheme="minorEastAsia" w:hAnsiTheme="minorEastAsia" w:eastAsiaTheme="minorEastAsia" w:cstheme="minorEastAsia"/>
                <w:b/>
                <w:color w:val="auto"/>
                <w:szCs w:val="21"/>
                <w:highlight w:val="none"/>
              </w:rPr>
              <w:t>资格情况</w:t>
            </w:r>
          </w:p>
          <w:p w14:paraId="05F2B971">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w:t>
            </w:r>
            <w:r>
              <w:rPr>
                <w:rFonts w:hint="eastAsia" w:asciiTheme="minorEastAsia" w:hAnsiTheme="minorEastAsia" w:eastAsiaTheme="minorEastAsia" w:cstheme="minorEastAsia"/>
                <w:b w:val="0"/>
                <w:bCs w:val="0"/>
                <w:color w:val="auto"/>
                <w:szCs w:val="21"/>
                <w:highlight w:val="none"/>
              </w:rPr>
              <w:t>自行承诺（格式</w:t>
            </w:r>
            <w:r>
              <w:rPr>
                <w:rFonts w:hint="eastAsia" w:asciiTheme="minorEastAsia" w:hAnsiTheme="minorEastAsia" w:eastAsiaTheme="minorEastAsia" w:cstheme="minorEastAsia"/>
                <w:b w:val="0"/>
                <w:bCs w:val="0"/>
                <w:color w:val="auto"/>
                <w:szCs w:val="21"/>
                <w:highlight w:val="none"/>
                <w:lang w:val="en-US" w:eastAsia="zh-CN"/>
              </w:rPr>
              <w:t>自拟</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color w:val="auto"/>
                <w:szCs w:val="21"/>
                <w:highlight w:val="none"/>
              </w:rPr>
              <w:t>投标截止日投标资格情况不得存在下列情形之一：</w:t>
            </w:r>
          </w:p>
          <w:p w14:paraId="6794B2BB">
            <w:pPr>
              <w:snapToGrid w:val="0"/>
              <w:spacing w:line="40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（1）被人民法院列入失信被执行人名单且在被执行期内；</w:t>
            </w:r>
          </w:p>
          <w:p w14:paraId="25727C48">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（2）被列入《重庆市工程建设领域招标投标信用管理暂行办法》规定的重点关注名单且记分达到12分且在记分有效期内；</w:t>
            </w:r>
          </w:p>
          <w:p w14:paraId="6D6BBB28">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（3）被列入《重庆市工程建设领域招标投标信用管理暂行办法》规定的重庆市工程建设领域招标投标失信惩戒对象名单（以下称黑名单）且在记分有效期内；</w:t>
            </w:r>
          </w:p>
          <w:p w14:paraId="351A8D71">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（4）被国家、重庆市（含市或任意区县）有关行政部门处以暂停投标资格行政处罚，且在处罚期限内；</w:t>
            </w:r>
          </w:p>
          <w:p w14:paraId="12108E1B">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（5）被重庆市市级有关行业主管部门暂停在渝承揽新业务且在暂停期内。</w:t>
            </w:r>
          </w:p>
          <w:p w14:paraId="2EA463A4">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须在</w:t>
            </w:r>
            <w:r>
              <w:rPr>
                <w:rFonts w:hint="eastAsia" w:ascii="宋体" w:hAnsi="宋体" w:cs="宋体"/>
                <w:color w:val="auto"/>
                <w:highlight w:val="none"/>
              </w:rPr>
              <w:t>竞选文件</w:t>
            </w:r>
            <w:r>
              <w:rPr>
                <w:rFonts w:hint="eastAsia" w:asciiTheme="minorEastAsia" w:hAnsiTheme="minorEastAsia" w:eastAsiaTheme="minorEastAsia" w:cstheme="minorEastAsia"/>
                <w:color w:val="auto"/>
                <w:szCs w:val="21"/>
                <w:highlight w:val="none"/>
              </w:rPr>
              <w:t>资格审查部分提供承诺。</w:t>
            </w:r>
          </w:p>
          <w:p w14:paraId="7CA7492F">
            <w:pPr>
              <w:autoSpaceDE w:val="0"/>
              <w:autoSpaceDN w:val="0"/>
              <w:adjustRightInd w:val="0"/>
              <w:snapToGrid w:val="0"/>
              <w:spacing w:line="400" w:lineRule="exact"/>
              <w:ind w:firstLine="422" w:firstLineChars="200"/>
              <w:rPr>
                <w:rFonts w:asciiTheme="minorEastAsia" w:hAnsiTheme="minorEastAsia" w:eastAsiaTheme="minorEastAsia" w:cstheme="minorEastAsia"/>
                <w:b/>
                <w:color w:val="auto"/>
                <w:szCs w:val="21"/>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w:t>
            </w:r>
            <w:r>
              <w:rPr>
                <w:rFonts w:hint="eastAsia" w:asciiTheme="minorEastAsia" w:hAnsiTheme="minorEastAsia" w:eastAsiaTheme="minorEastAsia" w:cstheme="minorEastAsia"/>
                <w:b/>
                <w:color w:val="auto"/>
                <w:szCs w:val="21"/>
                <w:highlight w:val="none"/>
              </w:rPr>
              <w:t>业绩要求</w:t>
            </w:r>
          </w:p>
          <w:p w14:paraId="30B61D4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竞标人2022年1月1曰至今（以签订合同时间为准），具有至少1个</w:t>
            </w:r>
            <w:r>
              <w:rPr>
                <w:rFonts w:hint="eastAsia" w:asciiTheme="minorEastAsia" w:hAnsiTheme="minorEastAsia" w:eastAsiaTheme="minorEastAsia" w:cstheme="minorEastAsia"/>
                <w:color w:val="auto"/>
                <w:kern w:val="0"/>
                <w:szCs w:val="21"/>
                <w:highlight w:val="none"/>
                <w:lang w:val="en-US" w:eastAsia="zh-CN"/>
              </w:rPr>
              <w:t>房屋建筑工程</w:t>
            </w:r>
            <w:r>
              <w:rPr>
                <w:rFonts w:hint="eastAsia" w:asciiTheme="minorEastAsia" w:hAnsiTheme="minorEastAsia" w:eastAsiaTheme="minorEastAsia" w:cstheme="minorEastAsia"/>
                <w:color w:val="auto"/>
                <w:kern w:val="0"/>
                <w:szCs w:val="21"/>
                <w:highlight w:val="none"/>
              </w:rPr>
              <w:t>监理业绩</w:t>
            </w:r>
            <w:r>
              <w:rPr>
                <w:rFonts w:hint="eastAsia" w:asciiTheme="minorEastAsia" w:hAnsiTheme="minorEastAsia" w:eastAsiaTheme="minorEastAsia" w:cstheme="minorEastAsia"/>
                <w:color w:val="auto"/>
                <w:kern w:val="0"/>
                <w:szCs w:val="21"/>
                <w:highlight w:val="none"/>
                <w:lang w:eastAsia="zh-CN"/>
              </w:rPr>
              <w:t>（或包含类似监理工作的全过程咨询业绩）</w:t>
            </w:r>
            <w:r>
              <w:rPr>
                <w:rFonts w:hint="eastAsia" w:asciiTheme="minorEastAsia" w:hAnsiTheme="minorEastAsia" w:eastAsiaTheme="minorEastAsia" w:cstheme="minorEastAsia"/>
                <w:color w:val="auto"/>
                <w:kern w:val="0"/>
                <w:szCs w:val="21"/>
                <w:highlight w:val="none"/>
              </w:rPr>
              <w:t>。</w:t>
            </w:r>
          </w:p>
          <w:p w14:paraId="4A524899">
            <w:pPr>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竞标人须在竞标文件资格审查部分提供该业绩的合同</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关键页</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复印件。不满足上述业绩要求的业绩视为无效。</w:t>
            </w:r>
          </w:p>
          <w:p w14:paraId="10DDBFD9">
            <w:pPr>
              <w:snapToGrid w:val="0"/>
              <w:spacing w:line="400" w:lineRule="exact"/>
              <w:ind w:firstLine="422" w:firstLineChars="200"/>
              <w:rPr>
                <w:rFonts w:ascii="宋体" w:hAnsi="宋体" w:cs="宋体"/>
                <w:b/>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拟派监理人员</w:t>
            </w:r>
          </w:p>
          <w:p w14:paraId="27263E38">
            <w:pPr>
              <w:pStyle w:val="6"/>
              <w:spacing w:line="40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.1总监理工程师1名：应具备建设行政主管部门颁发的有效</w:t>
            </w:r>
            <w:r>
              <w:rPr>
                <w:rFonts w:hint="eastAsia" w:cs="Times New Roman"/>
                <w:b/>
                <w:bCs/>
                <w:color w:val="auto"/>
                <w:highlight w:val="none"/>
                <w:lang w:val="en-US" w:eastAsia="zh-CN"/>
              </w:rPr>
              <w:t>房屋</w:t>
            </w:r>
            <w:r>
              <w:rPr>
                <w:rFonts w:hint="eastAsia"/>
                <w:b/>
                <w:bCs/>
                <w:color w:val="auto"/>
                <w:highlight w:val="none"/>
                <w:lang w:eastAsia="zh-CN"/>
              </w:rPr>
              <w:t>建筑工程</w:t>
            </w:r>
            <w:r>
              <w:rPr>
                <w:rFonts w:hint="eastAsia"/>
                <w:b/>
                <w:bCs/>
                <w:color w:val="auto"/>
                <w:highlight w:val="none"/>
              </w:rPr>
              <w:t>专业</w:t>
            </w:r>
            <w:r>
              <w:rPr>
                <w:rFonts w:hint="eastAsia"/>
                <w:color w:val="auto"/>
                <w:highlight w:val="none"/>
              </w:rPr>
              <w:t>注册监理</w:t>
            </w:r>
            <w:r>
              <w:rPr>
                <w:rFonts w:hint="eastAsia" w:ascii="宋体" w:hAnsi="宋体" w:cs="宋体"/>
                <w:color w:val="auto"/>
                <w:highlight w:val="none"/>
              </w:rPr>
              <w:t>工程师证书（必须在本单位注册），且具有</w:t>
            </w:r>
            <w:r>
              <w:rPr>
                <w:rFonts w:hint="eastAsia" w:ascii="宋体" w:hAnsi="宋体" w:cs="宋体"/>
                <w:b/>
                <w:bCs/>
                <w:color w:val="auto"/>
                <w:highlight w:val="none"/>
              </w:rPr>
              <w:t>工程类中级及以上</w:t>
            </w:r>
            <w:r>
              <w:rPr>
                <w:rFonts w:hint="eastAsia" w:ascii="宋体" w:hAnsi="宋体" w:cs="宋体"/>
                <w:color w:val="auto"/>
                <w:highlight w:val="none"/>
              </w:rPr>
              <w:t>职称。</w:t>
            </w:r>
          </w:p>
          <w:p w14:paraId="20529D25">
            <w:pPr>
              <w:pStyle w:val="6"/>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.2专业监理工程师及监理员</w:t>
            </w:r>
          </w:p>
          <w:p w14:paraId="67812D42">
            <w:pPr>
              <w:pStyle w:val="6"/>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竞选人须承诺中标后在签订合同之前，按照有关行政部门的要求组建项目监理部，配置项目专业监理工程师及监理员，出具任命文件。任命文件应当明确各人员的职责、岗位设置、人员配备，并书面通知比选人。各人员应持有有关行政部门要求的证书，并提供竞选人为其缴纳的养老保险证明材料。中标后不能满足该要求的，比选人可取消其中标资格；签订合同后不满足该要求的，比选人按合同相关条款要求竞选人承担责任并上报有关行政部门；给比选人造成损失的，竞选人依法承担赔偿责任或违约责任。未提供上述承诺或承诺内容不符合要求的，由评标委员会作否决竞标处理。</w:t>
            </w:r>
          </w:p>
          <w:p w14:paraId="438DC178">
            <w:pPr>
              <w:pStyle w:val="6"/>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竞选人须在竞选文件资格审查部分提供承诺（格式</w:t>
            </w:r>
            <w:r>
              <w:rPr>
                <w:rFonts w:hint="eastAsia" w:ascii="宋体" w:hAnsi="宋体" w:cs="宋体"/>
                <w:b/>
                <w:bCs/>
                <w:color w:val="auto"/>
                <w:highlight w:val="none"/>
                <w:lang w:val="en-US" w:eastAsia="zh-CN"/>
              </w:rPr>
              <w:t>自拟</w:t>
            </w:r>
            <w:r>
              <w:rPr>
                <w:rFonts w:hint="eastAsia" w:ascii="宋体" w:hAnsi="宋体" w:cs="宋体"/>
                <w:b/>
                <w:bCs/>
                <w:color w:val="auto"/>
                <w:highlight w:val="none"/>
              </w:rPr>
              <w:t>）。</w:t>
            </w:r>
          </w:p>
          <w:p w14:paraId="3D47BD3C">
            <w:pPr>
              <w:snapToGrid w:val="0"/>
              <w:spacing w:line="400" w:lineRule="exact"/>
              <w:ind w:firstLine="422" w:firstLineChars="200"/>
              <w:rPr>
                <w:rFonts w:ascii="宋体" w:hAnsi="宋体" w:cs="宋体"/>
                <w:b/>
                <w:color w:val="auto"/>
                <w:highlight w:val="none"/>
              </w:rPr>
            </w:pPr>
            <w:r>
              <w:rPr>
                <w:rFonts w:hint="eastAsia" w:ascii="宋体" w:hAnsi="宋体" w:cs="宋体"/>
                <w:b/>
                <w:color w:val="auto"/>
                <w:highlight w:val="none"/>
              </w:rPr>
              <w:t>特别说明：</w:t>
            </w:r>
          </w:p>
          <w:p w14:paraId="0538E3EB">
            <w:pPr>
              <w:snapToGrid w:val="0"/>
              <w:spacing w:line="400" w:lineRule="exact"/>
              <w:ind w:firstLine="420" w:firstLineChars="200"/>
              <w:rPr>
                <w:b/>
                <w:bCs/>
                <w:color w:val="auto"/>
                <w:highlight w:val="none"/>
              </w:rPr>
            </w:pPr>
            <w:r>
              <w:rPr>
                <w:rFonts w:hint="eastAsia" w:ascii="宋体" w:hAnsi="宋体" w:cs="宋体"/>
                <w:color w:val="auto"/>
                <w:highlight w:val="none"/>
              </w:rPr>
              <w:t>（1）上述1～</w:t>
            </w:r>
            <w:r>
              <w:rPr>
                <w:rFonts w:hint="eastAsia" w:ascii="宋体" w:hAnsi="宋体" w:cs="宋体"/>
                <w:color w:val="auto"/>
                <w:highlight w:val="none"/>
                <w:lang w:val="en-US" w:eastAsia="zh-CN"/>
              </w:rPr>
              <w:t>4</w:t>
            </w:r>
            <w:r>
              <w:rPr>
                <w:rFonts w:hint="eastAsia" w:ascii="宋体" w:hAnsi="宋体" w:cs="宋体"/>
                <w:color w:val="auto"/>
                <w:highlight w:val="none"/>
              </w:rPr>
              <w:t>条所须提交的相关证明材料复印件均应加盖竞选单位公章并装入竞选文件资格审查部分中。上述1～</w:t>
            </w:r>
            <w:r>
              <w:rPr>
                <w:rFonts w:hint="eastAsia" w:ascii="宋体" w:hAnsi="宋体" w:cs="宋体"/>
                <w:color w:val="auto"/>
                <w:highlight w:val="none"/>
                <w:lang w:val="en-US" w:eastAsia="zh-CN"/>
              </w:rPr>
              <w:t>4</w:t>
            </w:r>
            <w:r>
              <w:rPr>
                <w:rFonts w:hint="eastAsia" w:ascii="宋体" w:hAnsi="宋体" w:cs="宋体"/>
                <w:color w:val="auto"/>
                <w:highlight w:val="none"/>
              </w:rPr>
              <w:t>条，有一条不满足，则竞选文件由</w:t>
            </w:r>
            <w:r>
              <w:rPr>
                <w:rFonts w:hint="eastAsia" w:ascii="宋体" w:hAnsi="宋体" w:cs="宋体"/>
                <w:color w:val="auto"/>
                <w:highlight w:val="none"/>
                <w:lang w:eastAsia="zh-CN"/>
              </w:rPr>
              <w:t>评标委员会</w:t>
            </w:r>
            <w:r>
              <w:rPr>
                <w:rFonts w:hint="eastAsia" w:ascii="宋体" w:hAnsi="宋体" w:cs="宋体"/>
                <w:color w:val="auto"/>
                <w:highlight w:val="none"/>
              </w:rPr>
              <w:t>作否决投标处理；</w:t>
            </w:r>
          </w:p>
          <w:p w14:paraId="5FA40E0A">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（2）比选人在合同签订前均有权对潜在竞选人提供的上述相关证明材料进行核实，若发现资料存在弄虚作假，按照相关法律法规处理， 其比选保证金不予退还，潜在竞选人承担因此造成的相关责任并赔偿相应损失。 </w:t>
            </w:r>
          </w:p>
          <w:p w14:paraId="329D65F3">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（3）本竞选文件中所要求的人员养老保险证明要求如下：</w:t>
            </w:r>
          </w:p>
          <w:p w14:paraId="551844E2">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①企业提供养老保险证明，事业单位提供养老保险证明或行政主管部门在编证明。</w:t>
            </w:r>
          </w:p>
          <w:p w14:paraId="24098073">
            <w:pPr>
              <w:autoSpaceDE w:val="0"/>
              <w:autoSpaceDN w:val="0"/>
              <w:adjustRightInd w:val="0"/>
              <w:snapToGrid w:val="0"/>
              <w:spacing w:line="400" w:lineRule="exact"/>
              <w:ind w:firstLine="420" w:firstLineChars="200"/>
              <w:rPr>
                <w:rFonts w:ascii="宋体" w:hAnsi="宋体" w:cs="宋体"/>
                <w:color w:val="auto"/>
                <w:kern w:val="0"/>
                <w:szCs w:val="21"/>
                <w:highlight w:val="none"/>
              </w:rPr>
            </w:pPr>
            <w:r>
              <w:rPr>
                <w:rFonts w:hint="eastAsia" w:asciiTheme="minorEastAsia" w:hAnsiTheme="minorEastAsia" w:eastAsiaTheme="minorEastAsia" w:cstheme="minorEastAsia"/>
                <w:bCs/>
                <w:color w:val="auto"/>
                <w:kern w:val="0"/>
                <w:szCs w:val="21"/>
                <w:highlight w:val="none"/>
              </w:rPr>
              <w:t>②</w:t>
            </w:r>
            <w:r>
              <w:rPr>
                <w:rFonts w:hint="eastAsia" w:asciiTheme="minorEastAsia" w:hAnsiTheme="minorEastAsia" w:eastAsiaTheme="minorEastAsia" w:cstheme="minorEastAsia"/>
                <w:bCs/>
                <w:snapToGrid w:val="0"/>
                <w:color w:val="auto"/>
                <w:kern w:val="0"/>
                <w:szCs w:val="21"/>
                <w:highlight w:val="none"/>
              </w:rPr>
              <w:t>总监理工程师的连续养老保险证明期限须包含</w:t>
            </w:r>
            <w:r>
              <w:rPr>
                <w:rFonts w:hint="eastAsia" w:asciiTheme="minorEastAsia" w:hAnsiTheme="minorEastAsia" w:eastAsiaTheme="minorEastAsia" w:cstheme="minorEastAsia"/>
                <w:bCs/>
                <w:snapToGrid w:val="0"/>
                <w:color w:val="auto"/>
                <w:kern w:val="0"/>
                <w:szCs w:val="21"/>
                <w:highlight w:val="none"/>
                <w:u w:val="single"/>
              </w:rPr>
              <w:t xml:space="preserve"> 202</w:t>
            </w:r>
            <w:r>
              <w:rPr>
                <w:rFonts w:hint="eastAsia" w:asciiTheme="minorEastAsia" w:hAnsiTheme="minorEastAsia" w:eastAsiaTheme="minorEastAsia" w:cstheme="minorEastAsia"/>
                <w:bCs/>
                <w:snapToGrid w:val="0"/>
                <w:color w:val="auto"/>
                <w:kern w:val="0"/>
                <w:szCs w:val="21"/>
                <w:highlight w:val="none"/>
                <w:u w:val="single"/>
                <w:lang w:val="en-US" w:eastAsia="zh-CN"/>
              </w:rPr>
              <w:t>5</w:t>
            </w:r>
            <w:r>
              <w:rPr>
                <w:rFonts w:hint="eastAsia" w:asciiTheme="minorEastAsia" w:hAnsiTheme="minorEastAsia" w:eastAsiaTheme="minorEastAsia" w:cstheme="minorEastAsia"/>
                <w:bCs/>
                <w:snapToGrid w:val="0"/>
                <w:color w:val="auto"/>
                <w:kern w:val="0"/>
                <w:szCs w:val="21"/>
                <w:highlight w:val="none"/>
                <w:u w:val="none"/>
              </w:rPr>
              <w:t>年</w:t>
            </w:r>
            <w:r>
              <w:rPr>
                <w:rFonts w:hint="eastAsia" w:asciiTheme="minorEastAsia" w:hAnsiTheme="minorEastAsia" w:eastAsiaTheme="minorEastAsia" w:cstheme="minorEastAsia"/>
                <w:bCs/>
                <w:snapToGrid w:val="0"/>
                <w:color w:val="auto"/>
                <w:kern w:val="0"/>
                <w:szCs w:val="21"/>
                <w:highlight w:val="none"/>
                <w:u w:val="single"/>
                <w:lang w:val="en-US" w:eastAsia="zh-CN"/>
              </w:rPr>
              <w:t>5</w:t>
            </w:r>
            <w:r>
              <w:rPr>
                <w:rFonts w:hint="eastAsia" w:asciiTheme="minorEastAsia" w:hAnsiTheme="minorEastAsia" w:eastAsiaTheme="minorEastAsia" w:cstheme="minorEastAsia"/>
                <w:bCs/>
                <w:snapToGrid w:val="0"/>
                <w:color w:val="auto"/>
                <w:kern w:val="0"/>
                <w:szCs w:val="21"/>
                <w:highlight w:val="none"/>
              </w:rPr>
              <w:t>月至</w:t>
            </w:r>
            <w:r>
              <w:rPr>
                <w:rFonts w:hint="eastAsia" w:asciiTheme="minorEastAsia" w:hAnsiTheme="minorEastAsia" w:eastAsiaTheme="minorEastAsia" w:cstheme="minorEastAsia"/>
                <w:bCs/>
                <w:snapToGrid w:val="0"/>
                <w:color w:val="auto"/>
                <w:kern w:val="0"/>
                <w:szCs w:val="21"/>
                <w:highlight w:val="none"/>
                <w:u w:val="single"/>
              </w:rPr>
              <w:t>202</w:t>
            </w:r>
            <w:r>
              <w:rPr>
                <w:rFonts w:hint="eastAsia" w:asciiTheme="minorEastAsia" w:hAnsiTheme="minorEastAsia" w:eastAsiaTheme="minorEastAsia" w:cstheme="minorEastAsia"/>
                <w:bCs/>
                <w:snapToGrid w:val="0"/>
                <w:color w:val="auto"/>
                <w:kern w:val="0"/>
                <w:szCs w:val="21"/>
                <w:highlight w:val="none"/>
                <w:u w:val="single"/>
                <w:lang w:val="en-US" w:eastAsia="zh-CN"/>
              </w:rPr>
              <w:t>5</w:t>
            </w:r>
            <w:r>
              <w:rPr>
                <w:rFonts w:hint="eastAsia" w:asciiTheme="minorEastAsia" w:hAnsiTheme="minorEastAsia" w:eastAsiaTheme="minorEastAsia" w:cstheme="minorEastAsia"/>
                <w:bCs/>
                <w:snapToGrid w:val="0"/>
                <w:color w:val="auto"/>
                <w:kern w:val="0"/>
                <w:szCs w:val="21"/>
                <w:highlight w:val="none"/>
                <w:u w:val="single"/>
              </w:rPr>
              <w:t xml:space="preserve"> </w:t>
            </w:r>
            <w:r>
              <w:rPr>
                <w:rFonts w:hint="eastAsia" w:asciiTheme="minorEastAsia" w:hAnsiTheme="minorEastAsia" w:eastAsiaTheme="minorEastAsia" w:cstheme="minorEastAsia"/>
                <w:bCs/>
                <w:snapToGrid w:val="0"/>
                <w:color w:val="auto"/>
                <w:kern w:val="0"/>
                <w:szCs w:val="21"/>
                <w:highlight w:val="none"/>
              </w:rPr>
              <w:t>年</w:t>
            </w:r>
            <w:r>
              <w:rPr>
                <w:rFonts w:hint="eastAsia" w:asciiTheme="minorEastAsia" w:hAnsiTheme="minorEastAsia" w:eastAsiaTheme="minorEastAsia" w:cstheme="minorEastAsia"/>
                <w:bCs/>
                <w:snapToGrid w:val="0"/>
                <w:color w:val="auto"/>
                <w:kern w:val="0"/>
                <w:szCs w:val="21"/>
                <w:highlight w:val="none"/>
                <w:u w:val="single"/>
                <w:lang w:val="en-US" w:eastAsia="zh-CN"/>
              </w:rPr>
              <w:t>10</w:t>
            </w:r>
            <w:r>
              <w:rPr>
                <w:rFonts w:hint="eastAsia" w:asciiTheme="minorEastAsia" w:hAnsiTheme="minorEastAsia" w:eastAsiaTheme="minorEastAsia" w:cstheme="minorEastAsia"/>
                <w:bCs/>
                <w:snapToGrid w:val="0"/>
                <w:color w:val="auto"/>
                <w:kern w:val="0"/>
                <w:szCs w:val="21"/>
                <w:highlight w:val="none"/>
              </w:rPr>
              <w:t>月</w:t>
            </w:r>
            <w:r>
              <w:rPr>
                <w:rFonts w:hint="eastAsia" w:asciiTheme="minorEastAsia" w:hAnsiTheme="minorEastAsia" w:eastAsiaTheme="minorEastAsia" w:cstheme="minorEastAsia"/>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687C8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B76276D">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964" w:type="dxa"/>
            <w:vAlign w:val="center"/>
          </w:tcPr>
          <w:p w14:paraId="2A758D8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744DB04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联合体竞选</w:t>
            </w:r>
          </w:p>
        </w:tc>
        <w:tc>
          <w:tcPr>
            <w:tcW w:w="6372" w:type="dxa"/>
            <w:vAlign w:val="center"/>
          </w:tcPr>
          <w:p w14:paraId="5B98B01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464D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65E45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964" w:type="dxa"/>
            <w:vAlign w:val="center"/>
          </w:tcPr>
          <w:p w14:paraId="0576990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372" w:type="dxa"/>
            <w:vAlign w:val="center"/>
          </w:tcPr>
          <w:p w14:paraId="5F925D53">
            <w:pPr>
              <w:snapToGrid w:val="0"/>
              <w:spacing w:line="400" w:lineRule="exact"/>
              <w:ind w:firstLine="420" w:firstLineChars="200"/>
              <w:rPr>
                <w:rFonts w:ascii="宋体" w:hAnsi="宋体" w:cs="宋体"/>
                <w:color w:val="auto"/>
                <w:kern w:val="0"/>
                <w:szCs w:val="21"/>
                <w:highlight w:val="none"/>
              </w:rPr>
            </w:pPr>
            <w:r>
              <w:rPr>
                <w:rFonts w:hint="eastAsia" w:ascii="MS Gothic" w:hAnsi="MS Gothic" w:eastAsia="MS Gothic" w:cs="MS Gothic"/>
                <w:color w:val="auto"/>
                <w:kern w:val="0"/>
                <w:szCs w:val="21"/>
                <w:highlight w:val="none"/>
              </w:rPr>
              <w:t>☑</w:t>
            </w:r>
            <w:r>
              <w:rPr>
                <w:rFonts w:hint="eastAsia" w:ascii="宋体" w:hAnsi="宋体" w:cs="宋体"/>
                <w:color w:val="auto"/>
                <w:kern w:val="0"/>
                <w:szCs w:val="21"/>
                <w:highlight w:val="none"/>
              </w:rPr>
              <w:t>不组织，由竞选人自行踏勘现场。</w:t>
            </w:r>
          </w:p>
        </w:tc>
      </w:tr>
      <w:tr w14:paraId="414AB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390E32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964" w:type="dxa"/>
            <w:vAlign w:val="center"/>
          </w:tcPr>
          <w:p w14:paraId="4E88EB1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比选预备会</w:t>
            </w:r>
          </w:p>
        </w:tc>
        <w:tc>
          <w:tcPr>
            <w:tcW w:w="6372" w:type="dxa"/>
            <w:vAlign w:val="center"/>
          </w:tcPr>
          <w:p w14:paraId="4FE3182A">
            <w:pPr>
              <w:snapToGrid w:val="0"/>
              <w:spacing w:line="400" w:lineRule="exact"/>
              <w:ind w:firstLine="420" w:firstLineChars="200"/>
              <w:rPr>
                <w:rFonts w:ascii="宋体" w:hAnsi="宋体" w:cs="宋体"/>
                <w:color w:val="auto"/>
                <w:kern w:val="0"/>
                <w:szCs w:val="21"/>
                <w:highlight w:val="none"/>
              </w:rPr>
            </w:pPr>
            <w:r>
              <w:rPr>
                <w:rFonts w:hint="eastAsia" w:ascii="MS Gothic" w:hAnsi="MS Gothic" w:eastAsia="MS Gothic" w:cs="MS Gothic"/>
                <w:color w:val="auto"/>
                <w:kern w:val="0"/>
                <w:szCs w:val="21"/>
                <w:highlight w:val="none"/>
              </w:rPr>
              <w:t>☑</w:t>
            </w:r>
            <w:r>
              <w:rPr>
                <w:rFonts w:hint="eastAsia" w:ascii="宋体" w:hAnsi="宋体" w:cs="宋体"/>
                <w:color w:val="auto"/>
                <w:kern w:val="0"/>
                <w:szCs w:val="21"/>
                <w:highlight w:val="none"/>
              </w:rPr>
              <w:t>不召开</w:t>
            </w:r>
          </w:p>
        </w:tc>
      </w:tr>
      <w:tr w14:paraId="7498C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38464AD">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964" w:type="dxa"/>
            <w:vAlign w:val="center"/>
          </w:tcPr>
          <w:p w14:paraId="76BA9CF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372" w:type="dxa"/>
            <w:vAlign w:val="center"/>
          </w:tcPr>
          <w:p w14:paraId="28FA616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tc>
      </w:tr>
      <w:tr w14:paraId="2A451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94C14F9">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964" w:type="dxa"/>
            <w:vAlign w:val="center"/>
          </w:tcPr>
          <w:p w14:paraId="3653BF98">
            <w:pPr>
              <w:snapToGrid w:val="0"/>
              <w:spacing w:after="15" w:afterLines="5"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372" w:type="dxa"/>
            <w:vAlign w:val="center"/>
          </w:tcPr>
          <w:p w14:paraId="1A9D4184">
            <w:pPr>
              <w:snapToGrid w:val="0"/>
              <w:spacing w:line="400" w:lineRule="exact"/>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比选人发出的答疑及补遗书</w:t>
            </w:r>
          </w:p>
        </w:tc>
      </w:tr>
      <w:tr w14:paraId="6935A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BBC119">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w:t>
            </w:r>
          </w:p>
        </w:tc>
        <w:tc>
          <w:tcPr>
            <w:tcW w:w="1964" w:type="dxa"/>
            <w:vAlign w:val="center"/>
          </w:tcPr>
          <w:p w14:paraId="504B6DA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竞选人对比选文件提出疑问的</w:t>
            </w:r>
          </w:p>
          <w:p w14:paraId="730678D7">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p>
        </w:tc>
        <w:tc>
          <w:tcPr>
            <w:tcW w:w="6372" w:type="dxa"/>
            <w:vAlign w:val="center"/>
          </w:tcPr>
          <w:p w14:paraId="347F1AE4">
            <w:pPr>
              <w:snapToGrid w:val="0"/>
              <w:spacing w:line="400" w:lineRule="exact"/>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color w:val="auto"/>
                <w:kern w:val="0"/>
                <w:szCs w:val="21"/>
                <w:highlight w:val="none"/>
                <w:u w:val="single"/>
              </w:rPr>
              <w:t xml:space="preserve"> 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1</w:t>
            </w:r>
            <w:r>
              <w:rPr>
                <w:rFonts w:hint="eastAsia" w:ascii="宋体" w:hAnsi="宋体" w:cs="宋体"/>
                <w:color w:val="auto"/>
                <w:kern w:val="0"/>
                <w:szCs w:val="21"/>
                <w:highlight w:val="none"/>
                <w:u w:val="single"/>
                <w:lang w:val="en-US" w:eastAsia="zh-CN"/>
              </w:rPr>
              <w:t>6</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00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前以书面形式提交。</w:t>
            </w:r>
          </w:p>
        </w:tc>
      </w:tr>
      <w:tr w14:paraId="62C1E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restart"/>
            <w:vAlign w:val="center"/>
          </w:tcPr>
          <w:p w14:paraId="145978F3">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2.2.2</w:t>
            </w:r>
          </w:p>
        </w:tc>
        <w:tc>
          <w:tcPr>
            <w:tcW w:w="1964" w:type="dxa"/>
            <w:vAlign w:val="center"/>
          </w:tcPr>
          <w:p w14:paraId="5A75FD0A">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比选人对比选文件答疑的截止时间</w:t>
            </w:r>
          </w:p>
        </w:tc>
        <w:tc>
          <w:tcPr>
            <w:tcW w:w="6372" w:type="dxa"/>
            <w:vAlign w:val="center"/>
          </w:tcPr>
          <w:p w14:paraId="5C69560D">
            <w:pPr>
              <w:snapToGrid w:val="0"/>
              <w:spacing w:line="400" w:lineRule="exact"/>
              <w:ind w:firstLine="420" w:firstLineChars="200"/>
              <w:rPr>
                <w:rFonts w:hint="eastAsia" w:ascii="宋体" w:hAnsi="宋体"/>
                <w:color w:val="auto"/>
                <w:kern w:val="0"/>
                <w:szCs w:val="21"/>
                <w:highlight w:val="none"/>
              </w:rPr>
            </w:pPr>
            <w:r>
              <w:rPr>
                <w:rFonts w:hint="eastAsia" w:cs="宋体" w:asciiTheme="minorEastAsia" w:hAnsiTheme="minorEastAsia" w:eastAsiaTheme="minorEastAsia"/>
                <w:color w:val="auto"/>
                <w:szCs w:val="21"/>
                <w:highlight w:val="none"/>
                <w:u w:val="single"/>
              </w:rPr>
              <w:t>2025</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lang w:val="en-US" w:eastAsia="zh-CN"/>
              </w:rPr>
              <w:t>12</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lang w:val="en-US" w:eastAsia="zh-CN"/>
              </w:rPr>
              <w:t>5</w:t>
            </w:r>
            <w:r>
              <w:rPr>
                <w:rFonts w:hint="eastAsia" w:cs="宋体" w:asciiTheme="minorEastAsia" w:hAnsiTheme="minorEastAsia" w:eastAsiaTheme="minorEastAsia"/>
                <w:color w:val="auto"/>
                <w:szCs w:val="21"/>
                <w:highlight w:val="none"/>
              </w:rPr>
              <w:t>日</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1</w:t>
            </w:r>
            <w:r>
              <w:rPr>
                <w:rFonts w:hint="eastAsia" w:cs="宋体" w:asciiTheme="minorEastAsia" w:hAnsiTheme="minorEastAsia" w:eastAsiaTheme="minorEastAsia"/>
                <w:color w:val="auto"/>
                <w:szCs w:val="21"/>
                <w:highlight w:val="none"/>
                <w:u w:val="single"/>
                <w:lang w:val="en-US" w:eastAsia="zh-CN"/>
              </w:rPr>
              <w:t>8</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lang w:val="en-US" w:eastAsia="zh-CN"/>
              </w:rPr>
              <w:t>00</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分（北京时间）</w:t>
            </w:r>
            <w:r>
              <w:rPr>
                <w:rFonts w:hint="eastAsia" w:cs="宋体" w:asciiTheme="minorEastAsia" w:hAnsiTheme="minorEastAsia" w:eastAsiaTheme="minorEastAsia"/>
                <w:color w:val="auto"/>
                <w:kern w:val="0"/>
                <w:szCs w:val="21"/>
                <w:highlight w:val="none"/>
              </w:rPr>
              <w:t>前对所有</w:t>
            </w:r>
            <w:r>
              <w:rPr>
                <w:rFonts w:hint="eastAsia" w:cs="宋体" w:asciiTheme="minorEastAsia" w:hAnsiTheme="minorEastAsia" w:eastAsiaTheme="minorEastAsia"/>
                <w:color w:val="auto"/>
                <w:kern w:val="0"/>
                <w:szCs w:val="21"/>
                <w:highlight w:val="none"/>
                <w:lang w:eastAsia="zh-CN"/>
              </w:rPr>
              <w:t>竞选人</w:t>
            </w:r>
            <w:r>
              <w:rPr>
                <w:rFonts w:hint="eastAsia" w:cs="宋体" w:asciiTheme="minorEastAsia" w:hAnsiTheme="minorEastAsia" w:eastAsiaTheme="minorEastAsia"/>
                <w:color w:val="auto"/>
                <w:kern w:val="0"/>
                <w:szCs w:val="21"/>
                <w:highlight w:val="none"/>
              </w:rPr>
              <w:t>提出的问题在《行采家》https://www.gec123.com/发布，</w:t>
            </w:r>
            <w:r>
              <w:rPr>
                <w:rFonts w:hint="eastAsia" w:cs="宋体" w:asciiTheme="minorEastAsia" w:hAnsiTheme="minorEastAsia" w:eastAsiaTheme="minorEastAsia"/>
                <w:color w:val="auto"/>
                <w:kern w:val="0"/>
                <w:szCs w:val="21"/>
                <w:highlight w:val="none"/>
                <w:lang w:eastAsia="zh-CN"/>
              </w:rPr>
              <w:t>竞选人</w:t>
            </w:r>
            <w:r>
              <w:rPr>
                <w:rFonts w:hint="eastAsia" w:cs="宋体" w:asciiTheme="minorEastAsia" w:hAnsiTheme="minorEastAsia" w:eastAsiaTheme="minorEastAsia"/>
                <w:color w:val="auto"/>
                <w:kern w:val="0"/>
                <w:szCs w:val="21"/>
                <w:highlight w:val="none"/>
              </w:rPr>
              <w:t>在开标前因未随时关注发布的补遗通知而产生的一切后果由</w:t>
            </w:r>
            <w:r>
              <w:rPr>
                <w:rFonts w:hint="eastAsia" w:cs="宋体" w:asciiTheme="minorEastAsia" w:hAnsiTheme="minorEastAsia" w:eastAsiaTheme="minorEastAsia"/>
                <w:color w:val="auto"/>
                <w:kern w:val="0"/>
                <w:szCs w:val="21"/>
                <w:highlight w:val="none"/>
                <w:lang w:eastAsia="zh-CN"/>
              </w:rPr>
              <w:t>竞选人</w:t>
            </w:r>
            <w:r>
              <w:rPr>
                <w:rFonts w:hint="eastAsia" w:cs="宋体" w:asciiTheme="minorEastAsia" w:hAnsiTheme="minorEastAsia" w:eastAsiaTheme="minorEastAsia"/>
                <w:color w:val="auto"/>
                <w:kern w:val="0"/>
                <w:szCs w:val="21"/>
                <w:highlight w:val="none"/>
              </w:rPr>
              <w:t>自负。</w:t>
            </w:r>
            <w:r>
              <w:rPr>
                <w:rFonts w:hint="eastAsia" w:ascii="宋体" w:hAnsi="宋体" w:cs="宋体"/>
                <w:color w:val="auto"/>
                <w:kern w:val="0"/>
                <w:highlight w:val="none"/>
              </w:rPr>
              <w:t xml:space="preserve"> </w:t>
            </w:r>
          </w:p>
        </w:tc>
      </w:tr>
      <w:tr w14:paraId="08BD9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Merge w:val="continue"/>
            <w:vAlign w:val="center"/>
          </w:tcPr>
          <w:p w14:paraId="0A24DD6A">
            <w:pPr>
              <w:snapToGrid w:val="0"/>
              <w:spacing w:line="400" w:lineRule="exact"/>
              <w:jc w:val="center"/>
              <w:rPr>
                <w:rFonts w:ascii="宋体" w:hAnsi="宋体" w:cs="宋体"/>
                <w:color w:val="auto"/>
                <w:kern w:val="0"/>
                <w:szCs w:val="21"/>
                <w:highlight w:val="none"/>
              </w:rPr>
            </w:pPr>
          </w:p>
        </w:tc>
        <w:tc>
          <w:tcPr>
            <w:tcW w:w="1964" w:type="dxa"/>
            <w:vAlign w:val="center"/>
          </w:tcPr>
          <w:p w14:paraId="32CA21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竞选文件递交</w:t>
            </w:r>
          </w:p>
          <w:p w14:paraId="1819745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截止时间</w:t>
            </w:r>
          </w:p>
        </w:tc>
        <w:tc>
          <w:tcPr>
            <w:tcW w:w="6372" w:type="dxa"/>
            <w:vAlign w:val="center"/>
          </w:tcPr>
          <w:p w14:paraId="36007A64">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详见竞选公告规定的竞选截止时间。</w:t>
            </w:r>
          </w:p>
        </w:tc>
      </w:tr>
      <w:tr w14:paraId="54C46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B8BD1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964" w:type="dxa"/>
            <w:vAlign w:val="center"/>
          </w:tcPr>
          <w:p w14:paraId="054912D2">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构成竞选文件</w:t>
            </w:r>
          </w:p>
          <w:p w14:paraId="0917E5D9">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的其他材料</w:t>
            </w:r>
          </w:p>
        </w:tc>
        <w:tc>
          <w:tcPr>
            <w:tcW w:w="6372" w:type="dxa"/>
            <w:vAlign w:val="center"/>
          </w:tcPr>
          <w:p w14:paraId="5B9AC11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竞选人的书面澄清、说明和补正（但不得改变竞选文件的实质性内容）</w:t>
            </w:r>
          </w:p>
        </w:tc>
      </w:tr>
      <w:tr w14:paraId="35D3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F45F6F9">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1964" w:type="dxa"/>
            <w:vAlign w:val="center"/>
          </w:tcPr>
          <w:p w14:paraId="308A527E">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增值税税金的计算方式</w:t>
            </w:r>
          </w:p>
        </w:tc>
        <w:tc>
          <w:tcPr>
            <w:tcW w:w="6372" w:type="dxa"/>
            <w:vAlign w:val="center"/>
          </w:tcPr>
          <w:p w14:paraId="75D3D9C2">
            <w:pPr>
              <w:pStyle w:val="7"/>
              <w:tabs>
                <w:tab w:val="left" w:pos="546"/>
                <w:tab w:val="left" w:pos="711"/>
              </w:tabs>
              <w:snapToGrid w:val="0"/>
              <w:spacing w:after="0" w:line="400" w:lineRule="exact"/>
              <w:ind w:left="6" w:leftChars="3"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增值税计税方法由</w:t>
            </w:r>
            <w:r>
              <w:rPr>
                <w:rFonts w:hint="eastAsia" w:asciiTheme="minorEastAsia" w:hAnsiTheme="minorEastAsia" w:eastAsiaTheme="minorEastAsia" w:cstheme="minorEastAsia"/>
                <w:color w:val="auto"/>
                <w:szCs w:val="21"/>
                <w:highlight w:val="none"/>
                <w:lang w:eastAsia="zh-CN"/>
              </w:rPr>
              <w:t>比选人</w:t>
            </w:r>
            <w:r>
              <w:rPr>
                <w:rFonts w:hint="eastAsia" w:asciiTheme="minorEastAsia" w:hAnsiTheme="minorEastAsia" w:eastAsiaTheme="minorEastAsia" w:cstheme="minorEastAsia"/>
                <w:color w:val="auto"/>
                <w:szCs w:val="21"/>
                <w:highlight w:val="none"/>
              </w:rPr>
              <w:t>依据国家税法规定选择：</w:t>
            </w:r>
          </w:p>
          <w:p w14:paraId="4F8BCA7F">
            <w:pPr>
              <w:pStyle w:val="7"/>
              <w:tabs>
                <w:tab w:val="left" w:pos="546"/>
                <w:tab w:val="left" w:pos="711"/>
              </w:tabs>
              <w:snapToGrid w:val="0"/>
              <w:spacing w:after="0" w:line="400" w:lineRule="exact"/>
              <w:ind w:left="6" w:leftChars="3" w:firstLine="420" w:firstLineChars="200"/>
              <w:rPr>
                <w:rFonts w:asciiTheme="minorEastAsia" w:hAnsiTheme="minorEastAsia" w:eastAsiaTheme="minorEastAsia" w:cstheme="minorEastAsia"/>
                <w:color w:val="auto"/>
                <w:szCs w:val="21"/>
                <w:highlight w:val="none"/>
              </w:rPr>
            </w:pPr>
            <w:r>
              <w:rPr>
                <w:rFonts w:hint="eastAsia" w:ascii="MS Gothic" w:hAnsi="MS Gothic" w:eastAsia="MS Gothic" w:cs="MS Gothic"/>
                <w:snapToGrid w:val="0"/>
                <w:color w:val="auto"/>
                <w:kern w:val="0"/>
                <w:szCs w:val="21"/>
                <w:highlight w:val="none"/>
              </w:rPr>
              <w:t>☑</w:t>
            </w:r>
            <w:r>
              <w:rPr>
                <w:rFonts w:hint="eastAsia" w:asciiTheme="minorEastAsia" w:hAnsiTheme="minorEastAsia" w:eastAsiaTheme="minorEastAsia" w:cstheme="minorEastAsia"/>
                <w:color w:val="auto"/>
                <w:szCs w:val="21"/>
                <w:highlight w:val="none"/>
              </w:rPr>
              <w:t>一般计税法</w:t>
            </w:r>
          </w:p>
        </w:tc>
      </w:tr>
      <w:tr w14:paraId="02631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86DFC90">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p>
        </w:tc>
        <w:tc>
          <w:tcPr>
            <w:tcW w:w="1964" w:type="dxa"/>
            <w:vAlign w:val="center"/>
          </w:tcPr>
          <w:p w14:paraId="0CDFD20F">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报价方式</w:t>
            </w:r>
          </w:p>
        </w:tc>
        <w:tc>
          <w:tcPr>
            <w:tcW w:w="6372" w:type="dxa"/>
            <w:vAlign w:val="center"/>
          </w:tcPr>
          <w:p w14:paraId="1F2E847F">
            <w:pPr>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本次招标采用的报价方式为：固定总价报价</w:t>
            </w:r>
            <w:r>
              <w:rPr>
                <w:rFonts w:hint="eastAsia" w:asciiTheme="minorEastAsia" w:hAnsiTheme="minorEastAsia" w:eastAsiaTheme="minorEastAsia" w:cstheme="minorEastAsia"/>
                <w:color w:val="auto"/>
                <w:szCs w:val="21"/>
                <w:highlight w:val="none"/>
                <w:lang w:eastAsia="zh-CN"/>
              </w:rPr>
              <w:t>。</w:t>
            </w:r>
          </w:p>
        </w:tc>
      </w:tr>
      <w:tr w14:paraId="57463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4746AE9">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w:t>
            </w:r>
          </w:p>
        </w:tc>
        <w:tc>
          <w:tcPr>
            <w:tcW w:w="1964" w:type="dxa"/>
            <w:vAlign w:val="center"/>
          </w:tcPr>
          <w:p w14:paraId="7F9ED46D">
            <w:pPr>
              <w:spacing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6372" w:type="dxa"/>
            <w:vAlign w:val="center"/>
          </w:tcPr>
          <w:p w14:paraId="69B54070">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本项目监理服务费按折扣比例方式报价，根据《建设工程监理与相关服务收费管理规定》的通知（发改价格〔2007〕670号）相关规定，本项目工程建设监理费收费基价为906418.28元，投标人根据填报的折扣比例计算工程建设监理费报价，工程建设监理费折扣比例必须≤70%，工程建设监理费最高限价为634492.79元。</w:t>
            </w:r>
          </w:p>
          <w:p w14:paraId="7F859F13">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2.投标人填报的工程建设监理费暂定金额=工程建设监理费收费基价×投标人填报的折扣比例，各投标人填报的折扣比例最多可保留至小数点后两位，且不得超过招标人公布的最高限价，否则按废标处理。</w:t>
            </w:r>
          </w:p>
          <w:p w14:paraId="49EF7A8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3.投标人填报的工程建设监理费只作为投标评审的依据，不作为结算依据。</w:t>
            </w:r>
          </w:p>
          <w:p w14:paraId="26292BA6">
            <w:pPr>
              <w:spacing w:line="400" w:lineRule="exact"/>
              <w:ind w:firstLine="420" w:firstLineChars="200"/>
              <w:rPr>
                <w:color w:val="auto"/>
                <w:szCs w:val="21"/>
                <w:highlight w:val="none"/>
              </w:rPr>
            </w:pPr>
            <w:r>
              <w:rPr>
                <w:rFonts w:hint="eastAsia" w:asciiTheme="minorEastAsia" w:hAnsiTheme="minorEastAsia" w:eastAsiaTheme="minorEastAsia" w:cstheme="minorEastAsia"/>
                <w:color w:val="auto"/>
                <w:szCs w:val="21"/>
                <w:highlight w:val="none"/>
              </w:rPr>
              <w:t>注：评标委员会发现投标人的投标</w:t>
            </w:r>
            <w:r>
              <w:rPr>
                <w:rFonts w:hint="eastAsia" w:asciiTheme="minorEastAsia" w:hAnsiTheme="minorEastAsia" w:eastAsiaTheme="minorEastAsia" w:cstheme="minorEastAsia"/>
                <w:color w:val="auto"/>
                <w:szCs w:val="21"/>
                <w:highlight w:val="none"/>
                <w:lang w:val="en-US" w:eastAsia="zh-CN"/>
              </w:rPr>
              <w:t>报价</w:t>
            </w:r>
            <w:r>
              <w:rPr>
                <w:rFonts w:hint="eastAsia" w:asciiTheme="minorEastAsia" w:hAnsiTheme="minorEastAsia" w:eastAsiaTheme="minorEastAsia" w:cstheme="minorEastAsia"/>
                <w:color w:val="auto"/>
                <w:szCs w:val="21"/>
                <w:highlight w:val="none"/>
              </w:rPr>
              <w:t>明显低于其他投标</w:t>
            </w:r>
            <w:r>
              <w:rPr>
                <w:rFonts w:hint="eastAsia" w:asciiTheme="minorEastAsia" w:hAnsiTheme="minorEastAsia" w:eastAsiaTheme="minorEastAsia" w:cstheme="minorEastAsia"/>
                <w:color w:val="auto"/>
                <w:szCs w:val="21"/>
                <w:highlight w:val="none"/>
                <w:lang w:val="en-US" w:eastAsia="zh-CN"/>
              </w:rPr>
              <w:t>报价的</w:t>
            </w:r>
            <w:r>
              <w:rPr>
                <w:rFonts w:hint="eastAsia" w:asciiTheme="minorEastAsia" w:hAnsiTheme="minorEastAsia" w:eastAsiaTheme="minorEastAsia" w:cstheme="minorEastAsia"/>
                <w:color w:val="auto"/>
                <w:szCs w:val="21"/>
                <w:highlight w:val="none"/>
              </w:rPr>
              <w:t>，使得其投标</w:t>
            </w:r>
            <w:r>
              <w:rPr>
                <w:rFonts w:hint="eastAsia" w:asciiTheme="minorEastAsia" w:hAnsiTheme="minorEastAsia" w:eastAsiaTheme="minorEastAsia" w:cstheme="minorEastAsia"/>
                <w:color w:val="auto"/>
                <w:szCs w:val="21"/>
                <w:highlight w:val="none"/>
                <w:lang w:val="en-US" w:eastAsia="zh-CN"/>
              </w:rPr>
              <w:t>报价</w:t>
            </w:r>
            <w:r>
              <w:rPr>
                <w:rFonts w:hint="eastAsia" w:asciiTheme="minorEastAsia" w:hAnsiTheme="minorEastAsia" w:eastAsiaTheme="minorEastAsia" w:cstheme="minorEastAsia"/>
                <w:color w:val="auto"/>
                <w:szCs w:val="21"/>
                <w:highlight w:val="none"/>
              </w:rPr>
              <w:t>可能低于其个别成本的，应要求该投标人作出书面说明并提供相应的证明材料。投标人不能合理说明或不能提供相应证明材料的，评标委员会应认定该投标人以低</w:t>
            </w:r>
            <w:r>
              <w:rPr>
                <w:rFonts w:hint="eastAsia"/>
                <w:color w:val="auto"/>
                <w:highlight w:val="none"/>
              </w:rPr>
              <w:t>于成本报价竞标，并否决其投标。</w:t>
            </w:r>
          </w:p>
        </w:tc>
      </w:tr>
      <w:tr w14:paraId="75FC4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26EB57A">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3.2</w:t>
            </w:r>
            <w:r>
              <w:rPr>
                <w:rFonts w:hint="eastAsia" w:ascii="宋体" w:hAnsi="宋体" w:cs="宋体"/>
                <w:color w:val="auto"/>
                <w:kern w:val="0"/>
                <w:szCs w:val="21"/>
                <w:highlight w:val="none"/>
                <w:lang w:val="en-US" w:eastAsia="zh-CN"/>
              </w:rPr>
              <w:t>.5</w:t>
            </w:r>
          </w:p>
        </w:tc>
        <w:tc>
          <w:tcPr>
            <w:tcW w:w="1964" w:type="dxa"/>
            <w:vAlign w:val="center"/>
          </w:tcPr>
          <w:p w14:paraId="049DD018">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竞选报价</w:t>
            </w:r>
            <w:r>
              <w:rPr>
                <w:rFonts w:hint="eastAsia" w:ascii="宋体" w:hAnsi="宋体" w:cs="宋体"/>
                <w:color w:val="auto"/>
                <w:kern w:val="0"/>
                <w:szCs w:val="21"/>
                <w:highlight w:val="none"/>
                <w:lang w:val="en-US" w:eastAsia="zh-CN"/>
              </w:rPr>
              <w:t>的其他要求</w:t>
            </w:r>
          </w:p>
        </w:tc>
        <w:tc>
          <w:tcPr>
            <w:tcW w:w="6372" w:type="dxa"/>
            <w:vAlign w:val="center"/>
          </w:tcPr>
          <w:p w14:paraId="012E324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竞选人的竞选报价为完成本次比选确定的监理范围和监理工作内容所需的全部费用（含施工准备阶段、施工阶段及缺陷责任期）。具体包括为实施和完成本项目全部监理工作所需的劳务费、技术服务费、设备的使用和管理、检测和试验费用、办公家具、办公设施、通讯工具、通讯费用、生活用房、生活设施及生活费用、交通工具、保险、税费、利润及协调费等实施工程监理所产生的一切费用。比选人除此以外不支付其它费用，竞选人也不得与本项目的承包人发生任何经济关系。</w:t>
            </w:r>
          </w:p>
          <w:p w14:paraId="17FAD542">
            <w:pPr>
              <w:spacing w:line="400" w:lineRule="exact"/>
              <w:ind w:firstLine="420" w:firstLineChars="200"/>
              <w:rPr>
                <w:color w:val="auto"/>
                <w:highlight w:val="none"/>
              </w:rPr>
            </w:pPr>
            <w:r>
              <w:rPr>
                <w:rFonts w:ascii="宋体" w:hAnsi="宋体"/>
                <w:color w:val="auto"/>
                <w:kern w:val="0"/>
                <w:szCs w:val="21"/>
                <w:highlight w:val="none"/>
              </w:rPr>
              <w:t>竞选人的监理报酬包含监理机构按相关规范及要求利用必要的检查、检测手段或委托专业实验单位在监理单位自检的基础上，按比例独立进行平行抽检的相关费用及相应的试验检测费。</w:t>
            </w:r>
          </w:p>
          <w:p w14:paraId="11FCC7A4">
            <w:pPr>
              <w:numPr>
                <w:ilvl w:val="0"/>
                <w:numId w:val="0"/>
              </w:numPr>
              <w:spacing w:line="400" w:lineRule="exact"/>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2.现场条件</w:t>
            </w:r>
          </w:p>
          <w:p w14:paraId="63A76C3D">
            <w:pPr>
              <w:numPr>
                <w:ilvl w:val="0"/>
                <w:numId w:val="0"/>
              </w:numPr>
              <w:spacing w:line="400" w:lineRule="exact"/>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监理单位应根据工程范围内及周边的现有地方路网和现场情况，以及施工期间各路网及交通、航运变化情况，根据现场考察情况、地勘资料，结合总体平面布置，对施工单位施工过程中的进场道路和施工便道、栈桥布设、行车干扰及任何其它相关情况采用相应的监理方法及措施予以控制、协调，相关费用包含在监理费竞选总报价中。</w:t>
            </w:r>
          </w:p>
          <w:p w14:paraId="023F82A0">
            <w:pPr>
              <w:numPr>
                <w:ilvl w:val="0"/>
                <w:numId w:val="0"/>
              </w:num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Cs w:val="21"/>
                <w:highlight w:val="none"/>
              </w:rPr>
              <w:t>延期监理费</w:t>
            </w:r>
          </w:p>
          <w:p w14:paraId="5844D479">
            <w:pPr>
              <w:numPr>
                <w:ilvl w:val="0"/>
                <w:numId w:val="0"/>
              </w:numPr>
              <w:spacing w:line="400" w:lineRule="exact"/>
              <w:ind w:firstLine="420" w:firstLineChars="200"/>
              <w:rPr>
                <w:rFonts w:hint="eastAsia" w:ascii="宋体" w:hAnsi="宋体"/>
                <w:color w:val="auto"/>
                <w:kern w:val="0"/>
                <w:szCs w:val="21"/>
                <w:highlight w:val="none"/>
              </w:rPr>
            </w:pPr>
            <w:r>
              <w:rPr>
                <w:rFonts w:hint="eastAsia" w:asciiTheme="minorEastAsia" w:hAnsiTheme="minorEastAsia" w:eastAsiaTheme="minorEastAsia" w:cstheme="minorEastAsia"/>
                <w:color w:val="auto"/>
                <w:szCs w:val="21"/>
                <w:highlight w:val="none"/>
              </w:rPr>
              <w:t>监理费竞选报价包括在施工准备阶段、施工阶段及完工验收、</w:t>
            </w:r>
            <w:r>
              <w:rPr>
                <w:rFonts w:hint="eastAsia" w:ascii="宋体" w:hAnsi="宋体"/>
                <w:color w:val="auto"/>
                <w:kern w:val="0"/>
                <w:szCs w:val="21"/>
                <w:highlight w:val="none"/>
              </w:rPr>
              <w:t>竣工验收、办理</w:t>
            </w:r>
            <w:r>
              <w:rPr>
                <w:rFonts w:hint="eastAsia" w:asciiTheme="minorEastAsia" w:hAnsiTheme="minorEastAsia" w:eastAsiaTheme="minorEastAsia" w:cstheme="minorEastAsia"/>
                <w:color w:val="auto"/>
                <w:szCs w:val="21"/>
                <w:highlight w:val="none"/>
              </w:rPr>
              <w:t>结算、缺陷责任期（含配合审计工作）期间的总费用。在监理服务合同有效期内无论物价变动、国家或地方政府的法律法规的变动，均不增减监理费。</w:t>
            </w:r>
            <w:r>
              <w:rPr>
                <w:rFonts w:asciiTheme="minorEastAsia" w:hAnsiTheme="minorEastAsia" w:eastAsiaTheme="minorEastAsia" w:cstheme="minorEastAsia"/>
                <w:color w:val="auto"/>
                <w:szCs w:val="21"/>
                <w:highlight w:val="none"/>
              </w:rPr>
              <w:t>非监理人的原因导致工程延期</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监理合同</w:t>
            </w:r>
            <w:r>
              <w:rPr>
                <w:rFonts w:hint="eastAsia" w:asciiTheme="minorEastAsia" w:hAnsiTheme="minorEastAsia" w:eastAsiaTheme="minorEastAsia" w:cstheme="minorEastAsia"/>
                <w:color w:val="auto"/>
                <w:szCs w:val="21"/>
                <w:highlight w:val="none"/>
              </w:rPr>
              <w:t>相</w:t>
            </w:r>
            <w:r>
              <w:rPr>
                <w:rFonts w:asciiTheme="minorEastAsia" w:hAnsiTheme="minorEastAsia" w:eastAsiaTheme="minorEastAsia" w:cstheme="minorEastAsia"/>
                <w:color w:val="auto"/>
                <w:szCs w:val="21"/>
                <w:highlight w:val="none"/>
              </w:rPr>
              <w:t>应延期</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延期的监理报酬计算方式：</w:t>
            </w:r>
            <w:r>
              <w:rPr>
                <w:rFonts w:hint="eastAsia" w:asciiTheme="minorEastAsia" w:hAnsiTheme="minorEastAsia" w:eastAsiaTheme="minorEastAsia" w:cstheme="minorEastAsia"/>
                <w:color w:val="auto"/>
                <w:szCs w:val="21"/>
                <w:highlight w:val="none"/>
                <w:u w:val="single"/>
              </w:rPr>
              <w:t xml:space="preserve">不调整 </w:t>
            </w:r>
            <w:r>
              <w:rPr>
                <w:rFonts w:hint="eastAsia" w:ascii="宋体" w:hAnsi="宋体"/>
                <w:color w:val="auto"/>
                <w:kern w:val="0"/>
                <w:szCs w:val="21"/>
                <w:highlight w:val="none"/>
              </w:rPr>
              <w:t>。</w:t>
            </w:r>
          </w:p>
          <w:p w14:paraId="78750064">
            <w:pPr>
              <w:numPr>
                <w:ilvl w:val="0"/>
                <w:numId w:val="0"/>
              </w:numPr>
              <w:spacing w:line="400" w:lineRule="exact"/>
              <w:ind w:firstLine="420" w:firstLineChars="200"/>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w:t>
            </w:r>
            <w:r>
              <w:rPr>
                <w:rFonts w:hint="default" w:ascii="宋体" w:hAnsi="宋体"/>
                <w:color w:val="auto"/>
                <w:kern w:val="0"/>
                <w:szCs w:val="21"/>
                <w:highlight w:val="none"/>
                <w:lang w:val="en-US" w:eastAsia="zh-CN"/>
              </w:rPr>
              <w:t>.结算原则</w:t>
            </w:r>
          </w:p>
          <w:p w14:paraId="31705013">
            <w:pPr>
              <w:numPr>
                <w:ilvl w:val="0"/>
                <w:numId w:val="0"/>
              </w:numPr>
              <w:spacing w:line="400" w:lineRule="exact"/>
              <w:ind w:firstLine="420" w:firstLineChars="200"/>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本项目监理服务费结算价=</w:t>
            </w:r>
            <w:r>
              <w:rPr>
                <w:rFonts w:hint="eastAsia" w:ascii="宋体" w:hAnsi="宋体" w:eastAsia="宋体" w:cs="Times New Roman"/>
                <w:color w:val="auto"/>
                <w:kern w:val="0"/>
                <w:szCs w:val="21"/>
                <w:highlight w:val="none"/>
                <w:lang w:val="en-US" w:eastAsia="zh-CN"/>
              </w:rPr>
              <w:t>根据经审计部门审定的建安工程费计算出工程建设监理费收费基价×中标人填报的折扣比例</w:t>
            </w:r>
            <w:r>
              <w:rPr>
                <w:rFonts w:hint="default" w:ascii="宋体" w:hAnsi="宋体"/>
                <w:color w:val="auto"/>
                <w:kern w:val="0"/>
                <w:szCs w:val="21"/>
                <w:highlight w:val="none"/>
                <w:lang w:val="en-US" w:eastAsia="zh-CN"/>
              </w:rPr>
              <w:t>。</w:t>
            </w:r>
          </w:p>
        </w:tc>
      </w:tr>
      <w:tr w14:paraId="365CE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8E58C6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964" w:type="dxa"/>
            <w:vAlign w:val="center"/>
          </w:tcPr>
          <w:p w14:paraId="5631FA4D">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372" w:type="dxa"/>
            <w:vAlign w:val="center"/>
          </w:tcPr>
          <w:p w14:paraId="5468BDF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日历天（从提交竞选文件截止日起计算）</w:t>
            </w:r>
          </w:p>
        </w:tc>
      </w:tr>
      <w:tr w14:paraId="6339C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33" w:type="dxa"/>
            <w:vAlign w:val="center"/>
          </w:tcPr>
          <w:p w14:paraId="2CA4E4A7">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3.4</w:t>
            </w:r>
            <w:r>
              <w:rPr>
                <w:rFonts w:hint="eastAsia" w:ascii="宋体" w:hAnsi="宋体" w:cs="宋体"/>
                <w:color w:val="auto"/>
                <w:kern w:val="0"/>
                <w:szCs w:val="21"/>
                <w:highlight w:val="none"/>
                <w:lang w:val="en-US" w:eastAsia="zh-CN"/>
              </w:rPr>
              <w:t>.1</w:t>
            </w:r>
          </w:p>
        </w:tc>
        <w:tc>
          <w:tcPr>
            <w:tcW w:w="1964" w:type="dxa"/>
            <w:vAlign w:val="center"/>
          </w:tcPr>
          <w:p w14:paraId="6B068F1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比选保证金</w:t>
            </w:r>
          </w:p>
        </w:tc>
        <w:tc>
          <w:tcPr>
            <w:tcW w:w="6372" w:type="dxa"/>
            <w:vAlign w:val="center"/>
          </w:tcPr>
          <w:p w14:paraId="335E1870">
            <w:pPr>
              <w:keepNext w:val="0"/>
              <w:keepLines w:val="0"/>
              <w:pageBreakBefore w:val="0"/>
              <w:widowControl w:val="0"/>
              <w:kinsoku/>
              <w:wordWrap/>
              <w:overflowPunct/>
              <w:topLinePunct w:val="0"/>
              <w:autoSpaceDE/>
              <w:autoSpaceDN/>
              <w:bidi w:val="0"/>
              <w:adjustRightInd/>
              <w:spacing w:line="400" w:lineRule="exact"/>
              <w:ind w:firstLine="210" w:firstLineChars="100"/>
              <w:textAlignment w:val="auto"/>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无</w:t>
            </w:r>
          </w:p>
        </w:tc>
      </w:tr>
      <w:tr w14:paraId="434AE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77E028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3.5.1</w:t>
            </w:r>
          </w:p>
        </w:tc>
        <w:tc>
          <w:tcPr>
            <w:tcW w:w="1964" w:type="dxa"/>
            <w:vAlign w:val="center"/>
          </w:tcPr>
          <w:p w14:paraId="396A25D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资格审查资料</w:t>
            </w:r>
          </w:p>
        </w:tc>
        <w:tc>
          <w:tcPr>
            <w:tcW w:w="6372" w:type="dxa"/>
            <w:vAlign w:val="center"/>
          </w:tcPr>
          <w:p w14:paraId="63F123AF">
            <w:pPr>
              <w:snapToGrid w:val="0"/>
              <w:spacing w:after="93" w:afterLines="3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按1.4.1要求提供</w:t>
            </w:r>
          </w:p>
        </w:tc>
      </w:tr>
      <w:tr w14:paraId="539D7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33" w:type="dxa"/>
            <w:vAlign w:val="center"/>
          </w:tcPr>
          <w:p w14:paraId="5A6C53D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964" w:type="dxa"/>
            <w:vAlign w:val="center"/>
          </w:tcPr>
          <w:p w14:paraId="742DF81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18DE819B">
            <w:pPr>
              <w:snapToGrid w:val="0"/>
              <w:spacing w:after="93" w:afterLines="3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备选竞选方案</w:t>
            </w:r>
          </w:p>
        </w:tc>
        <w:tc>
          <w:tcPr>
            <w:tcW w:w="6372" w:type="dxa"/>
            <w:vAlign w:val="center"/>
          </w:tcPr>
          <w:p w14:paraId="26237E82">
            <w:pPr>
              <w:snapToGrid w:val="0"/>
              <w:spacing w:line="400" w:lineRule="exact"/>
              <w:ind w:firstLine="420" w:firstLineChars="200"/>
              <w:rPr>
                <w:rFonts w:ascii="宋体" w:hAnsi="宋体" w:cs="宋体"/>
                <w:color w:val="auto"/>
                <w:kern w:val="0"/>
                <w:szCs w:val="21"/>
                <w:highlight w:val="none"/>
              </w:rPr>
            </w:pPr>
            <w:r>
              <w:rPr>
                <w:rFonts w:hint="eastAsia" w:ascii="MS Gothic" w:hAnsi="MS Gothic" w:eastAsia="MS Gothic" w:cs="MS Gothic"/>
                <w:color w:val="auto"/>
                <w:kern w:val="0"/>
                <w:szCs w:val="21"/>
                <w:highlight w:val="none"/>
              </w:rPr>
              <w:t>☑</w:t>
            </w:r>
            <w:r>
              <w:rPr>
                <w:rFonts w:hint="eastAsia" w:ascii="宋体" w:hAnsi="宋体" w:cs="宋体"/>
                <w:color w:val="auto"/>
                <w:kern w:val="0"/>
                <w:szCs w:val="21"/>
                <w:highlight w:val="none"/>
              </w:rPr>
              <w:t>不允许</w:t>
            </w:r>
          </w:p>
        </w:tc>
      </w:tr>
      <w:tr w14:paraId="7BDB2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B37197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964" w:type="dxa"/>
            <w:vAlign w:val="center"/>
          </w:tcPr>
          <w:p w14:paraId="182D89D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372" w:type="dxa"/>
            <w:vAlign w:val="center"/>
          </w:tcPr>
          <w:p w14:paraId="72F176C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58A19DB1">
            <w:pPr>
              <w:snapToGrid w:val="0"/>
              <w:spacing w:line="400" w:lineRule="exact"/>
              <w:ind w:firstLine="420" w:firstLineChars="200"/>
              <w:rPr>
                <w:rFonts w:ascii="宋体" w:hAnsi="宋体" w:cs="宋体"/>
                <w:i/>
                <w:color w:val="auto"/>
                <w:szCs w:val="21"/>
                <w:highlight w:val="none"/>
              </w:rPr>
            </w:pPr>
            <w:r>
              <w:rPr>
                <w:rFonts w:hint="eastAsia" w:ascii="宋体" w:hAnsi="宋体" w:cs="宋体"/>
                <w:color w:val="auto"/>
                <w:szCs w:val="21"/>
                <w:highlight w:val="none"/>
              </w:rPr>
              <w:t>未按上述规定执行的，交由</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作否决竞选处理。</w:t>
            </w:r>
          </w:p>
        </w:tc>
      </w:tr>
      <w:tr w14:paraId="066CD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4821D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964" w:type="dxa"/>
            <w:vAlign w:val="center"/>
          </w:tcPr>
          <w:p w14:paraId="2F5D2029">
            <w:pPr>
              <w:snapToGrid w:val="0"/>
              <w:spacing w:line="40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竞选文件的份数</w:t>
            </w:r>
          </w:p>
        </w:tc>
        <w:tc>
          <w:tcPr>
            <w:tcW w:w="6372" w:type="dxa"/>
            <w:vAlign w:val="center"/>
          </w:tcPr>
          <w:p w14:paraId="73CC166A">
            <w:pPr>
              <w:pStyle w:val="47"/>
              <w:snapToGrid w:val="0"/>
              <w:spacing w:before="105" w:line="400" w:lineRule="exact"/>
              <w:ind w:right="74" w:firstLine="420" w:firstLineChars="200"/>
              <w:rPr>
                <w:rStyle w:val="48"/>
                <w:rFonts w:hint="eastAsia"/>
                <w:color w:val="auto"/>
                <w:highlight w:val="none"/>
                <w:lang w:eastAsia="zh-CN"/>
              </w:rPr>
            </w:pPr>
            <w:r>
              <w:rPr>
                <w:rStyle w:val="48"/>
                <w:rFonts w:hint="eastAsia"/>
                <w:color w:val="auto"/>
                <w:highlight w:val="none"/>
              </w:rPr>
              <w:t>竞选文件</w:t>
            </w:r>
            <w:r>
              <w:rPr>
                <w:rStyle w:val="48"/>
                <w:color w:val="auto"/>
                <w:highlight w:val="none"/>
              </w:rPr>
              <w:t>正本</w:t>
            </w:r>
            <w:r>
              <w:rPr>
                <w:rStyle w:val="48"/>
                <w:rFonts w:hint="eastAsia"/>
                <w:color w:val="auto"/>
                <w:highlight w:val="none"/>
                <w:lang w:val="en-US" w:eastAsia="zh-CN"/>
              </w:rPr>
              <w:t>1</w:t>
            </w:r>
            <w:r>
              <w:rPr>
                <w:rStyle w:val="48"/>
                <w:color w:val="auto"/>
                <w:highlight w:val="none"/>
              </w:rPr>
              <w:t>份</w:t>
            </w:r>
            <w:r>
              <w:rPr>
                <w:rStyle w:val="48"/>
                <w:rFonts w:hint="eastAsia"/>
                <w:color w:val="auto"/>
                <w:highlight w:val="none"/>
              </w:rPr>
              <w:t>，副本</w:t>
            </w:r>
            <w:r>
              <w:rPr>
                <w:rStyle w:val="48"/>
                <w:rFonts w:hint="eastAsia"/>
                <w:color w:val="auto"/>
                <w:highlight w:val="none"/>
                <w:lang w:val="en-US" w:eastAsia="zh-CN"/>
              </w:rPr>
              <w:t>1</w:t>
            </w:r>
            <w:r>
              <w:rPr>
                <w:rStyle w:val="48"/>
                <w:rFonts w:hint="eastAsia"/>
                <w:color w:val="auto"/>
                <w:highlight w:val="none"/>
                <w:lang w:val="en-US"/>
              </w:rPr>
              <w:t>份，</w:t>
            </w:r>
            <w:r>
              <w:rPr>
                <w:rStyle w:val="48"/>
                <w:color w:val="auto"/>
                <w:highlight w:val="none"/>
              </w:rPr>
              <w:t>电子文档（U盘</w:t>
            </w:r>
            <w:r>
              <w:rPr>
                <w:rStyle w:val="48"/>
                <w:rFonts w:hint="eastAsia"/>
                <w:color w:val="auto"/>
                <w:highlight w:val="none"/>
              </w:rPr>
              <w:t>或光盘为载体）</w:t>
            </w:r>
            <w:r>
              <w:rPr>
                <w:rStyle w:val="48"/>
                <w:color w:val="auto"/>
                <w:highlight w:val="none"/>
              </w:rPr>
              <w:t>1</w:t>
            </w:r>
            <w:r>
              <w:rPr>
                <w:rStyle w:val="48"/>
                <w:rFonts w:hint="eastAsia"/>
                <w:color w:val="auto"/>
                <w:highlight w:val="none"/>
              </w:rPr>
              <w:t>个</w:t>
            </w:r>
            <w:r>
              <w:rPr>
                <w:rStyle w:val="48"/>
                <w:color w:val="auto"/>
                <w:highlight w:val="none"/>
              </w:rPr>
              <w:t>，包含</w:t>
            </w:r>
            <w:r>
              <w:rPr>
                <w:rStyle w:val="48"/>
                <w:rFonts w:hint="eastAsia"/>
                <w:color w:val="auto"/>
                <w:highlight w:val="none"/>
              </w:rPr>
              <w:t>竞选函</w:t>
            </w:r>
            <w:r>
              <w:rPr>
                <w:rStyle w:val="48"/>
                <w:color w:val="auto"/>
                <w:highlight w:val="none"/>
              </w:rPr>
              <w:t>部分、资格审查部分、技术部分的所有资料的电子版，</w:t>
            </w:r>
            <w:r>
              <w:rPr>
                <w:rStyle w:val="48"/>
                <w:rFonts w:hint="eastAsia"/>
                <w:color w:val="auto"/>
                <w:highlight w:val="none"/>
                <w:lang w:val="en-US" w:eastAsia="zh-CN"/>
              </w:rPr>
              <w:t>电子文档</w:t>
            </w:r>
            <w:r>
              <w:rPr>
                <w:rStyle w:val="48"/>
                <w:color w:val="auto"/>
                <w:highlight w:val="none"/>
              </w:rPr>
              <w:t>需标明项目名称、</w:t>
            </w:r>
            <w:r>
              <w:rPr>
                <w:rStyle w:val="48"/>
                <w:rFonts w:hint="eastAsia"/>
                <w:color w:val="auto"/>
                <w:highlight w:val="none"/>
              </w:rPr>
              <w:t>竞选单位</w:t>
            </w:r>
            <w:r>
              <w:rPr>
                <w:rStyle w:val="48"/>
                <w:color w:val="auto"/>
                <w:highlight w:val="none"/>
              </w:rPr>
              <w:t>名称并加盖公章</w:t>
            </w:r>
            <w:r>
              <w:rPr>
                <w:rStyle w:val="48"/>
                <w:rFonts w:hint="eastAsia"/>
                <w:color w:val="auto"/>
                <w:highlight w:val="none"/>
                <w:lang w:eastAsia="zh-CN"/>
              </w:rPr>
              <w:t>。</w:t>
            </w:r>
          </w:p>
          <w:p w14:paraId="2C20BF3C">
            <w:pPr>
              <w:pStyle w:val="47"/>
              <w:snapToGrid w:val="0"/>
              <w:spacing w:before="105" w:line="400" w:lineRule="exact"/>
              <w:ind w:right="74" w:firstLine="420" w:firstLineChars="200"/>
              <w:rPr>
                <w:rStyle w:val="48"/>
                <w:rFonts w:hint="eastAsia"/>
                <w:color w:val="auto"/>
                <w:highlight w:val="none"/>
                <w:lang w:eastAsia="zh-CN"/>
              </w:rPr>
            </w:pPr>
            <w:r>
              <w:rPr>
                <w:rFonts w:hint="eastAsia" w:ascii="宋体" w:hAnsi="宋体"/>
                <w:color w:val="auto"/>
                <w:highlight w:val="none"/>
              </w:rPr>
              <w:t>电子版形式（</w:t>
            </w:r>
            <w:r>
              <w:rPr>
                <w:rStyle w:val="48"/>
                <w:color w:val="auto"/>
                <w:highlight w:val="none"/>
              </w:rPr>
              <w:t>U盘</w:t>
            </w:r>
            <w:r>
              <w:rPr>
                <w:rStyle w:val="48"/>
                <w:rFonts w:hint="eastAsia"/>
                <w:color w:val="auto"/>
                <w:highlight w:val="none"/>
              </w:rPr>
              <w:t>或光盘为载体</w:t>
            </w:r>
            <w:r>
              <w:rPr>
                <w:rFonts w:hint="eastAsia" w:ascii="宋体" w:hAnsi="宋体"/>
                <w:color w:val="auto"/>
                <w:highlight w:val="none"/>
              </w:rPr>
              <w:t>）：</w:t>
            </w:r>
            <w:r>
              <w:rPr>
                <w:rFonts w:hint="eastAsia" w:asciiTheme="minorEastAsia" w:hAnsiTheme="minorEastAsia" w:eastAsiaTheme="minorEastAsia" w:cstheme="minorEastAsia"/>
                <w:color w:val="auto"/>
                <w:szCs w:val="21"/>
                <w:highlight w:val="none"/>
              </w:rPr>
              <w:t>电子文档内容</w:t>
            </w:r>
            <w:r>
              <w:rPr>
                <w:rFonts w:hint="eastAsia" w:asciiTheme="minorEastAsia" w:hAnsiTheme="minorEastAsia" w:eastAsiaTheme="minorEastAsia" w:cstheme="minorEastAsia"/>
                <w:b/>
                <w:color w:val="auto"/>
                <w:szCs w:val="21"/>
                <w:highlight w:val="none"/>
              </w:rPr>
              <w:t>包括签字盖章齐全的</w:t>
            </w:r>
            <w:r>
              <w:rPr>
                <w:rFonts w:hint="eastAsia" w:asciiTheme="minorEastAsia" w:hAnsiTheme="minorEastAsia" w:eastAsiaTheme="minorEastAsia" w:cstheme="minorEastAsia"/>
                <w:b/>
                <w:color w:val="auto"/>
                <w:szCs w:val="21"/>
                <w:highlight w:val="none"/>
                <w:lang w:eastAsia="zh-CN"/>
              </w:rPr>
              <w:t>竞选文件</w:t>
            </w:r>
            <w:r>
              <w:rPr>
                <w:rFonts w:hint="eastAsia" w:asciiTheme="minorEastAsia" w:hAnsiTheme="minorEastAsia" w:eastAsiaTheme="minorEastAsia" w:cstheme="minorEastAsia"/>
                <w:b/>
                <w:color w:val="auto"/>
                <w:szCs w:val="21"/>
                <w:highlight w:val="none"/>
              </w:rPr>
              <w:t>正本扫描件PDF版</w:t>
            </w:r>
            <w:r>
              <w:rPr>
                <w:rFonts w:hint="eastAsia" w:asciiTheme="minorEastAsia" w:hAnsiTheme="minorEastAsia" w:eastAsiaTheme="minorEastAsia" w:cstheme="minorEastAsia"/>
                <w:color w:val="auto"/>
                <w:szCs w:val="21"/>
                <w:highlight w:val="none"/>
              </w:rPr>
              <w:t>，内容必须与正本一致，如出现不一致情况以纸质</w:t>
            </w:r>
            <w:r>
              <w:rPr>
                <w:rFonts w:hint="eastAsia" w:asciiTheme="minorEastAsia" w:hAnsiTheme="minorEastAsia" w:eastAsiaTheme="minorEastAsia" w:cstheme="minorEastAsia"/>
                <w:color w:val="auto"/>
                <w:szCs w:val="21"/>
                <w:highlight w:val="none"/>
                <w:lang w:val="en-US" w:eastAsia="zh-CN"/>
              </w:rPr>
              <w:t>竞选</w:t>
            </w:r>
            <w:r>
              <w:rPr>
                <w:rFonts w:hint="eastAsia" w:asciiTheme="minorEastAsia" w:hAnsiTheme="minorEastAsia" w:eastAsiaTheme="minorEastAsia" w:cstheme="minorEastAsia"/>
                <w:color w:val="auto"/>
                <w:szCs w:val="21"/>
                <w:highlight w:val="none"/>
              </w:rPr>
              <w:t>文件正本为准</w:t>
            </w:r>
            <w:r>
              <w:rPr>
                <w:rFonts w:hint="eastAsia" w:asciiTheme="minorEastAsia" w:hAnsiTheme="minorEastAsia" w:eastAsiaTheme="minorEastAsia" w:cstheme="minorEastAsia"/>
                <w:color w:val="auto"/>
                <w:kern w:val="0"/>
                <w:szCs w:val="21"/>
                <w:highlight w:val="none"/>
              </w:rPr>
              <w:t>（此项不作为否决投标依据，为便于存档请遵照执行）。</w:t>
            </w:r>
          </w:p>
        </w:tc>
      </w:tr>
      <w:tr w14:paraId="156DE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39ADE6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964" w:type="dxa"/>
            <w:vAlign w:val="center"/>
          </w:tcPr>
          <w:p w14:paraId="118ADBD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装订要求</w:t>
            </w:r>
          </w:p>
        </w:tc>
        <w:tc>
          <w:tcPr>
            <w:tcW w:w="6372" w:type="dxa"/>
            <w:vAlign w:val="center"/>
          </w:tcPr>
          <w:p w14:paraId="091E81D6">
            <w:pPr>
              <w:adjustRightInd w:val="0"/>
              <w:snapToGrid w:val="0"/>
              <w:spacing w:line="360" w:lineRule="auto"/>
              <w:ind w:firstLine="420" w:firstLineChars="200"/>
              <w:rPr>
                <w:color w:val="auto"/>
                <w:highlight w:val="none"/>
              </w:rPr>
            </w:pPr>
            <w:r>
              <w:rPr>
                <w:rFonts w:hint="eastAsia"/>
                <w:color w:val="auto"/>
                <w:highlight w:val="none"/>
              </w:rPr>
              <w:t>1、资格审查资料、竞选函部分、技术部分资料各自分别装订成册。</w:t>
            </w:r>
          </w:p>
          <w:p w14:paraId="7ADB2A26">
            <w:pPr>
              <w:adjustRightInd w:val="0"/>
              <w:snapToGrid w:val="0"/>
              <w:spacing w:line="360" w:lineRule="auto"/>
              <w:ind w:firstLine="420" w:firstLineChars="200"/>
              <w:rPr>
                <w:color w:val="auto"/>
                <w:highlight w:val="none"/>
              </w:rPr>
            </w:pPr>
            <w:r>
              <w:rPr>
                <w:rFonts w:hint="eastAsia"/>
                <w:color w:val="auto"/>
                <w:highlight w:val="none"/>
              </w:rPr>
              <w:t>2、装订</w:t>
            </w:r>
          </w:p>
          <w:p w14:paraId="1B99E24E">
            <w:pPr>
              <w:adjustRightInd w:val="0"/>
              <w:snapToGrid w:val="0"/>
              <w:spacing w:line="360" w:lineRule="auto"/>
              <w:ind w:firstLine="420" w:firstLineChars="200"/>
              <w:rPr>
                <w:color w:val="auto"/>
                <w:highlight w:val="none"/>
              </w:rPr>
            </w:pPr>
            <w:r>
              <w:rPr>
                <w:rFonts w:hint="eastAsia"/>
                <w:color w:val="auto"/>
                <w:highlight w:val="none"/>
              </w:rPr>
              <w:t>（1）资格审查资料的装订要求</w:t>
            </w:r>
          </w:p>
          <w:p w14:paraId="6F131514">
            <w:pPr>
              <w:adjustRightInd w:val="0"/>
              <w:snapToGrid w:val="0"/>
              <w:spacing w:line="360" w:lineRule="auto"/>
              <w:ind w:firstLine="420" w:firstLineChars="200"/>
              <w:rPr>
                <w:color w:val="auto"/>
                <w:highlight w:val="none"/>
              </w:rPr>
            </w:pPr>
            <w:r>
              <w:rPr>
                <w:rFonts w:hint="eastAsia"/>
                <w:color w:val="auto"/>
                <w:highlight w:val="none"/>
              </w:rPr>
              <w:t>按照第五章规定格式装订成册。</w:t>
            </w:r>
          </w:p>
          <w:p w14:paraId="32E03770">
            <w:pPr>
              <w:adjustRightInd w:val="0"/>
              <w:snapToGrid w:val="0"/>
              <w:spacing w:line="360" w:lineRule="auto"/>
              <w:ind w:firstLine="420" w:firstLineChars="200"/>
              <w:rPr>
                <w:color w:val="auto"/>
                <w:highlight w:val="none"/>
              </w:rPr>
            </w:pPr>
            <w:r>
              <w:rPr>
                <w:rFonts w:hint="eastAsia"/>
                <w:color w:val="auto"/>
                <w:highlight w:val="none"/>
              </w:rPr>
              <w:t>（2）竞选函部分资料的装订要求</w:t>
            </w:r>
          </w:p>
          <w:p w14:paraId="489C0548">
            <w:pPr>
              <w:adjustRightInd w:val="0"/>
              <w:snapToGrid w:val="0"/>
              <w:spacing w:line="360" w:lineRule="auto"/>
              <w:ind w:firstLine="420" w:firstLineChars="200"/>
              <w:rPr>
                <w:color w:val="auto"/>
                <w:highlight w:val="none"/>
              </w:rPr>
            </w:pPr>
            <w:r>
              <w:rPr>
                <w:rFonts w:hint="eastAsia"/>
                <w:color w:val="auto"/>
                <w:highlight w:val="none"/>
              </w:rPr>
              <w:t>按照第五章规定格式装订成册。</w:t>
            </w:r>
          </w:p>
          <w:p w14:paraId="75730038">
            <w:pPr>
              <w:numPr>
                <w:ilvl w:val="0"/>
                <w:numId w:val="2"/>
              </w:numPr>
              <w:snapToGrid w:val="0"/>
              <w:spacing w:line="360" w:lineRule="auto"/>
              <w:ind w:firstLine="420" w:firstLineChars="200"/>
              <w:rPr>
                <w:color w:val="auto"/>
                <w:highlight w:val="none"/>
              </w:rPr>
            </w:pPr>
            <w:r>
              <w:rPr>
                <w:rFonts w:hint="eastAsia"/>
                <w:color w:val="auto"/>
                <w:highlight w:val="none"/>
              </w:rPr>
              <w:t>技术部分的装订要求</w:t>
            </w:r>
          </w:p>
          <w:p w14:paraId="074DFEA0">
            <w:pPr>
              <w:snapToGrid w:val="0"/>
              <w:spacing w:line="360" w:lineRule="auto"/>
              <w:ind w:firstLine="420" w:firstLineChars="200"/>
              <w:rPr>
                <w:color w:val="auto"/>
                <w:highlight w:val="none"/>
              </w:rPr>
            </w:pPr>
            <w:r>
              <w:rPr>
                <w:rFonts w:hint="eastAsia"/>
                <w:color w:val="auto"/>
                <w:highlight w:val="none"/>
              </w:rPr>
              <w:t>按照第五章规定格式装订成册。(技术部分采用明标评审，原则上不得超过200页)</w:t>
            </w:r>
          </w:p>
        </w:tc>
      </w:tr>
      <w:tr w14:paraId="3EE12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7ADDE7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964" w:type="dxa"/>
            <w:vAlign w:val="center"/>
          </w:tcPr>
          <w:p w14:paraId="006C7EE2">
            <w:pPr>
              <w:snapToGrid w:val="0"/>
              <w:spacing w:line="400" w:lineRule="exact"/>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竞选文件的密封</w:t>
            </w:r>
          </w:p>
        </w:tc>
        <w:tc>
          <w:tcPr>
            <w:tcW w:w="6372" w:type="dxa"/>
            <w:vAlign w:val="center"/>
          </w:tcPr>
          <w:p w14:paraId="22F88E6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的正本、副本、电子文档均应密封送达递交地点，应按本表第4.1.2项的规定在封套上写明相应内容。若正本、副本、电子文档分别进行密封的，还应在封套上注明“正本”、“副本”、“电子文档”字样。密封并在袋上加盖竞</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人单位法人章。</w:t>
            </w:r>
          </w:p>
          <w:p w14:paraId="692FEC4D">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如果未按上述规定进行密封和标记，比选代理机构对竞选文件误投、丢失或提前拆封不负责任。</w:t>
            </w:r>
          </w:p>
        </w:tc>
      </w:tr>
      <w:tr w14:paraId="66C44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5392E4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964" w:type="dxa"/>
            <w:vAlign w:val="center"/>
          </w:tcPr>
          <w:p w14:paraId="39EEE72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372" w:type="dxa"/>
            <w:vAlign w:val="center"/>
          </w:tcPr>
          <w:p w14:paraId="7BEAD29E">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应在封套上写明如下内容：</w:t>
            </w:r>
          </w:p>
          <w:p w14:paraId="2B2F9326">
            <w:pPr>
              <w:snapToGrid w:val="0"/>
              <w:spacing w:line="40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lang w:val="en-US" w:eastAsia="zh-CN"/>
              </w:rPr>
              <w:t xml:space="preserve">                       </w:t>
            </w:r>
          </w:p>
          <w:p w14:paraId="5B0B2600">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竞选文件</w:t>
            </w:r>
          </w:p>
          <w:p w14:paraId="70258CB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11DF2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34568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964" w:type="dxa"/>
            <w:vAlign w:val="center"/>
          </w:tcPr>
          <w:p w14:paraId="4C1BECBD">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372" w:type="dxa"/>
            <w:vAlign w:val="center"/>
          </w:tcPr>
          <w:p w14:paraId="22751E6D">
            <w:pPr>
              <w:spacing w:line="400" w:lineRule="exact"/>
              <w:ind w:firstLine="210" w:firstLineChars="100"/>
              <w:rPr>
                <w:rFonts w:ascii="宋体" w:hAnsi="宋体" w:cs="宋体"/>
                <w:color w:val="auto"/>
                <w:kern w:val="0"/>
                <w:szCs w:val="21"/>
                <w:highlight w:val="none"/>
              </w:rPr>
            </w:pPr>
            <w:r>
              <w:rPr>
                <w:rFonts w:hint="eastAsia" w:ascii="MS Gothic" w:hAnsi="MS Gothic" w:eastAsia="MS Gothic" w:cs="MS Gothic"/>
                <w:color w:val="auto"/>
                <w:szCs w:val="21"/>
                <w:highlight w:val="none"/>
              </w:rPr>
              <w:t>☑</w:t>
            </w:r>
            <w:r>
              <w:rPr>
                <w:rFonts w:hint="eastAsia" w:ascii="宋体" w:hAnsi="宋体" w:cs="宋体"/>
                <w:color w:val="auto"/>
                <w:szCs w:val="21"/>
                <w:highlight w:val="none"/>
              </w:rPr>
              <w:t>否</w:t>
            </w:r>
          </w:p>
        </w:tc>
      </w:tr>
      <w:tr w14:paraId="65A11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0BEA1A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964" w:type="dxa"/>
            <w:vAlign w:val="center"/>
          </w:tcPr>
          <w:p w14:paraId="09E875A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递交竞选文件截止时间和地点</w:t>
            </w:r>
          </w:p>
        </w:tc>
        <w:tc>
          <w:tcPr>
            <w:tcW w:w="6372" w:type="dxa"/>
            <w:vAlign w:val="center"/>
          </w:tcPr>
          <w:p w14:paraId="326A61CD">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开标时间：同</w:t>
            </w:r>
            <w:r>
              <w:rPr>
                <w:rFonts w:hint="eastAsia" w:ascii="宋体" w:hAnsi="宋体"/>
                <w:color w:val="auto"/>
                <w:szCs w:val="21"/>
                <w:highlight w:val="none"/>
                <w:lang w:eastAsia="zh-CN"/>
              </w:rPr>
              <w:t>竞选</w:t>
            </w:r>
            <w:r>
              <w:rPr>
                <w:rFonts w:hint="eastAsia" w:ascii="宋体" w:hAnsi="宋体"/>
                <w:color w:val="auto"/>
                <w:szCs w:val="21"/>
                <w:highlight w:val="none"/>
                <w:lang w:val="en-US" w:eastAsia="zh-CN"/>
              </w:rPr>
              <w:t>文件递交</w:t>
            </w:r>
            <w:r>
              <w:rPr>
                <w:rFonts w:hint="eastAsia" w:ascii="宋体" w:hAnsi="宋体"/>
                <w:color w:val="auto"/>
                <w:szCs w:val="21"/>
                <w:highlight w:val="none"/>
                <w:lang w:eastAsia="zh-CN"/>
              </w:rPr>
              <w:t>截止时间</w:t>
            </w:r>
          </w:p>
          <w:p w14:paraId="3384B844">
            <w:pPr>
              <w:adjustRightInd w:val="0"/>
              <w:snapToGrid w:val="0"/>
              <w:spacing w:line="400" w:lineRule="exact"/>
              <w:ind w:firstLine="420" w:firstLineChars="200"/>
              <w:rPr>
                <w:rFonts w:ascii="宋体" w:hAnsi="宋体" w:cs="宋体"/>
                <w:bCs/>
                <w:i/>
                <w:color w:val="auto"/>
                <w:szCs w:val="21"/>
                <w:highlight w:val="none"/>
              </w:rPr>
            </w:pPr>
            <w:r>
              <w:rPr>
                <w:rFonts w:hint="eastAsia" w:ascii="宋体" w:hAnsi="宋体"/>
                <w:color w:val="auto"/>
                <w:szCs w:val="21"/>
                <w:highlight w:val="none"/>
              </w:rPr>
              <w:t>比选地点：同</w:t>
            </w:r>
            <w:r>
              <w:rPr>
                <w:rFonts w:hint="eastAsia" w:ascii="宋体" w:hAnsi="宋体"/>
                <w:color w:val="auto"/>
                <w:szCs w:val="21"/>
                <w:highlight w:val="none"/>
                <w:lang w:eastAsia="zh-CN"/>
              </w:rPr>
              <w:t>竞选</w:t>
            </w:r>
            <w:r>
              <w:rPr>
                <w:rFonts w:hint="eastAsia" w:ascii="宋体" w:hAnsi="宋体"/>
                <w:color w:val="auto"/>
                <w:szCs w:val="21"/>
                <w:highlight w:val="none"/>
              </w:rPr>
              <w:t>文件递交地点</w:t>
            </w:r>
          </w:p>
        </w:tc>
      </w:tr>
      <w:tr w14:paraId="4482C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4D96FE7">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964" w:type="dxa"/>
            <w:vAlign w:val="center"/>
          </w:tcPr>
          <w:p w14:paraId="6DA20D9B">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竞选文件开启</w:t>
            </w:r>
          </w:p>
          <w:p w14:paraId="5CE9B93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及唱标程序</w:t>
            </w:r>
          </w:p>
        </w:tc>
        <w:tc>
          <w:tcPr>
            <w:tcW w:w="6372" w:type="dxa"/>
            <w:vAlign w:val="center"/>
          </w:tcPr>
          <w:p w14:paraId="5F8244B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宣布评选纪律；</w:t>
            </w:r>
          </w:p>
          <w:p w14:paraId="338ED3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公布在竞选文件递交截止时间前递交竞选文件的竞选人名称，并点名确认竞选人是否派人到场；竞选人如未派人到场，视作其默认所有唱标及评审结果。</w:t>
            </w:r>
          </w:p>
          <w:p w14:paraId="7A9156F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核验竞选单位法定代表人或授权委托人本人身份证（原件），以确认其身份合法有效；核验身份未通过的人员不得参加文件袋开启和唱标程序，视作该竞选单位未派人到场处理。</w:t>
            </w:r>
          </w:p>
          <w:p w14:paraId="390F746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密封情况检查：竞选人或者其推选的代表检查竞选文件的密封情况并确认。密封检查不合格的竞选文件当场退还，拒绝其参与本次比选。</w:t>
            </w:r>
          </w:p>
          <w:p w14:paraId="3819B6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 开启竞选文件顺序：随机开启；</w:t>
            </w:r>
          </w:p>
          <w:p w14:paraId="2F18DD2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6.当众开启竞选文件袋，公布竞选人名称、项目名称、竞选总报价、监理服务期及其他竞选函上内容；</w:t>
            </w:r>
          </w:p>
          <w:p w14:paraId="50F2EFB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 竞选人代表、比选人代表、监督人员、记录人员等有关人员在报价记录上签字确认；</w:t>
            </w:r>
          </w:p>
          <w:p w14:paraId="49F9896A">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8. 唱标结束。</w:t>
            </w:r>
          </w:p>
        </w:tc>
      </w:tr>
      <w:tr w14:paraId="70D09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5B3CE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964" w:type="dxa"/>
            <w:vAlign w:val="center"/>
          </w:tcPr>
          <w:p w14:paraId="424C3FC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评标委员会</w:t>
            </w:r>
            <w:r>
              <w:rPr>
                <w:rFonts w:hint="eastAsia" w:ascii="宋体" w:hAnsi="宋体" w:cs="宋体"/>
                <w:color w:val="auto"/>
                <w:kern w:val="0"/>
                <w:szCs w:val="21"/>
                <w:highlight w:val="none"/>
              </w:rPr>
              <w:t>的组建</w:t>
            </w:r>
          </w:p>
        </w:tc>
        <w:tc>
          <w:tcPr>
            <w:tcW w:w="6372" w:type="dxa"/>
            <w:vAlign w:val="center"/>
          </w:tcPr>
          <w:p w14:paraId="400C110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评标委员会</w:t>
            </w:r>
            <w:r>
              <w:rPr>
                <w:rFonts w:hint="eastAsia" w:ascii="宋体" w:hAnsi="宋体"/>
                <w:color w:val="auto"/>
                <w:szCs w:val="21"/>
                <w:highlight w:val="none"/>
              </w:rPr>
              <w:t>构成：</w:t>
            </w:r>
            <w:r>
              <w:rPr>
                <w:rFonts w:ascii="宋体" w:hAnsi="宋体"/>
                <w:color w:val="auto"/>
                <w:szCs w:val="21"/>
                <w:highlight w:val="none"/>
              </w:rPr>
              <w:t>3</w:t>
            </w:r>
            <w:r>
              <w:rPr>
                <w:rFonts w:hint="eastAsia" w:ascii="宋体" w:hAnsi="宋体"/>
                <w:color w:val="auto"/>
                <w:szCs w:val="21"/>
                <w:highlight w:val="none"/>
              </w:rPr>
              <w:t>人。</w:t>
            </w:r>
          </w:p>
          <w:p w14:paraId="2D9BE1C1">
            <w:pPr>
              <w:pStyle w:val="7"/>
              <w:spacing w:line="400" w:lineRule="exact"/>
              <w:ind w:firstLine="420" w:firstLineChars="200"/>
              <w:rPr>
                <w:color w:val="auto"/>
                <w:highlight w:val="none"/>
              </w:rPr>
            </w:pPr>
            <w:r>
              <w:rPr>
                <w:rFonts w:hint="eastAsia" w:ascii="宋体" w:hAnsi="宋体"/>
                <w:color w:val="auto"/>
                <w:szCs w:val="21"/>
                <w:highlight w:val="none"/>
              </w:rPr>
              <w:t>2、评选专家确定方式：由比选人按法律法规及相关规定依法组建评标委员会。</w:t>
            </w:r>
          </w:p>
        </w:tc>
      </w:tr>
      <w:tr w14:paraId="70152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64210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64" w:type="dxa"/>
            <w:vAlign w:val="center"/>
          </w:tcPr>
          <w:p w14:paraId="5D3818F2">
            <w:pPr>
              <w:snapToGrid w:val="0"/>
              <w:spacing w:after="62"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w:t>
            </w:r>
            <w:r>
              <w:rPr>
                <w:rFonts w:hint="eastAsia" w:ascii="宋体" w:hAnsi="宋体" w:cs="宋体"/>
                <w:color w:val="auto"/>
                <w:kern w:val="0"/>
                <w:szCs w:val="21"/>
                <w:highlight w:val="none"/>
                <w:lang w:eastAsia="zh-CN"/>
              </w:rPr>
              <w:t>评标委员会</w:t>
            </w:r>
            <w:r>
              <w:rPr>
                <w:rFonts w:hint="eastAsia" w:ascii="宋体" w:hAnsi="宋体" w:cs="宋体"/>
                <w:color w:val="auto"/>
                <w:kern w:val="0"/>
                <w:szCs w:val="21"/>
                <w:highlight w:val="none"/>
              </w:rPr>
              <w:t>确定中选人</w:t>
            </w:r>
          </w:p>
        </w:tc>
        <w:tc>
          <w:tcPr>
            <w:tcW w:w="6372" w:type="dxa"/>
            <w:vAlign w:val="center"/>
          </w:tcPr>
          <w:p w14:paraId="0B56B05E">
            <w:pPr>
              <w:snapToGrid w:val="0"/>
              <w:spacing w:line="400" w:lineRule="exact"/>
              <w:ind w:firstLine="210" w:firstLineChars="100"/>
              <w:rPr>
                <w:rFonts w:ascii="宋体" w:hAnsi="宋体" w:cs="宋体"/>
                <w:i/>
                <w:color w:val="auto"/>
                <w:kern w:val="0"/>
                <w:szCs w:val="21"/>
                <w:highlight w:val="none"/>
              </w:rPr>
            </w:pPr>
            <w:r>
              <w:rPr>
                <w:rFonts w:hint="eastAsia" w:ascii="宋体" w:hAnsi="宋体" w:cs="宋体"/>
                <w:color w:val="auto"/>
                <w:kern w:val="0"/>
                <w:szCs w:val="21"/>
                <w:highlight w:val="none"/>
              </w:rPr>
              <w:t>☑否，</w:t>
            </w:r>
            <w:r>
              <w:rPr>
                <w:rFonts w:ascii="宋体" w:hAnsi="宋体" w:cs="宋体"/>
                <w:color w:val="auto"/>
                <w:szCs w:val="21"/>
                <w:highlight w:val="none"/>
              </w:rPr>
              <w:t>推荐经评审综合得分由高到低排名前三名为</w:t>
            </w:r>
            <w:r>
              <w:rPr>
                <w:rFonts w:hint="eastAsia" w:ascii="宋体" w:hAnsi="宋体" w:cs="宋体"/>
                <w:color w:val="auto"/>
                <w:szCs w:val="21"/>
                <w:highlight w:val="none"/>
              </w:rPr>
              <w:t>中选</w:t>
            </w:r>
            <w:r>
              <w:rPr>
                <w:rFonts w:ascii="宋体" w:hAnsi="宋体" w:cs="宋体"/>
                <w:color w:val="auto"/>
                <w:szCs w:val="21"/>
                <w:highlight w:val="none"/>
              </w:rPr>
              <w:t>候选人</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 xml:space="preserve"> </w:t>
            </w:r>
          </w:p>
        </w:tc>
      </w:tr>
      <w:tr w14:paraId="34D2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BC3DB5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964" w:type="dxa"/>
            <w:vAlign w:val="center"/>
          </w:tcPr>
          <w:p w14:paraId="6449415D">
            <w:pPr>
              <w:snapToGrid w:val="0"/>
              <w:spacing w:after="62"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中选结果公告</w:t>
            </w:r>
          </w:p>
        </w:tc>
        <w:tc>
          <w:tcPr>
            <w:tcW w:w="6372" w:type="dxa"/>
            <w:vAlign w:val="center"/>
          </w:tcPr>
          <w:p w14:paraId="4ED631F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评选结果在“</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w:t>
            </w:r>
          </w:p>
        </w:tc>
      </w:tr>
      <w:tr w14:paraId="0E0E2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D74C8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964" w:type="dxa"/>
            <w:vAlign w:val="center"/>
          </w:tcPr>
          <w:p w14:paraId="4D1026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履约担保</w:t>
            </w:r>
          </w:p>
        </w:tc>
        <w:tc>
          <w:tcPr>
            <w:tcW w:w="6372" w:type="dxa"/>
            <w:vAlign w:val="center"/>
          </w:tcPr>
          <w:p w14:paraId="231F9C80">
            <w:pPr>
              <w:overflowPunct w:val="0"/>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s="MingLiU"/>
                <w:snapToGrid w:val="0"/>
                <w:color w:val="auto"/>
                <w:kern w:val="0"/>
                <w:szCs w:val="21"/>
                <w:highlight w:val="none"/>
                <w:lang w:val="en-US" w:eastAsia="zh-CN"/>
              </w:rPr>
              <w:t>不提供。</w:t>
            </w:r>
          </w:p>
        </w:tc>
      </w:tr>
      <w:tr w14:paraId="032F9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9ED9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964" w:type="dxa"/>
            <w:vAlign w:val="center"/>
          </w:tcPr>
          <w:p w14:paraId="672A92D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w:t>
            </w:r>
          </w:p>
        </w:tc>
        <w:tc>
          <w:tcPr>
            <w:tcW w:w="6372" w:type="dxa"/>
            <w:vAlign w:val="center"/>
          </w:tcPr>
          <w:p w14:paraId="44DDA6D4">
            <w:pPr>
              <w:autoSpaceDE w:val="0"/>
              <w:autoSpaceDN w:val="0"/>
              <w:adjustRightInd w:val="0"/>
              <w:snapToGrid w:val="0"/>
              <w:spacing w:after="62" w:afterLines="20"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1.按竞选人须知第8.1（1）执行；</w:t>
            </w:r>
          </w:p>
          <w:p w14:paraId="47184901">
            <w:pPr>
              <w:autoSpaceDE w:val="0"/>
              <w:autoSpaceDN w:val="0"/>
              <w:adjustRightInd w:val="0"/>
              <w:snapToGrid w:val="0"/>
              <w:spacing w:after="62" w:afterLines="20"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2.按竞选人须知第8.1（2）执行；</w:t>
            </w:r>
          </w:p>
          <w:p w14:paraId="1BDA41C3">
            <w:pPr>
              <w:autoSpaceDE w:val="0"/>
              <w:autoSpaceDN w:val="0"/>
              <w:adjustRightInd w:val="0"/>
              <w:snapToGrid w:val="0"/>
              <w:spacing w:after="62" w:afterLines="20"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3.按竞选人须知第8.1（3）执行；</w:t>
            </w:r>
          </w:p>
          <w:p w14:paraId="1C88D72A">
            <w:pPr>
              <w:autoSpaceDE w:val="0"/>
              <w:autoSpaceDN w:val="0"/>
              <w:adjustRightInd w:val="0"/>
              <w:snapToGrid w:val="0"/>
              <w:spacing w:after="62" w:afterLines="20"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4.按竞选人须知第8.1（4）执行。</w:t>
            </w:r>
          </w:p>
        </w:tc>
      </w:tr>
      <w:tr w14:paraId="40EBB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E9401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336" w:type="dxa"/>
            <w:gridSpan w:val="2"/>
            <w:vAlign w:val="center"/>
          </w:tcPr>
          <w:p w14:paraId="27E1E7C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需要补充的其他内容</w:t>
            </w:r>
          </w:p>
        </w:tc>
      </w:tr>
      <w:tr w14:paraId="13FD8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D85E50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9.1</w:t>
            </w:r>
          </w:p>
        </w:tc>
        <w:tc>
          <w:tcPr>
            <w:tcW w:w="1964" w:type="dxa"/>
            <w:vAlign w:val="center"/>
          </w:tcPr>
          <w:p w14:paraId="4DAD4E7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关于对比选文件及竞选文件理解争议的解释</w:t>
            </w:r>
          </w:p>
        </w:tc>
        <w:tc>
          <w:tcPr>
            <w:tcW w:w="6372" w:type="dxa"/>
            <w:vAlign w:val="center"/>
          </w:tcPr>
          <w:p w14:paraId="2B9B575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对比选文件的评选标准和方法，以及资格审查和否决条款理解有争议的，应当作出不利于比选人的解释，但违背国家利益、社会公共利益的除外。</w:t>
            </w:r>
          </w:p>
          <w:p w14:paraId="32FD433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对竞选文件理解有争议的，应当作出不利于提交该竞选文件的竞选人的解释。</w:t>
            </w:r>
          </w:p>
        </w:tc>
      </w:tr>
      <w:tr w14:paraId="4D188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C7E5A9">
            <w:pPr>
              <w:snapToGrid w:val="0"/>
              <w:spacing w:line="400" w:lineRule="exact"/>
              <w:jc w:val="center"/>
              <w:rPr>
                <w:rFonts w:ascii="宋体" w:hAnsi="宋体" w:cs="宋体"/>
                <w:color w:val="auto"/>
                <w:kern w:val="0"/>
                <w:szCs w:val="21"/>
                <w:highlight w:val="none"/>
              </w:rPr>
            </w:pPr>
            <w:r>
              <w:rPr>
                <w:rFonts w:hint="eastAsia" w:ascii="宋体" w:hAnsi="宋体" w:cs="宋体"/>
                <w:color w:val="auto"/>
                <w:highlight w:val="none"/>
              </w:rPr>
              <w:t>9.2</w:t>
            </w:r>
          </w:p>
        </w:tc>
        <w:tc>
          <w:tcPr>
            <w:tcW w:w="1964" w:type="dxa"/>
            <w:vAlign w:val="center"/>
          </w:tcPr>
          <w:p w14:paraId="665D6AAB">
            <w:pPr>
              <w:snapToGrid w:val="0"/>
              <w:spacing w:line="400" w:lineRule="exact"/>
              <w:jc w:val="center"/>
              <w:rPr>
                <w:rFonts w:ascii="宋体" w:hAnsi="宋体" w:cs="宋体"/>
                <w:color w:val="auto"/>
                <w:kern w:val="0"/>
                <w:szCs w:val="21"/>
                <w:highlight w:val="none"/>
              </w:rPr>
            </w:pPr>
            <w:r>
              <w:rPr>
                <w:rFonts w:hint="eastAsia" w:ascii="宋体" w:hAnsi="宋体"/>
                <w:color w:val="auto"/>
                <w:kern w:val="0"/>
                <w:szCs w:val="21"/>
                <w:highlight w:val="none"/>
              </w:rPr>
              <w:t xml:space="preserve">支付原则 </w:t>
            </w:r>
          </w:p>
        </w:tc>
        <w:tc>
          <w:tcPr>
            <w:tcW w:w="6372" w:type="dxa"/>
            <w:vAlign w:val="center"/>
          </w:tcPr>
          <w:p w14:paraId="12209834">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本项目监理费用按施工进度付款：</w:t>
            </w:r>
          </w:p>
          <w:p w14:paraId="1FD96D26">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①</w:t>
            </w:r>
            <w:r>
              <w:rPr>
                <w:rFonts w:hint="eastAsia" w:ascii="宋体" w:hAnsi="宋体" w:eastAsia="宋体" w:cs="宋体"/>
                <w:color w:val="auto"/>
                <w:szCs w:val="21"/>
                <w:highlight w:val="none"/>
                <w:lang w:val="en-US" w:eastAsia="zh-CN"/>
              </w:rPr>
              <w:t>委托人按每季度审核完成进度支付监理酬金，每期实际支付为：委托人确认</w:t>
            </w:r>
            <w:r>
              <w:rPr>
                <w:rFonts w:hint="eastAsia" w:ascii="宋体" w:hAnsi="宋体" w:eastAsia="宋体" w:cs="Times New Roman"/>
                <w:color w:val="auto"/>
                <w:kern w:val="0"/>
                <w:szCs w:val="21"/>
                <w:highlight w:val="none"/>
                <w:lang w:val="en-US" w:eastAsia="zh-CN"/>
              </w:rPr>
              <w:t>的建安工程费计算出工程建设监理费收费基价×中标人填报的折扣比例</w:t>
            </w:r>
            <w:r>
              <w:rPr>
                <w:rFonts w:hint="eastAsia" w:ascii="宋体" w:hAnsi="宋体" w:eastAsia="宋体" w:cs="宋体"/>
                <w:color w:val="auto"/>
                <w:szCs w:val="21"/>
                <w:highlight w:val="none"/>
                <w:lang w:val="en-US" w:eastAsia="zh-CN"/>
              </w:rPr>
              <w:t>×70%。监理人于次月提出申请，委托人自收到监理人提出的申请经确认且收到等额的增值税专用发票后的28日内，支付上一个季度的监理酬金；</w:t>
            </w:r>
          </w:p>
          <w:p w14:paraId="05D90166">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②项目竣工验收合格、监理人提出申请经确认且收到等额的增值税专用发票后的【60】日内后支付至</w:t>
            </w:r>
            <w:r>
              <w:rPr>
                <w:rStyle w:val="53"/>
                <w:rFonts w:hint="eastAsia"/>
                <w:color w:val="auto"/>
                <w:sz w:val="21"/>
                <w:szCs w:val="21"/>
                <w:highlight w:val="none"/>
                <w:lang w:val="en-US" w:eastAsia="zh-CN"/>
              </w:rPr>
              <w:t>合同金额</w:t>
            </w:r>
            <w:r>
              <w:rPr>
                <w:rStyle w:val="53"/>
                <w:rFonts w:hint="default"/>
                <w:color w:val="auto"/>
                <w:sz w:val="21"/>
                <w:szCs w:val="21"/>
                <w:highlight w:val="none"/>
              </w:rPr>
              <w:t>的70%；所有监理资料按规范整理完毕并移交、监理人提出申请经确认且收到等额的增值税专用发票后的【60】日内支付至</w:t>
            </w:r>
            <w:r>
              <w:rPr>
                <w:rStyle w:val="53"/>
                <w:rFonts w:hint="eastAsia"/>
                <w:color w:val="auto"/>
                <w:sz w:val="21"/>
                <w:szCs w:val="21"/>
                <w:highlight w:val="none"/>
                <w:lang w:val="en-US" w:eastAsia="zh-CN"/>
              </w:rPr>
              <w:t>合同金额</w:t>
            </w:r>
            <w:r>
              <w:rPr>
                <w:rStyle w:val="53"/>
                <w:rFonts w:hint="default"/>
                <w:color w:val="auto"/>
                <w:sz w:val="21"/>
                <w:szCs w:val="21"/>
                <w:highlight w:val="none"/>
              </w:rPr>
              <w:t xml:space="preserve">的80%；办理完结算审定最终监理酬金、监理人提出申请经确认且收到等额的增值税专用发票后的【60】日内支付至结算金额的95%； </w:t>
            </w:r>
          </w:p>
          <w:p w14:paraId="21983153">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保修阶段服务（5%）：缺陷责任期满，验收合格、监理人提出申请经确认且收到等额的增值税专用发票后的【60】日内内一次性支付剩余5%（无息）；</w:t>
            </w:r>
          </w:p>
          <w:p w14:paraId="225DB407">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注：若存在下列情形时，下列情形作为付款条件之一，同时适用，若涉及进度款则不包括下列情形第</w:t>
            </w:r>
            <w:r>
              <w:rPr>
                <w:rStyle w:val="53"/>
                <w:rFonts w:hint="eastAsia"/>
                <w:color w:val="auto"/>
                <w:sz w:val="21"/>
                <w:szCs w:val="21"/>
                <w:highlight w:val="none"/>
                <w:lang w:val="en-US" w:eastAsia="zh-CN"/>
              </w:rPr>
              <w:t>3</w:t>
            </w:r>
            <w:r>
              <w:rPr>
                <w:rStyle w:val="53"/>
                <w:rFonts w:hint="default"/>
                <w:color w:val="auto"/>
                <w:sz w:val="21"/>
                <w:szCs w:val="21"/>
                <w:highlight w:val="none"/>
              </w:rPr>
              <w:t>种：</w:t>
            </w:r>
          </w:p>
          <w:p w14:paraId="361A80FA">
            <w:pPr>
              <w:spacing w:line="400" w:lineRule="exact"/>
              <w:ind w:firstLine="420" w:firstLineChars="200"/>
              <w:rPr>
                <w:rFonts w:hint="eastAsia" w:ascii="宋体" w:hAnsi="宋体" w:eastAsia="宋体" w:cs="宋体"/>
                <w:color w:val="auto"/>
                <w:szCs w:val="21"/>
                <w:highlight w:val="yellow"/>
                <w:lang w:val="en-US" w:eastAsia="zh-CN"/>
              </w:rPr>
            </w:pPr>
            <w:r>
              <w:rPr>
                <w:rStyle w:val="53"/>
                <w:rFonts w:hint="default"/>
                <w:color w:val="auto"/>
                <w:sz w:val="21"/>
                <w:szCs w:val="21"/>
                <w:highlight w:val="none"/>
              </w:rPr>
              <w:t>（1）每次付款前，监理单位须向委托人提供有效等额增值税专用发票。在付款前监理人应当提供等额增值税发票，未足额提供的发票的，委托人有权拒绝付款；</w:t>
            </w:r>
          </w:p>
          <w:p w14:paraId="63728900">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w:t>
            </w:r>
            <w:r>
              <w:rPr>
                <w:rStyle w:val="53"/>
                <w:rFonts w:hint="eastAsia"/>
                <w:color w:val="auto"/>
                <w:sz w:val="21"/>
                <w:szCs w:val="21"/>
                <w:highlight w:val="none"/>
                <w:lang w:val="en-US" w:eastAsia="zh-CN"/>
              </w:rPr>
              <w:t>2</w:t>
            </w:r>
            <w:r>
              <w:rPr>
                <w:rStyle w:val="53"/>
                <w:rFonts w:hint="default"/>
                <w:color w:val="auto"/>
                <w:sz w:val="21"/>
                <w:szCs w:val="21"/>
                <w:highlight w:val="none"/>
              </w:rPr>
              <w:t>）若本合同涉及财政资金或专项资金支持，在委托人未收到财政资金或专项资金的情形下，委托人有权迟延付款且不承担违约责任，在符合其他付款条件且收到财政资金或专项资金后付款；</w:t>
            </w:r>
          </w:p>
          <w:p w14:paraId="59405589">
            <w:pPr>
              <w:spacing w:line="400" w:lineRule="exact"/>
              <w:ind w:firstLine="420" w:firstLineChars="200"/>
              <w:rPr>
                <w:rStyle w:val="53"/>
                <w:rFonts w:hint="default"/>
                <w:color w:val="auto"/>
                <w:sz w:val="21"/>
                <w:szCs w:val="21"/>
                <w:highlight w:val="none"/>
              </w:rPr>
            </w:pPr>
            <w:r>
              <w:rPr>
                <w:rStyle w:val="53"/>
                <w:rFonts w:hint="default"/>
                <w:color w:val="auto"/>
                <w:sz w:val="21"/>
                <w:szCs w:val="21"/>
                <w:highlight w:val="none"/>
              </w:rPr>
              <w:t>（</w:t>
            </w:r>
            <w:r>
              <w:rPr>
                <w:rStyle w:val="53"/>
                <w:rFonts w:hint="eastAsia"/>
                <w:color w:val="auto"/>
                <w:sz w:val="21"/>
                <w:szCs w:val="21"/>
                <w:highlight w:val="none"/>
                <w:lang w:val="en-US" w:eastAsia="zh-CN"/>
              </w:rPr>
              <w:t>3</w:t>
            </w:r>
            <w:r>
              <w:rPr>
                <w:rStyle w:val="53"/>
                <w:rFonts w:hint="default"/>
                <w:color w:val="auto"/>
                <w:sz w:val="21"/>
                <w:szCs w:val="21"/>
                <w:highlight w:val="none"/>
              </w:rPr>
              <w:t>）若需对工程进行审计或财评，则在审计或财评结果未出之前，委托人有权迟延付款且不承担违约责任。</w:t>
            </w:r>
          </w:p>
          <w:p w14:paraId="2B2668E8">
            <w:pPr>
              <w:spacing w:line="400" w:lineRule="exact"/>
              <w:ind w:firstLine="420" w:firstLineChars="200"/>
              <w:rPr>
                <w:rFonts w:hint="eastAsia" w:ascii="宋体" w:hAnsi="宋体" w:eastAsia="宋体" w:cs="宋体"/>
                <w:color w:val="auto"/>
                <w:szCs w:val="21"/>
                <w:highlight w:val="none"/>
                <w:lang w:eastAsia="zh-CN"/>
              </w:rPr>
            </w:pPr>
            <w:r>
              <w:rPr>
                <w:rStyle w:val="53"/>
                <w:rFonts w:hint="default"/>
                <w:color w:val="auto"/>
                <w:sz w:val="21"/>
                <w:szCs w:val="21"/>
                <w:highlight w:val="none"/>
              </w:rPr>
              <w:t>本合同的审计包括委托人委托第三方审计、重庆市南岸区财政局审计或重庆市南岸区审计局审计，若需重庆市南岸区财政局审计或重庆市南岸区审计局审计，则以重庆市南岸区财政局审计或重庆市南岸区审计局审计结果为准。</w:t>
            </w:r>
          </w:p>
        </w:tc>
      </w:tr>
      <w:tr w14:paraId="356DF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8AB7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9.3</w:t>
            </w:r>
          </w:p>
        </w:tc>
        <w:tc>
          <w:tcPr>
            <w:tcW w:w="1964" w:type="dxa"/>
            <w:vAlign w:val="center"/>
          </w:tcPr>
          <w:p w14:paraId="6AB836E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中选候选人和中选人无故放弃中选或不签订合同的后果</w:t>
            </w:r>
          </w:p>
        </w:tc>
        <w:tc>
          <w:tcPr>
            <w:tcW w:w="6372" w:type="dxa"/>
            <w:vAlign w:val="center"/>
          </w:tcPr>
          <w:p w14:paraId="06685D9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1.不予退还比选保证金；</w:t>
            </w:r>
          </w:p>
          <w:p w14:paraId="03DE1F7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2.给比选人造成经济损失的，要赔偿比选人合理损失；</w:t>
            </w:r>
          </w:p>
          <w:p w14:paraId="5253C18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3.由比选人将其不良行为上报监督部门记分处理并纳入黑名单。</w:t>
            </w:r>
          </w:p>
        </w:tc>
      </w:tr>
      <w:tr w14:paraId="0BE09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CB7F3B5">
            <w:pPr>
              <w:snapToGrid w:val="0"/>
              <w:spacing w:line="400" w:lineRule="exact"/>
              <w:jc w:val="center"/>
              <w:rPr>
                <w:rFonts w:hint="eastAsia" w:ascii="宋体" w:hAnsi="宋体" w:eastAsiaTheme="minorEastAsia"/>
                <w:color w:val="auto"/>
                <w:kern w:val="0"/>
                <w:szCs w:val="21"/>
                <w:highlight w:val="none"/>
                <w:lang w:eastAsia="zh-CN"/>
              </w:rPr>
            </w:pPr>
            <w:r>
              <w:rPr>
                <w:rFonts w:hint="eastAsia" w:asciiTheme="minorEastAsia" w:hAnsiTheme="minorEastAsia" w:eastAsiaTheme="minorEastAsia"/>
                <w:color w:val="auto"/>
                <w:kern w:val="0"/>
                <w:szCs w:val="21"/>
                <w:highlight w:val="none"/>
              </w:rPr>
              <w:t>9.</w:t>
            </w:r>
            <w:r>
              <w:rPr>
                <w:rFonts w:hint="eastAsia" w:asciiTheme="minorEastAsia" w:hAnsiTheme="minorEastAsia" w:eastAsiaTheme="minorEastAsia"/>
                <w:color w:val="auto"/>
                <w:kern w:val="0"/>
                <w:szCs w:val="21"/>
                <w:highlight w:val="none"/>
                <w:lang w:val="en-US" w:eastAsia="zh-CN"/>
              </w:rPr>
              <w:t>4</w:t>
            </w:r>
          </w:p>
        </w:tc>
        <w:tc>
          <w:tcPr>
            <w:tcW w:w="1964" w:type="dxa"/>
            <w:vAlign w:val="center"/>
          </w:tcPr>
          <w:p w14:paraId="7D0B1923">
            <w:pPr>
              <w:snapToGrid w:val="0"/>
              <w:spacing w:line="400" w:lineRule="exact"/>
              <w:jc w:val="center"/>
              <w:rPr>
                <w:rFonts w:ascii="宋体" w:hAnsi="宋体"/>
                <w:color w:val="auto"/>
                <w:kern w:val="0"/>
                <w:szCs w:val="21"/>
                <w:highlight w:val="none"/>
              </w:rPr>
            </w:pPr>
            <w:r>
              <w:rPr>
                <w:rFonts w:hint="eastAsia" w:asciiTheme="minorEastAsia" w:hAnsiTheme="minorEastAsia" w:eastAsiaTheme="minorEastAsia"/>
                <w:color w:val="auto"/>
                <w:kern w:val="0"/>
                <w:szCs w:val="21"/>
                <w:highlight w:val="none"/>
              </w:rPr>
              <w:t>代理服务费</w:t>
            </w:r>
          </w:p>
        </w:tc>
        <w:tc>
          <w:tcPr>
            <w:tcW w:w="6372" w:type="dxa"/>
            <w:vAlign w:val="center"/>
          </w:tcPr>
          <w:p w14:paraId="4B357C75">
            <w:pPr>
              <w:snapToGrid w:val="0"/>
              <w:spacing w:line="300" w:lineRule="auto"/>
              <w:ind w:firstLine="420" w:firstLineChars="20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w:t>
            </w:r>
            <w:r>
              <w:rPr>
                <w:rFonts w:hint="eastAsia" w:ascii="宋体" w:hAnsi="宋体"/>
                <w:color w:val="auto"/>
                <w:szCs w:val="21"/>
                <w:highlight w:val="none"/>
                <w:lang w:val="en-US" w:eastAsia="zh-CN"/>
              </w:rPr>
              <w:t>比选</w:t>
            </w:r>
            <w:r>
              <w:rPr>
                <w:rFonts w:hint="eastAsia" w:ascii="宋体" w:hAnsi="宋体"/>
                <w:color w:val="auto"/>
                <w:szCs w:val="21"/>
                <w:highlight w:val="none"/>
              </w:rPr>
              <w:t>代理费：以中标金额为基数，参照(发改办价格[2003]857号)、(计价格[2002]1980)文件收费标准下浮</w:t>
            </w:r>
            <w:r>
              <w:rPr>
                <w:rFonts w:hint="eastAsia" w:ascii="宋体" w:hAnsi="宋体"/>
                <w:color w:val="auto"/>
                <w:szCs w:val="21"/>
                <w:highlight w:val="none"/>
                <w:lang w:val="en-US" w:eastAsia="zh-CN"/>
              </w:rPr>
              <w:t>10</w:t>
            </w:r>
            <w:r>
              <w:rPr>
                <w:rFonts w:hint="eastAsia" w:ascii="宋体" w:hAnsi="宋体"/>
                <w:color w:val="auto"/>
                <w:szCs w:val="21"/>
                <w:highlight w:val="none"/>
              </w:rPr>
              <w:t>%计算，由中标单位领取中标通知书前，一次性支付给招标代理机构。由</w:t>
            </w:r>
            <w:r>
              <w:rPr>
                <w:rFonts w:hint="eastAsia" w:ascii="宋体" w:hAnsi="宋体"/>
                <w:color w:val="auto"/>
                <w:szCs w:val="21"/>
                <w:highlight w:val="none"/>
                <w:lang w:eastAsia="zh-CN"/>
              </w:rPr>
              <w:t>竞选人</w:t>
            </w:r>
            <w:r>
              <w:rPr>
                <w:rFonts w:hint="eastAsia" w:ascii="宋体" w:hAnsi="宋体"/>
                <w:color w:val="auto"/>
                <w:szCs w:val="21"/>
                <w:highlight w:val="none"/>
              </w:rPr>
              <w:t>测算综合考虑在投标总价中。</w:t>
            </w:r>
            <w:r>
              <w:rPr>
                <w:rFonts w:hint="eastAsia" w:ascii="宋体" w:hAnsi="宋体" w:cs="MingLiU"/>
                <w:snapToGrid w:val="0"/>
                <w:color w:val="auto"/>
                <w:kern w:val="0"/>
                <w:szCs w:val="21"/>
                <w:highlight w:val="none"/>
              </w:rPr>
              <w:t>不足</w:t>
            </w:r>
            <w:r>
              <w:rPr>
                <w:rFonts w:hint="eastAsia" w:ascii="宋体" w:hAnsi="宋体" w:cs="MingLiU"/>
                <w:snapToGrid w:val="0"/>
                <w:color w:val="auto"/>
                <w:kern w:val="0"/>
                <w:szCs w:val="21"/>
                <w:highlight w:val="none"/>
                <w:lang w:val="en-US" w:eastAsia="zh-CN"/>
              </w:rPr>
              <w:t>4</w:t>
            </w:r>
            <w:r>
              <w:rPr>
                <w:rFonts w:hint="eastAsia" w:ascii="宋体" w:hAnsi="宋体" w:cs="MingLiU"/>
                <w:snapToGrid w:val="0"/>
                <w:color w:val="auto"/>
                <w:kern w:val="0"/>
                <w:szCs w:val="21"/>
                <w:highlight w:val="none"/>
              </w:rPr>
              <w:t>000.00元按固定收费金额：</w:t>
            </w:r>
            <w:bookmarkStart w:id="830" w:name="_GoBack"/>
            <w:bookmarkEnd w:id="830"/>
            <w:r>
              <w:rPr>
                <w:rFonts w:hint="eastAsia" w:ascii="宋体" w:hAnsi="宋体" w:cs="MingLiU"/>
                <w:snapToGrid w:val="0"/>
                <w:color w:val="auto"/>
                <w:kern w:val="0"/>
                <w:szCs w:val="21"/>
                <w:highlight w:val="none"/>
                <w:lang w:val="en-US" w:eastAsia="zh-CN"/>
              </w:rPr>
              <w:t>4</w:t>
            </w:r>
            <w:r>
              <w:rPr>
                <w:rFonts w:hint="eastAsia" w:ascii="宋体" w:hAnsi="宋体" w:cs="MingLiU"/>
                <w:snapToGrid w:val="0"/>
                <w:color w:val="auto"/>
                <w:kern w:val="0"/>
                <w:szCs w:val="21"/>
                <w:highlight w:val="none"/>
              </w:rPr>
              <w:t>000.00元计算。</w:t>
            </w:r>
          </w:p>
          <w:p w14:paraId="71127859">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s="MingLiU"/>
                <w:snapToGrid w:val="0"/>
                <w:color w:val="auto"/>
                <w:kern w:val="0"/>
                <w:szCs w:val="21"/>
                <w:highlight w:val="none"/>
              </w:rPr>
              <w:t>2</w:t>
            </w:r>
            <w:r>
              <w:rPr>
                <w:rFonts w:ascii="宋体" w:hAnsi="宋体" w:cs="MingLiU"/>
                <w:snapToGrid w:val="0"/>
                <w:color w:val="auto"/>
                <w:kern w:val="0"/>
                <w:szCs w:val="21"/>
                <w:highlight w:val="none"/>
              </w:rPr>
              <w:t>.</w:t>
            </w:r>
            <w:r>
              <w:rPr>
                <w:rFonts w:hint="eastAsia" w:ascii="宋体" w:hAnsi="宋体" w:cs="MingLiU"/>
                <w:snapToGrid w:val="0"/>
                <w:color w:val="auto"/>
                <w:kern w:val="0"/>
                <w:szCs w:val="21"/>
                <w:highlight w:val="none"/>
              </w:rPr>
              <w:t>比选代理费由中标人在领取中标通知书时一次性向比选代理机构支付。</w:t>
            </w:r>
          </w:p>
        </w:tc>
      </w:tr>
      <w:tr w14:paraId="2E9CF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B01B036">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9.</w:t>
            </w:r>
            <w:r>
              <w:rPr>
                <w:rFonts w:hint="eastAsia" w:ascii="宋体" w:hAnsi="宋体"/>
                <w:color w:val="auto"/>
                <w:kern w:val="0"/>
                <w:szCs w:val="21"/>
                <w:highlight w:val="none"/>
                <w:lang w:val="en-US" w:eastAsia="zh-CN"/>
              </w:rPr>
              <w:t>5</w:t>
            </w:r>
          </w:p>
        </w:tc>
        <w:tc>
          <w:tcPr>
            <w:tcW w:w="1964" w:type="dxa"/>
            <w:vAlign w:val="center"/>
          </w:tcPr>
          <w:p w14:paraId="39035E45">
            <w:pPr>
              <w:snapToGrid w:val="0"/>
              <w:spacing w:line="400" w:lineRule="exact"/>
              <w:jc w:val="center"/>
              <w:rPr>
                <w:rFonts w:ascii="宋体" w:hAnsi="宋体"/>
                <w:color w:val="auto"/>
                <w:kern w:val="0"/>
                <w:szCs w:val="21"/>
                <w:highlight w:val="none"/>
              </w:rPr>
            </w:pPr>
            <w:r>
              <w:rPr>
                <w:rFonts w:hint="eastAsia" w:ascii="宋体" w:hAnsi="宋体"/>
                <w:b/>
                <w:bCs/>
                <w:color w:val="auto"/>
                <w:kern w:val="0"/>
                <w:szCs w:val="21"/>
                <w:highlight w:val="none"/>
              </w:rPr>
              <w:t>特别提醒</w:t>
            </w:r>
          </w:p>
        </w:tc>
        <w:tc>
          <w:tcPr>
            <w:tcW w:w="6372" w:type="dxa"/>
            <w:vAlign w:val="center"/>
          </w:tcPr>
          <w:p w14:paraId="7EB9A000">
            <w:pPr>
              <w:autoSpaceDE w:val="0"/>
              <w:autoSpaceDN w:val="0"/>
              <w:adjustRightInd w:val="0"/>
              <w:snapToGrid w:val="0"/>
              <w:spacing w:line="40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w:t>
            </w:r>
            <w:r>
              <w:rPr>
                <w:rFonts w:hint="eastAsia" w:ascii="宋体" w:hAnsi="宋体" w:cs="宋体"/>
                <w:b/>
                <w:bCs/>
                <w:color w:val="auto"/>
                <w:kern w:val="0"/>
                <w:szCs w:val="21"/>
                <w:highlight w:val="none"/>
                <w:lang w:eastAsia="zh-CN"/>
              </w:rPr>
              <w:t>评标委员会</w:t>
            </w:r>
            <w:r>
              <w:rPr>
                <w:rFonts w:hint="eastAsia" w:ascii="宋体" w:hAnsi="宋体" w:cs="宋体"/>
                <w:b/>
                <w:bCs/>
                <w:color w:val="auto"/>
                <w:kern w:val="0"/>
                <w:szCs w:val="21"/>
                <w:highlight w:val="none"/>
              </w:rPr>
              <w:t>作否决竞选处理。</w:t>
            </w:r>
          </w:p>
          <w:p w14:paraId="2F3B9D48">
            <w:pPr>
              <w:autoSpaceDE w:val="0"/>
              <w:autoSpaceDN w:val="0"/>
              <w:adjustRightInd w:val="0"/>
              <w:snapToGrid w:val="0"/>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中选单位派驻项目现场的监理人员必须与竞选文件承诺的人员一致，除特殊原因不得更换。凡发现派驻的监理人员和与竞选文件不同的，建设单位视为监理单位存在违法挂靠承包行为，责令改正，并给予相应经济处罚，并将该处理情况上报监督部门纳入信用考核，相关信息纳入全市信用监管平台。</w:t>
            </w:r>
          </w:p>
          <w:p w14:paraId="1F27FDBD">
            <w:pPr>
              <w:autoSpaceDE w:val="0"/>
              <w:autoSpaceDN w:val="0"/>
              <w:adjustRightInd w:val="0"/>
              <w:snapToGrid w:val="0"/>
              <w:spacing w:line="400" w:lineRule="exact"/>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本项目比选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竞选报价中。</w:t>
            </w:r>
          </w:p>
        </w:tc>
      </w:tr>
      <w:tr w14:paraId="30CE2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10CA906">
            <w:pPr>
              <w:snapToGrid w:val="0"/>
              <w:spacing w:line="400" w:lineRule="exact"/>
              <w:jc w:val="center"/>
              <w:rPr>
                <w:rFonts w:hint="default" w:ascii="宋体" w:hAnsi="宋体" w:eastAsia="宋体"/>
                <w:color w:val="auto"/>
                <w:kern w:val="0"/>
                <w:szCs w:val="21"/>
                <w:highlight w:val="none"/>
                <w:lang w:val="en-US" w:eastAsia="zh-CN"/>
              </w:rPr>
            </w:pPr>
            <w:bookmarkStart w:id="36" w:name="_Toc287620685"/>
            <w:bookmarkStart w:id="37" w:name="_Toc430530435"/>
            <w:bookmarkStart w:id="38" w:name="_Toc200513126"/>
            <w:bookmarkStart w:id="39" w:name="_Toc287607746"/>
            <w:bookmarkStart w:id="40" w:name="_Toc509218710"/>
            <w:bookmarkStart w:id="41" w:name="_Toc224103317"/>
            <w:bookmarkStart w:id="42" w:name="_Toc277082552"/>
            <w:r>
              <w:rPr>
                <w:rFonts w:hint="eastAsia" w:ascii="宋体" w:hAnsi="宋体"/>
                <w:color w:val="auto"/>
                <w:kern w:val="0"/>
                <w:szCs w:val="21"/>
                <w:highlight w:val="none"/>
                <w:lang w:val="en-US" w:eastAsia="zh-CN"/>
              </w:rPr>
              <w:t>9.6</w:t>
            </w:r>
          </w:p>
        </w:tc>
        <w:tc>
          <w:tcPr>
            <w:tcW w:w="1964" w:type="dxa"/>
            <w:vAlign w:val="center"/>
          </w:tcPr>
          <w:p w14:paraId="0455E8B7">
            <w:pPr>
              <w:adjustRightInd w:val="0"/>
              <w:snapToGrid w:val="0"/>
              <w:spacing w:line="360" w:lineRule="auto"/>
              <w:rPr>
                <w:rFonts w:hint="eastAsia" w:ascii="宋体" w:hAnsi="宋体"/>
                <w:b/>
                <w:bCs/>
                <w:color w:val="auto"/>
                <w:kern w:val="0"/>
                <w:szCs w:val="21"/>
                <w:highlight w:val="none"/>
              </w:rPr>
            </w:pPr>
            <w:r>
              <w:rPr>
                <w:rFonts w:hint="eastAsia" w:ascii="宋体" w:hAnsi="宋体" w:cs="宋体"/>
                <w:color w:val="auto"/>
                <w:szCs w:val="21"/>
                <w:highlight w:val="none"/>
                <w:lang w:val="en-US" w:eastAsia="zh-CN"/>
              </w:rPr>
              <w:t>交易服务费</w:t>
            </w:r>
          </w:p>
        </w:tc>
        <w:tc>
          <w:tcPr>
            <w:tcW w:w="6372" w:type="dxa"/>
            <w:vAlign w:val="center"/>
          </w:tcPr>
          <w:p w14:paraId="6576BA04">
            <w:pPr>
              <w:snapToGrid w:val="0"/>
              <w:spacing w:line="300" w:lineRule="auto"/>
              <w:ind w:firstLine="420" w:firstLineChars="200"/>
              <w:rPr>
                <w:rFonts w:hint="eastAsia" w:ascii="宋体" w:hAnsi="宋体" w:eastAsia="宋体" w:cs="MingLiU"/>
                <w:snapToGrid w:val="0"/>
                <w:color w:val="auto"/>
                <w:kern w:val="0"/>
                <w:szCs w:val="21"/>
                <w:highlight w:val="none"/>
                <w:lang w:val="en-US" w:eastAsia="zh-CN"/>
              </w:rPr>
            </w:pPr>
            <w:r>
              <w:rPr>
                <w:rFonts w:hint="eastAsia" w:ascii="宋体" w:hAnsi="宋体" w:eastAsia="宋体" w:cs="MingLiU"/>
                <w:snapToGrid w:val="0"/>
                <w:color w:val="auto"/>
                <w:kern w:val="0"/>
                <w:szCs w:val="21"/>
                <w:highlight w:val="none"/>
                <w:lang w:eastAsia="zh-CN"/>
              </w:rPr>
              <w:t>竞选人</w:t>
            </w:r>
            <w:r>
              <w:rPr>
                <w:rFonts w:hint="eastAsia" w:ascii="宋体" w:hAnsi="宋体" w:eastAsia="宋体" w:cs="MingLiU"/>
                <w:snapToGrid w:val="0"/>
                <w:color w:val="auto"/>
                <w:kern w:val="0"/>
                <w:szCs w:val="21"/>
                <w:highlight w:val="none"/>
              </w:rPr>
              <w:t>中标后向“重庆市汇南城市建设开发有限公司”缴纳交易服务费，服务费的收取标准按</w:t>
            </w:r>
            <w:r>
              <w:rPr>
                <w:rFonts w:hint="eastAsia" w:ascii="宋体" w:hAnsi="宋体" w:eastAsia="宋体" w:cs="MingLiU"/>
                <w:snapToGrid w:val="0"/>
                <w:color w:val="auto"/>
                <w:kern w:val="0"/>
                <w:szCs w:val="21"/>
                <w:highlight w:val="none"/>
                <w:lang w:eastAsia="zh-CN"/>
              </w:rPr>
              <w:t>南岸</w:t>
            </w:r>
            <w:r>
              <w:rPr>
                <w:rFonts w:hint="eastAsia" w:ascii="宋体" w:hAnsi="宋体" w:eastAsia="宋体" w:cs="MingLiU"/>
                <w:snapToGrid w:val="0"/>
                <w:color w:val="auto"/>
                <w:kern w:val="0"/>
                <w:szCs w:val="21"/>
                <w:highlight w:val="none"/>
              </w:rPr>
              <w:t>发改</w:t>
            </w:r>
            <w:r>
              <w:rPr>
                <w:rFonts w:hint="eastAsia" w:ascii="宋体" w:hAnsi="宋体" w:eastAsia="宋体" w:cs="MingLiU"/>
                <w:snapToGrid w:val="0"/>
                <w:color w:val="auto"/>
                <w:kern w:val="0"/>
                <w:szCs w:val="21"/>
                <w:highlight w:val="none"/>
                <w:lang w:eastAsia="zh-CN"/>
              </w:rPr>
              <w:t>【</w:t>
            </w:r>
            <w:r>
              <w:rPr>
                <w:rFonts w:hint="eastAsia" w:ascii="宋体" w:hAnsi="宋体" w:eastAsia="宋体" w:cs="MingLiU"/>
                <w:snapToGrid w:val="0"/>
                <w:color w:val="auto"/>
                <w:kern w:val="0"/>
                <w:szCs w:val="21"/>
                <w:highlight w:val="none"/>
                <w:lang w:val="en-US" w:eastAsia="zh-CN"/>
              </w:rPr>
              <w:t>2025</w:t>
            </w:r>
            <w:r>
              <w:rPr>
                <w:rFonts w:hint="eastAsia" w:ascii="宋体" w:hAnsi="宋体" w:eastAsia="宋体" w:cs="MingLiU"/>
                <w:snapToGrid w:val="0"/>
                <w:color w:val="auto"/>
                <w:kern w:val="0"/>
                <w:szCs w:val="21"/>
                <w:highlight w:val="none"/>
                <w:lang w:eastAsia="zh-CN"/>
              </w:rPr>
              <w:t>】</w:t>
            </w:r>
            <w:r>
              <w:rPr>
                <w:rFonts w:hint="eastAsia" w:ascii="宋体" w:hAnsi="宋体" w:eastAsia="宋体" w:cs="MingLiU"/>
                <w:snapToGrid w:val="0"/>
                <w:color w:val="auto"/>
                <w:kern w:val="0"/>
                <w:szCs w:val="21"/>
                <w:highlight w:val="none"/>
                <w:lang w:val="en-US" w:eastAsia="zh-CN"/>
              </w:rPr>
              <w:t>130</w:t>
            </w:r>
            <w:r>
              <w:rPr>
                <w:rFonts w:hint="eastAsia" w:ascii="宋体" w:hAnsi="宋体" w:eastAsia="宋体" w:cs="MingLiU"/>
                <w:snapToGrid w:val="0"/>
                <w:color w:val="auto"/>
                <w:kern w:val="0"/>
                <w:szCs w:val="21"/>
                <w:highlight w:val="none"/>
              </w:rPr>
              <w:t>号执行</w:t>
            </w:r>
            <w:r>
              <w:rPr>
                <w:rFonts w:hint="eastAsia" w:ascii="宋体" w:hAnsi="宋体" w:eastAsia="宋体" w:cs="MingLiU"/>
                <w:snapToGrid w:val="0"/>
                <w:color w:val="auto"/>
                <w:kern w:val="0"/>
                <w:szCs w:val="21"/>
                <w:highlight w:val="none"/>
                <w:lang w:eastAsia="zh-CN"/>
              </w:rPr>
              <w:t>，</w:t>
            </w:r>
            <w:r>
              <w:rPr>
                <w:rFonts w:hint="eastAsia" w:ascii="宋体" w:hAnsi="宋体" w:eastAsia="宋体" w:cs="MingLiU"/>
                <w:snapToGrid w:val="0"/>
                <w:color w:val="auto"/>
                <w:kern w:val="0"/>
                <w:szCs w:val="21"/>
                <w:highlight w:val="none"/>
                <w:lang w:val="en-US" w:eastAsia="zh-CN"/>
              </w:rPr>
              <w:t>由中标人</w:t>
            </w:r>
            <w:r>
              <w:rPr>
                <w:rFonts w:hint="eastAsia" w:ascii="宋体" w:hAnsi="宋体" w:cs="MingLiU"/>
                <w:snapToGrid w:val="0"/>
                <w:color w:val="auto"/>
                <w:kern w:val="0"/>
                <w:szCs w:val="21"/>
                <w:highlight w:val="none"/>
                <w:lang w:val="en-US" w:eastAsia="zh-CN"/>
              </w:rPr>
              <w:t>全</w:t>
            </w:r>
            <w:r>
              <w:rPr>
                <w:rFonts w:hint="eastAsia" w:ascii="宋体" w:hAnsi="宋体" w:eastAsia="宋体" w:cs="MingLiU"/>
                <w:snapToGrid w:val="0"/>
                <w:color w:val="auto"/>
                <w:kern w:val="0"/>
                <w:szCs w:val="21"/>
                <w:highlight w:val="none"/>
                <w:lang w:val="en-US" w:eastAsia="zh-CN"/>
              </w:rPr>
              <w:t>额支付，</w:t>
            </w:r>
            <w:r>
              <w:rPr>
                <w:rFonts w:hint="eastAsia" w:ascii="宋体" w:hAnsi="宋体" w:cs="MingLiU"/>
                <w:snapToGrid w:val="0"/>
                <w:color w:val="auto"/>
                <w:kern w:val="0"/>
                <w:szCs w:val="21"/>
                <w:highlight w:val="none"/>
                <w:lang w:val="en-US" w:eastAsia="zh-CN"/>
              </w:rPr>
              <w:t>该</w:t>
            </w:r>
            <w:r>
              <w:rPr>
                <w:rFonts w:hint="eastAsia" w:ascii="宋体" w:hAnsi="宋体" w:eastAsia="宋体" w:cs="MingLiU"/>
                <w:snapToGrid w:val="0"/>
                <w:color w:val="auto"/>
                <w:kern w:val="0"/>
                <w:szCs w:val="21"/>
                <w:highlight w:val="none"/>
                <w:lang w:val="en-US" w:eastAsia="zh-CN"/>
              </w:rPr>
              <w:t>费用由</w:t>
            </w:r>
            <w:r>
              <w:rPr>
                <w:rFonts w:hint="eastAsia" w:ascii="宋体" w:hAnsi="宋体" w:cs="MingLiU"/>
                <w:snapToGrid w:val="0"/>
                <w:color w:val="auto"/>
                <w:kern w:val="0"/>
                <w:szCs w:val="21"/>
                <w:highlight w:val="none"/>
                <w:lang w:val="en-US" w:eastAsia="zh-CN"/>
              </w:rPr>
              <w:t>竞选</w:t>
            </w:r>
            <w:r>
              <w:rPr>
                <w:rFonts w:hint="eastAsia" w:ascii="宋体" w:hAnsi="宋体" w:eastAsia="宋体" w:cs="MingLiU"/>
                <w:snapToGrid w:val="0"/>
                <w:color w:val="auto"/>
                <w:kern w:val="0"/>
                <w:szCs w:val="21"/>
                <w:highlight w:val="none"/>
                <w:lang w:val="en-US" w:eastAsia="zh-CN"/>
              </w:rPr>
              <w:t>人综合考虑在竞选总报价中</w:t>
            </w:r>
            <w:r>
              <w:rPr>
                <w:rFonts w:hint="eastAsia" w:ascii="宋体" w:hAnsi="宋体" w:eastAsia="宋体" w:cs="MingLiU"/>
                <w:snapToGrid w:val="0"/>
                <w:color w:val="auto"/>
                <w:kern w:val="0"/>
                <w:szCs w:val="21"/>
                <w:highlight w:val="none"/>
              </w:rPr>
              <w:t>。</w:t>
            </w:r>
          </w:p>
          <w:p w14:paraId="1FAFB5CF">
            <w:pPr>
              <w:snapToGrid w:val="0"/>
              <w:spacing w:line="300" w:lineRule="auto"/>
              <w:ind w:firstLine="420" w:firstLineChars="200"/>
              <w:rPr>
                <w:rFonts w:hint="eastAsia" w:ascii="宋体" w:hAnsi="宋体" w:eastAsia="宋体" w:cs="MingLiU"/>
                <w:snapToGrid w:val="0"/>
                <w:color w:val="auto"/>
                <w:kern w:val="0"/>
                <w:szCs w:val="21"/>
                <w:highlight w:val="none"/>
                <w:lang w:val="en-US" w:eastAsia="zh-CN"/>
              </w:rPr>
            </w:pPr>
            <w:r>
              <w:rPr>
                <w:rFonts w:hint="eastAsia" w:ascii="宋体" w:hAnsi="宋体" w:eastAsia="宋体" w:cs="MingLiU"/>
                <w:snapToGrid w:val="0"/>
                <w:color w:val="auto"/>
                <w:kern w:val="0"/>
                <w:szCs w:val="21"/>
                <w:highlight w:val="none"/>
                <w:lang w:val="en-US" w:eastAsia="zh-CN"/>
              </w:rPr>
              <w:t>收款单位：重庆市汇南城市建设开发有限公司</w:t>
            </w:r>
          </w:p>
          <w:p w14:paraId="60DFA240">
            <w:pPr>
              <w:snapToGrid w:val="0"/>
              <w:spacing w:line="300" w:lineRule="auto"/>
              <w:ind w:firstLine="420" w:firstLineChars="200"/>
              <w:rPr>
                <w:rFonts w:hint="eastAsia" w:ascii="宋体" w:hAnsi="宋体" w:eastAsia="宋体" w:cs="MingLiU"/>
                <w:snapToGrid w:val="0"/>
                <w:color w:val="auto"/>
                <w:kern w:val="0"/>
                <w:szCs w:val="21"/>
                <w:highlight w:val="none"/>
                <w:lang w:val="en-US" w:eastAsia="zh-CN"/>
              </w:rPr>
            </w:pPr>
            <w:r>
              <w:rPr>
                <w:rFonts w:hint="eastAsia" w:ascii="宋体" w:hAnsi="宋体" w:eastAsia="宋体" w:cs="MingLiU"/>
                <w:snapToGrid w:val="0"/>
                <w:color w:val="auto"/>
                <w:kern w:val="0"/>
                <w:szCs w:val="21"/>
                <w:highlight w:val="none"/>
                <w:lang w:val="en-US" w:eastAsia="zh-CN"/>
              </w:rPr>
              <w:t>开户银行：重庆农村商业银行股份有限公司南岸支行南坪分理处</w:t>
            </w:r>
          </w:p>
          <w:p w14:paraId="1DE1CAD2">
            <w:pPr>
              <w:snapToGrid w:val="0"/>
              <w:spacing w:line="300" w:lineRule="auto"/>
              <w:ind w:firstLine="420" w:firstLineChars="200"/>
              <w:rPr>
                <w:rFonts w:hint="eastAsia" w:ascii="宋体" w:hAnsi="宋体" w:eastAsia="宋体" w:cs="MingLiU"/>
                <w:snapToGrid w:val="0"/>
                <w:color w:val="auto"/>
                <w:kern w:val="0"/>
                <w:szCs w:val="21"/>
                <w:highlight w:val="none"/>
                <w:lang w:val="en-US" w:eastAsia="zh-CN"/>
              </w:rPr>
            </w:pPr>
            <w:r>
              <w:rPr>
                <w:rFonts w:hint="eastAsia" w:ascii="宋体" w:hAnsi="宋体" w:eastAsia="宋体" w:cs="MingLiU"/>
                <w:snapToGrid w:val="0"/>
                <w:color w:val="auto"/>
                <w:kern w:val="0"/>
                <w:szCs w:val="21"/>
                <w:highlight w:val="none"/>
                <w:lang w:val="en-US" w:eastAsia="zh-CN"/>
              </w:rPr>
              <w:t>银行账号：0601110120010023958</w:t>
            </w:r>
          </w:p>
          <w:p w14:paraId="513B1178">
            <w:pPr>
              <w:snapToGrid w:val="0"/>
              <w:spacing w:line="300" w:lineRule="auto"/>
              <w:ind w:firstLine="420" w:firstLineChars="200"/>
              <w:rPr>
                <w:rFonts w:hint="eastAsia" w:ascii="宋体" w:hAnsi="宋体" w:eastAsia="宋体" w:cs="MingLiU"/>
                <w:snapToGrid w:val="0"/>
                <w:color w:val="auto"/>
                <w:kern w:val="0"/>
                <w:szCs w:val="21"/>
                <w:highlight w:val="none"/>
                <w:lang w:val="en-US" w:eastAsia="zh-CN"/>
              </w:rPr>
            </w:pPr>
            <w:r>
              <w:rPr>
                <w:rFonts w:hint="eastAsia" w:ascii="宋体" w:hAnsi="宋体" w:eastAsia="宋体" w:cs="MingLiU"/>
                <w:snapToGrid w:val="0"/>
                <w:color w:val="auto"/>
                <w:kern w:val="0"/>
                <w:szCs w:val="21"/>
                <w:highlight w:val="none"/>
                <w:lang w:val="en-US" w:eastAsia="zh-CN"/>
              </w:rPr>
              <w:t>银行行号：314653000222</w:t>
            </w:r>
          </w:p>
          <w:p w14:paraId="33871C63">
            <w:pPr>
              <w:snapToGrid w:val="0"/>
              <w:spacing w:line="300" w:lineRule="auto"/>
              <w:ind w:firstLine="420" w:firstLineChars="200"/>
              <w:rPr>
                <w:rFonts w:hint="eastAsia" w:ascii="宋体" w:hAnsi="宋体" w:cs="宋体"/>
                <w:b/>
                <w:bCs/>
                <w:color w:val="auto"/>
                <w:kern w:val="0"/>
                <w:szCs w:val="21"/>
                <w:highlight w:val="none"/>
                <w:lang w:val="en-US" w:eastAsia="zh-CN"/>
              </w:rPr>
            </w:pPr>
            <w:r>
              <w:rPr>
                <w:rFonts w:hint="eastAsia" w:ascii="宋体" w:hAnsi="宋体" w:eastAsia="宋体" w:cs="MingLiU"/>
                <w:snapToGrid w:val="0"/>
                <w:color w:val="auto"/>
                <w:kern w:val="0"/>
                <w:szCs w:val="21"/>
                <w:highlight w:val="none"/>
                <w:lang w:val="en-US" w:eastAsia="zh-CN"/>
              </w:rPr>
              <w:t>（咨询：何老师，电话：023-62948872）</w:t>
            </w:r>
          </w:p>
        </w:tc>
      </w:tr>
    </w:tbl>
    <w:p w14:paraId="2D05EEB7">
      <w:pPr>
        <w:rPr>
          <w:rFonts w:hint="eastAsia" w:ascii="宋体" w:hAnsi="宋体" w:cs="宋体"/>
          <w:bCs/>
          <w:snapToGrid w:val="0"/>
          <w:color w:val="auto"/>
          <w:sz w:val="24"/>
          <w:highlight w:val="none"/>
        </w:rPr>
      </w:pPr>
      <w:r>
        <w:rPr>
          <w:rFonts w:hint="eastAsia" w:ascii="宋体" w:hAnsi="宋体" w:cs="宋体"/>
          <w:bCs/>
          <w:snapToGrid w:val="0"/>
          <w:color w:val="auto"/>
          <w:sz w:val="24"/>
          <w:highlight w:val="none"/>
        </w:rPr>
        <w:br w:type="page"/>
      </w:r>
    </w:p>
    <w:p w14:paraId="7B55475D">
      <w:pPr>
        <w:pStyle w:val="7"/>
        <w:rPr>
          <w:rFonts w:ascii="宋体" w:hAnsi="宋体" w:cs="宋体"/>
          <w:bCs/>
          <w:snapToGrid w:val="0"/>
          <w:color w:val="auto"/>
          <w:sz w:val="24"/>
          <w:highlight w:val="none"/>
        </w:rPr>
      </w:pPr>
      <w:r>
        <w:rPr>
          <w:rFonts w:hint="eastAsia" w:ascii="宋体" w:hAnsi="宋体" w:cs="宋体"/>
          <w:bCs/>
          <w:snapToGrid w:val="0"/>
          <w:color w:val="auto"/>
          <w:sz w:val="24"/>
          <w:highlight w:val="none"/>
        </w:rPr>
        <w:t>1.  总则</w:t>
      </w:r>
      <w:bookmarkEnd w:id="36"/>
      <w:bookmarkEnd w:id="37"/>
      <w:bookmarkEnd w:id="38"/>
      <w:bookmarkEnd w:id="39"/>
      <w:bookmarkEnd w:id="40"/>
      <w:bookmarkEnd w:id="41"/>
      <w:bookmarkEnd w:id="42"/>
    </w:p>
    <w:p w14:paraId="326542EF">
      <w:pPr>
        <w:pStyle w:val="4"/>
        <w:snapToGrid w:val="0"/>
        <w:spacing w:before="0" w:after="0" w:line="360" w:lineRule="auto"/>
        <w:jc w:val="left"/>
        <w:rPr>
          <w:rFonts w:ascii="宋体" w:hAnsi="宋体" w:cs="宋体"/>
          <w:b w:val="0"/>
          <w:snapToGrid w:val="0"/>
          <w:color w:val="auto"/>
          <w:sz w:val="24"/>
          <w:szCs w:val="24"/>
          <w:highlight w:val="none"/>
        </w:rPr>
      </w:pPr>
      <w:bookmarkStart w:id="43" w:name="_Toc32083"/>
      <w:bookmarkStart w:id="44" w:name="_Toc277082553"/>
      <w:bookmarkStart w:id="45" w:name="_Toc10890"/>
      <w:bookmarkStart w:id="46" w:name="_Toc430530436"/>
      <w:bookmarkStart w:id="47" w:name="_Toc224103318"/>
      <w:bookmarkStart w:id="48" w:name="_Toc509218711"/>
      <w:bookmarkStart w:id="49" w:name="_Toc40569141"/>
      <w:bookmarkStart w:id="50" w:name="_Toc200513127"/>
      <w:bookmarkStart w:id="51" w:name="_Toc287607747"/>
      <w:bookmarkStart w:id="52" w:name="_Toc3411"/>
      <w:bookmarkStart w:id="53" w:name="_Toc287620686"/>
      <w:bookmarkStart w:id="54" w:name="_Toc40569046"/>
      <w:r>
        <w:rPr>
          <w:rFonts w:hint="eastAsia" w:ascii="宋体" w:hAnsi="宋体" w:cs="宋体"/>
          <w:b w:val="0"/>
          <w:snapToGrid w:val="0"/>
          <w:color w:val="auto"/>
          <w:sz w:val="24"/>
          <w:szCs w:val="24"/>
          <w:highlight w:val="none"/>
        </w:rPr>
        <w:t>1.1  项目概况</w:t>
      </w:r>
      <w:bookmarkEnd w:id="43"/>
      <w:bookmarkEnd w:id="44"/>
      <w:bookmarkEnd w:id="45"/>
      <w:bookmarkEnd w:id="46"/>
      <w:bookmarkEnd w:id="47"/>
      <w:bookmarkEnd w:id="48"/>
      <w:bookmarkEnd w:id="49"/>
      <w:bookmarkEnd w:id="50"/>
      <w:bookmarkEnd w:id="51"/>
      <w:bookmarkEnd w:id="52"/>
      <w:bookmarkEnd w:id="53"/>
      <w:bookmarkEnd w:id="54"/>
    </w:p>
    <w:p w14:paraId="7A2AEFC5">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根据《中华人民共和国招标投标法》等有关法律、法规和规章的规定，本发包项目已具备比选条件，现对本项目监理进行竞争性比选。</w:t>
      </w:r>
    </w:p>
    <w:p w14:paraId="7D063457">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本发包项目比选人：见竞选人须知前附表。</w:t>
      </w:r>
    </w:p>
    <w:p w14:paraId="64BB5D1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本项目比选代理机构：见竞选人须知前附表。</w:t>
      </w:r>
    </w:p>
    <w:p w14:paraId="7990E05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本发包项目名称：见竞选人须知前附表。</w:t>
      </w:r>
    </w:p>
    <w:p w14:paraId="14AB3901">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本项目建设地点：见竞选人须知前附表。</w:t>
      </w:r>
    </w:p>
    <w:p w14:paraId="2814C88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本项目建设规模：见竞选人须知前附表。</w:t>
      </w:r>
    </w:p>
    <w:p w14:paraId="53F49F3E">
      <w:pPr>
        <w:pStyle w:val="4"/>
        <w:snapToGrid w:val="0"/>
        <w:spacing w:before="0" w:after="0" w:line="360" w:lineRule="auto"/>
        <w:jc w:val="left"/>
        <w:rPr>
          <w:rFonts w:ascii="宋体" w:hAnsi="宋体" w:cs="宋体"/>
          <w:b w:val="0"/>
          <w:snapToGrid w:val="0"/>
          <w:color w:val="auto"/>
          <w:sz w:val="24"/>
          <w:szCs w:val="24"/>
          <w:highlight w:val="none"/>
        </w:rPr>
      </w:pPr>
      <w:bookmarkStart w:id="55" w:name="_Toc224103319"/>
      <w:bookmarkStart w:id="56" w:name="_Toc40569047"/>
      <w:bookmarkStart w:id="57" w:name="_Toc430530437"/>
      <w:bookmarkStart w:id="58" w:name="_Toc200513128"/>
      <w:bookmarkStart w:id="59" w:name="_Toc287620687"/>
      <w:bookmarkStart w:id="60" w:name="_Toc21234"/>
      <w:bookmarkStart w:id="61" w:name="_Toc2933"/>
      <w:bookmarkStart w:id="62" w:name="_Toc509218712"/>
      <w:bookmarkStart w:id="63" w:name="_Toc25629"/>
      <w:bookmarkStart w:id="64" w:name="_Toc287607748"/>
      <w:bookmarkStart w:id="65" w:name="_Toc40569142"/>
      <w:bookmarkStart w:id="66" w:name="_Toc277082554"/>
      <w:r>
        <w:rPr>
          <w:rFonts w:hint="eastAsia" w:ascii="宋体" w:hAnsi="宋体" w:cs="宋体"/>
          <w:b w:val="0"/>
          <w:snapToGrid w:val="0"/>
          <w:color w:val="auto"/>
          <w:sz w:val="24"/>
          <w:szCs w:val="24"/>
          <w:highlight w:val="none"/>
        </w:rPr>
        <w:t>1.2  资金来源和落实情况</w:t>
      </w:r>
      <w:bookmarkEnd w:id="55"/>
      <w:bookmarkEnd w:id="56"/>
      <w:bookmarkEnd w:id="57"/>
      <w:bookmarkEnd w:id="58"/>
      <w:bookmarkEnd w:id="59"/>
      <w:bookmarkEnd w:id="60"/>
      <w:bookmarkEnd w:id="61"/>
      <w:bookmarkEnd w:id="62"/>
      <w:bookmarkEnd w:id="63"/>
      <w:bookmarkEnd w:id="64"/>
      <w:bookmarkEnd w:id="65"/>
      <w:bookmarkEnd w:id="66"/>
    </w:p>
    <w:p w14:paraId="691892D0">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本发包项目的资金来源：见竞选人须知前附表。</w:t>
      </w:r>
    </w:p>
    <w:p w14:paraId="0779229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本发包项目的出资比例：见竞选人须知前附表。</w:t>
      </w:r>
    </w:p>
    <w:p w14:paraId="64B74D76">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本发包项目的资金落实情况：见竞选人须知前附表。</w:t>
      </w:r>
    </w:p>
    <w:p w14:paraId="230BA838">
      <w:pPr>
        <w:pStyle w:val="4"/>
        <w:snapToGrid w:val="0"/>
        <w:spacing w:before="0" w:after="0" w:line="360" w:lineRule="auto"/>
        <w:jc w:val="left"/>
        <w:rPr>
          <w:rFonts w:ascii="宋体" w:hAnsi="宋体" w:cs="宋体"/>
          <w:b w:val="0"/>
          <w:snapToGrid w:val="0"/>
          <w:color w:val="auto"/>
          <w:sz w:val="24"/>
          <w:szCs w:val="24"/>
          <w:highlight w:val="none"/>
        </w:rPr>
      </w:pPr>
      <w:bookmarkStart w:id="67" w:name="_Toc509218713"/>
      <w:bookmarkStart w:id="68" w:name="_Toc40569048"/>
      <w:bookmarkStart w:id="69" w:name="_Toc3621"/>
      <w:bookmarkStart w:id="70" w:name="_Toc200513129"/>
      <w:bookmarkStart w:id="71" w:name="_Toc277082555"/>
      <w:bookmarkStart w:id="72" w:name="_Toc23212"/>
      <w:bookmarkStart w:id="73" w:name="_Toc40569143"/>
      <w:bookmarkStart w:id="74" w:name="_Toc21182"/>
      <w:bookmarkStart w:id="75" w:name="_Toc224103320"/>
      <w:bookmarkStart w:id="76" w:name="_Toc287607749"/>
      <w:bookmarkStart w:id="77" w:name="_Toc430530438"/>
      <w:bookmarkStart w:id="78" w:name="_Toc287620688"/>
      <w:r>
        <w:rPr>
          <w:rFonts w:hint="eastAsia" w:ascii="宋体" w:hAnsi="宋体" w:cs="宋体"/>
          <w:b w:val="0"/>
          <w:snapToGrid w:val="0"/>
          <w:color w:val="auto"/>
          <w:sz w:val="24"/>
          <w:szCs w:val="24"/>
          <w:highlight w:val="none"/>
        </w:rPr>
        <w:t>1.3  比选范围、监理服务期和质量要求</w:t>
      </w:r>
      <w:bookmarkEnd w:id="67"/>
      <w:bookmarkEnd w:id="68"/>
      <w:bookmarkEnd w:id="69"/>
      <w:bookmarkEnd w:id="70"/>
      <w:bookmarkEnd w:id="71"/>
      <w:bookmarkEnd w:id="72"/>
      <w:bookmarkEnd w:id="73"/>
      <w:bookmarkEnd w:id="74"/>
      <w:bookmarkEnd w:id="75"/>
      <w:bookmarkEnd w:id="76"/>
      <w:bookmarkEnd w:id="77"/>
      <w:bookmarkEnd w:id="78"/>
    </w:p>
    <w:p w14:paraId="75ADEED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本次比选范围：见竞选人须知前附表。</w:t>
      </w:r>
    </w:p>
    <w:p w14:paraId="2F66B57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本项目的监理服务期：见竞选人须知前附表。</w:t>
      </w:r>
    </w:p>
    <w:p w14:paraId="4086E19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本项目的质量要求：见竞选人须知前附表。</w:t>
      </w:r>
    </w:p>
    <w:p w14:paraId="0D2CCB62">
      <w:pPr>
        <w:pStyle w:val="4"/>
        <w:snapToGrid w:val="0"/>
        <w:spacing w:before="0" w:after="0" w:line="360" w:lineRule="auto"/>
        <w:jc w:val="left"/>
        <w:rPr>
          <w:rFonts w:ascii="宋体" w:hAnsi="宋体" w:cs="宋体"/>
          <w:b w:val="0"/>
          <w:snapToGrid w:val="0"/>
          <w:color w:val="auto"/>
          <w:sz w:val="24"/>
          <w:szCs w:val="24"/>
          <w:highlight w:val="none"/>
        </w:rPr>
      </w:pPr>
      <w:bookmarkStart w:id="79" w:name="_Toc200513130"/>
      <w:bookmarkStart w:id="80" w:name="_Toc287620689"/>
      <w:bookmarkStart w:id="81" w:name="_Toc509218714"/>
      <w:bookmarkStart w:id="82" w:name="_Toc224103321"/>
      <w:bookmarkStart w:id="83" w:name="_Toc287607750"/>
      <w:bookmarkStart w:id="84" w:name="_Toc430530439"/>
      <w:bookmarkStart w:id="85" w:name="_Toc277082556"/>
      <w:bookmarkStart w:id="86" w:name="_Toc40569049"/>
      <w:bookmarkStart w:id="87" w:name="_Toc30002"/>
      <w:bookmarkStart w:id="88" w:name="_Toc28521"/>
      <w:bookmarkStart w:id="89" w:name="_Toc5712"/>
      <w:bookmarkStart w:id="90" w:name="_Toc40569144"/>
      <w:r>
        <w:rPr>
          <w:rFonts w:hint="eastAsia" w:ascii="宋体" w:hAnsi="宋体" w:cs="宋体"/>
          <w:b w:val="0"/>
          <w:snapToGrid w:val="0"/>
          <w:color w:val="auto"/>
          <w:sz w:val="24"/>
          <w:szCs w:val="24"/>
          <w:highlight w:val="none"/>
        </w:rPr>
        <w:t xml:space="preserve">1.4  </w:t>
      </w:r>
      <w:bookmarkEnd w:id="79"/>
      <w:bookmarkEnd w:id="80"/>
      <w:bookmarkEnd w:id="81"/>
      <w:bookmarkEnd w:id="82"/>
      <w:bookmarkEnd w:id="83"/>
      <w:bookmarkEnd w:id="84"/>
      <w:bookmarkEnd w:id="85"/>
      <w:bookmarkStart w:id="91" w:name="_Toc277082557"/>
      <w:bookmarkStart w:id="92" w:name="_Toc509218715"/>
      <w:bookmarkStart w:id="93" w:name="_Toc200513131"/>
      <w:bookmarkStart w:id="94" w:name="_Toc430530440"/>
      <w:bookmarkStart w:id="95" w:name="_Toc224103322"/>
      <w:bookmarkStart w:id="96" w:name="_Toc287607751"/>
      <w:bookmarkStart w:id="97" w:name="_Toc287620690"/>
      <w:r>
        <w:rPr>
          <w:rFonts w:hint="eastAsia" w:ascii="宋体" w:hAnsi="宋体" w:cs="宋体"/>
          <w:b w:val="0"/>
          <w:snapToGrid w:val="0"/>
          <w:color w:val="auto"/>
          <w:sz w:val="24"/>
          <w:szCs w:val="24"/>
          <w:highlight w:val="none"/>
        </w:rPr>
        <w:t>竞选人资格要求</w:t>
      </w:r>
      <w:bookmarkEnd w:id="86"/>
      <w:bookmarkEnd w:id="87"/>
      <w:bookmarkEnd w:id="88"/>
      <w:bookmarkEnd w:id="89"/>
      <w:bookmarkEnd w:id="90"/>
      <w:bookmarkEnd w:id="91"/>
      <w:bookmarkEnd w:id="92"/>
      <w:bookmarkEnd w:id="93"/>
      <w:bookmarkEnd w:id="94"/>
      <w:bookmarkEnd w:id="95"/>
      <w:bookmarkEnd w:id="96"/>
      <w:bookmarkEnd w:id="97"/>
    </w:p>
    <w:p w14:paraId="00CD0B40">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 竞选人应具备承担本项目的资质条件、能力和信誉。</w:t>
      </w:r>
    </w:p>
    <w:p w14:paraId="790E1783">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（1）资质条件、营业执照：见竞选人须知前附表；</w:t>
      </w:r>
    </w:p>
    <w:p w14:paraId="6C86D916">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（2）财务要求：见竞选人须知前附表；</w:t>
      </w:r>
    </w:p>
    <w:p w14:paraId="61D4EEF4">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（3）业绩要求：见竞选人须知前附表；</w:t>
      </w:r>
    </w:p>
    <w:p w14:paraId="3C11C22F">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ascii="宋体" w:hAnsi="宋体" w:cs="宋体"/>
          <w:snapToGrid w:val="0"/>
          <w:color w:val="auto"/>
          <w:kern w:val="0"/>
          <w:szCs w:val="21"/>
          <w:highlight w:val="none"/>
        </w:rPr>
        <w:t>（</w:t>
      </w:r>
      <w:r>
        <w:rPr>
          <w:rFonts w:hint="eastAsia" w:ascii="宋体" w:hAnsi="宋体" w:cs="宋体"/>
          <w:snapToGrid w:val="0"/>
          <w:color w:val="auto"/>
          <w:kern w:val="0"/>
          <w:szCs w:val="21"/>
          <w:highlight w:val="none"/>
        </w:rPr>
        <w:t>4</w:t>
      </w:r>
      <w:r>
        <w:rPr>
          <w:rFonts w:ascii="宋体" w:hAnsi="宋体" w:cs="宋体"/>
          <w:snapToGrid w:val="0"/>
          <w:color w:val="auto"/>
          <w:kern w:val="0"/>
          <w:szCs w:val="21"/>
          <w:highlight w:val="none"/>
        </w:rPr>
        <w:t>）</w:t>
      </w:r>
      <w:r>
        <w:rPr>
          <w:rFonts w:hint="eastAsia" w:ascii="宋体" w:hAnsi="宋体" w:cs="宋体"/>
          <w:snapToGrid w:val="0"/>
          <w:color w:val="auto"/>
          <w:kern w:val="0"/>
          <w:szCs w:val="21"/>
          <w:highlight w:val="none"/>
        </w:rPr>
        <w:t>竞选截止日竞选资格情况</w:t>
      </w:r>
      <w:r>
        <w:rPr>
          <w:rFonts w:ascii="宋体" w:hAnsi="宋体" w:cs="宋体"/>
          <w:snapToGrid w:val="0"/>
          <w:color w:val="auto"/>
          <w:kern w:val="0"/>
          <w:szCs w:val="21"/>
          <w:highlight w:val="none"/>
        </w:rPr>
        <w:t>要求：见</w:t>
      </w:r>
      <w:r>
        <w:rPr>
          <w:rFonts w:hint="eastAsia" w:ascii="宋体" w:hAnsi="宋体" w:cs="宋体"/>
          <w:snapToGrid w:val="0"/>
          <w:color w:val="auto"/>
          <w:kern w:val="0"/>
          <w:szCs w:val="21"/>
          <w:highlight w:val="none"/>
        </w:rPr>
        <w:t>竞选人</w:t>
      </w:r>
      <w:r>
        <w:rPr>
          <w:rFonts w:ascii="宋体" w:hAnsi="宋体" w:cs="宋体"/>
          <w:snapToGrid w:val="0"/>
          <w:color w:val="auto"/>
          <w:kern w:val="0"/>
          <w:szCs w:val="21"/>
          <w:highlight w:val="none"/>
        </w:rPr>
        <w:t>须知前附表；</w:t>
      </w:r>
    </w:p>
    <w:p w14:paraId="59E0BAB0">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（5）监理人员要求：见竞选人须知前附表；</w:t>
      </w:r>
    </w:p>
    <w:p w14:paraId="1807CAAC">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（6）其他要求：见竞选人须知前附表。</w:t>
      </w:r>
    </w:p>
    <w:p w14:paraId="72CB155B">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  竞选人须知前附表规定接受联合体参与竞选的，除应符合本章第1.4.1项和竞选人须知前附表的要求外，还应遵守以下规定：</w:t>
      </w:r>
    </w:p>
    <w:p w14:paraId="568AB25C">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（1）联合体各方应按比选文件提供的格式签订联合体协议书，明确联合体牵头人和各方权利义务；</w:t>
      </w:r>
    </w:p>
    <w:p w14:paraId="0BDE452A">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（2）联合体各方均应当具备承担竞选项目的相应能力；联合体协议约定同一专业分工由两个及以上单位共同承担的，按照就低不就高的原则确定联合体资质；</w:t>
      </w:r>
    </w:p>
    <w:p w14:paraId="1B68BCCB">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（3）联合体各方不得再以自己名义单独或参加其他联合体在同一标段中竞选。</w:t>
      </w:r>
    </w:p>
    <w:p w14:paraId="5F26DB9B">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  竞选人不得存在下列情形之一：</w:t>
      </w:r>
    </w:p>
    <w:p w14:paraId="03C5A0ED">
      <w:pPr>
        <w:spacing w:line="400" w:lineRule="exact"/>
        <w:ind w:firstLine="420" w:firstLineChars="200"/>
        <w:rPr>
          <w:rFonts w:ascii="宋体" w:hAnsi="宋体"/>
          <w:color w:val="auto"/>
          <w:szCs w:val="21"/>
          <w:highlight w:val="none"/>
        </w:rPr>
      </w:pPr>
      <w:bookmarkStart w:id="98" w:name="_Toc9192"/>
      <w:bookmarkStart w:id="99" w:name="_Toc5221"/>
      <w:bookmarkStart w:id="100" w:name="_Toc200513132"/>
      <w:bookmarkStart w:id="101" w:name="_Toc277082558"/>
      <w:bookmarkStart w:id="102" w:name="_Toc224103323"/>
      <w:bookmarkStart w:id="103" w:name="_Toc509218716"/>
      <w:bookmarkStart w:id="104" w:name="_Toc287620691"/>
      <w:bookmarkStart w:id="105" w:name="_Toc430530441"/>
      <w:bookmarkStart w:id="106" w:name="_Toc40569050"/>
      <w:bookmarkStart w:id="107" w:name="_Toc40569145"/>
      <w:bookmarkStart w:id="108" w:name="_Toc287607752"/>
      <w:bookmarkStart w:id="109" w:name="_Toc7266"/>
      <w:r>
        <w:rPr>
          <w:rFonts w:hint="eastAsia" w:ascii="宋体" w:hAnsi="宋体"/>
          <w:color w:val="auto"/>
          <w:szCs w:val="21"/>
          <w:highlight w:val="none"/>
        </w:rPr>
        <w:t>（1）与比选人存在利害关系可能影响招标公正性的法人、其他组织或者个人；</w:t>
      </w:r>
    </w:p>
    <w:p w14:paraId="3149EC8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4C0EDE9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739487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5269A4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78878A7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0A3EFA0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694B6E5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3712B59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4A18EFC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796829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（11）单位负责人为同一人或者存在控股、管理关系的不同单位，不得在同一标段中同时参与竞选。</w:t>
      </w:r>
    </w:p>
    <w:p w14:paraId="4EFCC999">
      <w:pPr>
        <w:pStyle w:val="4"/>
        <w:snapToGrid w:val="0"/>
        <w:spacing w:before="0" w:after="0" w:line="360" w:lineRule="auto"/>
        <w:jc w:val="left"/>
        <w:rPr>
          <w:rFonts w:hint="eastAsia" w:ascii="宋体" w:hAnsi="宋体" w:eastAsia="宋体" w:cs="宋体"/>
          <w:b w:val="0"/>
          <w:snapToGrid w:val="0"/>
          <w:color w:val="auto"/>
          <w:sz w:val="24"/>
          <w:szCs w:val="24"/>
          <w:highlight w:val="none"/>
        </w:rPr>
      </w:pPr>
      <w:r>
        <w:rPr>
          <w:rFonts w:hint="eastAsia" w:ascii="宋体" w:hAnsi="宋体" w:eastAsia="宋体" w:cs="宋体"/>
          <w:b w:val="0"/>
          <w:snapToGrid w:val="0"/>
          <w:color w:val="auto"/>
          <w:sz w:val="24"/>
          <w:szCs w:val="24"/>
          <w:highlight w:val="none"/>
        </w:rPr>
        <w:t>1.5  费用承担</w:t>
      </w:r>
      <w:bookmarkEnd w:id="98"/>
      <w:bookmarkEnd w:id="99"/>
      <w:bookmarkEnd w:id="100"/>
      <w:bookmarkEnd w:id="101"/>
      <w:bookmarkEnd w:id="102"/>
      <w:bookmarkEnd w:id="103"/>
      <w:bookmarkEnd w:id="104"/>
      <w:bookmarkEnd w:id="105"/>
      <w:bookmarkEnd w:id="106"/>
      <w:bookmarkEnd w:id="107"/>
      <w:bookmarkEnd w:id="108"/>
      <w:bookmarkEnd w:id="109"/>
    </w:p>
    <w:p w14:paraId="70EFA8B0">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竞选人准备和参加竞选活动发生的费用自理。</w:t>
      </w:r>
    </w:p>
    <w:p w14:paraId="508C85D9">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10" w:name="_Toc287607753"/>
      <w:bookmarkStart w:id="111" w:name="_Toc430530442"/>
      <w:bookmarkStart w:id="112" w:name="_Toc224103324"/>
      <w:bookmarkStart w:id="113" w:name="_Toc40569146"/>
      <w:bookmarkStart w:id="114" w:name="_Toc20139"/>
      <w:bookmarkStart w:id="115" w:name="_Toc40569051"/>
      <w:bookmarkStart w:id="116" w:name="_Toc200513133"/>
      <w:bookmarkStart w:id="117" w:name="_Toc5293"/>
      <w:bookmarkStart w:id="118" w:name="_Toc277082559"/>
      <w:bookmarkStart w:id="119" w:name="_Toc509218717"/>
      <w:bookmarkStart w:id="120" w:name="_Toc5781"/>
      <w:bookmarkStart w:id="121" w:name="_Toc287620692"/>
      <w:r>
        <w:rPr>
          <w:rFonts w:hint="eastAsia" w:ascii="宋体" w:hAnsi="宋体" w:eastAsia="宋体" w:cs="宋体"/>
          <w:b w:val="0"/>
          <w:snapToGrid w:val="0"/>
          <w:color w:val="auto"/>
          <w:sz w:val="24"/>
          <w:szCs w:val="24"/>
          <w:highlight w:val="none"/>
        </w:rPr>
        <w:t>1.6  保密</w:t>
      </w:r>
      <w:bookmarkEnd w:id="110"/>
      <w:bookmarkEnd w:id="111"/>
      <w:bookmarkEnd w:id="112"/>
      <w:bookmarkEnd w:id="113"/>
      <w:bookmarkEnd w:id="114"/>
      <w:bookmarkEnd w:id="115"/>
      <w:bookmarkEnd w:id="116"/>
      <w:bookmarkEnd w:id="117"/>
      <w:bookmarkEnd w:id="118"/>
      <w:bookmarkEnd w:id="119"/>
      <w:bookmarkEnd w:id="120"/>
      <w:bookmarkEnd w:id="121"/>
    </w:p>
    <w:p w14:paraId="7C666B2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参与比选活动的各方应对比选文件和竞选文件中的商业和技术等秘密保密，违者应对由此造成的后果承担法律责任。</w:t>
      </w:r>
    </w:p>
    <w:p w14:paraId="5B174AE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22" w:name="_Toc287620693"/>
      <w:bookmarkStart w:id="123" w:name="_Toc287607754"/>
      <w:bookmarkStart w:id="124" w:name="_Toc40569052"/>
      <w:bookmarkStart w:id="125" w:name="_Toc32367"/>
      <w:bookmarkStart w:id="126" w:name="_Toc509218718"/>
      <w:bookmarkStart w:id="127" w:name="_Toc277082560"/>
      <w:bookmarkStart w:id="128" w:name="_Toc40569147"/>
      <w:bookmarkStart w:id="129" w:name="_Toc224103325"/>
      <w:bookmarkStart w:id="130" w:name="_Toc430530443"/>
      <w:bookmarkStart w:id="131" w:name="_Toc200513134"/>
      <w:bookmarkStart w:id="132" w:name="_Toc7317"/>
      <w:bookmarkStart w:id="133" w:name="_Toc10589"/>
      <w:r>
        <w:rPr>
          <w:rFonts w:hint="eastAsia" w:ascii="宋体" w:hAnsi="宋体" w:eastAsia="宋体" w:cs="宋体"/>
          <w:b w:val="0"/>
          <w:snapToGrid w:val="0"/>
          <w:color w:val="auto"/>
          <w:sz w:val="24"/>
          <w:szCs w:val="24"/>
          <w:highlight w:val="none"/>
        </w:rPr>
        <w:t>1.7  语言文字</w:t>
      </w:r>
      <w:bookmarkEnd w:id="122"/>
      <w:bookmarkEnd w:id="123"/>
      <w:bookmarkEnd w:id="124"/>
      <w:bookmarkEnd w:id="125"/>
      <w:bookmarkEnd w:id="126"/>
      <w:bookmarkEnd w:id="127"/>
      <w:bookmarkEnd w:id="128"/>
      <w:bookmarkEnd w:id="129"/>
      <w:bookmarkEnd w:id="130"/>
      <w:bookmarkEnd w:id="131"/>
      <w:bookmarkEnd w:id="132"/>
      <w:bookmarkEnd w:id="133"/>
    </w:p>
    <w:p w14:paraId="58F13D9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除专用术语外，与比选有关的语言均使用中文。必要时专用术语应附有中文注释。</w:t>
      </w:r>
    </w:p>
    <w:p w14:paraId="65245DCB">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34" w:name="_Toc430530444"/>
      <w:bookmarkStart w:id="135" w:name="_Toc287620694"/>
      <w:bookmarkStart w:id="136" w:name="_Toc277082561"/>
      <w:bookmarkStart w:id="137" w:name="_Toc509218719"/>
      <w:bookmarkStart w:id="138" w:name="_Toc200513135"/>
      <w:bookmarkStart w:id="139" w:name="_Toc23841"/>
      <w:bookmarkStart w:id="140" w:name="_Toc287607755"/>
      <w:bookmarkStart w:id="141" w:name="_Toc40569148"/>
      <w:bookmarkStart w:id="142" w:name="_Toc224103326"/>
      <w:bookmarkStart w:id="143" w:name="_Toc1276"/>
      <w:bookmarkStart w:id="144" w:name="_Toc7911"/>
      <w:bookmarkStart w:id="145" w:name="_Toc40569053"/>
      <w:r>
        <w:rPr>
          <w:rFonts w:hint="eastAsia" w:ascii="宋体" w:hAnsi="宋体" w:eastAsia="宋体" w:cs="宋体"/>
          <w:b w:val="0"/>
          <w:snapToGrid w:val="0"/>
          <w:color w:val="auto"/>
          <w:sz w:val="24"/>
          <w:szCs w:val="24"/>
          <w:highlight w:val="none"/>
        </w:rPr>
        <w:t>1.8  计量单位</w:t>
      </w:r>
      <w:bookmarkEnd w:id="134"/>
      <w:bookmarkEnd w:id="135"/>
      <w:bookmarkEnd w:id="136"/>
      <w:bookmarkEnd w:id="137"/>
      <w:bookmarkEnd w:id="138"/>
      <w:bookmarkEnd w:id="139"/>
      <w:bookmarkEnd w:id="140"/>
      <w:bookmarkEnd w:id="141"/>
      <w:bookmarkEnd w:id="142"/>
      <w:bookmarkEnd w:id="143"/>
      <w:bookmarkEnd w:id="144"/>
      <w:bookmarkEnd w:id="145"/>
    </w:p>
    <w:p w14:paraId="4F69EF23">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566695A4">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46" w:name="_Toc200513136"/>
      <w:bookmarkStart w:id="147" w:name="_Toc430530445"/>
      <w:bookmarkStart w:id="148" w:name="_Toc224103327"/>
      <w:bookmarkStart w:id="149" w:name="_Toc5390"/>
      <w:bookmarkStart w:id="150" w:name="_Toc11881"/>
      <w:bookmarkStart w:id="151" w:name="_Toc277082562"/>
      <w:bookmarkStart w:id="152" w:name="_Toc5120"/>
      <w:bookmarkStart w:id="153" w:name="_Toc287607756"/>
      <w:bookmarkStart w:id="154" w:name="_Toc287620695"/>
      <w:bookmarkStart w:id="155" w:name="_Toc40569054"/>
      <w:bookmarkStart w:id="156" w:name="_Toc40569149"/>
      <w:bookmarkStart w:id="157" w:name="_Toc509218720"/>
      <w:r>
        <w:rPr>
          <w:rFonts w:hint="eastAsia" w:ascii="宋体" w:hAnsi="宋体" w:eastAsia="宋体" w:cs="宋体"/>
          <w:b w:val="0"/>
          <w:snapToGrid w:val="0"/>
          <w:color w:val="auto"/>
          <w:sz w:val="24"/>
          <w:szCs w:val="24"/>
          <w:highlight w:val="none"/>
        </w:rPr>
        <w:t>1.9  踏勘现场</w:t>
      </w:r>
      <w:bookmarkEnd w:id="146"/>
      <w:bookmarkEnd w:id="147"/>
      <w:bookmarkEnd w:id="148"/>
      <w:bookmarkEnd w:id="149"/>
      <w:bookmarkEnd w:id="150"/>
      <w:bookmarkEnd w:id="151"/>
      <w:bookmarkEnd w:id="152"/>
      <w:bookmarkEnd w:id="153"/>
      <w:bookmarkEnd w:id="154"/>
      <w:bookmarkEnd w:id="155"/>
      <w:bookmarkEnd w:id="156"/>
      <w:bookmarkEnd w:id="157"/>
    </w:p>
    <w:p w14:paraId="569FAD0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  竞选人须知前附表规定组织踏勘现场的，比选人按竞选人须知前附表规定的时间、 地点组织竞选人踏勘项目现场。</w:t>
      </w:r>
    </w:p>
    <w:p w14:paraId="0A3ACCF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1.9.2  竞选人踏勘现场发生的费用自理。</w:t>
      </w:r>
    </w:p>
    <w:p w14:paraId="5824103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除比选人的原因外，竞选人自行负责在踏勘现场中所发生的人员伤亡和财产损失。</w:t>
      </w:r>
    </w:p>
    <w:p w14:paraId="10CEC15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1.9.4  比选人在踏勘现场中介绍的工程场地和相关的周边环境情况，供竞选人在编制竞选文件时参考，比选人不对竞选人据此做出的判断和决策负责。</w:t>
      </w:r>
    </w:p>
    <w:p w14:paraId="7FEDB2C4">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58" w:name="_Toc40569150"/>
      <w:bookmarkStart w:id="159" w:name="_Toc224103328"/>
      <w:bookmarkStart w:id="160" w:name="_Toc10229"/>
      <w:bookmarkStart w:id="161" w:name="_Toc14731"/>
      <w:bookmarkStart w:id="162" w:name="_Toc287620696"/>
      <w:bookmarkStart w:id="163" w:name="_Toc27798"/>
      <w:bookmarkStart w:id="164" w:name="_Toc40569055"/>
      <w:bookmarkStart w:id="165" w:name="_Toc287607757"/>
      <w:bookmarkStart w:id="166" w:name="_Toc200513137"/>
      <w:bookmarkStart w:id="167" w:name="_Toc509218721"/>
      <w:bookmarkStart w:id="168" w:name="_Toc277082563"/>
      <w:bookmarkStart w:id="169" w:name="_Toc430530446"/>
      <w:r>
        <w:rPr>
          <w:rFonts w:hint="eastAsia" w:ascii="宋体" w:hAnsi="宋体" w:eastAsia="宋体" w:cs="宋体"/>
          <w:b w:val="0"/>
          <w:snapToGrid w:val="0"/>
          <w:color w:val="auto"/>
          <w:sz w:val="24"/>
          <w:szCs w:val="24"/>
          <w:highlight w:val="none"/>
        </w:rPr>
        <w:t>1.10  比选预备会</w:t>
      </w:r>
      <w:bookmarkEnd w:id="158"/>
      <w:bookmarkEnd w:id="159"/>
      <w:bookmarkEnd w:id="160"/>
      <w:bookmarkEnd w:id="161"/>
      <w:bookmarkEnd w:id="162"/>
      <w:bookmarkEnd w:id="163"/>
      <w:bookmarkEnd w:id="164"/>
      <w:bookmarkEnd w:id="165"/>
      <w:bookmarkEnd w:id="166"/>
      <w:bookmarkEnd w:id="167"/>
      <w:bookmarkEnd w:id="168"/>
      <w:bookmarkEnd w:id="169"/>
    </w:p>
    <w:p w14:paraId="7A50872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  竞选人须知前附表规定召开比选预备会的，比选人按竞选人须知前附表规定的时间和地点召开预备会，澄清竞选人提出的问题。</w:t>
      </w:r>
    </w:p>
    <w:p w14:paraId="227280B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1.10.2  竞选人应在竞选人须知前附表</w:t>
      </w: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1</w:t>
      </w:r>
      <w:r>
        <w:rPr>
          <w:rFonts w:hint="eastAsia" w:ascii="宋体" w:hAnsi="宋体" w:cs="宋体"/>
          <w:snapToGrid w:val="0"/>
          <w:color w:val="auto"/>
          <w:kern w:val="0"/>
          <w:szCs w:val="21"/>
          <w:highlight w:val="none"/>
        </w:rPr>
        <w:t>规定的时间前，以书面形式将提出的问题送达比选人，以便比选人澄清。</w:t>
      </w:r>
    </w:p>
    <w:p w14:paraId="31A15520">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1.10.3  比选人在竞选人须知前附表规定的时间内，将对竞选人所提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进行澄清。该澄清内容为比选文件的组成部分。</w:t>
      </w:r>
    </w:p>
    <w:p w14:paraId="7D1C5D24">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70" w:name="_Toc277082564"/>
      <w:bookmarkStart w:id="171" w:name="_Toc509218722"/>
      <w:bookmarkStart w:id="172" w:name="_Toc21877"/>
      <w:bookmarkStart w:id="173" w:name="_Toc287620697"/>
      <w:bookmarkStart w:id="174" w:name="_Toc28064"/>
      <w:bookmarkStart w:id="175" w:name="_Toc40569151"/>
      <w:bookmarkStart w:id="176" w:name="_Toc200513138"/>
      <w:bookmarkStart w:id="177" w:name="_Toc430530447"/>
      <w:bookmarkStart w:id="178" w:name="_Toc7176"/>
      <w:bookmarkStart w:id="179" w:name="_Toc287607758"/>
      <w:bookmarkStart w:id="180" w:name="_Toc40569056"/>
      <w:bookmarkStart w:id="181" w:name="_Toc224103329"/>
      <w:r>
        <w:rPr>
          <w:rFonts w:hint="eastAsia" w:ascii="宋体" w:hAnsi="宋体" w:eastAsia="宋体" w:cs="宋体"/>
          <w:b w:val="0"/>
          <w:snapToGrid w:val="0"/>
          <w:color w:val="auto"/>
          <w:sz w:val="24"/>
          <w:szCs w:val="24"/>
          <w:highlight w:val="none"/>
        </w:rPr>
        <w:t>1.11  分包</w:t>
      </w:r>
      <w:bookmarkEnd w:id="170"/>
      <w:bookmarkEnd w:id="171"/>
      <w:bookmarkEnd w:id="172"/>
      <w:bookmarkEnd w:id="173"/>
      <w:bookmarkEnd w:id="174"/>
      <w:bookmarkEnd w:id="175"/>
      <w:bookmarkEnd w:id="176"/>
      <w:bookmarkEnd w:id="177"/>
      <w:bookmarkEnd w:id="178"/>
      <w:bookmarkEnd w:id="179"/>
      <w:bookmarkEnd w:id="180"/>
      <w:bookmarkEnd w:id="181"/>
    </w:p>
    <w:p w14:paraId="026A5359">
      <w:pPr>
        <w:autoSpaceDE w:val="0"/>
        <w:autoSpaceDN w:val="0"/>
        <w:adjustRightInd w:val="0"/>
        <w:snapToGrid w:val="0"/>
        <w:spacing w:line="360" w:lineRule="auto"/>
        <w:ind w:firstLine="426"/>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竞选人拟在中选后将中选项目的部分非主体、非关键性工作进行分包的，应符合竞选人须知前附表规定的分包内容、分包金额和接受分包的第三人资质要求等限制性条件。</w:t>
      </w:r>
    </w:p>
    <w:p w14:paraId="4DD888CF">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182" w:name="_Toc287607759"/>
      <w:bookmarkStart w:id="183" w:name="_Toc287620698"/>
      <w:bookmarkStart w:id="184" w:name="_Toc200513139"/>
      <w:bookmarkStart w:id="185" w:name="_Toc40569152"/>
      <w:bookmarkStart w:id="186" w:name="_Toc509218723"/>
      <w:bookmarkStart w:id="187" w:name="_Toc224103330"/>
      <w:bookmarkStart w:id="188" w:name="_Toc29373"/>
      <w:bookmarkStart w:id="189" w:name="_Toc40569057"/>
      <w:bookmarkStart w:id="190" w:name="_Toc277082565"/>
      <w:bookmarkStart w:id="191" w:name="_Toc5934"/>
      <w:bookmarkStart w:id="192" w:name="_Toc23307"/>
      <w:bookmarkStart w:id="193" w:name="_Toc430530448"/>
      <w:r>
        <w:rPr>
          <w:rFonts w:hint="eastAsia" w:ascii="宋体" w:hAnsi="宋体" w:eastAsia="宋体" w:cs="宋体"/>
          <w:b w:val="0"/>
          <w:snapToGrid w:val="0"/>
          <w:color w:val="auto"/>
          <w:sz w:val="24"/>
          <w:szCs w:val="24"/>
          <w:highlight w:val="none"/>
        </w:rPr>
        <w:t>1.12  偏离</w:t>
      </w:r>
      <w:bookmarkEnd w:id="182"/>
      <w:bookmarkEnd w:id="183"/>
      <w:bookmarkEnd w:id="184"/>
      <w:bookmarkEnd w:id="185"/>
      <w:bookmarkEnd w:id="186"/>
      <w:bookmarkEnd w:id="187"/>
      <w:bookmarkEnd w:id="188"/>
      <w:bookmarkEnd w:id="189"/>
      <w:bookmarkEnd w:id="190"/>
      <w:bookmarkEnd w:id="191"/>
      <w:bookmarkEnd w:id="192"/>
      <w:bookmarkEnd w:id="193"/>
    </w:p>
    <w:p w14:paraId="56564EA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竞选人须知前附表允许竞选文件偏离比选文件某些要求的，偏离应当符合比选文件规定的偏离范围和幅度。</w:t>
      </w:r>
    </w:p>
    <w:p w14:paraId="1784AA5B">
      <w:pPr>
        <w:pStyle w:val="3"/>
        <w:spacing w:before="0" w:after="0" w:line="360" w:lineRule="auto"/>
        <w:rPr>
          <w:rFonts w:ascii="宋体" w:hAnsi="宋体" w:cs="宋体"/>
          <w:b w:val="0"/>
          <w:snapToGrid w:val="0"/>
          <w:color w:val="auto"/>
          <w:sz w:val="24"/>
          <w:szCs w:val="24"/>
          <w:highlight w:val="none"/>
        </w:rPr>
      </w:pPr>
      <w:bookmarkStart w:id="194" w:name="_Toc23017"/>
      <w:bookmarkStart w:id="195" w:name="_Toc287620699"/>
      <w:bookmarkStart w:id="196" w:name="_Toc10764"/>
      <w:bookmarkStart w:id="197" w:name="_Toc509218724"/>
      <w:bookmarkStart w:id="198" w:name="_Toc224103331"/>
      <w:bookmarkStart w:id="199" w:name="_Toc7676"/>
      <w:bookmarkStart w:id="200" w:name="_Toc287607760"/>
      <w:bookmarkStart w:id="201" w:name="_Toc277082566"/>
      <w:bookmarkStart w:id="202" w:name="_Toc430530449"/>
      <w:bookmarkStart w:id="203" w:name="_Toc200513140"/>
      <w:r>
        <w:rPr>
          <w:rFonts w:hint="eastAsia" w:ascii="宋体" w:hAnsi="宋体" w:cs="宋体"/>
          <w:b w:val="0"/>
          <w:snapToGrid w:val="0"/>
          <w:color w:val="auto"/>
          <w:sz w:val="24"/>
          <w:szCs w:val="24"/>
          <w:highlight w:val="none"/>
        </w:rPr>
        <w:t>2.  比选文件</w:t>
      </w:r>
      <w:bookmarkEnd w:id="194"/>
      <w:bookmarkEnd w:id="195"/>
      <w:bookmarkEnd w:id="196"/>
      <w:bookmarkEnd w:id="197"/>
      <w:bookmarkEnd w:id="198"/>
      <w:bookmarkEnd w:id="199"/>
      <w:bookmarkEnd w:id="200"/>
      <w:bookmarkEnd w:id="201"/>
      <w:bookmarkEnd w:id="202"/>
      <w:bookmarkEnd w:id="203"/>
    </w:p>
    <w:p w14:paraId="6DF43737">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04" w:name="_Toc1329"/>
      <w:bookmarkStart w:id="205" w:name="_Toc277082567"/>
      <w:bookmarkStart w:id="206" w:name="_Toc40569154"/>
      <w:bookmarkStart w:id="207" w:name="_Toc200513141"/>
      <w:bookmarkStart w:id="208" w:name="_Toc509218725"/>
      <w:bookmarkStart w:id="209" w:name="_Toc31485"/>
      <w:bookmarkStart w:id="210" w:name="_Toc287620700"/>
      <w:bookmarkStart w:id="211" w:name="_Toc40569059"/>
      <w:bookmarkStart w:id="212" w:name="_Toc430530450"/>
      <w:bookmarkStart w:id="213" w:name="_Toc21327"/>
      <w:bookmarkStart w:id="214" w:name="_Toc287607761"/>
      <w:bookmarkStart w:id="215" w:name="_Toc224103332"/>
      <w:r>
        <w:rPr>
          <w:rFonts w:hint="eastAsia" w:ascii="宋体" w:hAnsi="宋体" w:eastAsia="宋体" w:cs="宋体"/>
          <w:b w:val="0"/>
          <w:snapToGrid w:val="0"/>
          <w:color w:val="auto"/>
          <w:sz w:val="24"/>
          <w:szCs w:val="24"/>
          <w:highlight w:val="none"/>
        </w:rPr>
        <w:t>2.1  比选文件的组成</w:t>
      </w:r>
      <w:bookmarkEnd w:id="204"/>
      <w:bookmarkEnd w:id="205"/>
      <w:bookmarkEnd w:id="206"/>
      <w:bookmarkEnd w:id="207"/>
      <w:bookmarkEnd w:id="208"/>
      <w:bookmarkEnd w:id="209"/>
      <w:bookmarkEnd w:id="210"/>
      <w:bookmarkEnd w:id="211"/>
      <w:bookmarkEnd w:id="212"/>
      <w:bookmarkEnd w:id="213"/>
      <w:bookmarkEnd w:id="214"/>
      <w:bookmarkEnd w:id="215"/>
    </w:p>
    <w:p w14:paraId="7C6C018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本比选文件包括：</w:t>
      </w:r>
    </w:p>
    <w:p w14:paraId="18A95F3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（1）比选公告；</w:t>
      </w:r>
    </w:p>
    <w:p w14:paraId="72DF28D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（2）竞选人须知；</w:t>
      </w:r>
    </w:p>
    <w:p w14:paraId="46B246C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（3）评选办法；</w:t>
      </w:r>
    </w:p>
    <w:p w14:paraId="6A1B04D3">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2E35DE7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（5）竞选文件格式；</w:t>
      </w:r>
    </w:p>
    <w:p w14:paraId="56B5953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6</w:t>
      </w:r>
      <w:r>
        <w:rPr>
          <w:rFonts w:hint="eastAsia" w:ascii="宋体" w:hAnsi="宋体" w:cs="宋体"/>
          <w:snapToGrid w:val="0"/>
          <w:color w:val="auto"/>
          <w:kern w:val="0"/>
          <w:szCs w:val="21"/>
          <w:highlight w:val="none"/>
        </w:rPr>
        <w:t>）竞选人须知前附表规定的其他材料。</w:t>
      </w:r>
    </w:p>
    <w:p w14:paraId="0EE1A47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根据本章第1.10款、第2.2款和第2.3款对比选文件所作的澄清、修改，构成比选文件的组成部分。</w:t>
      </w:r>
    </w:p>
    <w:p w14:paraId="0DCFEE12">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16" w:name="_Toc5751"/>
      <w:bookmarkStart w:id="217" w:name="_Toc430530451"/>
      <w:bookmarkStart w:id="218" w:name="_Toc25357"/>
      <w:bookmarkStart w:id="219" w:name="_Toc20393"/>
      <w:bookmarkStart w:id="220" w:name="_Toc509218726"/>
      <w:bookmarkStart w:id="221" w:name="_Toc40569060"/>
      <w:bookmarkStart w:id="222" w:name="_Toc40569155"/>
      <w:r>
        <w:rPr>
          <w:rFonts w:hint="eastAsia" w:ascii="宋体" w:hAnsi="宋体" w:eastAsia="宋体" w:cs="宋体"/>
          <w:b w:val="0"/>
          <w:snapToGrid w:val="0"/>
          <w:color w:val="auto"/>
          <w:sz w:val="24"/>
          <w:szCs w:val="24"/>
          <w:highlight w:val="none"/>
        </w:rPr>
        <w:t>2.2  比选文件的澄清</w:t>
      </w:r>
      <w:bookmarkEnd w:id="216"/>
      <w:bookmarkEnd w:id="217"/>
      <w:bookmarkEnd w:id="218"/>
      <w:bookmarkEnd w:id="219"/>
      <w:bookmarkEnd w:id="220"/>
      <w:bookmarkEnd w:id="221"/>
      <w:bookmarkEnd w:id="222"/>
    </w:p>
    <w:p w14:paraId="2A7045D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w:t>
      </w:r>
      <w:r>
        <w:rPr>
          <w:rFonts w:hint="eastAsia" w:ascii="宋体" w:hAnsi="宋体" w:cs="宋体"/>
          <w:color w:val="auto"/>
          <w:kern w:val="0"/>
          <w:szCs w:val="21"/>
          <w:highlight w:val="none"/>
        </w:rPr>
        <w:t>以书面形式向比选人或代理机构提出</w:t>
      </w:r>
      <w:r>
        <w:rPr>
          <w:rFonts w:hint="eastAsia" w:ascii="宋体" w:hAnsi="宋体" w:cs="宋体"/>
          <w:snapToGrid w:val="0"/>
          <w:color w:val="auto"/>
          <w:kern w:val="0"/>
          <w:szCs w:val="21"/>
          <w:highlight w:val="none"/>
        </w:rPr>
        <w:t>，要求比选人对比选文件予以澄清。</w:t>
      </w:r>
    </w:p>
    <w:p w14:paraId="525D01A0">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23" w:name="_Toc287620702"/>
      <w:bookmarkStart w:id="224" w:name="_Toc430530452"/>
      <w:bookmarkStart w:id="225" w:name="_Toc509218727"/>
      <w:bookmarkStart w:id="226" w:name="_Toc287607763"/>
      <w:bookmarkStart w:id="227" w:name="_Toc40569156"/>
      <w:bookmarkStart w:id="228" w:name="_Toc277082569"/>
      <w:bookmarkStart w:id="229" w:name="_Toc14087"/>
      <w:bookmarkStart w:id="230" w:name="_Toc8378"/>
      <w:bookmarkStart w:id="231" w:name="_Toc224103334"/>
      <w:bookmarkStart w:id="232" w:name="_Toc200513143"/>
      <w:bookmarkStart w:id="233" w:name="_Toc40569061"/>
      <w:bookmarkStart w:id="234" w:name="_Toc26098"/>
      <w:r>
        <w:rPr>
          <w:rFonts w:hint="eastAsia" w:ascii="宋体" w:hAnsi="宋体" w:eastAsia="宋体" w:cs="宋体"/>
          <w:b w:val="0"/>
          <w:snapToGrid w:val="0"/>
          <w:color w:val="auto"/>
          <w:sz w:val="24"/>
          <w:szCs w:val="24"/>
          <w:highlight w:val="none"/>
        </w:rPr>
        <w:t>2.3  比选文件的修改</w:t>
      </w:r>
      <w:bookmarkEnd w:id="223"/>
      <w:bookmarkEnd w:id="224"/>
      <w:bookmarkEnd w:id="225"/>
      <w:bookmarkEnd w:id="226"/>
      <w:bookmarkEnd w:id="227"/>
      <w:bookmarkEnd w:id="228"/>
      <w:bookmarkEnd w:id="229"/>
      <w:bookmarkEnd w:id="230"/>
      <w:bookmarkEnd w:id="231"/>
      <w:bookmarkEnd w:id="232"/>
      <w:bookmarkEnd w:id="233"/>
      <w:bookmarkEnd w:id="234"/>
    </w:p>
    <w:p w14:paraId="4850AB35">
      <w:pPr>
        <w:autoSpaceDE w:val="0"/>
        <w:autoSpaceDN w:val="0"/>
        <w:adjustRightInd w:val="0"/>
        <w:snapToGrid w:val="0"/>
        <w:spacing w:line="360" w:lineRule="auto"/>
        <w:ind w:firstLine="420"/>
        <w:rPr>
          <w:rFonts w:ascii="宋体" w:hAnsi="宋体" w:cs="宋体"/>
          <w:snapToGrid w:val="0"/>
          <w:color w:val="auto"/>
          <w:highlight w:val="none"/>
        </w:rPr>
      </w:pPr>
      <w:bookmarkStart w:id="235" w:name="_Toc287607764"/>
      <w:bookmarkStart w:id="236" w:name="_Toc200513144"/>
      <w:bookmarkStart w:id="237" w:name="_Toc287620703"/>
      <w:bookmarkStart w:id="238" w:name="_Toc224103335"/>
      <w:bookmarkStart w:id="239" w:name="_Toc277082570"/>
      <w:r>
        <w:rPr>
          <w:rFonts w:hint="eastAsia" w:ascii="宋体" w:hAnsi="宋体" w:cs="宋体"/>
          <w:snapToGrid w:val="0"/>
          <w:color w:val="auto"/>
          <w:highlight w:val="none"/>
        </w:rPr>
        <w:t>按照本章2.2比选文件的澄清相关内容及方式执行。</w:t>
      </w:r>
    </w:p>
    <w:p w14:paraId="0EC16FCD">
      <w:pPr>
        <w:pStyle w:val="3"/>
        <w:spacing w:before="0" w:after="0" w:line="360" w:lineRule="auto"/>
        <w:rPr>
          <w:rFonts w:ascii="宋体" w:hAnsi="宋体" w:cs="宋体"/>
          <w:b w:val="0"/>
          <w:snapToGrid w:val="0"/>
          <w:color w:val="auto"/>
          <w:sz w:val="24"/>
          <w:szCs w:val="24"/>
          <w:highlight w:val="none"/>
        </w:rPr>
      </w:pPr>
      <w:bookmarkStart w:id="240" w:name="_Toc22016"/>
      <w:bookmarkStart w:id="241" w:name="_Toc509218728"/>
      <w:bookmarkStart w:id="242" w:name="_Toc430530453"/>
      <w:bookmarkStart w:id="243" w:name="_Toc6009"/>
      <w:bookmarkStart w:id="244" w:name="_Toc5400"/>
      <w:r>
        <w:rPr>
          <w:rFonts w:hint="eastAsia" w:ascii="宋体" w:hAnsi="宋体" w:cs="宋体"/>
          <w:b w:val="0"/>
          <w:snapToGrid w:val="0"/>
          <w:color w:val="auto"/>
          <w:sz w:val="24"/>
          <w:szCs w:val="24"/>
          <w:highlight w:val="none"/>
        </w:rPr>
        <w:t xml:space="preserve">3.  </w:t>
      </w:r>
      <w:bookmarkEnd w:id="235"/>
      <w:bookmarkEnd w:id="236"/>
      <w:bookmarkEnd w:id="237"/>
      <w:bookmarkEnd w:id="238"/>
      <w:bookmarkEnd w:id="239"/>
      <w:bookmarkEnd w:id="240"/>
      <w:bookmarkEnd w:id="241"/>
      <w:bookmarkEnd w:id="242"/>
      <w:bookmarkEnd w:id="243"/>
      <w:bookmarkEnd w:id="244"/>
      <w:r>
        <w:rPr>
          <w:rFonts w:hint="eastAsia" w:ascii="宋体" w:hAnsi="宋体" w:cs="宋体"/>
          <w:b w:val="0"/>
          <w:snapToGrid w:val="0"/>
          <w:color w:val="auto"/>
          <w:sz w:val="24"/>
          <w:szCs w:val="24"/>
          <w:highlight w:val="none"/>
        </w:rPr>
        <w:t>竞选文件</w:t>
      </w:r>
    </w:p>
    <w:p w14:paraId="0BE334DA">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45" w:name="_Toc29196"/>
      <w:bookmarkStart w:id="246" w:name="_Toc509218729"/>
      <w:bookmarkStart w:id="247" w:name="_Toc13714"/>
      <w:bookmarkStart w:id="248" w:name="_Toc277082571"/>
      <w:bookmarkStart w:id="249" w:name="_Toc430530454"/>
      <w:bookmarkStart w:id="250" w:name="_Toc287607765"/>
      <w:bookmarkStart w:id="251" w:name="_Toc40569158"/>
      <w:bookmarkStart w:id="252" w:name="_Toc287620704"/>
      <w:bookmarkStart w:id="253" w:name="_Toc7795"/>
      <w:bookmarkStart w:id="254" w:name="_Toc224103336"/>
      <w:bookmarkStart w:id="255" w:name="_Toc40569063"/>
      <w:bookmarkStart w:id="256" w:name="_Toc200513145"/>
      <w:r>
        <w:rPr>
          <w:rFonts w:hint="eastAsia" w:ascii="宋体" w:hAnsi="宋体" w:eastAsia="宋体" w:cs="宋体"/>
          <w:b w:val="0"/>
          <w:snapToGrid w:val="0"/>
          <w:color w:val="auto"/>
          <w:sz w:val="24"/>
          <w:szCs w:val="24"/>
          <w:highlight w:val="none"/>
        </w:rPr>
        <w:t>3.1  竞选文件的组成</w:t>
      </w:r>
      <w:bookmarkEnd w:id="245"/>
      <w:bookmarkEnd w:id="246"/>
      <w:bookmarkEnd w:id="247"/>
      <w:bookmarkEnd w:id="248"/>
      <w:bookmarkEnd w:id="249"/>
      <w:bookmarkEnd w:id="250"/>
      <w:bookmarkEnd w:id="251"/>
      <w:bookmarkEnd w:id="252"/>
      <w:bookmarkEnd w:id="253"/>
      <w:bookmarkEnd w:id="254"/>
      <w:bookmarkEnd w:id="255"/>
      <w:bookmarkEnd w:id="256"/>
    </w:p>
    <w:p w14:paraId="3D6EC21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竞选文件应包括下列内容：</w:t>
      </w:r>
    </w:p>
    <w:p w14:paraId="20F0F81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（1）竞选函及竞选函附录；</w:t>
      </w:r>
    </w:p>
    <w:p w14:paraId="31D0668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（2）法定代表人身份证明或附有法定代表人身份证明的授权委托书；</w:t>
      </w:r>
    </w:p>
    <w:p w14:paraId="69DB7D76">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1"/>
          <w:highlight w:val="none"/>
          <w:lang w:val="en-US" w:eastAsia="zh-CN"/>
        </w:rPr>
        <w:t>技术部分</w:t>
      </w:r>
      <w:r>
        <w:rPr>
          <w:rFonts w:hint="eastAsia" w:ascii="宋体" w:hAnsi="宋体" w:cs="宋体"/>
          <w:snapToGrid w:val="0"/>
          <w:color w:val="auto"/>
          <w:kern w:val="0"/>
          <w:szCs w:val="21"/>
          <w:highlight w:val="none"/>
        </w:rPr>
        <w:t>；</w:t>
      </w:r>
    </w:p>
    <w:p w14:paraId="39BCC04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（4）资格审查资料；</w:t>
      </w:r>
    </w:p>
    <w:p w14:paraId="16D8BBB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）竞选人须知前附表规定的其他材料。</w:t>
      </w:r>
    </w:p>
    <w:p w14:paraId="14F880E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57" w:name="_Toc5935"/>
      <w:bookmarkStart w:id="258" w:name="_Toc430530455"/>
      <w:bookmarkStart w:id="259" w:name="_Toc287607766"/>
      <w:bookmarkStart w:id="260" w:name="_Toc40569064"/>
      <w:bookmarkStart w:id="261" w:name="_Toc40569159"/>
      <w:bookmarkStart w:id="262" w:name="_Toc2578"/>
      <w:bookmarkStart w:id="263" w:name="_Toc3265"/>
      <w:bookmarkStart w:id="264" w:name="_Toc277082572"/>
      <w:bookmarkStart w:id="265" w:name="_Toc224103337"/>
      <w:bookmarkStart w:id="266" w:name="_Toc287620705"/>
      <w:bookmarkStart w:id="267" w:name="_Toc200513146"/>
      <w:bookmarkStart w:id="268" w:name="_Toc509218730"/>
      <w:r>
        <w:rPr>
          <w:rFonts w:hint="eastAsia" w:ascii="宋体" w:hAnsi="宋体" w:eastAsia="宋体" w:cs="宋体"/>
          <w:b w:val="0"/>
          <w:snapToGrid w:val="0"/>
          <w:color w:val="auto"/>
          <w:sz w:val="24"/>
          <w:szCs w:val="24"/>
          <w:highlight w:val="none"/>
        </w:rPr>
        <w:t>3.2  竞选报价</w:t>
      </w:r>
      <w:bookmarkEnd w:id="257"/>
      <w:bookmarkEnd w:id="258"/>
      <w:bookmarkEnd w:id="259"/>
      <w:bookmarkEnd w:id="260"/>
      <w:bookmarkEnd w:id="261"/>
      <w:bookmarkEnd w:id="262"/>
      <w:bookmarkEnd w:id="263"/>
      <w:bookmarkEnd w:id="264"/>
      <w:bookmarkEnd w:id="265"/>
      <w:bookmarkEnd w:id="266"/>
      <w:bookmarkEnd w:id="267"/>
      <w:bookmarkEnd w:id="268"/>
    </w:p>
    <w:p w14:paraId="5C99E5E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  竞选人应按第五章“竞选文件格式”的要求填写相应表格。</w:t>
      </w:r>
    </w:p>
    <w:p w14:paraId="4231D16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  竞选人应认真阅读比选文件规定的计价、结算要求，自行填报报价。</w:t>
      </w:r>
    </w:p>
    <w:p w14:paraId="361A2483">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69" w:name="_Toc915"/>
      <w:bookmarkStart w:id="270" w:name="_Toc430530456"/>
      <w:bookmarkStart w:id="271" w:name="_Toc200513147"/>
      <w:bookmarkStart w:id="272" w:name="_Toc40569160"/>
      <w:bookmarkStart w:id="273" w:name="_Toc287607767"/>
      <w:bookmarkStart w:id="274" w:name="_Toc27583"/>
      <w:bookmarkStart w:id="275" w:name="_Toc40569065"/>
      <w:bookmarkStart w:id="276" w:name="_Toc277082573"/>
      <w:bookmarkStart w:id="277" w:name="_Toc509218731"/>
      <w:bookmarkStart w:id="278" w:name="_Toc287620706"/>
      <w:bookmarkStart w:id="279" w:name="_Toc15462"/>
      <w:bookmarkStart w:id="280" w:name="_Toc224103338"/>
      <w:r>
        <w:rPr>
          <w:rFonts w:hint="eastAsia" w:ascii="宋体" w:hAnsi="宋体" w:eastAsia="宋体" w:cs="宋体"/>
          <w:b w:val="0"/>
          <w:snapToGrid w:val="0"/>
          <w:color w:val="auto"/>
          <w:sz w:val="24"/>
          <w:szCs w:val="24"/>
          <w:highlight w:val="none"/>
        </w:rPr>
        <w:t>3.3  比选有效期</w:t>
      </w:r>
      <w:bookmarkEnd w:id="269"/>
      <w:bookmarkEnd w:id="270"/>
      <w:bookmarkEnd w:id="271"/>
      <w:bookmarkEnd w:id="272"/>
      <w:bookmarkEnd w:id="273"/>
      <w:bookmarkEnd w:id="274"/>
      <w:bookmarkEnd w:id="275"/>
      <w:bookmarkEnd w:id="276"/>
      <w:bookmarkEnd w:id="277"/>
      <w:bookmarkEnd w:id="278"/>
      <w:bookmarkEnd w:id="279"/>
      <w:bookmarkEnd w:id="280"/>
    </w:p>
    <w:p w14:paraId="452BD17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在竞选人须知前附表规定的比选有效期内，竞选人不得要求撤销或修改其竞选文件。</w:t>
      </w:r>
    </w:p>
    <w:p w14:paraId="5625E5E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18FFCCC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比选有效期的，比选人以书面形式通知所有竞选人延长比选有效期。竞选人同意延长的，应相应延长其比选保证金的有效期，但不得要求或被允许修改或撤销其竞选文件；竞选人拒绝延长的，其竞选文件失效，但竞选人有权收回其比选保证金。（适用于比选保证金采用银行转账形式的）</w:t>
      </w:r>
    </w:p>
    <w:p w14:paraId="175D1CB1">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81" w:name="_Toc40569161"/>
      <w:bookmarkStart w:id="282" w:name="_Toc287620707"/>
      <w:bookmarkStart w:id="283" w:name="_Toc19857"/>
      <w:bookmarkStart w:id="284" w:name="_Toc14235"/>
      <w:bookmarkStart w:id="285" w:name="_Toc26206"/>
      <w:bookmarkStart w:id="286" w:name="_Toc40569066"/>
      <w:bookmarkStart w:id="287" w:name="_Toc430530457"/>
      <w:bookmarkStart w:id="288" w:name="_Toc277082574"/>
      <w:bookmarkStart w:id="289" w:name="_Toc224103339"/>
      <w:bookmarkStart w:id="290" w:name="_Toc509218732"/>
      <w:bookmarkStart w:id="291" w:name="_Toc200513148"/>
      <w:bookmarkStart w:id="292" w:name="_Toc287607768"/>
      <w:r>
        <w:rPr>
          <w:rFonts w:hint="eastAsia" w:ascii="宋体" w:hAnsi="宋体" w:eastAsia="宋体" w:cs="宋体"/>
          <w:b w:val="0"/>
          <w:snapToGrid w:val="0"/>
          <w:color w:val="auto"/>
          <w:sz w:val="24"/>
          <w:szCs w:val="24"/>
          <w:highlight w:val="none"/>
        </w:rPr>
        <w:t xml:space="preserve">3.4  </w:t>
      </w:r>
      <w:bookmarkEnd w:id="281"/>
      <w:bookmarkEnd w:id="282"/>
      <w:bookmarkEnd w:id="283"/>
      <w:bookmarkEnd w:id="284"/>
      <w:bookmarkEnd w:id="285"/>
      <w:bookmarkEnd w:id="286"/>
      <w:bookmarkEnd w:id="287"/>
      <w:bookmarkEnd w:id="288"/>
      <w:bookmarkEnd w:id="289"/>
      <w:bookmarkEnd w:id="290"/>
      <w:bookmarkEnd w:id="291"/>
      <w:bookmarkEnd w:id="292"/>
      <w:r>
        <w:rPr>
          <w:rFonts w:hint="eastAsia" w:ascii="宋体" w:hAnsi="宋体" w:eastAsia="宋体" w:cs="宋体"/>
          <w:b w:val="0"/>
          <w:snapToGrid w:val="0"/>
          <w:color w:val="auto"/>
          <w:sz w:val="24"/>
          <w:szCs w:val="24"/>
          <w:highlight w:val="none"/>
        </w:rPr>
        <w:t>比选保证金</w:t>
      </w:r>
    </w:p>
    <w:p w14:paraId="1FD7BB7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竞选人在递交竞选文件前，应按竞选人须知前附表规定的金额、担保形式递交比选保证金，并作为其竞选文件的组成部分。联合体竞选的，其比选保证金由牵头人递交，并应符合竞选人须知前附表的规定。</w:t>
      </w:r>
    </w:p>
    <w:p w14:paraId="71B7FE44">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3.4.2  竞选人不按本章第 3.4.1 项要求提交比选保证金的，其竞选文件作否决竞选处理。</w:t>
      </w:r>
    </w:p>
    <w:p w14:paraId="4124FEBF">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  比选保证金（保函）退还：见竞选人须知前附表</w:t>
      </w:r>
      <w:r>
        <w:rPr>
          <w:rFonts w:hint="eastAsia" w:ascii="宋体" w:hAnsi="宋体" w:cs="宋体"/>
          <w:snapToGrid w:val="0"/>
          <w:color w:val="auto"/>
          <w:kern w:val="0"/>
          <w:position w:val="-2"/>
          <w:szCs w:val="21"/>
          <w:highlight w:val="none"/>
        </w:rPr>
        <w:t>。</w:t>
      </w:r>
    </w:p>
    <w:p w14:paraId="57F8431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3.4.4  有下列情形之一的，比选保证金将不予退还：</w:t>
      </w:r>
    </w:p>
    <w:p w14:paraId="75620AD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（1）竞选人在规定的比选有效期内撤销或修改其竞选文件；</w:t>
      </w:r>
    </w:p>
    <w:p w14:paraId="5F87842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（2）中选人在收到中选通知书后，无正当理由拒签合同协议书或未按比选文件规定提交履约担保；</w:t>
      </w:r>
    </w:p>
    <w:p w14:paraId="1E20E4A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（3）违反本章9.2条对竞选人的纪律要求的；</w:t>
      </w:r>
    </w:p>
    <w:p w14:paraId="1F9E6C5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（4）法律法规和本比选文件规定的其他情形。</w:t>
      </w:r>
    </w:p>
    <w:p w14:paraId="22EE6D27">
      <w:pPr>
        <w:tabs>
          <w:tab w:val="left" w:pos="611"/>
          <w:tab w:val="left" w:pos="669"/>
        </w:tabs>
        <w:snapToGrid w:val="0"/>
        <w:spacing w:line="360" w:lineRule="auto"/>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3.4.5</w:t>
      </w:r>
      <w:r>
        <w:rPr>
          <w:rFonts w:hint="eastAsia" w:ascii="宋体" w:hAnsi="宋体" w:cs="宋体"/>
          <w:color w:val="auto"/>
          <w:kern w:val="0"/>
          <w:highlight w:val="none"/>
        </w:rPr>
        <w:t>（1）比选保证金为无条件担保；</w:t>
      </w:r>
    </w:p>
    <w:p w14:paraId="18D6ABB3">
      <w:pPr>
        <w:tabs>
          <w:tab w:val="left" w:pos="611"/>
          <w:tab w:val="left" w:pos="669"/>
        </w:tabs>
        <w:snapToGrid w:val="0"/>
        <w:spacing w:line="360" w:lineRule="auto"/>
        <w:ind w:firstLine="945" w:firstLineChars="450"/>
        <w:rPr>
          <w:rFonts w:ascii="宋体" w:hAnsi="宋体" w:cs="宋体"/>
          <w:color w:val="auto"/>
          <w:kern w:val="0"/>
          <w:highlight w:val="none"/>
        </w:rPr>
      </w:pPr>
      <w:r>
        <w:rPr>
          <w:rFonts w:hint="eastAsia" w:ascii="宋体" w:hAnsi="宋体" w:cs="宋体"/>
          <w:color w:val="auto"/>
          <w:kern w:val="0"/>
          <w:highlight w:val="none"/>
        </w:rPr>
        <w:t>（2）比选保证金的受益人为比选人。</w:t>
      </w:r>
    </w:p>
    <w:p w14:paraId="46FF4F21">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293" w:name="_Toc8188"/>
      <w:bookmarkStart w:id="294" w:name="_Toc430530459"/>
      <w:bookmarkStart w:id="295" w:name="_Toc40569162"/>
      <w:bookmarkStart w:id="296" w:name="_Toc7055"/>
      <w:bookmarkStart w:id="297" w:name="_Toc277082576"/>
      <w:bookmarkStart w:id="298" w:name="_Toc30972"/>
      <w:bookmarkStart w:id="299" w:name="_Toc287620709"/>
      <w:bookmarkStart w:id="300" w:name="_Toc509218734"/>
      <w:bookmarkStart w:id="301" w:name="_Toc200513150"/>
      <w:bookmarkStart w:id="302" w:name="_Toc287607770"/>
      <w:bookmarkStart w:id="303" w:name="_Toc40569067"/>
      <w:bookmarkStart w:id="304" w:name="_Toc224103341"/>
      <w:r>
        <w:rPr>
          <w:rFonts w:hint="eastAsia" w:ascii="宋体" w:hAnsi="宋体" w:eastAsia="宋体" w:cs="宋体"/>
          <w:b w:val="0"/>
          <w:snapToGrid w:val="0"/>
          <w:color w:val="auto"/>
          <w:sz w:val="24"/>
          <w:szCs w:val="24"/>
          <w:highlight w:val="none"/>
        </w:rPr>
        <w:t>3.5  资格审查资料</w:t>
      </w:r>
      <w:bookmarkEnd w:id="293"/>
      <w:bookmarkEnd w:id="294"/>
      <w:bookmarkEnd w:id="295"/>
      <w:bookmarkEnd w:id="296"/>
      <w:bookmarkEnd w:id="297"/>
      <w:bookmarkEnd w:id="298"/>
      <w:bookmarkEnd w:id="299"/>
      <w:bookmarkEnd w:id="300"/>
      <w:bookmarkEnd w:id="301"/>
      <w:bookmarkEnd w:id="302"/>
      <w:bookmarkEnd w:id="303"/>
      <w:bookmarkEnd w:id="304"/>
    </w:p>
    <w:p w14:paraId="05368202">
      <w:pPr>
        <w:autoSpaceDE w:val="0"/>
        <w:autoSpaceDN w:val="0"/>
        <w:adjustRightInd w:val="0"/>
        <w:snapToGrid w:val="0"/>
        <w:spacing w:line="360" w:lineRule="auto"/>
        <w:ind w:left="103" w:leftChars="49" w:right="37" w:firstLine="420" w:firstLineChars="200"/>
        <w:rPr>
          <w:rFonts w:hint="eastAsia" w:ascii="宋体" w:hAnsi="宋体" w:cs="宋体"/>
          <w:color w:val="auto"/>
          <w:szCs w:val="21"/>
          <w:highlight w:val="none"/>
        </w:rPr>
      </w:pPr>
      <w:r>
        <w:rPr>
          <w:rFonts w:hint="eastAsia" w:ascii="宋体" w:hAnsi="宋体" w:cs="宋体"/>
          <w:color w:val="auto"/>
          <w:szCs w:val="21"/>
          <w:highlight w:val="none"/>
        </w:rPr>
        <w:t>满足前附表要求。</w:t>
      </w:r>
    </w:p>
    <w:p w14:paraId="49E01BC1">
      <w:pPr>
        <w:autoSpaceDE w:val="0"/>
        <w:autoSpaceDN w:val="0"/>
        <w:adjustRightInd w:val="0"/>
        <w:snapToGrid w:val="0"/>
        <w:spacing w:line="360" w:lineRule="auto"/>
        <w:ind w:left="103" w:leftChars="49" w:right="37" w:firstLine="420" w:firstLineChars="200"/>
        <w:rPr>
          <w:rFonts w:ascii="宋体" w:hAnsi="宋体" w:cs="宋体"/>
          <w:snapToGrid w:val="0"/>
          <w:color w:val="auto"/>
          <w:kern w:val="0"/>
          <w:szCs w:val="21"/>
          <w:highlight w:val="none"/>
        </w:rPr>
      </w:pPr>
      <w:r>
        <w:rPr>
          <w:rFonts w:hint="eastAsia" w:ascii="宋体" w:hAnsi="宋体" w:cs="宋体"/>
          <w:color w:val="auto"/>
          <w:szCs w:val="21"/>
          <w:highlight w:val="none"/>
        </w:rPr>
        <w:t>联合体竞选的，详见竞选人须知前附表联合体竞选相关内容。</w:t>
      </w:r>
    </w:p>
    <w:p w14:paraId="1AF6DACD">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05" w:name="_Toc26526"/>
      <w:bookmarkStart w:id="306" w:name="_Toc9341"/>
      <w:bookmarkStart w:id="307" w:name="_Toc40569163"/>
      <w:bookmarkStart w:id="308" w:name="_Toc509218735"/>
      <w:bookmarkStart w:id="309" w:name="_Toc200513151"/>
      <w:bookmarkStart w:id="310" w:name="_Toc287607771"/>
      <w:bookmarkStart w:id="311" w:name="_Toc287620710"/>
      <w:bookmarkStart w:id="312" w:name="_Toc224103342"/>
      <w:bookmarkStart w:id="313" w:name="_Toc430530460"/>
      <w:bookmarkStart w:id="314" w:name="_Toc7522"/>
      <w:bookmarkStart w:id="315" w:name="_Toc40569068"/>
      <w:bookmarkStart w:id="316" w:name="_Toc277082577"/>
      <w:r>
        <w:rPr>
          <w:rFonts w:hint="eastAsia" w:ascii="宋体" w:hAnsi="宋体" w:eastAsia="宋体" w:cs="宋体"/>
          <w:b w:val="0"/>
          <w:snapToGrid w:val="0"/>
          <w:color w:val="auto"/>
          <w:sz w:val="24"/>
          <w:szCs w:val="24"/>
          <w:highlight w:val="none"/>
        </w:rPr>
        <w:t>3.6  备选竞选方案</w:t>
      </w:r>
      <w:bookmarkEnd w:id="305"/>
      <w:bookmarkEnd w:id="306"/>
      <w:bookmarkEnd w:id="307"/>
      <w:bookmarkEnd w:id="308"/>
      <w:bookmarkEnd w:id="309"/>
      <w:bookmarkEnd w:id="310"/>
      <w:bookmarkEnd w:id="311"/>
      <w:bookmarkEnd w:id="312"/>
      <w:bookmarkEnd w:id="313"/>
      <w:bookmarkEnd w:id="314"/>
      <w:bookmarkEnd w:id="315"/>
      <w:bookmarkEnd w:id="316"/>
    </w:p>
    <w:p w14:paraId="55573FB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除竞选人须知前附表另有规定外，竞选人不得递交备选竞选方案。允许竞选人递交备选竞选方案的，只有中选人所递交的备选竞选方案方可予以考虑。</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认为中选人的备选竞选方案优于其按照比选文件要求编制的竞选方案的，比选人可以接受该备选竞选方案。</w:t>
      </w:r>
    </w:p>
    <w:p w14:paraId="6DBF336B">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17" w:name="_Toc430530461"/>
      <w:bookmarkStart w:id="318" w:name="_Toc287607772"/>
      <w:bookmarkStart w:id="319" w:name="_Toc224103343"/>
      <w:bookmarkStart w:id="320" w:name="_Toc509218736"/>
      <w:bookmarkStart w:id="321" w:name="_Toc40569069"/>
      <w:bookmarkStart w:id="322" w:name="_Toc40569164"/>
      <w:bookmarkStart w:id="323" w:name="_Toc25048"/>
      <w:bookmarkStart w:id="324" w:name="_Toc29274"/>
      <w:bookmarkStart w:id="325" w:name="_Toc277082578"/>
      <w:bookmarkStart w:id="326" w:name="_Toc29561"/>
      <w:bookmarkStart w:id="327" w:name="_Toc287620711"/>
      <w:bookmarkStart w:id="328" w:name="_Toc200513152"/>
      <w:r>
        <w:rPr>
          <w:rFonts w:hint="eastAsia" w:ascii="宋体" w:hAnsi="宋体" w:eastAsia="宋体" w:cs="宋体"/>
          <w:b w:val="0"/>
          <w:snapToGrid w:val="0"/>
          <w:color w:val="auto"/>
          <w:sz w:val="24"/>
          <w:szCs w:val="24"/>
          <w:highlight w:val="none"/>
        </w:rPr>
        <w:t>3.7  竞选文件的编制</w:t>
      </w:r>
      <w:bookmarkEnd w:id="317"/>
      <w:bookmarkEnd w:id="318"/>
      <w:bookmarkEnd w:id="319"/>
      <w:bookmarkEnd w:id="320"/>
      <w:bookmarkEnd w:id="321"/>
      <w:bookmarkEnd w:id="322"/>
      <w:bookmarkEnd w:id="323"/>
      <w:bookmarkEnd w:id="324"/>
      <w:bookmarkEnd w:id="325"/>
      <w:bookmarkEnd w:id="326"/>
      <w:bookmarkEnd w:id="327"/>
      <w:bookmarkEnd w:id="328"/>
    </w:p>
    <w:p w14:paraId="2BFF2C2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竞选文件应按第五章“竞选文件格式”进行编写，如有必要，可以增加附页，作为竞选文件的组成部分。其中，竞选函附录在满足比选文件实质性要求的基础上，可以提出高于比选文件要求且更有利于比选人的承诺。</w:t>
      </w:r>
    </w:p>
    <w:p w14:paraId="5262CF8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竞选文件应当对比选文件有关监理服务期、比选有效期、质量要求、</w:t>
      </w:r>
      <w:r>
        <w:rPr>
          <w:rFonts w:hint="eastAsia" w:ascii="宋体" w:hAnsi="宋体"/>
          <w:color w:val="auto"/>
          <w:highlight w:val="none"/>
        </w:rPr>
        <w:t>监理工作规范和技术标准</w:t>
      </w:r>
      <w:r>
        <w:rPr>
          <w:rFonts w:hint="eastAsia" w:ascii="宋体" w:hAnsi="宋体" w:cs="宋体"/>
          <w:snapToGrid w:val="0"/>
          <w:color w:val="auto"/>
          <w:kern w:val="0"/>
          <w:szCs w:val="21"/>
          <w:highlight w:val="none"/>
        </w:rPr>
        <w:t>、比选范围等实质性内容做出响应。</w:t>
      </w:r>
    </w:p>
    <w:p w14:paraId="563EBB3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签字盖章要求按竞选人须知前附表3.7.3款执行。</w:t>
      </w:r>
    </w:p>
    <w:p w14:paraId="64D8B102">
      <w:pPr>
        <w:autoSpaceDE w:val="0"/>
        <w:autoSpaceDN w:val="0"/>
        <w:adjustRightInd w:val="0"/>
        <w:snapToGrid w:val="0"/>
        <w:spacing w:line="360" w:lineRule="auto"/>
        <w:ind w:right="-164" w:firstLine="420" w:firstLineChars="200"/>
        <w:rPr>
          <w:rFonts w:ascii="宋体" w:hAnsi="宋体" w:cs="宋体"/>
          <w:i/>
          <w:snapToGrid w:val="0"/>
          <w:color w:val="auto"/>
          <w:kern w:val="0"/>
          <w:szCs w:val="21"/>
          <w:highlight w:val="none"/>
        </w:rPr>
      </w:pPr>
      <w:r>
        <w:rPr>
          <w:rFonts w:hint="eastAsia" w:ascii="宋体" w:hAnsi="宋体" w:cs="宋体"/>
          <w:snapToGrid w:val="0"/>
          <w:color w:val="auto"/>
          <w:kern w:val="0"/>
          <w:szCs w:val="21"/>
          <w:highlight w:val="none"/>
        </w:rPr>
        <w:t>3.7.4  竞选文件的份数见竞选人须知前附表，不按规定递交足够份数的竞选文件作否决处理。</w:t>
      </w:r>
    </w:p>
    <w:p w14:paraId="72EA5B41">
      <w:pPr>
        <w:autoSpaceDE w:val="0"/>
        <w:autoSpaceDN w:val="0"/>
        <w:adjustRightInd w:val="0"/>
        <w:snapToGrid w:val="0"/>
        <w:spacing w:line="360" w:lineRule="auto"/>
        <w:ind w:right="-109"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竞选文件应装订成册，具体装订要求见竞选人须知前附表规定。</w:t>
      </w:r>
    </w:p>
    <w:p w14:paraId="44748E30">
      <w:pPr>
        <w:pStyle w:val="3"/>
        <w:spacing w:before="0" w:after="0" w:line="360" w:lineRule="auto"/>
        <w:rPr>
          <w:rFonts w:ascii="宋体" w:hAnsi="宋体" w:cs="宋体"/>
          <w:b w:val="0"/>
          <w:snapToGrid w:val="0"/>
          <w:color w:val="auto"/>
          <w:sz w:val="24"/>
          <w:szCs w:val="24"/>
          <w:highlight w:val="none"/>
        </w:rPr>
      </w:pPr>
      <w:bookmarkStart w:id="329" w:name="_Toc277082579"/>
      <w:bookmarkStart w:id="330" w:name="_Toc287620712"/>
      <w:bookmarkStart w:id="331" w:name="_Toc31627"/>
      <w:bookmarkStart w:id="332" w:name="_Toc430530462"/>
      <w:bookmarkStart w:id="333" w:name="_Toc224103344"/>
      <w:bookmarkStart w:id="334" w:name="_Toc200513153"/>
      <w:bookmarkStart w:id="335" w:name="_Toc509218737"/>
      <w:bookmarkStart w:id="336" w:name="_Toc17781"/>
      <w:bookmarkStart w:id="337" w:name="_Toc287607773"/>
      <w:bookmarkStart w:id="338" w:name="_Toc26662"/>
      <w:r>
        <w:rPr>
          <w:rFonts w:hint="eastAsia" w:ascii="宋体" w:hAnsi="宋体" w:cs="宋体"/>
          <w:b w:val="0"/>
          <w:snapToGrid w:val="0"/>
          <w:color w:val="auto"/>
          <w:sz w:val="24"/>
          <w:szCs w:val="24"/>
          <w:highlight w:val="none"/>
        </w:rPr>
        <w:t>4.  投标</w:t>
      </w:r>
      <w:bookmarkEnd w:id="329"/>
      <w:bookmarkEnd w:id="330"/>
      <w:bookmarkEnd w:id="331"/>
      <w:bookmarkEnd w:id="332"/>
      <w:bookmarkEnd w:id="333"/>
      <w:bookmarkEnd w:id="334"/>
      <w:bookmarkEnd w:id="335"/>
      <w:bookmarkEnd w:id="336"/>
      <w:bookmarkEnd w:id="337"/>
      <w:bookmarkEnd w:id="338"/>
    </w:p>
    <w:p w14:paraId="39C3B5C8">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39" w:name="_Toc21526"/>
      <w:bookmarkStart w:id="340" w:name="_Toc509218738"/>
      <w:bookmarkStart w:id="341" w:name="_Toc287607774"/>
      <w:bookmarkStart w:id="342" w:name="_Toc30123"/>
      <w:bookmarkStart w:id="343" w:name="_Toc40569071"/>
      <w:bookmarkStart w:id="344" w:name="_Toc40569166"/>
      <w:bookmarkStart w:id="345" w:name="_Toc430530463"/>
      <w:bookmarkStart w:id="346" w:name="_Toc224103345"/>
      <w:bookmarkStart w:id="347" w:name="_Toc287620713"/>
      <w:bookmarkStart w:id="348" w:name="_Toc1906"/>
      <w:bookmarkStart w:id="349" w:name="_Toc277082580"/>
      <w:bookmarkStart w:id="350" w:name="_Toc200513154"/>
      <w:r>
        <w:rPr>
          <w:rFonts w:hint="eastAsia" w:ascii="宋体" w:hAnsi="宋体" w:eastAsia="宋体" w:cs="宋体"/>
          <w:b w:val="0"/>
          <w:snapToGrid w:val="0"/>
          <w:color w:val="auto"/>
          <w:sz w:val="24"/>
          <w:szCs w:val="24"/>
          <w:highlight w:val="none"/>
        </w:rPr>
        <w:t>4.1  竞选文件的密封和标记</w:t>
      </w:r>
      <w:bookmarkEnd w:id="339"/>
      <w:bookmarkEnd w:id="340"/>
      <w:bookmarkEnd w:id="341"/>
      <w:bookmarkEnd w:id="342"/>
      <w:bookmarkEnd w:id="343"/>
      <w:bookmarkEnd w:id="344"/>
      <w:bookmarkEnd w:id="345"/>
      <w:bookmarkEnd w:id="346"/>
      <w:bookmarkEnd w:id="347"/>
      <w:bookmarkEnd w:id="348"/>
      <w:bookmarkEnd w:id="349"/>
      <w:bookmarkEnd w:id="350"/>
    </w:p>
    <w:p w14:paraId="64C964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bookmarkStart w:id="351" w:name="_Toc200513155"/>
      <w:r>
        <w:rPr>
          <w:rFonts w:hint="eastAsia" w:ascii="宋体" w:hAnsi="宋体" w:cs="宋体"/>
          <w:snapToGrid w:val="0"/>
          <w:color w:val="auto"/>
          <w:kern w:val="0"/>
          <w:szCs w:val="21"/>
          <w:highlight w:val="none"/>
        </w:rPr>
        <w:t>4.1.1  竞选文件的正本</w:t>
      </w:r>
      <w:r>
        <w:rPr>
          <w:rFonts w:hint="eastAsia" w:ascii="宋体" w:hAnsi="宋体" w:eastAsia="宋体" w:cs="宋体"/>
          <w:snapToGrid w:val="0"/>
          <w:color w:val="auto"/>
          <w:kern w:val="0"/>
          <w:szCs w:val="21"/>
          <w:highlight w:val="none"/>
        </w:rPr>
        <w:t>与副本</w:t>
      </w:r>
      <w:r>
        <w:rPr>
          <w:rFonts w:hint="eastAsia" w:ascii="宋体" w:hAnsi="宋体" w:cs="宋体"/>
          <w:snapToGrid w:val="0"/>
          <w:color w:val="auto"/>
          <w:kern w:val="0"/>
          <w:szCs w:val="21"/>
          <w:highlight w:val="none"/>
        </w:rPr>
        <w:t>密封见竞选人须知前附表。</w:t>
      </w:r>
    </w:p>
    <w:p w14:paraId="08FE36E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竞选文件的封套上应写明的内容见竞选人须知前附表。</w:t>
      </w:r>
    </w:p>
    <w:p w14:paraId="6CDAF9C0">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52" w:name="_Toc287620714"/>
      <w:bookmarkStart w:id="353" w:name="_Toc40569167"/>
      <w:bookmarkStart w:id="354" w:name="_Toc430530464"/>
      <w:bookmarkStart w:id="355" w:name="_Toc11740"/>
      <w:bookmarkStart w:id="356" w:name="_Toc287607775"/>
      <w:bookmarkStart w:id="357" w:name="_Toc224103346"/>
      <w:bookmarkStart w:id="358" w:name="_Toc40569072"/>
      <w:bookmarkStart w:id="359" w:name="_Toc7699"/>
      <w:bookmarkStart w:id="360" w:name="_Toc26108"/>
      <w:bookmarkStart w:id="361" w:name="_Toc509218739"/>
      <w:bookmarkStart w:id="362" w:name="_Toc277082581"/>
      <w:r>
        <w:rPr>
          <w:rFonts w:hint="eastAsia" w:ascii="宋体" w:hAnsi="宋体" w:eastAsia="宋体" w:cs="宋体"/>
          <w:b w:val="0"/>
          <w:snapToGrid w:val="0"/>
          <w:color w:val="auto"/>
          <w:sz w:val="24"/>
          <w:szCs w:val="24"/>
          <w:highlight w:val="none"/>
        </w:rPr>
        <w:t>4.2  竞选文件的递交</w:t>
      </w:r>
      <w:bookmarkEnd w:id="351"/>
      <w:bookmarkEnd w:id="352"/>
      <w:bookmarkEnd w:id="353"/>
      <w:bookmarkEnd w:id="354"/>
      <w:bookmarkEnd w:id="355"/>
      <w:bookmarkEnd w:id="356"/>
      <w:bookmarkEnd w:id="357"/>
      <w:bookmarkEnd w:id="358"/>
      <w:bookmarkEnd w:id="359"/>
      <w:bookmarkEnd w:id="360"/>
      <w:bookmarkEnd w:id="361"/>
      <w:bookmarkEnd w:id="362"/>
    </w:p>
    <w:p w14:paraId="44FC193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4.2.1  竞选人应在竞选人须知前附表第 2.2 项规定的竞选文件递交截止时间前递交竞选文件。</w:t>
      </w:r>
    </w:p>
    <w:p w14:paraId="51BE549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  竞选人递交竞选文件的地点：见竞选人须知前附表。</w:t>
      </w:r>
    </w:p>
    <w:p w14:paraId="29A9EF6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除竞选人须知前附表另有规定外，竞选人所递交的竞选文件不予退还。</w:t>
      </w:r>
    </w:p>
    <w:p w14:paraId="74A117D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4.2.4  比选人收到竞选文件后，向竞选人出具签收凭证。</w:t>
      </w:r>
    </w:p>
    <w:p w14:paraId="664D9DB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逾期送达的或者未送达指定地点的竞选文件，比选人不予受理。</w:t>
      </w:r>
    </w:p>
    <w:p w14:paraId="7EC1477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63" w:name="_Toc40569168"/>
      <w:bookmarkStart w:id="364" w:name="_Toc287620715"/>
      <w:bookmarkStart w:id="365" w:name="_Toc40569073"/>
      <w:bookmarkStart w:id="366" w:name="_Toc430530465"/>
      <w:bookmarkStart w:id="367" w:name="_Toc277082582"/>
      <w:bookmarkStart w:id="368" w:name="_Toc509218740"/>
      <w:bookmarkStart w:id="369" w:name="_Toc13850"/>
      <w:bookmarkStart w:id="370" w:name="_Toc224103347"/>
      <w:bookmarkStart w:id="371" w:name="_Toc23344"/>
      <w:bookmarkStart w:id="372" w:name="_Toc287607776"/>
      <w:bookmarkStart w:id="373" w:name="_Toc200513156"/>
      <w:bookmarkStart w:id="374" w:name="_Toc30961"/>
      <w:r>
        <w:rPr>
          <w:rFonts w:hint="eastAsia" w:ascii="宋体" w:hAnsi="宋体" w:eastAsia="宋体" w:cs="宋体"/>
          <w:b w:val="0"/>
          <w:snapToGrid w:val="0"/>
          <w:color w:val="auto"/>
          <w:sz w:val="24"/>
          <w:szCs w:val="24"/>
          <w:highlight w:val="none"/>
        </w:rPr>
        <w:t>4.3  竞选文件的修改与撤回</w:t>
      </w:r>
      <w:bookmarkEnd w:id="363"/>
      <w:bookmarkEnd w:id="364"/>
      <w:bookmarkEnd w:id="365"/>
      <w:bookmarkEnd w:id="366"/>
      <w:bookmarkEnd w:id="367"/>
      <w:bookmarkEnd w:id="368"/>
      <w:bookmarkEnd w:id="369"/>
      <w:bookmarkEnd w:id="370"/>
      <w:bookmarkEnd w:id="371"/>
      <w:bookmarkEnd w:id="372"/>
      <w:bookmarkEnd w:id="373"/>
      <w:bookmarkEnd w:id="374"/>
    </w:p>
    <w:p w14:paraId="7254EC1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在竞选人须知前附表第2.2项规定的竞选文件递交截止时间前，竞选人可以修改或撤回已递交的竞选文件，但应以书面形式通知比选人。</w:t>
      </w:r>
    </w:p>
    <w:p w14:paraId="525BA88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5DCA0CB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修改的内容为竞选文件的组成部分。修改的竞选文件应按照本章第3条、第4条规定进行编制、密封、标记和递交，并标明“修改”字样。</w:t>
      </w:r>
    </w:p>
    <w:p w14:paraId="14040F1E">
      <w:pPr>
        <w:pStyle w:val="3"/>
        <w:spacing w:before="0" w:after="0" w:line="360" w:lineRule="auto"/>
        <w:rPr>
          <w:rFonts w:ascii="宋体" w:hAnsi="宋体" w:cs="宋体"/>
          <w:b w:val="0"/>
          <w:snapToGrid w:val="0"/>
          <w:color w:val="auto"/>
          <w:sz w:val="24"/>
          <w:szCs w:val="24"/>
          <w:highlight w:val="none"/>
        </w:rPr>
      </w:pPr>
      <w:bookmarkStart w:id="375" w:name="_Toc509218741"/>
      <w:bookmarkStart w:id="376" w:name="_Toc287620716"/>
      <w:bookmarkStart w:id="377" w:name="_Toc287607777"/>
      <w:bookmarkStart w:id="378" w:name="_Toc24445"/>
      <w:bookmarkStart w:id="379" w:name="_Toc224103348"/>
      <w:bookmarkStart w:id="380" w:name="_Toc7310"/>
      <w:bookmarkStart w:id="381" w:name="_Toc200513157"/>
      <w:bookmarkStart w:id="382" w:name="_Toc18092"/>
      <w:bookmarkStart w:id="383" w:name="_Toc430530466"/>
      <w:bookmarkStart w:id="384" w:name="_Toc277082583"/>
      <w:r>
        <w:rPr>
          <w:rFonts w:hint="eastAsia" w:ascii="宋体" w:hAnsi="宋体" w:cs="宋体"/>
          <w:b w:val="0"/>
          <w:snapToGrid w:val="0"/>
          <w:color w:val="auto"/>
          <w:sz w:val="24"/>
          <w:szCs w:val="24"/>
          <w:highlight w:val="none"/>
        </w:rPr>
        <w:t>5.  开标</w:t>
      </w:r>
      <w:bookmarkEnd w:id="375"/>
      <w:bookmarkEnd w:id="376"/>
      <w:bookmarkEnd w:id="377"/>
      <w:bookmarkEnd w:id="378"/>
      <w:bookmarkEnd w:id="379"/>
      <w:bookmarkEnd w:id="380"/>
      <w:bookmarkEnd w:id="381"/>
      <w:bookmarkEnd w:id="382"/>
      <w:bookmarkEnd w:id="383"/>
      <w:bookmarkEnd w:id="384"/>
    </w:p>
    <w:p w14:paraId="40149E69">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85" w:name="_Toc509218742"/>
      <w:bookmarkStart w:id="386" w:name="_Toc277082584"/>
      <w:bookmarkStart w:id="387" w:name="_Toc21177"/>
      <w:bookmarkStart w:id="388" w:name="_Toc287620717"/>
      <w:bookmarkStart w:id="389" w:name="_Toc200513158"/>
      <w:bookmarkStart w:id="390" w:name="_Toc224103349"/>
      <w:bookmarkStart w:id="391" w:name="_Toc430530467"/>
      <w:bookmarkStart w:id="392" w:name="_Toc23360"/>
      <w:bookmarkStart w:id="393" w:name="_Toc40569075"/>
      <w:bookmarkStart w:id="394" w:name="_Toc40569170"/>
      <w:bookmarkStart w:id="395" w:name="_Toc287607778"/>
      <w:bookmarkStart w:id="396" w:name="_Toc21647"/>
      <w:r>
        <w:rPr>
          <w:rFonts w:hint="eastAsia" w:ascii="宋体" w:hAnsi="宋体" w:eastAsia="宋体" w:cs="宋体"/>
          <w:b w:val="0"/>
          <w:snapToGrid w:val="0"/>
          <w:color w:val="auto"/>
          <w:sz w:val="24"/>
          <w:szCs w:val="24"/>
          <w:highlight w:val="none"/>
        </w:rPr>
        <w:t>5.1  开标时间和地点</w:t>
      </w:r>
      <w:bookmarkEnd w:id="385"/>
      <w:bookmarkEnd w:id="386"/>
      <w:bookmarkEnd w:id="387"/>
      <w:bookmarkEnd w:id="388"/>
      <w:bookmarkEnd w:id="389"/>
      <w:bookmarkEnd w:id="390"/>
      <w:bookmarkEnd w:id="391"/>
      <w:bookmarkEnd w:id="392"/>
      <w:bookmarkEnd w:id="393"/>
      <w:bookmarkEnd w:id="394"/>
      <w:bookmarkEnd w:id="395"/>
      <w:bookmarkEnd w:id="396"/>
    </w:p>
    <w:p w14:paraId="3D19F97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比选人在竞选人须知前附表第 2.2项规定的竞选文件递交截止时间和竞选人须知前附表规定的地点公开开标，并邀请所有竞选人的法定代表人或其委托代理人准时参加。</w:t>
      </w:r>
    </w:p>
    <w:p w14:paraId="240BF70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397" w:name="_Toc2116"/>
      <w:bookmarkStart w:id="398" w:name="_Toc9819"/>
      <w:bookmarkStart w:id="399" w:name="_Toc224103350"/>
      <w:bookmarkStart w:id="400" w:name="_Toc277082585"/>
      <w:bookmarkStart w:id="401" w:name="_Toc509218743"/>
      <w:bookmarkStart w:id="402" w:name="_Toc4086"/>
      <w:bookmarkStart w:id="403" w:name="_Toc40569076"/>
      <w:bookmarkStart w:id="404" w:name="_Toc40569171"/>
      <w:bookmarkStart w:id="405" w:name="_Toc287620718"/>
      <w:bookmarkStart w:id="406" w:name="_Toc200513159"/>
      <w:bookmarkStart w:id="407" w:name="_Toc287607779"/>
      <w:bookmarkStart w:id="408" w:name="_Toc430530468"/>
      <w:r>
        <w:rPr>
          <w:rFonts w:hint="eastAsia" w:ascii="宋体" w:hAnsi="宋体" w:eastAsia="宋体" w:cs="宋体"/>
          <w:b w:val="0"/>
          <w:snapToGrid w:val="0"/>
          <w:color w:val="auto"/>
          <w:sz w:val="24"/>
          <w:szCs w:val="24"/>
          <w:highlight w:val="none"/>
        </w:rPr>
        <w:t>5.2  开标程序</w:t>
      </w:r>
      <w:bookmarkEnd w:id="397"/>
      <w:bookmarkEnd w:id="398"/>
      <w:bookmarkEnd w:id="399"/>
      <w:bookmarkEnd w:id="400"/>
      <w:bookmarkEnd w:id="401"/>
      <w:bookmarkEnd w:id="402"/>
      <w:bookmarkEnd w:id="403"/>
      <w:bookmarkEnd w:id="404"/>
      <w:bookmarkEnd w:id="405"/>
      <w:bookmarkEnd w:id="406"/>
      <w:bookmarkEnd w:id="407"/>
      <w:bookmarkEnd w:id="408"/>
    </w:p>
    <w:p w14:paraId="62424FEE">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09" w:name="_Toc287607780"/>
      <w:bookmarkStart w:id="410" w:name="_Toc224103351"/>
      <w:bookmarkStart w:id="411" w:name="_Toc287620719"/>
      <w:bookmarkStart w:id="412" w:name="_Toc200513160"/>
      <w:bookmarkStart w:id="413" w:name="_Toc277082586"/>
      <w:r>
        <w:rPr>
          <w:rFonts w:hint="eastAsia" w:ascii="宋体" w:hAnsi="宋体" w:cs="宋体"/>
          <w:color w:val="auto"/>
          <w:szCs w:val="21"/>
          <w:highlight w:val="none"/>
        </w:rPr>
        <w:t>详见竞选人须知前附表5.2开标程序。</w:t>
      </w:r>
    </w:p>
    <w:p w14:paraId="3C485731">
      <w:pPr>
        <w:pStyle w:val="3"/>
        <w:spacing w:before="0" w:after="0" w:line="360" w:lineRule="auto"/>
        <w:rPr>
          <w:rFonts w:ascii="宋体" w:hAnsi="宋体" w:cs="宋体"/>
          <w:b w:val="0"/>
          <w:snapToGrid w:val="0"/>
          <w:color w:val="auto"/>
          <w:sz w:val="24"/>
          <w:szCs w:val="24"/>
          <w:highlight w:val="none"/>
        </w:rPr>
      </w:pPr>
      <w:bookmarkStart w:id="414" w:name="_Toc20444"/>
      <w:bookmarkStart w:id="415" w:name="_Toc509218744"/>
      <w:bookmarkStart w:id="416" w:name="_Toc28222"/>
      <w:bookmarkStart w:id="417" w:name="_Toc430530469"/>
      <w:bookmarkStart w:id="418" w:name="_Toc29670"/>
      <w:r>
        <w:rPr>
          <w:rFonts w:hint="eastAsia" w:ascii="宋体" w:hAnsi="宋体" w:cs="宋体"/>
          <w:b w:val="0"/>
          <w:snapToGrid w:val="0"/>
          <w:color w:val="auto"/>
          <w:sz w:val="24"/>
          <w:szCs w:val="24"/>
          <w:highlight w:val="none"/>
        </w:rPr>
        <w:t xml:space="preserve">6.  </w:t>
      </w:r>
      <w:bookmarkEnd w:id="409"/>
      <w:bookmarkEnd w:id="410"/>
      <w:bookmarkEnd w:id="411"/>
      <w:bookmarkEnd w:id="412"/>
      <w:bookmarkEnd w:id="413"/>
      <w:bookmarkEnd w:id="414"/>
      <w:bookmarkEnd w:id="415"/>
      <w:bookmarkEnd w:id="416"/>
      <w:bookmarkEnd w:id="417"/>
      <w:bookmarkEnd w:id="418"/>
      <w:r>
        <w:rPr>
          <w:rFonts w:hint="eastAsia" w:ascii="宋体" w:hAnsi="宋体" w:cs="宋体"/>
          <w:b w:val="0"/>
          <w:snapToGrid w:val="0"/>
          <w:color w:val="auto"/>
          <w:sz w:val="24"/>
          <w:szCs w:val="24"/>
          <w:highlight w:val="none"/>
        </w:rPr>
        <w:t>评选</w:t>
      </w:r>
    </w:p>
    <w:p w14:paraId="59A63823">
      <w:pPr>
        <w:pStyle w:val="4"/>
        <w:snapToGrid w:val="0"/>
        <w:spacing w:before="0" w:after="0" w:line="360" w:lineRule="auto"/>
        <w:jc w:val="left"/>
        <w:rPr>
          <w:rFonts w:hint="eastAsia" w:ascii="宋体" w:hAnsi="宋体" w:eastAsia="宋体" w:cs="宋体"/>
          <w:b w:val="0"/>
          <w:snapToGrid w:val="0"/>
          <w:color w:val="auto"/>
          <w:sz w:val="24"/>
          <w:szCs w:val="24"/>
          <w:highlight w:val="none"/>
          <w:lang w:eastAsia="zh-CN"/>
        </w:rPr>
      </w:pPr>
      <w:bookmarkStart w:id="419" w:name="_Toc509218745"/>
      <w:bookmarkStart w:id="420" w:name="_Toc40569078"/>
      <w:bookmarkStart w:id="421" w:name="_Toc277082587"/>
      <w:bookmarkStart w:id="422" w:name="_Toc200513161"/>
      <w:bookmarkStart w:id="423" w:name="_Toc287607781"/>
      <w:bookmarkStart w:id="424" w:name="_Toc1171"/>
      <w:bookmarkStart w:id="425" w:name="_Toc11628"/>
      <w:bookmarkStart w:id="426" w:name="_Toc8411"/>
      <w:bookmarkStart w:id="427" w:name="_Toc224103352"/>
      <w:bookmarkStart w:id="428" w:name="_Toc430530470"/>
      <w:bookmarkStart w:id="429" w:name="_Toc287620720"/>
      <w:bookmarkStart w:id="430" w:name="_Toc40569173"/>
      <w:r>
        <w:rPr>
          <w:rFonts w:hint="eastAsia" w:ascii="宋体" w:hAnsi="宋体" w:eastAsia="宋体" w:cs="宋体"/>
          <w:b w:val="0"/>
          <w:snapToGrid w:val="0"/>
          <w:color w:val="auto"/>
          <w:sz w:val="24"/>
          <w:szCs w:val="24"/>
          <w:highlight w:val="none"/>
        </w:rPr>
        <w:t xml:space="preserve">6.1  </w:t>
      </w:r>
      <w:bookmarkEnd w:id="419"/>
      <w:bookmarkEnd w:id="420"/>
      <w:bookmarkEnd w:id="421"/>
      <w:bookmarkEnd w:id="422"/>
      <w:bookmarkEnd w:id="423"/>
      <w:bookmarkEnd w:id="424"/>
      <w:bookmarkEnd w:id="425"/>
      <w:bookmarkEnd w:id="426"/>
      <w:bookmarkEnd w:id="427"/>
      <w:bookmarkEnd w:id="428"/>
      <w:bookmarkEnd w:id="429"/>
      <w:bookmarkEnd w:id="430"/>
      <w:r>
        <w:rPr>
          <w:rFonts w:hint="eastAsia" w:ascii="宋体" w:hAnsi="宋体" w:cs="宋体"/>
          <w:b w:val="0"/>
          <w:snapToGrid w:val="0"/>
          <w:color w:val="auto"/>
          <w:sz w:val="24"/>
          <w:szCs w:val="24"/>
          <w:highlight w:val="none"/>
          <w:lang w:eastAsia="zh-CN"/>
        </w:rPr>
        <w:t>评标委员会</w:t>
      </w:r>
    </w:p>
    <w:p w14:paraId="162B1163">
      <w:pPr>
        <w:autoSpaceDE w:val="0"/>
        <w:autoSpaceDN w:val="0"/>
        <w:adjustRightInd w:val="0"/>
        <w:snapToGrid w:val="0"/>
        <w:spacing w:line="360" w:lineRule="auto"/>
        <w:ind w:firstLine="420" w:firstLineChars="20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评选由比选人依据法律法规和相关规范性文件组建的</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负责。</w:t>
      </w:r>
    </w:p>
    <w:p w14:paraId="4DAD19E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6.1.2  </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成员有下列情形之一的，应当回避：</w:t>
      </w:r>
    </w:p>
    <w:p w14:paraId="2A36E24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（1）竞选人或竞选人的主要负责人的近亲属；</w:t>
      </w:r>
    </w:p>
    <w:p w14:paraId="68BF5A8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14:paraId="59FBA5B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（3）与竞选人有利害关系，可能影响对竞选公正评审的；</w:t>
      </w:r>
    </w:p>
    <w:p w14:paraId="6214286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（4）曾因在招标、评选以及其他与招标投标有关活动中从事违法行为而受过行政处罚或刑事处罚的。</w:t>
      </w:r>
    </w:p>
    <w:p w14:paraId="660CD443">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31" w:name="_Toc200513162"/>
      <w:bookmarkStart w:id="432" w:name="_Toc40569174"/>
      <w:bookmarkStart w:id="433" w:name="_Toc40569079"/>
      <w:bookmarkStart w:id="434" w:name="_Toc430530471"/>
      <w:bookmarkStart w:id="435" w:name="_Toc1737"/>
      <w:bookmarkStart w:id="436" w:name="_Toc277082588"/>
      <w:bookmarkStart w:id="437" w:name="_Toc287620721"/>
      <w:bookmarkStart w:id="438" w:name="_Toc19907"/>
      <w:bookmarkStart w:id="439" w:name="_Toc224103353"/>
      <w:bookmarkStart w:id="440" w:name="_Toc287607782"/>
      <w:bookmarkStart w:id="441" w:name="_Toc5380"/>
      <w:bookmarkStart w:id="442" w:name="_Toc509218746"/>
      <w:r>
        <w:rPr>
          <w:rFonts w:hint="eastAsia" w:ascii="宋体" w:hAnsi="宋体" w:eastAsia="宋体" w:cs="宋体"/>
          <w:b w:val="0"/>
          <w:snapToGrid w:val="0"/>
          <w:color w:val="auto"/>
          <w:sz w:val="24"/>
          <w:szCs w:val="24"/>
          <w:highlight w:val="none"/>
        </w:rPr>
        <w:t>6.2  评选原则</w:t>
      </w:r>
      <w:bookmarkEnd w:id="431"/>
      <w:bookmarkEnd w:id="432"/>
      <w:bookmarkEnd w:id="433"/>
      <w:bookmarkEnd w:id="434"/>
      <w:bookmarkEnd w:id="435"/>
      <w:bookmarkEnd w:id="436"/>
      <w:bookmarkEnd w:id="437"/>
      <w:bookmarkEnd w:id="438"/>
      <w:bookmarkEnd w:id="439"/>
      <w:bookmarkEnd w:id="440"/>
      <w:bookmarkEnd w:id="441"/>
      <w:bookmarkEnd w:id="442"/>
    </w:p>
    <w:p w14:paraId="39AC89C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评选活动遵循公平、公正、科学和择优的原则。</w:t>
      </w:r>
    </w:p>
    <w:p w14:paraId="2F4EB1E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43" w:name="_Toc40569080"/>
      <w:bookmarkStart w:id="444" w:name="_Toc430530472"/>
      <w:bookmarkStart w:id="445" w:name="_Toc200513163"/>
      <w:bookmarkStart w:id="446" w:name="_Toc277082589"/>
      <w:bookmarkStart w:id="447" w:name="_Toc32653"/>
      <w:bookmarkStart w:id="448" w:name="_Toc287607783"/>
      <w:bookmarkStart w:id="449" w:name="_Toc29814"/>
      <w:bookmarkStart w:id="450" w:name="_Toc17901"/>
      <w:bookmarkStart w:id="451" w:name="_Toc509218747"/>
      <w:bookmarkStart w:id="452" w:name="_Toc224103354"/>
      <w:bookmarkStart w:id="453" w:name="_Toc40569175"/>
      <w:bookmarkStart w:id="454" w:name="_Toc287620722"/>
      <w:r>
        <w:rPr>
          <w:rFonts w:hint="eastAsia" w:ascii="宋体" w:hAnsi="宋体" w:eastAsia="宋体" w:cs="宋体"/>
          <w:b w:val="0"/>
          <w:snapToGrid w:val="0"/>
          <w:color w:val="auto"/>
          <w:sz w:val="24"/>
          <w:szCs w:val="24"/>
          <w:highlight w:val="none"/>
        </w:rPr>
        <w:t xml:space="preserve">6.3  </w:t>
      </w:r>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val="0"/>
          <w:snapToGrid w:val="0"/>
          <w:color w:val="auto"/>
          <w:sz w:val="24"/>
          <w:szCs w:val="24"/>
          <w:highlight w:val="none"/>
        </w:rPr>
        <w:t>评选</w:t>
      </w:r>
    </w:p>
    <w:p w14:paraId="350AC48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按照第三章“评选办法”规定的方法、评审因素、标准和程序对竞选文件进行评审。第三章“评选办法”没有规定的方法、评审因素和标准，不得作为评选依据。</w:t>
      </w:r>
    </w:p>
    <w:p w14:paraId="1D138CC5">
      <w:pPr>
        <w:pStyle w:val="3"/>
        <w:spacing w:before="0" w:after="0" w:line="360" w:lineRule="auto"/>
        <w:rPr>
          <w:rFonts w:ascii="宋体" w:hAnsi="宋体" w:cs="宋体"/>
          <w:b w:val="0"/>
          <w:snapToGrid w:val="0"/>
          <w:color w:val="auto"/>
          <w:sz w:val="24"/>
          <w:szCs w:val="24"/>
          <w:highlight w:val="none"/>
        </w:rPr>
      </w:pPr>
      <w:bookmarkStart w:id="455" w:name="_Toc224103355"/>
      <w:bookmarkStart w:id="456" w:name="_Toc287607784"/>
      <w:bookmarkStart w:id="457" w:name="_Toc200513164"/>
      <w:bookmarkStart w:id="458" w:name="_Toc677"/>
      <w:bookmarkStart w:id="459" w:name="_Toc430530473"/>
      <w:bookmarkStart w:id="460" w:name="_Toc509218748"/>
      <w:bookmarkStart w:id="461" w:name="_Toc27760"/>
      <w:bookmarkStart w:id="462" w:name="_Toc23357"/>
      <w:bookmarkStart w:id="463" w:name="_Toc287620723"/>
      <w:bookmarkStart w:id="464" w:name="_Toc277082590"/>
      <w:r>
        <w:rPr>
          <w:rFonts w:hint="eastAsia" w:ascii="宋体" w:hAnsi="宋体" w:cs="宋体"/>
          <w:b w:val="0"/>
          <w:snapToGrid w:val="0"/>
          <w:color w:val="auto"/>
          <w:sz w:val="24"/>
          <w:szCs w:val="24"/>
          <w:highlight w:val="none"/>
        </w:rPr>
        <w:t>7.  合同授予</w:t>
      </w:r>
      <w:bookmarkEnd w:id="455"/>
      <w:bookmarkEnd w:id="456"/>
      <w:bookmarkEnd w:id="457"/>
      <w:bookmarkEnd w:id="458"/>
      <w:bookmarkEnd w:id="459"/>
      <w:bookmarkEnd w:id="460"/>
      <w:bookmarkEnd w:id="461"/>
      <w:bookmarkEnd w:id="462"/>
      <w:bookmarkEnd w:id="463"/>
      <w:bookmarkEnd w:id="464"/>
    </w:p>
    <w:p w14:paraId="11D9B694">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65" w:name="_Toc14144"/>
      <w:bookmarkStart w:id="466" w:name="_Toc430530474"/>
      <w:bookmarkStart w:id="467" w:name="_Toc287607785"/>
      <w:bookmarkStart w:id="468" w:name="_Toc40569177"/>
      <w:bookmarkStart w:id="469" w:name="_Toc287620724"/>
      <w:bookmarkStart w:id="470" w:name="_Toc200513165"/>
      <w:bookmarkStart w:id="471" w:name="_Toc12616"/>
      <w:bookmarkStart w:id="472" w:name="_Toc509218749"/>
      <w:bookmarkStart w:id="473" w:name="_Toc224103356"/>
      <w:bookmarkStart w:id="474" w:name="_Toc12014"/>
      <w:bookmarkStart w:id="475" w:name="_Toc277082591"/>
      <w:bookmarkStart w:id="476" w:name="_Toc40569082"/>
      <w:r>
        <w:rPr>
          <w:rFonts w:hint="eastAsia" w:ascii="宋体" w:hAnsi="宋体" w:eastAsia="宋体" w:cs="宋体"/>
          <w:b w:val="0"/>
          <w:snapToGrid w:val="0"/>
          <w:color w:val="auto"/>
          <w:sz w:val="24"/>
          <w:szCs w:val="24"/>
          <w:highlight w:val="none"/>
        </w:rPr>
        <w:t>7.1  定标方式</w:t>
      </w:r>
      <w:bookmarkEnd w:id="465"/>
      <w:bookmarkEnd w:id="466"/>
      <w:bookmarkEnd w:id="467"/>
      <w:bookmarkEnd w:id="468"/>
      <w:bookmarkEnd w:id="469"/>
      <w:bookmarkEnd w:id="470"/>
      <w:bookmarkEnd w:id="471"/>
      <w:bookmarkEnd w:id="472"/>
      <w:bookmarkEnd w:id="473"/>
      <w:bookmarkEnd w:id="474"/>
      <w:bookmarkEnd w:id="475"/>
      <w:bookmarkEnd w:id="476"/>
    </w:p>
    <w:p w14:paraId="604A02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提出的中选候选人名单排序依次确定其他中选候选人为中选人，也可以重新比选。</w:t>
      </w:r>
    </w:p>
    <w:p w14:paraId="78537B4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推荐中选候选人的人数见竞选人须知前附表。</w:t>
      </w:r>
    </w:p>
    <w:p w14:paraId="35764E65">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77" w:name="_Toc509218750"/>
      <w:bookmarkStart w:id="478" w:name="_Toc757"/>
      <w:bookmarkStart w:id="479" w:name="_Toc23600"/>
      <w:bookmarkStart w:id="480" w:name="_Toc3480"/>
      <w:bookmarkStart w:id="481" w:name="_Toc430530475"/>
      <w:bookmarkStart w:id="482" w:name="_Toc40569178"/>
      <w:bookmarkStart w:id="483" w:name="_Toc40569083"/>
      <w:r>
        <w:rPr>
          <w:rFonts w:hint="eastAsia" w:ascii="宋体" w:hAnsi="宋体" w:eastAsia="宋体" w:cs="宋体"/>
          <w:b w:val="0"/>
          <w:snapToGrid w:val="0"/>
          <w:color w:val="auto"/>
          <w:sz w:val="24"/>
          <w:szCs w:val="24"/>
          <w:highlight w:val="none"/>
        </w:rPr>
        <w:t>7.2  中选公示及中选通知</w:t>
      </w:r>
      <w:bookmarkEnd w:id="477"/>
      <w:bookmarkEnd w:id="478"/>
      <w:bookmarkEnd w:id="479"/>
      <w:bookmarkEnd w:id="480"/>
      <w:bookmarkEnd w:id="481"/>
      <w:bookmarkEnd w:id="482"/>
      <w:bookmarkEnd w:id="483"/>
    </w:p>
    <w:p w14:paraId="4DBCC84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比选人在收到评选报告之日起3日内公示中标候选人，公示期不得少于3日。</w:t>
      </w:r>
    </w:p>
    <w:p w14:paraId="31F93469">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84" w:name="_Toc277082593"/>
      <w:bookmarkStart w:id="485" w:name="_Toc20679"/>
      <w:bookmarkStart w:id="486" w:name="_Toc224103358"/>
      <w:bookmarkStart w:id="487" w:name="_Toc430530476"/>
      <w:bookmarkStart w:id="488" w:name="_Toc1444"/>
      <w:bookmarkStart w:id="489" w:name="_Toc31150"/>
      <w:bookmarkStart w:id="490" w:name="_Toc509218751"/>
      <w:bookmarkStart w:id="491" w:name="_Toc40569179"/>
      <w:bookmarkStart w:id="492" w:name="_Toc287607787"/>
      <w:bookmarkStart w:id="493" w:name="_Toc287620726"/>
      <w:bookmarkStart w:id="494" w:name="_Toc40569084"/>
      <w:bookmarkStart w:id="495" w:name="_Toc200513167"/>
      <w:r>
        <w:rPr>
          <w:rFonts w:hint="eastAsia" w:ascii="宋体" w:hAnsi="宋体" w:eastAsia="宋体" w:cs="宋体"/>
          <w:b w:val="0"/>
          <w:snapToGrid w:val="0"/>
          <w:color w:val="auto"/>
          <w:sz w:val="24"/>
          <w:szCs w:val="24"/>
          <w:highlight w:val="none"/>
        </w:rPr>
        <w:t>7.3  履约担保</w:t>
      </w:r>
      <w:bookmarkEnd w:id="484"/>
      <w:bookmarkEnd w:id="485"/>
      <w:bookmarkEnd w:id="486"/>
      <w:bookmarkEnd w:id="487"/>
      <w:bookmarkEnd w:id="488"/>
      <w:bookmarkEnd w:id="489"/>
      <w:bookmarkEnd w:id="490"/>
      <w:bookmarkEnd w:id="491"/>
      <w:bookmarkEnd w:id="492"/>
      <w:bookmarkEnd w:id="493"/>
      <w:bookmarkEnd w:id="494"/>
      <w:bookmarkEnd w:id="495"/>
    </w:p>
    <w:p w14:paraId="04F3F7C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3312E6B2">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7.3.2  中选人不能按本章第 7.3.1 项要求提交履约担保的，视为放弃中选，其比选保证金不予退还，给比选人造成的损失超过比选保证金数额的，中选人还应当对超过部分予以赔偿。</w:t>
      </w:r>
    </w:p>
    <w:p w14:paraId="4F99945E">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496" w:name="_Toc40569180"/>
      <w:bookmarkStart w:id="497" w:name="_Toc40569085"/>
      <w:bookmarkStart w:id="498" w:name="_Toc287607788"/>
      <w:bookmarkStart w:id="499" w:name="_Toc23731"/>
      <w:bookmarkStart w:id="500" w:name="_Toc224103359"/>
      <w:bookmarkStart w:id="501" w:name="_Toc287620727"/>
      <w:bookmarkStart w:id="502" w:name="_Toc3209"/>
      <w:bookmarkStart w:id="503" w:name="_Toc430530477"/>
      <w:bookmarkStart w:id="504" w:name="_Toc200513168"/>
      <w:bookmarkStart w:id="505" w:name="_Toc509218752"/>
      <w:bookmarkStart w:id="506" w:name="_Toc277082594"/>
      <w:bookmarkStart w:id="507" w:name="_Toc1871"/>
      <w:r>
        <w:rPr>
          <w:rFonts w:hint="eastAsia" w:ascii="宋体" w:hAnsi="宋体" w:eastAsia="宋体" w:cs="宋体"/>
          <w:b w:val="0"/>
          <w:snapToGrid w:val="0"/>
          <w:color w:val="auto"/>
          <w:sz w:val="24"/>
          <w:szCs w:val="24"/>
          <w:highlight w:val="none"/>
        </w:rPr>
        <w:t>7.4  签订合同</w:t>
      </w:r>
      <w:bookmarkEnd w:id="496"/>
      <w:bookmarkEnd w:id="497"/>
      <w:bookmarkEnd w:id="498"/>
      <w:bookmarkEnd w:id="499"/>
      <w:bookmarkEnd w:id="500"/>
      <w:bookmarkEnd w:id="501"/>
      <w:bookmarkEnd w:id="502"/>
      <w:bookmarkEnd w:id="503"/>
      <w:bookmarkEnd w:id="504"/>
      <w:bookmarkEnd w:id="505"/>
      <w:bookmarkEnd w:id="506"/>
      <w:bookmarkEnd w:id="507"/>
    </w:p>
    <w:p w14:paraId="0958D68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 比选人和中选人应当自中选通知书发出之日起 30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19B4FE5">
      <w:pPr>
        <w:pStyle w:val="3"/>
        <w:spacing w:before="0" w:after="0" w:line="360" w:lineRule="auto"/>
        <w:rPr>
          <w:rFonts w:ascii="宋体" w:hAnsi="宋体" w:cs="宋体"/>
          <w:b w:val="0"/>
          <w:snapToGrid w:val="0"/>
          <w:color w:val="auto"/>
          <w:sz w:val="24"/>
          <w:szCs w:val="24"/>
          <w:highlight w:val="none"/>
        </w:rPr>
      </w:pPr>
      <w:bookmarkStart w:id="508" w:name="_Toc277082595"/>
      <w:bookmarkStart w:id="509" w:name="_Toc4906"/>
      <w:bookmarkStart w:id="510" w:name="_Toc509218753"/>
      <w:bookmarkStart w:id="511" w:name="_Toc287620728"/>
      <w:bookmarkStart w:id="512" w:name="_Toc32452"/>
      <w:bookmarkStart w:id="513" w:name="_Toc224103360"/>
      <w:bookmarkStart w:id="514" w:name="_Toc430530478"/>
      <w:bookmarkStart w:id="515" w:name="_Toc287607789"/>
      <w:bookmarkStart w:id="516" w:name="_Toc200513169"/>
      <w:bookmarkStart w:id="517" w:name="_Toc387"/>
      <w:r>
        <w:rPr>
          <w:rFonts w:hint="eastAsia" w:ascii="宋体" w:hAnsi="宋体" w:cs="宋体"/>
          <w:b w:val="0"/>
          <w:snapToGrid w:val="0"/>
          <w:color w:val="auto"/>
          <w:sz w:val="24"/>
          <w:szCs w:val="24"/>
          <w:highlight w:val="none"/>
        </w:rPr>
        <w:t>8.  重新</w:t>
      </w:r>
      <w:bookmarkEnd w:id="508"/>
      <w:bookmarkEnd w:id="509"/>
      <w:bookmarkEnd w:id="510"/>
      <w:bookmarkEnd w:id="511"/>
      <w:bookmarkEnd w:id="512"/>
      <w:bookmarkEnd w:id="513"/>
      <w:bookmarkEnd w:id="514"/>
      <w:bookmarkEnd w:id="515"/>
      <w:bookmarkEnd w:id="516"/>
      <w:bookmarkEnd w:id="517"/>
      <w:r>
        <w:rPr>
          <w:rFonts w:hint="eastAsia" w:ascii="宋体" w:hAnsi="宋体" w:cs="宋体"/>
          <w:b w:val="0"/>
          <w:snapToGrid w:val="0"/>
          <w:color w:val="auto"/>
          <w:sz w:val="24"/>
          <w:szCs w:val="24"/>
          <w:highlight w:val="none"/>
        </w:rPr>
        <w:t>比选</w:t>
      </w:r>
    </w:p>
    <w:p w14:paraId="6E42FF3F">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18" w:name="_Toc5411"/>
      <w:bookmarkStart w:id="519" w:name="_Toc200513170"/>
      <w:bookmarkStart w:id="520" w:name="_Toc287607790"/>
      <w:bookmarkStart w:id="521" w:name="_Toc40569087"/>
      <w:bookmarkStart w:id="522" w:name="_Toc16710"/>
      <w:bookmarkStart w:id="523" w:name="_Toc40569182"/>
      <w:bookmarkStart w:id="524" w:name="_Toc509218754"/>
      <w:bookmarkStart w:id="525" w:name="_Toc23599"/>
      <w:bookmarkStart w:id="526" w:name="_Toc287620729"/>
      <w:bookmarkStart w:id="527" w:name="_Toc430530479"/>
      <w:bookmarkStart w:id="528" w:name="_Toc277082596"/>
      <w:bookmarkStart w:id="529" w:name="_Toc224103361"/>
      <w:r>
        <w:rPr>
          <w:rFonts w:hint="eastAsia" w:ascii="宋体" w:hAnsi="宋体" w:eastAsia="宋体" w:cs="宋体"/>
          <w:b w:val="0"/>
          <w:snapToGrid w:val="0"/>
          <w:color w:val="auto"/>
          <w:sz w:val="24"/>
          <w:szCs w:val="24"/>
          <w:highlight w:val="none"/>
        </w:rPr>
        <w:t>8.1  重新</w:t>
      </w:r>
      <w:bookmarkEnd w:id="518"/>
      <w:bookmarkEnd w:id="519"/>
      <w:bookmarkEnd w:id="520"/>
      <w:bookmarkEnd w:id="521"/>
      <w:bookmarkEnd w:id="522"/>
      <w:bookmarkEnd w:id="523"/>
      <w:bookmarkEnd w:id="524"/>
      <w:bookmarkEnd w:id="525"/>
      <w:bookmarkEnd w:id="526"/>
      <w:bookmarkEnd w:id="527"/>
      <w:bookmarkEnd w:id="528"/>
      <w:bookmarkEnd w:id="529"/>
      <w:r>
        <w:rPr>
          <w:rFonts w:hint="eastAsia" w:ascii="宋体" w:hAnsi="宋体" w:eastAsia="宋体" w:cs="宋体"/>
          <w:b w:val="0"/>
          <w:snapToGrid w:val="0"/>
          <w:color w:val="auto"/>
          <w:sz w:val="24"/>
          <w:szCs w:val="24"/>
          <w:highlight w:val="none"/>
        </w:rPr>
        <w:t>比选</w:t>
      </w:r>
    </w:p>
    <w:p w14:paraId="770F645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有下列情形之一的，比选人将重新开展比选活动：</w:t>
      </w:r>
    </w:p>
    <w:p w14:paraId="00DA1A4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（1）竞选文件递交截止时间为止，竞选人少于3个的；</w:t>
      </w:r>
    </w:p>
    <w:p w14:paraId="7CEFD9D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评审后否决所有竞选人的；</w:t>
      </w:r>
    </w:p>
    <w:p w14:paraId="4DBB3624">
      <w:pPr>
        <w:widowControl/>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评审后部分竞选人被否决，导致有效竞选人不足3个的，原则上应否决全部竞选。但是有效竞选人的经济、技术等指标仍然具有市场竞争力，能够满足比选文件要求的，</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可以继续评选并确定中选候选人。</w:t>
      </w:r>
    </w:p>
    <w:p w14:paraId="5B40B796">
      <w:pPr>
        <w:widowControl/>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1DB94D89">
      <w:pPr>
        <w:pStyle w:val="3"/>
        <w:spacing w:before="0" w:after="0" w:line="360" w:lineRule="auto"/>
        <w:rPr>
          <w:rFonts w:ascii="宋体" w:hAnsi="宋体" w:cs="宋体"/>
          <w:b w:val="0"/>
          <w:snapToGrid w:val="0"/>
          <w:color w:val="auto"/>
          <w:sz w:val="24"/>
          <w:szCs w:val="24"/>
          <w:highlight w:val="none"/>
        </w:rPr>
      </w:pPr>
      <w:bookmarkStart w:id="530" w:name="_Toc7059"/>
      <w:bookmarkStart w:id="531" w:name="_Toc277082598"/>
      <w:bookmarkStart w:id="532" w:name="_Toc200513172"/>
      <w:bookmarkStart w:id="533" w:name="_Toc287620731"/>
      <w:bookmarkStart w:id="534" w:name="_Toc509218756"/>
      <w:bookmarkStart w:id="535" w:name="_Toc430530481"/>
      <w:bookmarkStart w:id="536" w:name="_Toc30342"/>
      <w:bookmarkStart w:id="537" w:name="_Toc32459"/>
      <w:bookmarkStart w:id="538" w:name="_Toc287607792"/>
      <w:bookmarkStart w:id="539" w:name="_Toc224103363"/>
      <w:r>
        <w:rPr>
          <w:rFonts w:hint="eastAsia" w:ascii="宋体" w:hAnsi="宋体" w:cs="宋体"/>
          <w:b w:val="0"/>
          <w:snapToGrid w:val="0"/>
          <w:color w:val="auto"/>
          <w:sz w:val="24"/>
          <w:szCs w:val="24"/>
          <w:highlight w:val="none"/>
        </w:rPr>
        <w:t>9.  纪律和监督</w:t>
      </w:r>
      <w:bookmarkEnd w:id="530"/>
      <w:bookmarkEnd w:id="531"/>
      <w:bookmarkEnd w:id="532"/>
      <w:bookmarkEnd w:id="533"/>
      <w:bookmarkEnd w:id="534"/>
      <w:bookmarkEnd w:id="535"/>
      <w:bookmarkEnd w:id="536"/>
      <w:bookmarkEnd w:id="537"/>
      <w:bookmarkEnd w:id="538"/>
      <w:bookmarkEnd w:id="539"/>
    </w:p>
    <w:p w14:paraId="226C4AE8">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40" w:name="_Toc509218757"/>
      <w:bookmarkStart w:id="541" w:name="_Toc40569090"/>
      <w:bookmarkStart w:id="542" w:name="_Toc430530482"/>
      <w:bookmarkStart w:id="543" w:name="_Toc20555"/>
      <w:bookmarkStart w:id="544" w:name="_Toc277082599"/>
      <w:bookmarkStart w:id="545" w:name="_Toc200513173"/>
      <w:bookmarkStart w:id="546" w:name="_Toc287620732"/>
      <w:bookmarkStart w:id="547" w:name="_Toc224103364"/>
      <w:bookmarkStart w:id="548" w:name="_Toc15838"/>
      <w:bookmarkStart w:id="549" w:name="_Toc287607793"/>
      <w:bookmarkStart w:id="550" w:name="_Toc40569185"/>
      <w:bookmarkStart w:id="551" w:name="_Toc14823"/>
      <w:r>
        <w:rPr>
          <w:rFonts w:hint="eastAsia" w:ascii="宋体" w:hAnsi="宋体" w:eastAsia="宋体" w:cs="宋体"/>
          <w:b w:val="0"/>
          <w:snapToGrid w:val="0"/>
          <w:color w:val="auto"/>
          <w:sz w:val="24"/>
          <w:szCs w:val="24"/>
          <w:highlight w:val="none"/>
        </w:rPr>
        <w:t>9.1  对比选人的纪律要求</w:t>
      </w:r>
      <w:bookmarkEnd w:id="540"/>
      <w:bookmarkEnd w:id="541"/>
      <w:bookmarkEnd w:id="542"/>
      <w:bookmarkEnd w:id="543"/>
      <w:bookmarkEnd w:id="544"/>
      <w:bookmarkEnd w:id="545"/>
      <w:bookmarkEnd w:id="546"/>
      <w:bookmarkEnd w:id="547"/>
      <w:bookmarkEnd w:id="548"/>
      <w:bookmarkEnd w:id="549"/>
      <w:bookmarkEnd w:id="550"/>
      <w:bookmarkEnd w:id="551"/>
    </w:p>
    <w:p w14:paraId="7DE4D798">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snapToGrid w:val="0"/>
          <w:color w:val="auto"/>
          <w:kern w:val="0"/>
          <w:szCs w:val="21"/>
          <w:highlight w:val="none"/>
        </w:rPr>
        <w:t>比选人不得泄漏比选活动中应当保密的情况和资料，不得与竞选人串通损害国家利益、社会公共利益或者他人合法权益，</w:t>
      </w:r>
      <w:r>
        <w:rPr>
          <w:rFonts w:hint="eastAsia" w:ascii="宋体" w:hAnsi="宋体" w:cs="宋体"/>
          <w:color w:val="auto"/>
          <w:highlight w:val="none"/>
        </w:rPr>
        <w:t>禁止比选人与竞选人串通投标。</w:t>
      </w:r>
    </w:p>
    <w:p w14:paraId="142B510E">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有下列情形之一的，属于比选人与竞选人串通投标：</w:t>
      </w:r>
    </w:p>
    <w:p w14:paraId="49C7CD23">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（1）比选人在评选开始前开启竞选文件并将有关信息泄露给其他竞选人；</w:t>
      </w:r>
    </w:p>
    <w:p w14:paraId="268860D5">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（2）比选人直接或者间接向竞选人泄露标底、</w:t>
      </w:r>
      <w:r>
        <w:rPr>
          <w:rFonts w:hint="eastAsia" w:ascii="宋体" w:hAnsi="宋体" w:cs="宋体"/>
          <w:color w:val="auto"/>
          <w:highlight w:val="none"/>
          <w:lang w:eastAsia="zh-CN"/>
        </w:rPr>
        <w:t>评标委员会</w:t>
      </w:r>
      <w:r>
        <w:rPr>
          <w:rFonts w:hint="eastAsia" w:ascii="宋体" w:hAnsi="宋体" w:cs="宋体"/>
          <w:color w:val="auto"/>
          <w:highlight w:val="none"/>
        </w:rPr>
        <w:t>成员等信息；</w:t>
      </w:r>
    </w:p>
    <w:p w14:paraId="0E35DDE0">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（3）比选人明示或者暗示竞选人压低或者抬高竞选总报价；</w:t>
      </w:r>
    </w:p>
    <w:p w14:paraId="1666A363">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（4）比选人授意竞选人撤换、修改竞选文件；</w:t>
      </w:r>
    </w:p>
    <w:p w14:paraId="31F90C8D">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（5）比选人明示或者暗示竞选人为特定竞选人中选提供方便；</w:t>
      </w:r>
    </w:p>
    <w:p w14:paraId="21A5B67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highlight w:val="none"/>
        </w:rPr>
        <w:t>（6）比选人与竞选人为谋求特定竞选人中选而采取的其他串通行为。</w:t>
      </w:r>
    </w:p>
    <w:p w14:paraId="53D8A145">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52" w:name="_Toc1612"/>
      <w:bookmarkStart w:id="553" w:name="_Toc509218758"/>
      <w:bookmarkStart w:id="554" w:name="_Toc200513174"/>
      <w:bookmarkStart w:id="555" w:name="_Toc430530483"/>
      <w:bookmarkStart w:id="556" w:name="_Toc13914"/>
      <w:bookmarkStart w:id="557" w:name="_Toc224103365"/>
      <w:bookmarkStart w:id="558" w:name="_Toc287607794"/>
      <w:bookmarkStart w:id="559" w:name="_Toc287620733"/>
      <w:bookmarkStart w:id="560" w:name="_Toc26842"/>
      <w:bookmarkStart w:id="561" w:name="_Toc40569091"/>
      <w:bookmarkStart w:id="562" w:name="_Toc277082600"/>
      <w:bookmarkStart w:id="563" w:name="_Toc40569186"/>
      <w:r>
        <w:rPr>
          <w:rFonts w:hint="eastAsia" w:ascii="宋体" w:hAnsi="宋体" w:eastAsia="宋体" w:cs="宋体"/>
          <w:b w:val="0"/>
          <w:snapToGrid w:val="0"/>
          <w:color w:val="auto"/>
          <w:sz w:val="24"/>
          <w:szCs w:val="24"/>
          <w:highlight w:val="none"/>
        </w:rPr>
        <w:t>9.2  对竞选人的纪律要求</w:t>
      </w:r>
      <w:bookmarkEnd w:id="552"/>
      <w:bookmarkEnd w:id="553"/>
      <w:bookmarkEnd w:id="554"/>
      <w:bookmarkEnd w:id="555"/>
      <w:bookmarkEnd w:id="556"/>
      <w:bookmarkEnd w:id="557"/>
      <w:bookmarkEnd w:id="558"/>
      <w:bookmarkEnd w:id="559"/>
      <w:bookmarkEnd w:id="560"/>
      <w:bookmarkEnd w:id="561"/>
      <w:bookmarkEnd w:id="562"/>
      <w:bookmarkEnd w:id="563"/>
    </w:p>
    <w:p w14:paraId="701F861D">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snapToGrid w:val="0"/>
          <w:color w:val="auto"/>
          <w:kern w:val="0"/>
          <w:szCs w:val="21"/>
          <w:highlight w:val="none"/>
        </w:rPr>
        <w:t>竞选人不得相互串通投标或者与比选人串通投标，不得向比选人或者</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成员行贿谋取中选，不得以他人名义投标或者以其他方式弄虚作假骗取中选；竞选人不得以任何方式干扰、影响评选工作。</w:t>
      </w:r>
      <w:r>
        <w:rPr>
          <w:rFonts w:hint="eastAsia" w:ascii="宋体" w:hAnsi="宋体" w:cs="宋体"/>
          <w:color w:val="auto"/>
          <w:highlight w:val="none"/>
        </w:rPr>
        <w:t>有下列情形之一的，属于竞选人相互串通投标：</w:t>
      </w:r>
    </w:p>
    <w:p w14:paraId="6DB4C2F6">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（1）竞选人之间协商竞选总报价等竞选文件的实质性内容；</w:t>
      </w:r>
    </w:p>
    <w:p w14:paraId="46601F7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（2）竞选人之间约定中选人；</w:t>
      </w:r>
    </w:p>
    <w:p w14:paraId="6A5BA1E8">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（3）竞选人之间约定部分竞选人放弃投标或者中选；</w:t>
      </w:r>
    </w:p>
    <w:p w14:paraId="4EF7F7D1">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（4）属于同一集团、协会、商会等组织成员的竞选人按照该组织要求协同投标；</w:t>
      </w:r>
    </w:p>
    <w:p w14:paraId="65A81E8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（5）竞选人之间为谋取中选或者排斥特定竞选人而采取的其他联合行动。</w:t>
      </w:r>
    </w:p>
    <w:p w14:paraId="2409ED71">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有下列情形之一的，视为竞选人相互串通投标：</w:t>
      </w:r>
    </w:p>
    <w:p w14:paraId="3A169CB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（1）不同竞选人的竞选文件由同一单位或者个人编制；</w:t>
      </w:r>
    </w:p>
    <w:p w14:paraId="718BDD8C">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（2）不同竞选人委托同一单位或者个人办理投标事宜；</w:t>
      </w:r>
    </w:p>
    <w:p w14:paraId="5353E8D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（3）不同竞选人的竞选文件载明的项目管理成员为同一人；</w:t>
      </w:r>
    </w:p>
    <w:p w14:paraId="02880687">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（4）不同竞选人的竞选文件异常一致或者竞选总报价呈规律性差异；</w:t>
      </w:r>
    </w:p>
    <w:p w14:paraId="068D39CF">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（5）不同竞选人的竞选文件相互混装；</w:t>
      </w:r>
    </w:p>
    <w:p w14:paraId="5C441755">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（6）不同竞选人的比选保证金从同一单位或者个人的账户转出。</w:t>
      </w:r>
    </w:p>
    <w:p w14:paraId="5814DD3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使用通过受让或者租借等方式获取的资格、资质证书投标的，属于以他人名义投标。</w:t>
      </w:r>
    </w:p>
    <w:p w14:paraId="3C698185">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竞选人有下列情形之一的，属于以其他方式弄虚作假的行为：</w:t>
      </w:r>
    </w:p>
    <w:p w14:paraId="0FDC39A5">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（一）使用伪造、变造的许可证件；</w:t>
      </w:r>
    </w:p>
    <w:p w14:paraId="3137419F">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（二）提供虚假的财务状况或者业绩；</w:t>
      </w:r>
    </w:p>
    <w:p w14:paraId="0775CAF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（三）提供虚假的项目负责人或者主要技术人员简历、劳动关系证明；</w:t>
      </w:r>
    </w:p>
    <w:p w14:paraId="6627F655">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（四）提供虚假的信用状况；</w:t>
      </w:r>
    </w:p>
    <w:p w14:paraId="10B4E36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color w:val="auto"/>
          <w:highlight w:val="none"/>
        </w:rPr>
        <w:t>（五）其他弄虚作假的行为。</w:t>
      </w:r>
    </w:p>
    <w:p w14:paraId="5577888A">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64" w:name="_Toc277082601"/>
      <w:bookmarkStart w:id="565" w:name="_Toc224103366"/>
      <w:bookmarkStart w:id="566" w:name="_Toc30347"/>
      <w:bookmarkStart w:id="567" w:name="_Toc3385"/>
      <w:bookmarkStart w:id="568" w:name="_Toc287607795"/>
      <w:bookmarkStart w:id="569" w:name="_Toc430530484"/>
      <w:bookmarkStart w:id="570" w:name="_Toc509218759"/>
      <w:bookmarkStart w:id="571" w:name="_Toc287620734"/>
      <w:bookmarkStart w:id="572" w:name="_Toc15322"/>
      <w:bookmarkStart w:id="573" w:name="_Toc40569092"/>
      <w:bookmarkStart w:id="574" w:name="_Toc200513175"/>
      <w:bookmarkStart w:id="575" w:name="_Toc40569187"/>
      <w:r>
        <w:rPr>
          <w:rFonts w:hint="eastAsia" w:ascii="宋体" w:hAnsi="宋体" w:eastAsia="宋体" w:cs="宋体"/>
          <w:b w:val="0"/>
          <w:snapToGrid w:val="0"/>
          <w:color w:val="auto"/>
          <w:sz w:val="24"/>
          <w:szCs w:val="24"/>
          <w:highlight w:val="none"/>
        </w:rPr>
        <w:t>9.3  对</w:t>
      </w:r>
      <w:r>
        <w:rPr>
          <w:rFonts w:hint="eastAsia" w:ascii="宋体" w:hAnsi="宋体" w:cs="宋体"/>
          <w:b w:val="0"/>
          <w:snapToGrid w:val="0"/>
          <w:color w:val="auto"/>
          <w:sz w:val="24"/>
          <w:szCs w:val="24"/>
          <w:highlight w:val="none"/>
          <w:lang w:eastAsia="zh-CN"/>
        </w:rPr>
        <w:t>评标委员会</w:t>
      </w:r>
      <w:r>
        <w:rPr>
          <w:rFonts w:hint="eastAsia" w:ascii="宋体" w:hAnsi="宋体" w:eastAsia="宋体" w:cs="宋体"/>
          <w:b w:val="0"/>
          <w:snapToGrid w:val="0"/>
          <w:color w:val="auto"/>
          <w:sz w:val="24"/>
          <w:szCs w:val="24"/>
          <w:highlight w:val="none"/>
        </w:rPr>
        <w:t>成员的纪律要求</w:t>
      </w:r>
      <w:bookmarkEnd w:id="564"/>
      <w:bookmarkEnd w:id="565"/>
      <w:bookmarkEnd w:id="566"/>
      <w:bookmarkEnd w:id="567"/>
      <w:bookmarkEnd w:id="568"/>
      <w:bookmarkEnd w:id="569"/>
      <w:bookmarkEnd w:id="570"/>
      <w:bookmarkEnd w:id="571"/>
      <w:bookmarkEnd w:id="572"/>
      <w:bookmarkEnd w:id="573"/>
      <w:bookmarkEnd w:id="574"/>
      <w:bookmarkEnd w:id="575"/>
    </w:p>
    <w:p w14:paraId="073888C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成员不得收受他人的财物或者其他好处，不得向他人透漏对竞选文件的评审和比较、中选候选人的推荐情况以及评选有关的其他情况。在评选活动中，</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成员不得擅离职守，影响评选程序正常进行，不得使用第三章“评选办法”没有规定的评审因素和标准进行评选。</w:t>
      </w:r>
    </w:p>
    <w:p w14:paraId="43D8DDD5">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76" w:name="_Toc19795"/>
      <w:bookmarkStart w:id="577" w:name="_Toc40569093"/>
      <w:bookmarkStart w:id="578" w:name="_Toc509218760"/>
      <w:bookmarkStart w:id="579" w:name="_Toc287620735"/>
      <w:bookmarkStart w:id="580" w:name="_Toc14712"/>
      <w:bookmarkStart w:id="581" w:name="_Toc24901"/>
      <w:bookmarkStart w:id="582" w:name="_Toc40569188"/>
      <w:bookmarkStart w:id="583" w:name="_Toc224103367"/>
      <w:bookmarkStart w:id="584" w:name="_Toc287607796"/>
      <w:bookmarkStart w:id="585" w:name="_Toc277082602"/>
      <w:bookmarkStart w:id="586" w:name="_Toc200513176"/>
      <w:bookmarkStart w:id="587" w:name="_Toc430530485"/>
      <w:r>
        <w:rPr>
          <w:rFonts w:hint="eastAsia" w:ascii="宋体" w:hAnsi="宋体" w:eastAsia="宋体" w:cs="宋体"/>
          <w:b w:val="0"/>
          <w:snapToGrid w:val="0"/>
          <w:color w:val="auto"/>
          <w:sz w:val="24"/>
          <w:szCs w:val="24"/>
          <w:highlight w:val="none"/>
        </w:rPr>
        <w:t>9.4  对与评选活动有关的工作人员的纪律要求</w:t>
      </w:r>
      <w:bookmarkEnd w:id="576"/>
      <w:bookmarkEnd w:id="577"/>
      <w:bookmarkEnd w:id="578"/>
      <w:bookmarkEnd w:id="579"/>
      <w:bookmarkEnd w:id="580"/>
      <w:bookmarkEnd w:id="581"/>
      <w:bookmarkEnd w:id="582"/>
      <w:bookmarkEnd w:id="583"/>
      <w:bookmarkEnd w:id="584"/>
      <w:bookmarkEnd w:id="585"/>
      <w:bookmarkEnd w:id="586"/>
      <w:bookmarkEnd w:id="587"/>
    </w:p>
    <w:p w14:paraId="6478211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选活动有关的工作人员不得收受他人的财物或者其他好处，不得向他人透漏对竞选文件的评审和比较、中选候选人的推荐情况以及与评选有关的其他情况。在评选活动中，与评选活动有关的工作人员不得擅离职守，影响评选程序正常进行。</w:t>
      </w:r>
    </w:p>
    <w:p w14:paraId="3282186C">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588" w:name="_Toc430530486"/>
      <w:bookmarkStart w:id="589" w:name="_Toc7152"/>
      <w:bookmarkStart w:id="590" w:name="_Toc224103368"/>
      <w:bookmarkStart w:id="591" w:name="_Toc287620736"/>
      <w:bookmarkStart w:id="592" w:name="_Toc40569189"/>
      <w:bookmarkStart w:id="593" w:name="_Toc200513177"/>
      <w:bookmarkStart w:id="594" w:name="_Toc277082603"/>
      <w:bookmarkStart w:id="595" w:name="_Toc9443"/>
      <w:bookmarkStart w:id="596" w:name="_Toc24405"/>
      <w:bookmarkStart w:id="597" w:name="_Toc509218761"/>
      <w:bookmarkStart w:id="598" w:name="_Toc287607797"/>
      <w:bookmarkStart w:id="599" w:name="_Toc40569094"/>
      <w:r>
        <w:rPr>
          <w:rFonts w:hint="eastAsia" w:ascii="宋体" w:hAnsi="宋体" w:eastAsia="宋体" w:cs="宋体"/>
          <w:b w:val="0"/>
          <w:snapToGrid w:val="0"/>
          <w:color w:val="auto"/>
          <w:sz w:val="24"/>
          <w:szCs w:val="24"/>
          <w:highlight w:val="none"/>
        </w:rPr>
        <w:t>9.5  投诉</w:t>
      </w:r>
      <w:bookmarkEnd w:id="588"/>
      <w:bookmarkEnd w:id="589"/>
      <w:bookmarkEnd w:id="590"/>
      <w:bookmarkEnd w:id="591"/>
      <w:bookmarkEnd w:id="592"/>
      <w:bookmarkEnd w:id="593"/>
      <w:bookmarkEnd w:id="594"/>
      <w:bookmarkEnd w:id="595"/>
      <w:bookmarkEnd w:id="596"/>
      <w:bookmarkEnd w:id="597"/>
      <w:bookmarkEnd w:id="598"/>
      <w:bookmarkEnd w:id="599"/>
    </w:p>
    <w:p w14:paraId="2FE606E0">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竞选人和其他利害关系人认为本次比选活动违反法律、法规和规章规定的，有权向有关行政监督部门投诉。</w:t>
      </w:r>
    </w:p>
    <w:p w14:paraId="0E07B6DB">
      <w:pPr>
        <w:pStyle w:val="4"/>
        <w:snapToGrid w:val="0"/>
        <w:spacing w:before="0" w:after="0" w:line="360" w:lineRule="auto"/>
        <w:jc w:val="left"/>
        <w:rPr>
          <w:rFonts w:hint="eastAsia" w:ascii="宋体" w:hAnsi="宋体" w:eastAsia="宋体" w:cs="宋体"/>
          <w:b w:val="0"/>
          <w:snapToGrid w:val="0"/>
          <w:color w:val="auto"/>
          <w:sz w:val="24"/>
          <w:szCs w:val="24"/>
          <w:highlight w:val="none"/>
        </w:rPr>
      </w:pPr>
      <w:bookmarkStart w:id="600" w:name="_Toc224103369"/>
      <w:bookmarkStart w:id="601" w:name="_Toc430530487"/>
      <w:bookmarkStart w:id="602" w:name="_Toc18945"/>
      <w:bookmarkStart w:id="603" w:name="_Toc200513178"/>
      <w:bookmarkStart w:id="604" w:name="_Toc509218762"/>
      <w:bookmarkStart w:id="605" w:name="_Toc6297"/>
      <w:bookmarkStart w:id="606" w:name="_Toc277082604"/>
      <w:bookmarkStart w:id="607" w:name="_Toc287620737"/>
      <w:bookmarkStart w:id="608" w:name="_Toc287607798"/>
      <w:bookmarkStart w:id="609" w:name="_Toc32650"/>
      <w:r>
        <w:rPr>
          <w:rFonts w:hint="eastAsia" w:ascii="宋体" w:hAnsi="宋体" w:eastAsia="宋体" w:cs="宋体"/>
          <w:b w:val="0"/>
          <w:snapToGrid w:val="0"/>
          <w:color w:val="auto"/>
          <w:sz w:val="24"/>
          <w:szCs w:val="24"/>
          <w:highlight w:val="none"/>
        </w:rPr>
        <w:t>10. 需要补充的其他内容</w:t>
      </w:r>
      <w:bookmarkEnd w:id="600"/>
      <w:bookmarkEnd w:id="601"/>
      <w:bookmarkEnd w:id="602"/>
      <w:bookmarkEnd w:id="603"/>
      <w:bookmarkEnd w:id="604"/>
      <w:bookmarkEnd w:id="605"/>
      <w:bookmarkEnd w:id="606"/>
      <w:bookmarkEnd w:id="607"/>
      <w:bookmarkEnd w:id="608"/>
      <w:bookmarkEnd w:id="609"/>
    </w:p>
    <w:p w14:paraId="46E2EAF8">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见竞选人须知前附表。</w:t>
      </w:r>
    </w:p>
    <w:p w14:paraId="68A09570">
      <w:pPr>
        <w:rPr>
          <w:color w:val="auto"/>
          <w:highlight w:val="none"/>
        </w:rPr>
      </w:pPr>
    </w:p>
    <w:p w14:paraId="102A77AE">
      <w:pPr>
        <w:autoSpaceDE w:val="0"/>
        <w:autoSpaceDN w:val="0"/>
        <w:adjustRightInd w:val="0"/>
        <w:snapToGrid w:val="0"/>
        <w:spacing w:line="360" w:lineRule="auto"/>
        <w:jc w:val="left"/>
        <w:rPr>
          <w:rFonts w:ascii="宋体" w:hAnsi="宋体" w:cs="宋体"/>
          <w:b/>
          <w:snapToGrid w:val="0"/>
          <w:color w:val="auto"/>
          <w:kern w:val="0"/>
          <w:highlight w:val="none"/>
        </w:rPr>
      </w:pPr>
    </w:p>
    <w:p w14:paraId="6613D00B">
      <w:pPr>
        <w:autoSpaceDE w:val="0"/>
        <w:autoSpaceDN w:val="0"/>
        <w:adjustRightInd w:val="0"/>
        <w:snapToGrid w:val="0"/>
        <w:spacing w:line="360" w:lineRule="auto"/>
        <w:jc w:val="left"/>
        <w:rPr>
          <w:rFonts w:ascii="宋体" w:hAnsi="宋体" w:cs="宋体"/>
          <w:b/>
          <w:snapToGrid w:val="0"/>
          <w:color w:val="auto"/>
          <w:kern w:val="0"/>
          <w:highlight w:val="none"/>
        </w:rPr>
      </w:pPr>
    </w:p>
    <w:p w14:paraId="6C7E698C">
      <w:pPr>
        <w:pStyle w:val="14"/>
        <w:rPr>
          <w:rFonts w:ascii="宋体" w:hAnsi="宋体" w:cs="宋体"/>
          <w:b/>
          <w:snapToGrid w:val="0"/>
          <w:color w:val="auto"/>
          <w:kern w:val="0"/>
          <w:highlight w:val="none"/>
        </w:rPr>
      </w:pPr>
    </w:p>
    <w:p w14:paraId="78D7DE0D">
      <w:pPr>
        <w:rPr>
          <w:rFonts w:ascii="宋体" w:hAnsi="宋体" w:cs="宋体"/>
          <w:b/>
          <w:snapToGrid w:val="0"/>
          <w:color w:val="auto"/>
          <w:kern w:val="0"/>
          <w:highlight w:val="none"/>
        </w:rPr>
      </w:pPr>
    </w:p>
    <w:p w14:paraId="0462C9B5">
      <w:pPr>
        <w:pStyle w:val="14"/>
        <w:rPr>
          <w:rFonts w:ascii="宋体" w:hAnsi="宋体" w:cs="宋体"/>
          <w:b/>
          <w:snapToGrid w:val="0"/>
          <w:color w:val="auto"/>
          <w:kern w:val="0"/>
          <w:highlight w:val="none"/>
        </w:rPr>
      </w:pPr>
    </w:p>
    <w:p w14:paraId="3E8F0A7E">
      <w:pPr>
        <w:rPr>
          <w:rFonts w:ascii="宋体" w:hAnsi="宋体" w:cs="宋体"/>
          <w:b/>
          <w:snapToGrid w:val="0"/>
          <w:color w:val="auto"/>
          <w:kern w:val="0"/>
          <w:highlight w:val="none"/>
        </w:rPr>
      </w:pPr>
    </w:p>
    <w:p w14:paraId="2C5A7F70">
      <w:pPr>
        <w:pStyle w:val="14"/>
        <w:rPr>
          <w:rFonts w:ascii="宋体" w:hAnsi="宋体" w:cs="宋体"/>
          <w:b/>
          <w:snapToGrid w:val="0"/>
          <w:color w:val="auto"/>
          <w:kern w:val="0"/>
          <w:highlight w:val="none"/>
        </w:rPr>
      </w:pPr>
    </w:p>
    <w:p w14:paraId="0A8642D6">
      <w:pPr>
        <w:rPr>
          <w:rFonts w:ascii="宋体" w:hAnsi="宋体" w:cs="宋体"/>
          <w:b/>
          <w:snapToGrid w:val="0"/>
          <w:color w:val="auto"/>
          <w:kern w:val="0"/>
          <w:highlight w:val="none"/>
        </w:rPr>
      </w:pPr>
    </w:p>
    <w:p w14:paraId="073E52B9">
      <w:pPr>
        <w:pStyle w:val="14"/>
        <w:rPr>
          <w:rFonts w:ascii="宋体" w:hAnsi="宋体" w:cs="宋体"/>
          <w:b/>
          <w:snapToGrid w:val="0"/>
          <w:color w:val="auto"/>
          <w:kern w:val="0"/>
          <w:highlight w:val="none"/>
        </w:rPr>
      </w:pPr>
    </w:p>
    <w:p w14:paraId="2C49C62B">
      <w:pPr>
        <w:rPr>
          <w:rFonts w:ascii="宋体" w:hAnsi="宋体" w:cs="宋体"/>
          <w:b/>
          <w:snapToGrid w:val="0"/>
          <w:color w:val="auto"/>
          <w:kern w:val="0"/>
          <w:highlight w:val="none"/>
        </w:rPr>
      </w:pPr>
    </w:p>
    <w:p w14:paraId="0CA8C74B">
      <w:pPr>
        <w:rPr>
          <w:rFonts w:ascii="宋体" w:hAnsi="宋体" w:cs="宋体"/>
          <w:b/>
          <w:snapToGrid w:val="0"/>
          <w:color w:val="auto"/>
          <w:kern w:val="0"/>
          <w:highlight w:val="none"/>
        </w:rPr>
      </w:pPr>
    </w:p>
    <w:p w14:paraId="42427B5A">
      <w:pPr>
        <w:rPr>
          <w:rFonts w:ascii="宋体" w:hAnsi="宋体" w:cs="宋体"/>
          <w:b/>
          <w:snapToGrid w:val="0"/>
          <w:color w:val="auto"/>
          <w:kern w:val="0"/>
          <w:highlight w:val="none"/>
        </w:rPr>
      </w:pPr>
    </w:p>
    <w:p w14:paraId="1FC74198">
      <w:pPr>
        <w:rPr>
          <w:rFonts w:ascii="宋体" w:hAnsi="宋体" w:cs="宋体"/>
          <w:b/>
          <w:snapToGrid w:val="0"/>
          <w:color w:val="auto"/>
          <w:kern w:val="0"/>
          <w:highlight w:val="none"/>
        </w:rPr>
      </w:pPr>
    </w:p>
    <w:p w14:paraId="07E0BC8F">
      <w:pPr>
        <w:rPr>
          <w:rFonts w:ascii="宋体" w:hAnsi="宋体" w:cs="宋体"/>
          <w:b/>
          <w:snapToGrid w:val="0"/>
          <w:color w:val="auto"/>
          <w:kern w:val="0"/>
          <w:highlight w:val="none"/>
        </w:rPr>
      </w:pPr>
    </w:p>
    <w:p w14:paraId="6EB75AF3">
      <w:pPr>
        <w:rPr>
          <w:rFonts w:ascii="宋体" w:hAnsi="宋体" w:cs="宋体"/>
          <w:b/>
          <w:snapToGrid w:val="0"/>
          <w:color w:val="auto"/>
          <w:kern w:val="0"/>
          <w:highlight w:val="none"/>
        </w:rPr>
      </w:pPr>
    </w:p>
    <w:p w14:paraId="68E43379">
      <w:pPr>
        <w:rPr>
          <w:rFonts w:ascii="宋体" w:hAnsi="宋体" w:cs="宋体"/>
          <w:b/>
          <w:snapToGrid w:val="0"/>
          <w:color w:val="auto"/>
          <w:kern w:val="0"/>
          <w:highlight w:val="none"/>
        </w:rPr>
      </w:pPr>
    </w:p>
    <w:p w14:paraId="5BD4D344">
      <w:pPr>
        <w:rPr>
          <w:rFonts w:ascii="宋体" w:hAnsi="宋体" w:cs="宋体"/>
          <w:b/>
          <w:snapToGrid w:val="0"/>
          <w:color w:val="auto"/>
          <w:kern w:val="0"/>
          <w:highlight w:val="none"/>
        </w:rPr>
      </w:pPr>
    </w:p>
    <w:p w14:paraId="5EECC4D8">
      <w:pPr>
        <w:rPr>
          <w:rFonts w:ascii="宋体" w:hAnsi="宋体" w:cs="宋体"/>
          <w:b/>
          <w:snapToGrid w:val="0"/>
          <w:color w:val="auto"/>
          <w:kern w:val="0"/>
          <w:highlight w:val="none"/>
        </w:rPr>
      </w:pPr>
      <w:r>
        <w:rPr>
          <w:rFonts w:hint="eastAsia" w:ascii="宋体" w:hAnsi="宋体" w:cs="宋体"/>
          <w:b/>
          <w:snapToGrid w:val="0"/>
          <w:color w:val="auto"/>
          <w:kern w:val="0"/>
          <w:highlight w:val="none"/>
        </w:rPr>
        <w:t>附表一：报价记录表</w:t>
      </w:r>
    </w:p>
    <w:p w14:paraId="034825D1">
      <w:pPr>
        <w:autoSpaceDE w:val="0"/>
        <w:autoSpaceDN w:val="0"/>
        <w:adjustRightInd w:val="0"/>
        <w:snapToGrid w:val="0"/>
        <w:spacing w:line="360" w:lineRule="auto"/>
        <w:jc w:val="left"/>
        <w:rPr>
          <w:rFonts w:ascii="宋体" w:hAnsi="宋体" w:cs="宋体"/>
          <w:b/>
          <w:snapToGrid w:val="0"/>
          <w:color w:val="auto"/>
          <w:kern w:val="0"/>
          <w:highlight w:val="none"/>
        </w:rPr>
      </w:pPr>
    </w:p>
    <w:p w14:paraId="4CD38B39">
      <w:pPr>
        <w:spacing w:line="360" w:lineRule="auto"/>
        <w:rPr>
          <w:rFonts w:ascii="宋体" w:hAnsi="宋体" w:cs="宋体"/>
          <w:b/>
          <w:snapToGrid w:val="0"/>
          <w:color w:val="auto"/>
          <w:kern w:val="0"/>
          <w:sz w:val="28"/>
          <w:szCs w:val="28"/>
          <w:highlight w:val="none"/>
        </w:rPr>
      </w:pPr>
      <w:r>
        <w:rPr>
          <w:rFonts w:hint="eastAsia" w:ascii="宋体" w:hAnsi="宋体" w:cs="宋体"/>
          <w:snapToGrid w:val="0"/>
          <w:color w:val="auto"/>
          <w:w w:val="198"/>
          <w:kern w:val="0"/>
          <w:sz w:val="28"/>
          <w:szCs w:val="28"/>
          <w:highlight w:val="none"/>
          <w:u w:val="single"/>
        </w:rPr>
        <w:t xml:space="preserve">              </w:t>
      </w:r>
      <w:r>
        <w:rPr>
          <w:rFonts w:hint="eastAsia" w:ascii="宋体" w:hAnsi="宋体" w:cs="宋体"/>
          <w:snapToGrid w:val="0"/>
          <w:color w:val="auto"/>
          <w:kern w:val="0"/>
          <w:sz w:val="28"/>
          <w:szCs w:val="28"/>
          <w:highlight w:val="none"/>
          <w:u w:val="single"/>
        </w:rPr>
        <w:t xml:space="preserve"> </w:t>
      </w:r>
      <w:r>
        <w:rPr>
          <w:rFonts w:hint="eastAsia" w:ascii="宋体" w:hAnsi="宋体" w:cs="宋体"/>
          <w:b/>
          <w:snapToGrid w:val="0"/>
          <w:color w:val="auto"/>
          <w:w w:val="99"/>
          <w:kern w:val="0"/>
          <w:sz w:val="28"/>
          <w:szCs w:val="28"/>
          <w:highlight w:val="none"/>
        </w:rPr>
        <w:t>（项目名称）报价记录表</w:t>
      </w:r>
    </w:p>
    <w:p w14:paraId="1BD81B75">
      <w:pPr>
        <w:tabs>
          <w:tab w:val="left" w:pos="2260"/>
          <w:tab w:val="left" w:pos="506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b/>
          <w:snapToGrid w:val="0"/>
          <w:color w:val="auto"/>
          <w:kern w:val="0"/>
          <w:sz w:val="28"/>
          <w:szCs w:val="28"/>
          <w:highlight w:val="none"/>
        </w:rPr>
        <w:t xml:space="preserve">                             </w:t>
      </w:r>
      <w:r>
        <w:rPr>
          <w:rFonts w:hint="eastAsia" w:ascii="宋体" w:hAnsi="宋体" w:cs="宋体"/>
          <w:snapToGrid w:val="0"/>
          <w:color w:val="auto"/>
          <w:kern w:val="0"/>
          <w:szCs w:val="21"/>
          <w:highlight w:val="none"/>
        </w:rPr>
        <w:t>时间：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w:t>
      </w:r>
    </w:p>
    <w:tbl>
      <w:tblPr>
        <w:tblStyle w:val="21"/>
        <w:tblW w:w="831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08"/>
        <w:gridCol w:w="784"/>
        <w:gridCol w:w="712"/>
        <w:gridCol w:w="914"/>
        <w:gridCol w:w="1212"/>
        <w:gridCol w:w="982"/>
        <w:gridCol w:w="961"/>
        <w:gridCol w:w="1618"/>
      </w:tblGrid>
      <w:tr w14:paraId="257CC6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27" w:type="dxa"/>
            <w:vAlign w:val="center"/>
          </w:tcPr>
          <w:p w14:paraId="6012A84B">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708" w:type="dxa"/>
            <w:vAlign w:val="center"/>
          </w:tcPr>
          <w:p w14:paraId="1608466A">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p>
        </w:tc>
        <w:tc>
          <w:tcPr>
            <w:tcW w:w="784" w:type="dxa"/>
            <w:vAlign w:val="center"/>
          </w:tcPr>
          <w:p w14:paraId="20A48FB2">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密封</w:t>
            </w:r>
          </w:p>
          <w:p w14:paraId="7E117E54">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情况</w:t>
            </w:r>
          </w:p>
        </w:tc>
        <w:tc>
          <w:tcPr>
            <w:tcW w:w="712" w:type="dxa"/>
            <w:vAlign w:val="center"/>
          </w:tcPr>
          <w:p w14:paraId="096BEB64">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比选保</w:t>
            </w:r>
          </w:p>
          <w:p w14:paraId="10341ABD">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证金</w:t>
            </w:r>
          </w:p>
        </w:tc>
        <w:tc>
          <w:tcPr>
            <w:tcW w:w="914" w:type="dxa"/>
            <w:tcBorders>
              <w:right w:val="single" w:color="auto" w:sz="4" w:space="0"/>
            </w:tcBorders>
            <w:vAlign w:val="center"/>
          </w:tcPr>
          <w:p w14:paraId="4C7E3E12">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竞选报价</w:t>
            </w:r>
          </w:p>
        </w:tc>
        <w:tc>
          <w:tcPr>
            <w:tcW w:w="1212" w:type="dxa"/>
            <w:tcBorders>
              <w:left w:val="single" w:color="auto" w:sz="4" w:space="0"/>
            </w:tcBorders>
            <w:vAlign w:val="center"/>
          </w:tcPr>
          <w:p w14:paraId="7D78C34D">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w:t>
            </w:r>
          </w:p>
          <w:p w14:paraId="4E6A3FD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目标</w:t>
            </w:r>
          </w:p>
        </w:tc>
        <w:tc>
          <w:tcPr>
            <w:tcW w:w="982" w:type="dxa"/>
            <w:vAlign w:val="center"/>
          </w:tcPr>
          <w:p w14:paraId="03B358E1">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w:t>
            </w:r>
          </w:p>
          <w:p w14:paraId="4AD55BD4">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961" w:type="dxa"/>
            <w:vAlign w:val="center"/>
          </w:tcPr>
          <w:p w14:paraId="2F4075E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1618" w:type="dxa"/>
            <w:vAlign w:val="center"/>
          </w:tcPr>
          <w:p w14:paraId="65532AC3">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签名</w:t>
            </w:r>
          </w:p>
        </w:tc>
      </w:tr>
      <w:tr w14:paraId="32C04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4F35DC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325EE8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265E44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4BCD622A">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914" w:type="dxa"/>
            <w:tcBorders>
              <w:right w:val="single" w:color="auto" w:sz="4" w:space="0"/>
            </w:tcBorders>
            <w:vAlign w:val="center"/>
          </w:tcPr>
          <w:p w14:paraId="5FF935E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6CF5E39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699159E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36FF0BA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1F013F3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012C3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04B484B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26E39EF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082259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4F8455BB">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914" w:type="dxa"/>
            <w:tcBorders>
              <w:right w:val="single" w:color="auto" w:sz="4" w:space="0"/>
            </w:tcBorders>
            <w:vAlign w:val="center"/>
          </w:tcPr>
          <w:p w14:paraId="369923C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6D93B6C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586D15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62DA8AF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5FEE6D5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86308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5CD5214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6CB8016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28B2B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0860C0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397560C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6DBD549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0C1E8D1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5A8739E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0C6AA8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E7486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2554FA1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0CA91C8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64FBF2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3219B71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2ED50D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20BE89A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158B3F1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0F2B09D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09AFFD7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8C2F4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3D1CA0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44C851A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5326C13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4A80D2D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43DDDA6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70A266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03677AC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7F25C26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7C22A20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0B816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67F4767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6DA6CEE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E7CD19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686B1DC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3CEC644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7B976FE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73E89A1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2A56999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5DFC78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26A45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579F66C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5C97772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35EC0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2F6FDA2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2350BA7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0F44D85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6F22DCF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3893E22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63A300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A37F2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3BA6D5C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61F171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179E4A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2C6E52C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43F7859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082884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10F0C45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320A09B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595A38B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648E3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1682D2D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7BDC150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944BF3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6D6547F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67760D7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6DBA4FE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5B50138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44D278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6BDE8B1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20489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20C729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5B2E097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41B46A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17E49DE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3B92436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7B7BBB1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7A81028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1EE668D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3B50F19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32A19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24DC878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07096D6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3C028E6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2318BB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65505DA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0D96A9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775F526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2A1CF38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4AB54FF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5148E2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08C3DD9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3E6D167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192CCDC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68E1B3B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231CB0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189819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18128C8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115904C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6132B2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2D8C1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4123C4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164B157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5CB35C3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1BE351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282C022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0D5DFC1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3525B43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09EC832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5B816F5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319C8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14:paraId="59F99ED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5E27522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3AD8E90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654FCB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3289CFD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53BF45A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59B1E69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6C32138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56F41ED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AD445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jc w:val="center"/>
        </w:trPr>
        <w:tc>
          <w:tcPr>
            <w:tcW w:w="427" w:type="dxa"/>
            <w:vAlign w:val="center"/>
          </w:tcPr>
          <w:p w14:paraId="409EDD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1B18557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EB62F2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15CBA90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30DEF5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38B4BDB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2775197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7A126DA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1065E2B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5A6E03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1" w:hRule="exact"/>
          <w:jc w:val="center"/>
        </w:trPr>
        <w:tc>
          <w:tcPr>
            <w:tcW w:w="427" w:type="dxa"/>
            <w:vAlign w:val="center"/>
          </w:tcPr>
          <w:p w14:paraId="237856C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08" w:type="dxa"/>
            <w:vAlign w:val="center"/>
          </w:tcPr>
          <w:p w14:paraId="099726A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84" w:type="dxa"/>
            <w:vAlign w:val="center"/>
          </w:tcPr>
          <w:p w14:paraId="0FFE8AD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712" w:type="dxa"/>
            <w:vAlign w:val="center"/>
          </w:tcPr>
          <w:p w14:paraId="73EF525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14" w:type="dxa"/>
            <w:tcBorders>
              <w:right w:val="single" w:color="auto" w:sz="4" w:space="0"/>
            </w:tcBorders>
            <w:vAlign w:val="center"/>
          </w:tcPr>
          <w:p w14:paraId="06772F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212" w:type="dxa"/>
            <w:tcBorders>
              <w:left w:val="single" w:color="auto" w:sz="4" w:space="0"/>
            </w:tcBorders>
            <w:vAlign w:val="center"/>
          </w:tcPr>
          <w:p w14:paraId="745411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82" w:type="dxa"/>
            <w:vAlign w:val="center"/>
          </w:tcPr>
          <w:p w14:paraId="6F6964C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961" w:type="dxa"/>
            <w:vAlign w:val="center"/>
          </w:tcPr>
          <w:p w14:paraId="5423F29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618" w:type="dxa"/>
            <w:vAlign w:val="center"/>
          </w:tcPr>
          <w:p w14:paraId="6038B3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093035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919" w:type="dxa"/>
            <w:gridSpan w:val="3"/>
            <w:vAlign w:val="center"/>
          </w:tcPr>
          <w:p w14:paraId="6C3D9820">
            <w:pPr>
              <w:autoSpaceDE w:val="0"/>
              <w:autoSpaceDN w:val="0"/>
              <w:adjustRightInd w:val="0"/>
              <w:snapToGrid w:val="0"/>
              <w:spacing w:line="360" w:lineRule="auto"/>
              <w:jc w:val="center"/>
              <w:rPr>
                <w:rFonts w:ascii="宋体" w:hAnsi="宋体" w:cs="宋体"/>
                <w:snapToGrid w:val="0"/>
                <w:color w:val="auto"/>
                <w:kern w:val="0"/>
                <w:sz w:val="28"/>
                <w:szCs w:val="28"/>
                <w:highlight w:val="none"/>
              </w:rPr>
            </w:pPr>
            <w:r>
              <w:rPr>
                <w:rFonts w:hint="eastAsia" w:ascii="宋体" w:hAnsi="宋体" w:cs="宋体"/>
                <w:snapToGrid w:val="0"/>
                <w:color w:val="auto"/>
                <w:kern w:val="0"/>
                <w:sz w:val="28"/>
                <w:szCs w:val="28"/>
                <w:highlight w:val="none"/>
              </w:rPr>
              <w:t>最高限价</w:t>
            </w:r>
          </w:p>
        </w:tc>
        <w:tc>
          <w:tcPr>
            <w:tcW w:w="6399" w:type="dxa"/>
            <w:gridSpan w:val="6"/>
            <w:vAlign w:val="center"/>
          </w:tcPr>
          <w:p w14:paraId="7382892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bl>
    <w:p w14:paraId="249725D9">
      <w:pPr>
        <w:tabs>
          <w:tab w:val="left" w:pos="2740"/>
          <w:tab w:val="left" w:pos="4940"/>
          <w:tab w:val="left" w:pos="714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207CD53C">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比选人代表：</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 监督人员：</w:t>
      </w:r>
      <w:r>
        <w:rPr>
          <w:rFonts w:hint="eastAsia" w:ascii="宋体" w:hAnsi="宋体" w:cs="宋体"/>
          <w:snapToGrid w:val="0"/>
          <w:color w:val="auto"/>
          <w:w w:val="200"/>
          <w:kern w:val="0"/>
          <w:szCs w:val="21"/>
          <w:highlight w:val="none"/>
          <w:u w:val="single"/>
        </w:rPr>
        <w:t xml:space="preserve">          </w:t>
      </w:r>
    </w:p>
    <w:p w14:paraId="22C69CD9">
      <w:pPr>
        <w:autoSpaceDE w:val="0"/>
        <w:autoSpaceDN w:val="0"/>
        <w:adjustRightInd w:val="0"/>
        <w:snapToGrid w:val="0"/>
        <w:spacing w:before="62" w:beforeLines="20"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2F46579D">
      <w:pPr>
        <w:autoSpaceDE w:val="0"/>
        <w:autoSpaceDN w:val="0"/>
        <w:adjustRightInd w:val="0"/>
        <w:snapToGrid w:val="0"/>
        <w:spacing w:line="360" w:lineRule="auto"/>
        <w:jc w:val="left"/>
        <w:rPr>
          <w:rFonts w:ascii="宋体" w:hAnsi="宋体" w:cs="宋体"/>
          <w:b/>
          <w:snapToGrid w:val="0"/>
          <w:color w:val="auto"/>
          <w:kern w:val="0"/>
          <w:highlight w:val="none"/>
        </w:rPr>
      </w:pPr>
    </w:p>
    <w:p w14:paraId="666621D7">
      <w:pPr>
        <w:autoSpaceDE w:val="0"/>
        <w:autoSpaceDN w:val="0"/>
        <w:adjustRightInd w:val="0"/>
        <w:snapToGrid w:val="0"/>
        <w:spacing w:line="360" w:lineRule="auto"/>
        <w:jc w:val="left"/>
        <w:rPr>
          <w:rFonts w:ascii="宋体" w:hAnsi="宋体" w:cs="宋体"/>
          <w:b/>
          <w:snapToGrid w:val="0"/>
          <w:color w:val="auto"/>
          <w:kern w:val="0"/>
          <w:highlight w:val="none"/>
        </w:rPr>
      </w:pPr>
    </w:p>
    <w:p w14:paraId="0C2C388A">
      <w:pPr>
        <w:pStyle w:val="7"/>
        <w:rPr>
          <w:color w:val="auto"/>
          <w:highlight w:val="none"/>
        </w:rPr>
      </w:pPr>
    </w:p>
    <w:p w14:paraId="48F9213A">
      <w:pPr>
        <w:autoSpaceDE w:val="0"/>
        <w:autoSpaceDN w:val="0"/>
        <w:adjustRightInd w:val="0"/>
        <w:snapToGrid w:val="0"/>
        <w:spacing w:line="360" w:lineRule="auto"/>
        <w:jc w:val="left"/>
        <w:rPr>
          <w:rFonts w:ascii="宋体" w:hAnsi="宋体" w:cs="宋体"/>
          <w:b/>
          <w:snapToGrid w:val="0"/>
          <w:color w:val="auto"/>
          <w:kern w:val="0"/>
          <w:highlight w:val="none"/>
        </w:rPr>
      </w:pPr>
    </w:p>
    <w:p w14:paraId="74E602E4">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附表二：问题澄清通知</w:t>
      </w:r>
    </w:p>
    <w:p w14:paraId="296CA672">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0DC33739">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问题澄清通知</w:t>
      </w:r>
    </w:p>
    <w:p w14:paraId="2648392E">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4ACAC35">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4DD8A6A9">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57BD349">
      <w:pPr>
        <w:autoSpaceDE w:val="0"/>
        <w:autoSpaceDN w:val="0"/>
        <w:adjustRightInd w:val="0"/>
        <w:snapToGrid w:val="0"/>
        <w:spacing w:line="360" w:lineRule="auto"/>
        <w:ind w:firstLine="140" w:firstLineChars="50"/>
        <w:rPr>
          <w:rFonts w:ascii="宋体" w:hAnsi="宋体" w:cs="宋体"/>
          <w:snapToGrid w:val="0"/>
          <w:color w:val="auto"/>
          <w:kern w:val="0"/>
          <w:sz w:val="28"/>
          <w:szCs w:val="28"/>
          <w:highlight w:val="none"/>
        </w:rPr>
      </w:pPr>
    </w:p>
    <w:p w14:paraId="4D545DD9">
      <w:pPr>
        <w:tabs>
          <w:tab w:val="left" w:pos="158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（竞选人名称）：</w:t>
      </w:r>
    </w:p>
    <w:p w14:paraId="76B7F709">
      <w:pPr>
        <w:tabs>
          <w:tab w:val="left" w:pos="2320"/>
        </w:tabs>
        <w:autoSpaceDE w:val="0"/>
        <w:autoSpaceDN w:val="0"/>
        <w:adjustRightInd w:val="0"/>
        <w:snapToGrid w:val="0"/>
        <w:spacing w:line="360" w:lineRule="auto"/>
        <w:ind w:firstLine="424" w:firstLineChars="101"/>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（项目名称）区域</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，对你方的竞选文件进行了仔细的审查，现需你方对下列问题以书面形式予以澄清：</w:t>
      </w:r>
    </w:p>
    <w:p w14:paraId="1244BA29">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10F85D6D">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1A59B9CA">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13A72779">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29E7A9C3">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18A4A6B9">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1E832EF">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0CF7BA5C">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698EA1C">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725C5392">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720BC630">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4E754E08">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4B38C746">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请将上述问题的澄清于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时前递交至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（详细地址）或传真至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（传真号码）。采用传真方式的，应在</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时前将原件递交至</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（详细地址）。</w:t>
      </w:r>
    </w:p>
    <w:p w14:paraId="7F83527A">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12974C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p w14:paraId="67C97CD4">
      <w:pPr>
        <w:tabs>
          <w:tab w:val="left" w:pos="6400"/>
        </w:tabs>
        <w:autoSpaceDE w:val="0"/>
        <w:autoSpaceDN w:val="0"/>
        <w:adjustRightInd w:val="0"/>
        <w:snapToGrid w:val="0"/>
        <w:spacing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r>
        <w:rPr>
          <w:rFonts w:hint="eastAsia" w:ascii="宋体" w:hAnsi="宋体" w:cs="宋体"/>
          <w:snapToGrid w:val="0"/>
          <w:color w:val="auto"/>
          <w:kern w:val="0"/>
          <w:sz w:val="24"/>
          <w:highlight w:val="none"/>
        </w:rPr>
        <w:t xml:space="preserve"> </w:t>
      </w:r>
    </w:p>
    <w:p w14:paraId="428B1E31">
      <w:pPr>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7D9C2C09">
      <w:pPr>
        <w:wordWrap w:val="0"/>
        <w:autoSpaceDE w:val="0"/>
        <w:autoSpaceDN w:val="0"/>
        <w:adjustRightInd w:val="0"/>
        <w:snapToGrid w:val="0"/>
        <w:spacing w:line="360" w:lineRule="auto"/>
        <w:ind w:firstLine="850" w:firstLineChars="40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6B73DEF1">
      <w:pPr>
        <w:autoSpaceDE w:val="0"/>
        <w:autoSpaceDN w:val="0"/>
        <w:adjustRightInd w:val="0"/>
        <w:snapToGrid w:val="0"/>
        <w:spacing w:line="360" w:lineRule="auto"/>
        <w:jc w:val="left"/>
        <w:rPr>
          <w:rFonts w:ascii="宋体" w:hAnsi="宋体" w:cs="宋体"/>
          <w:b/>
          <w:snapToGrid w:val="0"/>
          <w:color w:val="auto"/>
          <w:kern w:val="0"/>
          <w:highlight w:val="none"/>
        </w:rPr>
      </w:pPr>
    </w:p>
    <w:p w14:paraId="3D64703A">
      <w:pPr>
        <w:autoSpaceDE w:val="0"/>
        <w:autoSpaceDN w:val="0"/>
        <w:adjustRightInd w:val="0"/>
        <w:snapToGrid w:val="0"/>
        <w:spacing w:line="360" w:lineRule="auto"/>
        <w:jc w:val="left"/>
        <w:rPr>
          <w:rFonts w:ascii="宋体" w:hAnsi="宋体" w:cs="宋体"/>
          <w:b/>
          <w:snapToGrid w:val="0"/>
          <w:color w:val="auto"/>
          <w:kern w:val="0"/>
          <w:highlight w:val="none"/>
        </w:rPr>
      </w:pPr>
    </w:p>
    <w:p w14:paraId="59AEAE97">
      <w:pPr>
        <w:autoSpaceDE w:val="0"/>
        <w:autoSpaceDN w:val="0"/>
        <w:adjustRightInd w:val="0"/>
        <w:snapToGrid w:val="0"/>
        <w:spacing w:line="360" w:lineRule="auto"/>
        <w:jc w:val="left"/>
        <w:rPr>
          <w:rFonts w:ascii="宋体" w:hAnsi="宋体" w:cs="宋体"/>
          <w:b/>
          <w:snapToGrid w:val="0"/>
          <w:color w:val="auto"/>
          <w:kern w:val="0"/>
          <w:highlight w:val="none"/>
        </w:rPr>
      </w:pPr>
    </w:p>
    <w:p w14:paraId="055EC12A">
      <w:pPr>
        <w:autoSpaceDE w:val="0"/>
        <w:autoSpaceDN w:val="0"/>
        <w:adjustRightInd w:val="0"/>
        <w:snapToGrid w:val="0"/>
        <w:spacing w:line="360" w:lineRule="auto"/>
        <w:jc w:val="left"/>
        <w:rPr>
          <w:rFonts w:ascii="宋体" w:hAnsi="宋体" w:cs="宋体"/>
          <w:b/>
          <w:snapToGrid w:val="0"/>
          <w:color w:val="auto"/>
          <w:kern w:val="0"/>
          <w:highlight w:val="none"/>
        </w:rPr>
      </w:pPr>
    </w:p>
    <w:p w14:paraId="464C0929">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附表三：问题的澄清</w:t>
      </w:r>
    </w:p>
    <w:p w14:paraId="4139B8AE">
      <w:pPr>
        <w:autoSpaceDE w:val="0"/>
        <w:autoSpaceDN w:val="0"/>
        <w:adjustRightInd w:val="0"/>
        <w:snapToGrid w:val="0"/>
        <w:spacing w:line="360" w:lineRule="auto"/>
        <w:jc w:val="left"/>
        <w:rPr>
          <w:rFonts w:ascii="宋体" w:hAnsi="宋体" w:cs="宋体"/>
          <w:b/>
          <w:snapToGrid w:val="0"/>
          <w:color w:val="auto"/>
          <w:kern w:val="0"/>
          <w:sz w:val="10"/>
          <w:szCs w:val="10"/>
          <w:highlight w:val="none"/>
        </w:rPr>
      </w:pPr>
    </w:p>
    <w:p w14:paraId="379CF048">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问题的澄清</w:t>
      </w:r>
    </w:p>
    <w:p w14:paraId="3B9B4174">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rPr>
      </w:pPr>
    </w:p>
    <w:p w14:paraId="6CC52C0E">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134F8C62">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3C578CA3">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55A65B44">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（项目名称）区域</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lang w:eastAsia="zh-CN"/>
        </w:rPr>
        <w:t>评标委员会</w:t>
      </w:r>
      <w:r>
        <w:rPr>
          <w:rFonts w:hint="eastAsia" w:ascii="宋体" w:hAnsi="宋体" w:cs="宋体"/>
          <w:snapToGrid w:val="0"/>
          <w:color w:val="auto"/>
          <w:kern w:val="0"/>
          <w:szCs w:val="21"/>
          <w:highlight w:val="none"/>
        </w:rPr>
        <w:t>：</w:t>
      </w:r>
    </w:p>
    <w:p w14:paraId="38364370">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问题澄清通知（编号：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）已收悉，现澄清如下：</w:t>
      </w:r>
    </w:p>
    <w:p w14:paraId="79A9994D">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664C90FF">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58B8EADD">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F6ADCD0">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E7FC32B">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37D835CC">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2152913A">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12D1208C">
      <w:pPr>
        <w:autoSpaceDE w:val="0"/>
        <w:autoSpaceDN w:val="0"/>
        <w:adjustRightInd w:val="0"/>
        <w:snapToGrid w:val="0"/>
        <w:spacing w:line="360" w:lineRule="auto"/>
        <w:jc w:val="left"/>
        <w:rPr>
          <w:rFonts w:ascii="宋体" w:hAnsi="宋体" w:cs="宋体"/>
          <w:snapToGrid w:val="0"/>
          <w:color w:val="auto"/>
          <w:kern w:val="0"/>
          <w:sz w:val="22"/>
          <w:szCs w:val="22"/>
          <w:highlight w:val="none"/>
        </w:rPr>
      </w:pPr>
    </w:p>
    <w:p w14:paraId="5C80D277">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10B19F32">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542A82A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742D5718">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2AC6374C">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C97FCA7">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2E4E14E0">
      <w:pPr>
        <w:tabs>
          <w:tab w:val="left" w:pos="7035"/>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74ECE0AF">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（签字或盖章）</w:t>
      </w:r>
    </w:p>
    <w:p w14:paraId="6C4AAF2F">
      <w:pPr>
        <w:autoSpaceDE w:val="0"/>
        <w:autoSpaceDN w:val="0"/>
        <w:adjustRightInd w:val="0"/>
        <w:snapToGrid w:val="0"/>
        <w:spacing w:line="360" w:lineRule="auto"/>
        <w:jc w:val="right"/>
        <w:rPr>
          <w:rFonts w:ascii="宋体" w:hAnsi="宋体" w:cs="宋体"/>
          <w:snapToGrid w:val="0"/>
          <w:color w:val="auto"/>
          <w:kern w:val="0"/>
          <w:sz w:val="20"/>
          <w:szCs w:val="20"/>
          <w:highlight w:val="none"/>
        </w:rPr>
      </w:pPr>
    </w:p>
    <w:p w14:paraId="00EECB59">
      <w:pPr>
        <w:wordWrap w:val="0"/>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6722DC92">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313F0669">
      <w:pPr>
        <w:autoSpaceDE w:val="0"/>
        <w:autoSpaceDN w:val="0"/>
        <w:adjustRightInd w:val="0"/>
        <w:snapToGrid w:val="0"/>
        <w:spacing w:line="360" w:lineRule="auto"/>
        <w:jc w:val="left"/>
        <w:rPr>
          <w:rFonts w:ascii="宋体" w:hAnsi="宋体" w:cs="宋体"/>
          <w:b/>
          <w:snapToGrid w:val="0"/>
          <w:color w:val="auto"/>
          <w:kern w:val="0"/>
          <w:highlight w:val="none"/>
        </w:rPr>
      </w:pPr>
    </w:p>
    <w:p w14:paraId="3D329829">
      <w:pPr>
        <w:autoSpaceDE w:val="0"/>
        <w:autoSpaceDN w:val="0"/>
        <w:adjustRightInd w:val="0"/>
        <w:snapToGrid w:val="0"/>
        <w:spacing w:line="360" w:lineRule="auto"/>
        <w:jc w:val="left"/>
        <w:rPr>
          <w:rFonts w:ascii="宋体" w:hAnsi="宋体" w:cs="宋体"/>
          <w:b/>
          <w:snapToGrid w:val="0"/>
          <w:color w:val="auto"/>
          <w:kern w:val="0"/>
          <w:highlight w:val="none"/>
        </w:rPr>
      </w:pPr>
    </w:p>
    <w:p w14:paraId="1875982E">
      <w:pPr>
        <w:autoSpaceDE w:val="0"/>
        <w:autoSpaceDN w:val="0"/>
        <w:adjustRightInd w:val="0"/>
        <w:snapToGrid w:val="0"/>
        <w:spacing w:line="360" w:lineRule="auto"/>
        <w:jc w:val="left"/>
        <w:rPr>
          <w:rFonts w:ascii="宋体" w:hAnsi="宋体" w:cs="宋体"/>
          <w:b/>
          <w:snapToGrid w:val="0"/>
          <w:color w:val="auto"/>
          <w:kern w:val="0"/>
          <w:highlight w:val="none"/>
        </w:rPr>
      </w:pPr>
    </w:p>
    <w:p w14:paraId="6817B31F">
      <w:pPr>
        <w:autoSpaceDE w:val="0"/>
        <w:autoSpaceDN w:val="0"/>
        <w:adjustRightInd w:val="0"/>
        <w:snapToGrid w:val="0"/>
        <w:spacing w:line="360" w:lineRule="auto"/>
        <w:jc w:val="left"/>
        <w:rPr>
          <w:rFonts w:ascii="宋体" w:hAnsi="宋体" w:cs="宋体"/>
          <w:b/>
          <w:snapToGrid w:val="0"/>
          <w:color w:val="auto"/>
          <w:kern w:val="0"/>
          <w:highlight w:val="none"/>
        </w:rPr>
      </w:pPr>
    </w:p>
    <w:p w14:paraId="7D454579">
      <w:pPr>
        <w:autoSpaceDE w:val="0"/>
        <w:autoSpaceDN w:val="0"/>
        <w:adjustRightInd w:val="0"/>
        <w:snapToGrid w:val="0"/>
        <w:spacing w:line="360" w:lineRule="auto"/>
        <w:jc w:val="left"/>
        <w:rPr>
          <w:rFonts w:ascii="宋体" w:hAnsi="宋体" w:cs="宋体"/>
          <w:b/>
          <w:snapToGrid w:val="0"/>
          <w:color w:val="auto"/>
          <w:kern w:val="0"/>
          <w:highlight w:val="none"/>
        </w:rPr>
      </w:pPr>
    </w:p>
    <w:p w14:paraId="69BF4D4E">
      <w:pPr>
        <w:pStyle w:val="7"/>
        <w:rPr>
          <w:color w:val="auto"/>
          <w:highlight w:val="none"/>
        </w:rPr>
      </w:pPr>
    </w:p>
    <w:p w14:paraId="3F190DD3">
      <w:pPr>
        <w:autoSpaceDE w:val="0"/>
        <w:autoSpaceDN w:val="0"/>
        <w:adjustRightInd w:val="0"/>
        <w:snapToGrid w:val="0"/>
        <w:spacing w:line="360" w:lineRule="auto"/>
        <w:jc w:val="left"/>
        <w:rPr>
          <w:rFonts w:ascii="宋体" w:hAnsi="宋体" w:cs="宋体"/>
          <w:b/>
          <w:snapToGrid w:val="0"/>
          <w:color w:val="auto"/>
          <w:kern w:val="0"/>
          <w:highlight w:val="none"/>
        </w:rPr>
      </w:pPr>
    </w:p>
    <w:p w14:paraId="731D7049">
      <w:pPr>
        <w:autoSpaceDE w:val="0"/>
        <w:autoSpaceDN w:val="0"/>
        <w:adjustRightInd w:val="0"/>
        <w:snapToGrid w:val="0"/>
        <w:spacing w:line="360" w:lineRule="auto"/>
        <w:jc w:val="left"/>
        <w:rPr>
          <w:rFonts w:ascii="宋体" w:hAnsi="宋体" w:cs="宋体"/>
          <w:b/>
          <w:snapToGrid w:val="0"/>
          <w:color w:val="auto"/>
          <w:kern w:val="0"/>
          <w:highlight w:val="none"/>
        </w:rPr>
      </w:pPr>
    </w:p>
    <w:p w14:paraId="4C79BB10">
      <w:pPr>
        <w:autoSpaceDE w:val="0"/>
        <w:autoSpaceDN w:val="0"/>
        <w:adjustRightInd w:val="0"/>
        <w:snapToGrid w:val="0"/>
        <w:spacing w:line="360" w:lineRule="auto"/>
        <w:jc w:val="left"/>
        <w:outlineLvl w:val="2"/>
        <w:rPr>
          <w:rFonts w:ascii="宋体" w:hAnsi="宋体" w:cs="宋体"/>
          <w:snapToGrid w:val="0"/>
          <w:color w:val="auto"/>
          <w:kern w:val="0"/>
          <w:sz w:val="20"/>
          <w:szCs w:val="20"/>
          <w:highlight w:val="none"/>
        </w:rPr>
      </w:pPr>
      <w:r>
        <w:rPr>
          <w:rFonts w:hint="eastAsia" w:ascii="宋体" w:hAnsi="宋体" w:cs="宋体"/>
          <w:b/>
          <w:snapToGrid w:val="0"/>
          <w:color w:val="auto"/>
          <w:kern w:val="0"/>
          <w:highlight w:val="none"/>
        </w:rPr>
        <w:t>附表四：中选通知书</w:t>
      </w:r>
    </w:p>
    <w:p w14:paraId="758FC770">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p>
    <w:p w14:paraId="70F013DE">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中选通知书</w:t>
      </w:r>
    </w:p>
    <w:p w14:paraId="120C0CBD">
      <w:pPr>
        <w:autoSpaceDE w:val="0"/>
        <w:autoSpaceDN w:val="0"/>
        <w:adjustRightInd w:val="0"/>
        <w:spacing w:line="360" w:lineRule="auto"/>
        <w:jc w:val="left"/>
        <w:rPr>
          <w:rFonts w:ascii="宋体" w:hAnsi="宋体" w:cs="宋体"/>
          <w:snapToGrid w:val="0"/>
          <w:color w:val="auto"/>
          <w:kern w:val="0"/>
          <w:sz w:val="20"/>
          <w:szCs w:val="20"/>
          <w:highlight w:val="none"/>
        </w:rPr>
      </w:pPr>
    </w:p>
    <w:p w14:paraId="2D5EB6EE">
      <w:pPr>
        <w:spacing w:line="360" w:lineRule="auto"/>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rPr>
        <w:t>中选单位</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60314D8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我单位拟建的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于</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日进行竞争性比选，经</w:t>
      </w:r>
      <w:r>
        <w:rPr>
          <w:rFonts w:hint="eastAsia" w:ascii="宋体" w:hAnsi="宋体" w:cs="宋体"/>
          <w:color w:val="auto"/>
          <w:kern w:val="0"/>
          <w:szCs w:val="21"/>
          <w:highlight w:val="none"/>
          <w:lang w:eastAsia="zh-CN"/>
        </w:rPr>
        <w:t>评标委员会</w:t>
      </w:r>
      <w:r>
        <w:rPr>
          <w:rFonts w:hint="eastAsia" w:ascii="宋体" w:hAnsi="宋体" w:cs="宋体"/>
          <w:color w:val="auto"/>
          <w:kern w:val="0"/>
          <w:szCs w:val="21"/>
          <w:highlight w:val="none"/>
        </w:rPr>
        <w:t>评定，确定你单位为中选人，中选监理服务费</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。中选项目范围：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 xml:space="preserve">，工程规模为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，中选监理服务期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，工程质量达到国家施工验收规范标准。</w:t>
      </w:r>
    </w:p>
    <w:p w14:paraId="192BDED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你单位收到中选通知书后，在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日内到我单位签订监理合同。</w:t>
      </w:r>
    </w:p>
    <w:p w14:paraId="6416224E">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特此通知。</w:t>
      </w:r>
    </w:p>
    <w:p w14:paraId="3BCEF11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EC3F0AF">
      <w:pPr>
        <w:spacing w:line="360" w:lineRule="auto"/>
        <w:rPr>
          <w:rFonts w:ascii="宋体" w:hAnsi="宋体" w:cs="宋体"/>
          <w:color w:val="auto"/>
          <w:kern w:val="0"/>
          <w:sz w:val="24"/>
          <w:highlight w:val="none"/>
        </w:rPr>
      </w:pPr>
    </w:p>
    <w:p w14:paraId="3D8426F8">
      <w:pPr>
        <w:spacing w:line="360" w:lineRule="auto"/>
        <w:rPr>
          <w:rFonts w:ascii="宋体" w:hAnsi="宋体" w:cs="宋体"/>
          <w:color w:val="auto"/>
          <w:kern w:val="0"/>
          <w:sz w:val="24"/>
          <w:highlight w:val="none"/>
        </w:rPr>
      </w:pPr>
    </w:p>
    <w:p w14:paraId="76396A45">
      <w:pPr>
        <w:spacing w:line="360" w:lineRule="auto"/>
        <w:jc w:val="left"/>
        <w:rPr>
          <w:rFonts w:ascii="宋体" w:hAnsi="宋体" w:cs="宋体"/>
          <w:color w:val="auto"/>
          <w:kern w:val="0"/>
          <w:szCs w:val="21"/>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1"/>
          <w:highlight w:val="none"/>
        </w:rPr>
        <w:t xml:space="preserve">   比选人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w:t>
      </w:r>
    </w:p>
    <w:p w14:paraId="5063144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法定代表人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788747FA">
      <w:pPr>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联系人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4EB9C63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联系电话</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7D9C62C6">
      <w:pPr>
        <w:spacing w:line="360" w:lineRule="auto"/>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签发日期</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5F19135">
      <w:pPr>
        <w:spacing w:line="360" w:lineRule="auto"/>
        <w:ind w:firstLine="883"/>
        <w:jc w:val="center"/>
        <w:rPr>
          <w:rFonts w:ascii="宋体" w:hAnsi="宋体" w:cs="宋体"/>
          <w:color w:val="auto"/>
          <w:kern w:val="1"/>
          <w:highlight w:val="none"/>
        </w:rPr>
      </w:pPr>
      <w:bookmarkStart w:id="610" w:name="_Toc21320"/>
      <w:bookmarkStart w:id="611" w:name="_Toc29866"/>
    </w:p>
    <w:p w14:paraId="21D5A058">
      <w:pPr>
        <w:spacing w:line="360" w:lineRule="auto"/>
        <w:ind w:firstLine="883"/>
        <w:jc w:val="center"/>
        <w:rPr>
          <w:rFonts w:ascii="宋体" w:hAnsi="宋体" w:cs="宋体"/>
          <w:color w:val="auto"/>
          <w:kern w:val="1"/>
          <w:highlight w:val="none"/>
        </w:rPr>
      </w:pPr>
    </w:p>
    <w:p w14:paraId="46F4B4A2">
      <w:pPr>
        <w:rPr>
          <w:rFonts w:ascii="宋体" w:hAnsi="宋体" w:cs="宋体"/>
          <w:color w:val="auto"/>
          <w:kern w:val="1"/>
          <w:highlight w:val="none"/>
        </w:rPr>
      </w:pPr>
    </w:p>
    <w:p w14:paraId="5EF6D618">
      <w:pPr>
        <w:pStyle w:val="14"/>
        <w:rPr>
          <w:rFonts w:ascii="宋体" w:hAnsi="宋体" w:cs="宋体"/>
          <w:color w:val="auto"/>
          <w:kern w:val="1"/>
          <w:highlight w:val="none"/>
        </w:rPr>
      </w:pPr>
    </w:p>
    <w:p w14:paraId="5A17EF24">
      <w:pPr>
        <w:rPr>
          <w:rFonts w:ascii="宋体" w:hAnsi="宋体" w:cs="宋体"/>
          <w:color w:val="auto"/>
          <w:kern w:val="1"/>
          <w:highlight w:val="none"/>
        </w:rPr>
      </w:pPr>
    </w:p>
    <w:p w14:paraId="54C2E950">
      <w:pPr>
        <w:pStyle w:val="14"/>
        <w:rPr>
          <w:rFonts w:ascii="宋体" w:hAnsi="宋体" w:cs="宋体"/>
          <w:color w:val="auto"/>
          <w:kern w:val="1"/>
          <w:highlight w:val="none"/>
        </w:rPr>
      </w:pPr>
    </w:p>
    <w:p w14:paraId="6B8111CE">
      <w:pPr>
        <w:rPr>
          <w:rFonts w:ascii="宋体" w:hAnsi="宋体" w:cs="宋体"/>
          <w:color w:val="auto"/>
          <w:kern w:val="1"/>
          <w:highlight w:val="none"/>
        </w:rPr>
      </w:pPr>
    </w:p>
    <w:p w14:paraId="533D8A9E">
      <w:pPr>
        <w:pStyle w:val="14"/>
        <w:rPr>
          <w:color w:val="auto"/>
          <w:highlight w:val="none"/>
        </w:rPr>
      </w:pPr>
    </w:p>
    <w:p w14:paraId="3302BAE3">
      <w:pPr>
        <w:pStyle w:val="2"/>
        <w:spacing w:line="360" w:lineRule="auto"/>
        <w:jc w:val="center"/>
        <w:rPr>
          <w:rFonts w:ascii="宋体" w:hAnsi="宋体" w:cs="宋体"/>
          <w:color w:val="auto"/>
          <w:kern w:val="1"/>
          <w:highlight w:val="none"/>
        </w:rPr>
      </w:pPr>
      <w:bookmarkStart w:id="612" w:name="_Toc22241"/>
      <w:r>
        <w:rPr>
          <w:rFonts w:hint="eastAsia" w:ascii="宋体" w:hAnsi="宋体" w:cs="宋体"/>
          <w:color w:val="auto"/>
          <w:kern w:val="1"/>
          <w:highlight w:val="none"/>
        </w:rPr>
        <w:t>第三章  评选办法（综合评估法）</w:t>
      </w:r>
      <w:bookmarkEnd w:id="610"/>
      <w:bookmarkEnd w:id="611"/>
      <w:bookmarkEnd w:id="612"/>
    </w:p>
    <w:p w14:paraId="3068FDF9">
      <w:pPr>
        <w:keepNext/>
        <w:keepLines/>
        <w:spacing w:before="100" w:after="100" w:line="360" w:lineRule="auto"/>
        <w:outlineLvl w:val="1"/>
        <w:rPr>
          <w:rFonts w:ascii="宋体" w:hAnsi="宋体" w:cs="宋体"/>
          <w:b/>
          <w:bCs/>
          <w:color w:val="auto"/>
          <w:kern w:val="1"/>
          <w:sz w:val="32"/>
          <w:szCs w:val="32"/>
          <w:highlight w:val="none"/>
        </w:rPr>
      </w:pPr>
      <w:bookmarkStart w:id="613" w:name="_Toc19136"/>
      <w:bookmarkStart w:id="614" w:name="_Toc21967"/>
      <w:bookmarkStart w:id="615" w:name="_Toc9482"/>
      <w:bookmarkStart w:id="616" w:name="_Toc27983300"/>
      <w:bookmarkStart w:id="617" w:name="_Toc14474"/>
      <w:bookmarkStart w:id="618" w:name="_Toc7285"/>
      <w:bookmarkStart w:id="619" w:name="_Toc17419"/>
      <w:r>
        <w:rPr>
          <w:rFonts w:hint="eastAsia" w:ascii="宋体" w:hAnsi="宋体" w:cs="宋体"/>
          <w:b/>
          <w:bCs/>
          <w:color w:val="auto"/>
          <w:kern w:val="1"/>
          <w:sz w:val="32"/>
          <w:szCs w:val="32"/>
          <w:highlight w:val="none"/>
        </w:rPr>
        <w:t>评选办法前附表</w:t>
      </w:r>
      <w:bookmarkEnd w:id="613"/>
      <w:bookmarkEnd w:id="614"/>
      <w:bookmarkEnd w:id="615"/>
    </w:p>
    <w:p w14:paraId="79AC6593">
      <w:pPr>
        <w:spacing w:line="360" w:lineRule="auto"/>
        <w:ind w:firstLine="420" w:firstLineChars="200"/>
        <w:rPr>
          <w:color w:val="auto"/>
          <w:szCs w:val="21"/>
          <w:highlight w:val="none"/>
        </w:rPr>
      </w:pPr>
      <w:r>
        <w:rPr>
          <w:rFonts w:hint="eastAsia"/>
          <w:color w:val="auto"/>
          <w:szCs w:val="21"/>
          <w:highlight w:val="none"/>
        </w:rPr>
        <w:t>评选</w:t>
      </w:r>
      <w:r>
        <w:rPr>
          <w:color w:val="auto"/>
          <w:szCs w:val="21"/>
          <w:highlight w:val="none"/>
        </w:rPr>
        <w:t>办法前附表中的评审内容必须和</w:t>
      </w:r>
      <w:r>
        <w:rPr>
          <w:rFonts w:hint="eastAsia"/>
          <w:color w:val="auto"/>
          <w:szCs w:val="21"/>
          <w:highlight w:val="none"/>
        </w:rPr>
        <w:t>竞选人</w:t>
      </w:r>
      <w:r>
        <w:rPr>
          <w:color w:val="auto"/>
          <w:szCs w:val="21"/>
          <w:highlight w:val="none"/>
        </w:rPr>
        <w:t>须知前附表中的对应内容一致，若</w:t>
      </w:r>
      <w:r>
        <w:rPr>
          <w:rFonts w:hint="eastAsia"/>
          <w:color w:val="auto"/>
          <w:szCs w:val="21"/>
          <w:highlight w:val="none"/>
        </w:rPr>
        <w:t>竞选人</w:t>
      </w:r>
      <w:r>
        <w:rPr>
          <w:color w:val="auto"/>
          <w:szCs w:val="21"/>
          <w:highlight w:val="none"/>
        </w:rPr>
        <w:t>须知前附表中未作要求的内容，不得列入</w:t>
      </w:r>
      <w:r>
        <w:rPr>
          <w:rFonts w:hint="eastAsia"/>
          <w:color w:val="auto"/>
          <w:szCs w:val="21"/>
          <w:highlight w:val="none"/>
        </w:rPr>
        <w:t>评选</w:t>
      </w:r>
      <w:r>
        <w:rPr>
          <w:color w:val="auto"/>
          <w:szCs w:val="21"/>
          <w:highlight w:val="none"/>
        </w:rPr>
        <w:t>办法前附表作为评定依据。</w:t>
      </w:r>
    </w:p>
    <w:p w14:paraId="18807AAC">
      <w:pPr>
        <w:rPr>
          <w:color w:val="auto"/>
          <w:highlight w:val="none"/>
        </w:rPr>
      </w:pPr>
    </w:p>
    <w:tbl>
      <w:tblPr>
        <w:tblStyle w:val="21"/>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985"/>
        <w:gridCol w:w="5917"/>
      </w:tblGrid>
      <w:tr w14:paraId="009BC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71B33AF0">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015" w:type="dxa"/>
            <w:gridSpan w:val="2"/>
            <w:vAlign w:val="center"/>
          </w:tcPr>
          <w:p w14:paraId="334E950E">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917" w:type="dxa"/>
            <w:vAlign w:val="center"/>
          </w:tcPr>
          <w:p w14:paraId="64A89E63">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6122A6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6FB94AD">
            <w:pPr>
              <w:spacing w:line="360" w:lineRule="auto"/>
              <w:jc w:val="center"/>
              <w:rPr>
                <w:rFonts w:ascii="宋体" w:hAnsi="宋体"/>
                <w:b/>
                <w:color w:val="auto"/>
                <w:kern w:val="0"/>
                <w:highlight w:val="none"/>
              </w:rPr>
            </w:pPr>
            <w:r>
              <w:rPr>
                <w:rFonts w:hint="eastAsia" w:ascii="宋体" w:hAnsi="宋体"/>
                <w:color w:val="auto"/>
                <w:kern w:val="0"/>
                <w:highlight w:val="none"/>
              </w:rPr>
              <w:t>1</w:t>
            </w:r>
          </w:p>
        </w:tc>
        <w:tc>
          <w:tcPr>
            <w:tcW w:w="2015" w:type="dxa"/>
            <w:gridSpan w:val="2"/>
            <w:vAlign w:val="center"/>
          </w:tcPr>
          <w:p w14:paraId="62DB970E">
            <w:pPr>
              <w:spacing w:line="360" w:lineRule="auto"/>
              <w:jc w:val="center"/>
              <w:rPr>
                <w:rFonts w:ascii="宋体" w:hAnsi="宋体"/>
                <w:b/>
                <w:color w:val="auto"/>
                <w:kern w:val="0"/>
                <w:highlight w:val="none"/>
              </w:rPr>
            </w:pPr>
            <w:r>
              <w:rPr>
                <w:rFonts w:hint="eastAsia" w:ascii="宋体" w:hAnsi="宋体"/>
                <w:color w:val="auto"/>
                <w:kern w:val="0"/>
                <w:highlight w:val="none"/>
              </w:rPr>
              <w:t>评选</w:t>
            </w:r>
            <w:r>
              <w:rPr>
                <w:rFonts w:ascii="宋体" w:hAnsi="宋体"/>
                <w:color w:val="auto"/>
                <w:kern w:val="0"/>
                <w:highlight w:val="none"/>
              </w:rPr>
              <w:t>办法</w:t>
            </w:r>
          </w:p>
        </w:tc>
        <w:tc>
          <w:tcPr>
            <w:tcW w:w="5917" w:type="dxa"/>
            <w:vAlign w:val="center"/>
          </w:tcPr>
          <w:p w14:paraId="0C65EBA3">
            <w:pPr>
              <w:spacing w:line="360" w:lineRule="auto"/>
              <w:ind w:firstLine="420" w:firstLineChars="200"/>
              <w:jc w:val="left"/>
              <w:rPr>
                <w:rFonts w:ascii="宋体" w:hAnsi="宋体"/>
                <w:b/>
                <w:color w:val="auto"/>
                <w:kern w:val="0"/>
                <w:highlight w:val="none"/>
              </w:rPr>
            </w:pPr>
            <w:r>
              <w:rPr>
                <w:rFonts w:ascii="宋体" w:hAnsi="宋体"/>
                <w:color w:val="auto"/>
                <w:kern w:val="0"/>
                <w:szCs w:val="21"/>
                <w:highlight w:val="none"/>
              </w:rPr>
              <w:t>本次</w:t>
            </w:r>
            <w:r>
              <w:rPr>
                <w:rFonts w:hint="eastAsia" w:ascii="宋体" w:hAnsi="宋体"/>
                <w:color w:val="auto"/>
                <w:kern w:val="0"/>
                <w:szCs w:val="21"/>
                <w:highlight w:val="none"/>
              </w:rPr>
              <w:t>比选</w:t>
            </w:r>
            <w:r>
              <w:rPr>
                <w:rFonts w:ascii="宋体" w:hAnsi="宋体"/>
                <w:color w:val="auto"/>
                <w:kern w:val="0"/>
                <w:szCs w:val="21"/>
                <w:highlight w:val="none"/>
              </w:rPr>
              <w:t>采用综合评估法</w:t>
            </w:r>
            <w:r>
              <w:rPr>
                <w:rFonts w:ascii="宋体" w:hAnsi="宋体"/>
                <w:color w:val="auto"/>
                <w:spacing w:val="-47"/>
                <w:kern w:val="0"/>
                <w:szCs w:val="21"/>
                <w:highlight w:val="none"/>
              </w:rPr>
              <w:t>。</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w:t>
            </w:r>
            <w:r>
              <w:rPr>
                <w:rFonts w:hint="eastAsia" w:ascii="宋体" w:hAnsi="宋体"/>
                <w:color w:val="auto"/>
                <w:kern w:val="0"/>
                <w:szCs w:val="21"/>
                <w:highlight w:val="none"/>
              </w:rPr>
              <w:t>中选</w:t>
            </w:r>
            <w:r>
              <w:rPr>
                <w:rFonts w:ascii="宋体" w:hAnsi="宋体"/>
                <w:color w:val="auto"/>
                <w:kern w:val="0"/>
                <w:szCs w:val="21"/>
                <w:highlight w:val="none"/>
              </w:rPr>
              <w:t>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竞选总报价</w:t>
            </w:r>
            <w:r>
              <w:rPr>
                <w:rFonts w:ascii="宋体" w:hAnsi="宋体"/>
                <w:color w:val="auto"/>
                <w:kern w:val="0"/>
                <w:szCs w:val="21"/>
                <w:highlight w:val="none"/>
              </w:rPr>
              <w:t>低的优先；</w:t>
            </w:r>
            <w:r>
              <w:rPr>
                <w:rFonts w:hint="eastAsia" w:ascii="宋体" w:hAnsi="宋体"/>
                <w:color w:val="auto"/>
                <w:kern w:val="0"/>
                <w:szCs w:val="21"/>
                <w:highlight w:val="none"/>
              </w:rPr>
              <w:t>竞选总报价</w:t>
            </w:r>
            <w:r>
              <w:rPr>
                <w:rFonts w:ascii="宋体" w:hAnsi="宋体"/>
                <w:color w:val="auto"/>
                <w:kern w:val="0"/>
                <w:szCs w:val="21"/>
                <w:highlight w:val="none"/>
              </w:rPr>
              <w:t>相等的，</w:t>
            </w:r>
            <w:r>
              <w:rPr>
                <w:rFonts w:hint="eastAsia" w:ascii="宋体" w:hAnsi="宋体"/>
                <w:color w:val="auto"/>
                <w:kern w:val="0"/>
                <w:szCs w:val="21"/>
                <w:highlight w:val="none"/>
              </w:rPr>
              <w:t>以技术（监理大纲）得分高的优先；技术得分</w:t>
            </w:r>
            <w:r>
              <w:rPr>
                <w:rFonts w:ascii="宋体" w:hAnsi="宋体"/>
                <w:color w:val="auto"/>
                <w:kern w:val="0"/>
                <w:szCs w:val="21"/>
                <w:highlight w:val="none"/>
              </w:rPr>
              <w:t>相等的</w:t>
            </w:r>
            <w:r>
              <w:rPr>
                <w:rFonts w:hint="eastAsia" w:ascii="宋体" w:hAnsi="宋体"/>
                <w:color w:val="auto"/>
                <w:kern w:val="0"/>
                <w:szCs w:val="21"/>
                <w:highlight w:val="none"/>
              </w:rPr>
              <w:t>，由</w:t>
            </w:r>
            <w:r>
              <w:rPr>
                <w:rFonts w:hint="eastAsia" w:ascii="宋体" w:hAnsi="宋体"/>
                <w:color w:val="auto"/>
                <w:kern w:val="0"/>
                <w:szCs w:val="21"/>
                <w:highlight w:val="none"/>
                <w:lang w:eastAsia="zh-CN"/>
              </w:rPr>
              <w:t>评标委员会</w:t>
            </w:r>
            <w:r>
              <w:rPr>
                <w:rFonts w:hint="eastAsia" w:ascii="宋体" w:hAnsi="宋体"/>
                <w:color w:val="auto"/>
                <w:spacing w:val="4"/>
                <w:kern w:val="0"/>
                <w:szCs w:val="21"/>
                <w:highlight w:val="none"/>
              </w:rPr>
              <w:t>投票确定</w:t>
            </w:r>
            <w:r>
              <w:rPr>
                <w:rFonts w:hint="eastAsia" w:ascii="宋体" w:hAnsi="宋体"/>
                <w:color w:val="auto"/>
                <w:kern w:val="0"/>
                <w:szCs w:val="21"/>
                <w:highlight w:val="none"/>
              </w:rPr>
              <w:t>。</w:t>
            </w:r>
          </w:p>
        </w:tc>
      </w:tr>
      <w:tr w14:paraId="12E498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C2CC975">
            <w:pPr>
              <w:spacing w:line="360" w:lineRule="auto"/>
              <w:jc w:val="center"/>
              <w:rPr>
                <w:rFonts w:ascii="宋体" w:hAnsi="宋体"/>
                <w:color w:val="auto"/>
                <w:kern w:val="0"/>
                <w:highlight w:val="none"/>
              </w:rPr>
            </w:pPr>
            <w:r>
              <w:rPr>
                <w:rFonts w:ascii="宋体" w:hAnsi="宋体"/>
                <w:color w:val="auto"/>
                <w:kern w:val="0"/>
                <w:highlight w:val="none"/>
              </w:rPr>
              <w:t>2.1.1</w:t>
            </w:r>
          </w:p>
        </w:tc>
        <w:tc>
          <w:tcPr>
            <w:tcW w:w="673" w:type="dxa"/>
            <w:vMerge w:val="restart"/>
            <w:vAlign w:val="center"/>
          </w:tcPr>
          <w:p w14:paraId="14D86DD4">
            <w:pPr>
              <w:spacing w:line="360" w:lineRule="auto"/>
              <w:jc w:val="center"/>
              <w:rPr>
                <w:rFonts w:ascii="宋体" w:hAnsi="宋体"/>
                <w:color w:val="auto"/>
                <w:kern w:val="0"/>
                <w:highlight w:val="none"/>
              </w:rPr>
            </w:pPr>
            <w:r>
              <w:rPr>
                <w:rFonts w:ascii="宋体" w:hAnsi="宋体"/>
                <w:color w:val="auto"/>
                <w:kern w:val="0"/>
                <w:highlight w:val="none"/>
              </w:rPr>
              <w:t>形式评审标准</w:t>
            </w:r>
          </w:p>
        </w:tc>
        <w:tc>
          <w:tcPr>
            <w:tcW w:w="2015" w:type="dxa"/>
            <w:gridSpan w:val="2"/>
            <w:vAlign w:val="center"/>
          </w:tcPr>
          <w:p w14:paraId="1ACAE9DB">
            <w:pPr>
              <w:spacing w:line="360" w:lineRule="auto"/>
              <w:jc w:val="center"/>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名称</w:t>
            </w:r>
          </w:p>
        </w:tc>
        <w:tc>
          <w:tcPr>
            <w:tcW w:w="5917" w:type="dxa"/>
            <w:vAlign w:val="center"/>
          </w:tcPr>
          <w:p w14:paraId="112C8EAE">
            <w:pPr>
              <w:spacing w:line="360" w:lineRule="auto"/>
              <w:ind w:firstLine="420" w:firstLineChars="200"/>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w:t>
            </w:r>
            <w:r>
              <w:rPr>
                <w:color w:val="auto"/>
                <w:highlight w:val="none"/>
              </w:rPr>
              <w:t>依法变更名称的应提交相应证明材料。</w:t>
            </w:r>
          </w:p>
        </w:tc>
      </w:tr>
      <w:tr w14:paraId="2FAF4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EAF3C84">
            <w:pPr>
              <w:spacing w:line="360" w:lineRule="auto"/>
              <w:rPr>
                <w:rFonts w:ascii="宋体" w:hAnsi="宋体"/>
                <w:color w:val="auto"/>
                <w:highlight w:val="none"/>
              </w:rPr>
            </w:pPr>
          </w:p>
        </w:tc>
        <w:tc>
          <w:tcPr>
            <w:tcW w:w="673" w:type="dxa"/>
            <w:vMerge w:val="continue"/>
          </w:tcPr>
          <w:p w14:paraId="1058DBD7">
            <w:pPr>
              <w:spacing w:line="360" w:lineRule="auto"/>
              <w:rPr>
                <w:rFonts w:ascii="宋体" w:hAnsi="宋体"/>
                <w:color w:val="auto"/>
                <w:highlight w:val="none"/>
              </w:rPr>
            </w:pPr>
          </w:p>
        </w:tc>
        <w:tc>
          <w:tcPr>
            <w:tcW w:w="2015" w:type="dxa"/>
            <w:gridSpan w:val="2"/>
            <w:vAlign w:val="center"/>
          </w:tcPr>
          <w:p w14:paraId="5B54E52A">
            <w:pPr>
              <w:spacing w:line="360" w:lineRule="auto"/>
              <w:jc w:val="center"/>
              <w:rPr>
                <w:rFonts w:ascii="宋体" w:hAnsi="宋体"/>
                <w:color w:val="auto"/>
                <w:kern w:val="0"/>
                <w:highlight w:val="none"/>
              </w:rPr>
            </w:pPr>
            <w:r>
              <w:rPr>
                <w:rFonts w:hint="eastAsia" w:ascii="宋体" w:hAnsi="宋体"/>
                <w:color w:val="auto"/>
                <w:kern w:val="0"/>
                <w:highlight w:val="none"/>
              </w:rPr>
              <w:t>竞选函</w:t>
            </w:r>
            <w:r>
              <w:rPr>
                <w:rFonts w:ascii="宋体" w:hAnsi="宋体"/>
                <w:color w:val="auto"/>
                <w:kern w:val="0"/>
                <w:highlight w:val="none"/>
              </w:rPr>
              <w:t>签字盖章</w:t>
            </w:r>
          </w:p>
        </w:tc>
        <w:tc>
          <w:tcPr>
            <w:tcW w:w="5917" w:type="dxa"/>
            <w:vAlign w:val="center"/>
          </w:tcPr>
          <w:p w14:paraId="3FF31BCB">
            <w:pPr>
              <w:spacing w:line="360" w:lineRule="auto"/>
              <w:ind w:firstLine="420" w:firstLineChars="200"/>
              <w:rPr>
                <w:rFonts w:ascii="宋体" w:hAnsi="宋体"/>
                <w:color w:val="auto"/>
                <w:kern w:val="0"/>
                <w:highlight w:val="none"/>
              </w:rPr>
            </w:pPr>
            <w:r>
              <w:rPr>
                <w:rFonts w:ascii="宋体" w:hAnsi="宋体"/>
                <w:color w:val="auto"/>
                <w:kern w:val="0"/>
                <w:highlight w:val="none"/>
              </w:rPr>
              <w:t>有法定代表人或其委托代理人签字（或盖章）、加盖单位</w:t>
            </w:r>
            <w:r>
              <w:rPr>
                <w:rFonts w:hint="eastAsia" w:ascii="宋体" w:hAnsi="宋体"/>
                <w:color w:val="auto"/>
                <w:kern w:val="0"/>
                <w:highlight w:val="none"/>
              </w:rPr>
              <w:t>公章</w:t>
            </w:r>
            <w:r>
              <w:rPr>
                <w:rFonts w:ascii="宋体" w:hAnsi="宋体"/>
                <w:color w:val="auto"/>
                <w:kern w:val="0"/>
                <w:highlight w:val="none"/>
              </w:rPr>
              <w:t>。</w:t>
            </w:r>
          </w:p>
        </w:tc>
      </w:tr>
      <w:tr w14:paraId="14F74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3C766AB">
            <w:pPr>
              <w:spacing w:line="360" w:lineRule="auto"/>
              <w:rPr>
                <w:rFonts w:ascii="宋体" w:hAnsi="宋体"/>
                <w:color w:val="auto"/>
                <w:highlight w:val="none"/>
              </w:rPr>
            </w:pPr>
          </w:p>
        </w:tc>
        <w:tc>
          <w:tcPr>
            <w:tcW w:w="673" w:type="dxa"/>
            <w:vMerge w:val="continue"/>
          </w:tcPr>
          <w:p w14:paraId="486A98DB">
            <w:pPr>
              <w:spacing w:line="360" w:lineRule="auto"/>
              <w:rPr>
                <w:rFonts w:ascii="宋体" w:hAnsi="宋体"/>
                <w:color w:val="auto"/>
                <w:highlight w:val="none"/>
              </w:rPr>
            </w:pPr>
          </w:p>
        </w:tc>
        <w:tc>
          <w:tcPr>
            <w:tcW w:w="2015" w:type="dxa"/>
            <w:gridSpan w:val="2"/>
            <w:vAlign w:val="center"/>
          </w:tcPr>
          <w:p w14:paraId="7194A32F">
            <w:pPr>
              <w:spacing w:line="360" w:lineRule="auto"/>
              <w:jc w:val="center"/>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格式</w:t>
            </w:r>
          </w:p>
        </w:tc>
        <w:tc>
          <w:tcPr>
            <w:tcW w:w="5917" w:type="dxa"/>
            <w:vAlign w:val="center"/>
          </w:tcPr>
          <w:p w14:paraId="63108C9E">
            <w:pPr>
              <w:spacing w:line="360" w:lineRule="auto"/>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五</w:t>
            </w:r>
            <w:r>
              <w:rPr>
                <w:rFonts w:ascii="宋体" w:hAnsi="宋体"/>
                <w:color w:val="auto"/>
                <w:kern w:val="0"/>
                <w:highlight w:val="none"/>
              </w:rPr>
              <w:t>章“</w:t>
            </w:r>
            <w:r>
              <w:rPr>
                <w:rFonts w:hint="eastAsia" w:ascii="宋体" w:hAnsi="宋体"/>
                <w:color w:val="auto"/>
                <w:kern w:val="0"/>
                <w:highlight w:val="none"/>
              </w:rPr>
              <w:t>竞选文件</w:t>
            </w:r>
            <w:r>
              <w:rPr>
                <w:rFonts w:ascii="宋体" w:hAnsi="宋体"/>
                <w:color w:val="auto"/>
                <w:kern w:val="0"/>
                <w:highlight w:val="none"/>
              </w:rPr>
              <w:t>格式”的要求。</w:t>
            </w:r>
          </w:p>
        </w:tc>
      </w:tr>
      <w:tr w14:paraId="7C1DF4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47665A7">
            <w:pPr>
              <w:spacing w:line="360" w:lineRule="auto"/>
              <w:rPr>
                <w:rFonts w:ascii="宋体" w:hAnsi="宋体"/>
                <w:color w:val="auto"/>
                <w:highlight w:val="none"/>
              </w:rPr>
            </w:pPr>
          </w:p>
        </w:tc>
        <w:tc>
          <w:tcPr>
            <w:tcW w:w="673" w:type="dxa"/>
            <w:vMerge w:val="continue"/>
          </w:tcPr>
          <w:p w14:paraId="4D587956">
            <w:pPr>
              <w:spacing w:line="360" w:lineRule="auto"/>
              <w:rPr>
                <w:rFonts w:ascii="宋体" w:hAnsi="宋体"/>
                <w:color w:val="auto"/>
                <w:highlight w:val="none"/>
              </w:rPr>
            </w:pPr>
          </w:p>
        </w:tc>
        <w:tc>
          <w:tcPr>
            <w:tcW w:w="2015" w:type="dxa"/>
            <w:gridSpan w:val="2"/>
            <w:vAlign w:val="center"/>
          </w:tcPr>
          <w:p w14:paraId="67ACBD95">
            <w:pPr>
              <w:spacing w:line="360" w:lineRule="auto"/>
              <w:jc w:val="center"/>
              <w:rPr>
                <w:rFonts w:ascii="宋体" w:hAnsi="宋体"/>
                <w:color w:val="auto"/>
                <w:kern w:val="0"/>
                <w:highlight w:val="none"/>
              </w:rPr>
            </w:pPr>
            <w:r>
              <w:rPr>
                <w:rFonts w:ascii="宋体" w:hAnsi="宋体"/>
                <w:color w:val="auto"/>
                <w:kern w:val="0"/>
                <w:highlight w:val="none"/>
              </w:rPr>
              <w:t>报价唯一</w:t>
            </w:r>
          </w:p>
        </w:tc>
        <w:tc>
          <w:tcPr>
            <w:tcW w:w="5917" w:type="dxa"/>
            <w:vAlign w:val="center"/>
          </w:tcPr>
          <w:p w14:paraId="3B64E19A">
            <w:pPr>
              <w:spacing w:line="360" w:lineRule="auto"/>
              <w:ind w:firstLine="420" w:firstLineChars="200"/>
              <w:rPr>
                <w:rFonts w:ascii="宋体" w:hAnsi="宋体"/>
                <w:color w:val="auto"/>
                <w:kern w:val="0"/>
                <w:highlight w:val="none"/>
              </w:rPr>
            </w:pPr>
            <w:r>
              <w:rPr>
                <w:rFonts w:ascii="宋体" w:hAnsi="宋体"/>
                <w:color w:val="auto"/>
                <w:kern w:val="0"/>
                <w:highlight w:val="none"/>
              </w:rPr>
              <w:t>只能有一个有效报价，在比选文件没有规定的情况下，不得提交选择性报价。</w:t>
            </w:r>
          </w:p>
        </w:tc>
      </w:tr>
      <w:tr w14:paraId="3F83AF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FD9ECF1">
            <w:pPr>
              <w:spacing w:line="360" w:lineRule="auto"/>
              <w:rPr>
                <w:rFonts w:ascii="宋体" w:hAnsi="宋体"/>
                <w:color w:val="auto"/>
                <w:highlight w:val="none"/>
              </w:rPr>
            </w:pPr>
          </w:p>
        </w:tc>
        <w:tc>
          <w:tcPr>
            <w:tcW w:w="673" w:type="dxa"/>
            <w:vMerge w:val="continue"/>
          </w:tcPr>
          <w:p w14:paraId="2983D558">
            <w:pPr>
              <w:spacing w:line="360" w:lineRule="auto"/>
              <w:rPr>
                <w:rFonts w:ascii="宋体" w:hAnsi="宋体"/>
                <w:color w:val="auto"/>
                <w:highlight w:val="none"/>
              </w:rPr>
            </w:pPr>
          </w:p>
        </w:tc>
        <w:tc>
          <w:tcPr>
            <w:tcW w:w="2015" w:type="dxa"/>
            <w:gridSpan w:val="2"/>
            <w:vAlign w:val="center"/>
          </w:tcPr>
          <w:p w14:paraId="53B05D74">
            <w:pPr>
              <w:spacing w:line="360" w:lineRule="auto"/>
              <w:jc w:val="center"/>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的签署</w:t>
            </w:r>
          </w:p>
        </w:tc>
        <w:tc>
          <w:tcPr>
            <w:tcW w:w="5917" w:type="dxa"/>
            <w:vAlign w:val="center"/>
          </w:tcPr>
          <w:p w14:paraId="06BB532B">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上法定代表人或其委托代理人的签字（或盖章）齐全。</w:t>
            </w:r>
          </w:p>
        </w:tc>
      </w:tr>
      <w:tr w14:paraId="33C4AC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3236CAD">
            <w:pPr>
              <w:spacing w:line="360" w:lineRule="auto"/>
              <w:rPr>
                <w:rFonts w:ascii="宋体" w:hAnsi="宋体"/>
                <w:color w:val="auto"/>
                <w:highlight w:val="none"/>
              </w:rPr>
            </w:pPr>
          </w:p>
        </w:tc>
        <w:tc>
          <w:tcPr>
            <w:tcW w:w="673" w:type="dxa"/>
            <w:vMerge w:val="continue"/>
          </w:tcPr>
          <w:p w14:paraId="306581D5">
            <w:pPr>
              <w:spacing w:line="360" w:lineRule="auto"/>
              <w:rPr>
                <w:rFonts w:ascii="宋体" w:hAnsi="宋体"/>
                <w:color w:val="auto"/>
                <w:highlight w:val="none"/>
              </w:rPr>
            </w:pPr>
          </w:p>
        </w:tc>
        <w:tc>
          <w:tcPr>
            <w:tcW w:w="2015" w:type="dxa"/>
            <w:gridSpan w:val="2"/>
            <w:vAlign w:val="center"/>
          </w:tcPr>
          <w:p w14:paraId="4EB71002">
            <w:pPr>
              <w:spacing w:line="360" w:lineRule="auto"/>
              <w:jc w:val="center"/>
              <w:rPr>
                <w:rFonts w:ascii="宋体" w:hAnsi="宋体"/>
                <w:color w:val="auto"/>
                <w:kern w:val="0"/>
                <w:highlight w:val="none"/>
              </w:rPr>
            </w:pPr>
            <w:r>
              <w:rPr>
                <w:rFonts w:ascii="宋体" w:hAnsi="宋体"/>
                <w:color w:val="auto"/>
                <w:kern w:val="0"/>
                <w:highlight w:val="none"/>
              </w:rPr>
              <w:t>委托代理人</w:t>
            </w:r>
          </w:p>
        </w:tc>
        <w:tc>
          <w:tcPr>
            <w:tcW w:w="5917" w:type="dxa"/>
            <w:vAlign w:val="center"/>
          </w:tcPr>
          <w:p w14:paraId="29714505">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法定代表人的委托代理人有法定代表人签署的授权委托书</w:t>
            </w:r>
            <w:r>
              <w:rPr>
                <w:rFonts w:hint="eastAsia" w:ascii="宋体" w:hAnsi="宋体"/>
                <w:color w:val="auto"/>
                <w:kern w:val="0"/>
                <w:highlight w:val="none"/>
              </w:rPr>
              <w:t>。</w:t>
            </w:r>
          </w:p>
        </w:tc>
      </w:tr>
      <w:tr w14:paraId="298290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076310B1">
            <w:pPr>
              <w:spacing w:line="360" w:lineRule="auto"/>
              <w:jc w:val="center"/>
              <w:rPr>
                <w:rFonts w:ascii="宋体" w:hAnsi="宋体"/>
                <w:color w:val="auto"/>
                <w:kern w:val="0"/>
                <w:highlight w:val="none"/>
              </w:rPr>
            </w:pPr>
            <w:r>
              <w:rPr>
                <w:rFonts w:ascii="宋体" w:hAnsi="宋体"/>
                <w:color w:val="auto"/>
                <w:kern w:val="0"/>
                <w:highlight w:val="none"/>
              </w:rPr>
              <w:t>2.1.2</w:t>
            </w:r>
          </w:p>
        </w:tc>
        <w:tc>
          <w:tcPr>
            <w:tcW w:w="673" w:type="dxa"/>
            <w:vMerge w:val="restart"/>
            <w:vAlign w:val="center"/>
          </w:tcPr>
          <w:p w14:paraId="3147999F">
            <w:pPr>
              <w:spacing w:line="360" w:lineRule="auto"/>
              <w:jc w:val="center"/>
              <w:rPr>
                <w:rFonts w:ascii="宋体" w:hAnsi="宋体"/>
                <w:color w:val="auto"/>
                <w:kern w:val="0"/>
                <w:highlight w:val="none"/>
              </w:rPr>
            </w:pPr>
            <w:r>
              <w:rPr>
                <w:rFonts w:ascii="宋体" w:hAnsi="宋体"/>
                <w:color w:val="auto"/>
                <w:kern w:val="0"/>
                <w:highlight w:val="none"/>
              </w:rPr>
              <w:t>资格评审标准</w:t>
            </w:r>
          </w:p>
        </w:tc>
        <w:tc>
          <w:tcPr>
            <w:tcW w:w="2015" w:type="dxa"/>
            <w:gridSpan w:val="2"/>
            <w:tcBorders>
              <w:bottom w:val="single" w:color="auto" w:sz="4" w:space="0"/>
            </w:tcBorders>
            <w:vAlign w:val="center"/>
          </w:tcPr>
          <w:p w14:paraId="423595A1">
            <w:pPr>
              <w:spacing w:line="360" w:lineRule="auto"/>
              <w:jc w:val="center"/>
              <w:rPr>
                <w:rFonts w:ascii="宋体" w:hAnsi="宋体"/>
                <w:color w:val="auto"/>
                <w:kern w:val="0"/>
                <w:highlight w:val="none"/>
              </w:rPr>
            </w:pPr>
            <w:r>
              <w:rPr>
                <w:rFonts w:ascii="宋体" w:hAnsi="宋体"/>
                <w:color w:val="auto"/>
                <w:kern w:val="0"/>
                <w:highlight w:val="none"/>
              </w:rPr>
              <w:t>营业执照</w:t>
            </w:r>
          </w:p>
        </w:tc>
        <w:tc>
          <w:tcPr>
            <w:tcW w:w="5917" w:type="dxa"/>
            <w:vAlign w:val="center"/>
          </w:tcPr>
          <w:p w14:paraId="066593BA">
            <w:pPr>
              <w:spacing w:line="360" w:lineRule="auto"/>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7EFD0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A785F34">
            <w:pPr>
              <w:spacing w:line="360" w:lineRule="auto"/>
              <w:rPr>
                <w:rFonts w:ascii="宋体" w:hAnsi="宋体"/>
                <w:color w:val="auto"/>
                <w:highlight w:val="none"/>
              </w:rPr>
            </w:pPr>
          </w:p>
        </w:tc>
        <w:tc>
          <w:tcPr>
            <w:tcW w:w="673" w:type="dxa"/>
            <w:vMerge w:val="continue"/>
          </w:tcPr>
          <w:p w14:paraId="4AFB86A6">
            <w:pPr>
              <w:spacing w:line="360" w:lineRule="auto"/>
              <w:rPr>
                <w:rFonts w:ascii="宋体" w:hAnsi="宋体"/>
                <w:color w:val="auto"/>
                <w:highlight w:val="none"/>
              </w:rPr>
            </w:pPr>
          </w:p>
        </w:tc>
        <w:tc>
          <w:tcPr>
            <w:tcW w:w="2015" w:type="dxa"/>
            <w:gridSpan w:val="2"/>
            <w:tcBorders>
              <w:top w:val="single" w:color="auto" w:sz="4" w:space="0"/>
            </w:tcBorders>
          </w:tcPr>
          <w:p w14:paraId="7CD2CADA">
            <w:pPr>
              <w:spacing w:line="360" w:lineRule="auto"/>
              <w:jc w:val="center"/>
              <w:rPr>
                <w:rFonts w:ascii="宋体" w:hAnsi="宋体"/>
                <w:color w:val="auto"/>
                <w:kern w:val="0"/>
                <w:highlight w:val="none"/>
              </w:rPr>
            </w:pPr>
            <w:r>
              <w:rPr>
                <w:rFonts w:ascii="宋体" w:hAnsi="宋体"/>
                <w:color w:val="auto"/>
                <w:kern w:val="0"/>
                <w:highlight w:val="none"/>
              </w:rPr>
              <w:t>资质等级</w:t>
            </w:r>
          </w:p>
        </w:tc>
        <w:tc>
          <w:tcPr>
            <w:tcW w:w="5917" w:type="dxa"/>
            <w:vAlign w:val="center"/>
          </w:tcPr>
          <w:p w14:paraId="1BC3A238">
            <w:pPr>
              <w:spacing w:line="360" w:lineRule="auto"/>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2896A5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165E3F3F">
            <w:pPr>
              <w:spacing w:line="360" w:lineRule="auto"/>
              <w:rPr>
                <w:rFonts w:ascii="宋体" w:hAnsi="宋体"/>
                <w:color w:val="auto"/>
                <w:highlight w:val="none"/>
              </w:rPr>
            </w:pPr>
          </w:p>
        </w:tc>
        <w:tc>
          <w:tcPr>
            <w:tcW w:w="673" w:type="dxa"/>
            <w:vMerge w:val="continue"/>
          </w:tcPr>
          <w:p w14:paraId="43452510">
            <w:pPr>
              <w:spacing w:line="360" w:lineRule="auto"/>
              <w:rPr>
                <w:rFonts w:ascii="宋体" w:hAnsi="宋体"/>
                <w:color w:val="auto"/>
                <w:highlight w:val="none"/>
              </w:rPr>
            </w:pPr>
          </w:p>
        </w:tc>
        <w:tc>
          <w:tcPr>
            <w:tcW w:w="2015" w:type="dxa"/>
            <w:gridSpan w:val="2"/>
            <w:tcBorders>
              <w:top w:val="single" w:color="auto" w:sz="4" w:space="0"/>
            </w:tcBorders>
          </w:tcPr>
          <w:p w14:paraId="0D9905E5">
            <w:pPr>
              <w:spacing w:line="360" w:lineRule="auto"/>
              <w:jc w:val="center"/>
              <w:rPr>
                <w:rFonts w:ascii="宋体" w:hAnsi="宋体"/>
                <w:color w:val="auto"/>
                <w:kern w:val="0"/>
                <w:highlight w:val="none"/>
              </w:rPr>
            </w:pPr>
            <w:r>
              <w:rPr>
                <w:rFonts w:hint="eastAsia" w:ascii="宋体" w:hAnsi="宋体"/>
                <w:color w:val="auto"/>
                <w:kern w:val="0"/>
                <w:highlight w:val="none"/>
              </w:rPr>
              <w:t>竞选截止日竞选资格情况</w:t>
            </w:r>
          </w:p>
        </w:tc>
        <w:tc>
          <w:tcPr>
            <w:tcW w:w="5917" w:type="dxa"/>
            <w:vAlign w:val="center"/>
          </w:tcPr>
          <w:p w14:paraId="2065303D">
            <w:pPr>
              <w:spacing w:line="360" w:lineRule="auto"/>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738E19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50728AE">
            <w:pPr>
              <w:spacing w:line="360" w:lineRule="auto"/>
              <w:rPr>
                <w:rFonts w:ascii="宋体" w:hAnsi="宋体"/>
                <w:color w:val="auto"/>
                <w:highlight w:val="none"/>
              </w:rPr>
            </w:pPr>
          </w:p>
        </w:tc>
        <w:tc>
          <w:tcPr>
            <w:tcW w:w="673" w:type="dxa"/>
            <w:vMerge w:val="continue"/>
          </w:tcPr>
          <w:p w14:paraId="5A1C2876">
            <w:pPr>
              <w:spacing w:line="360" w:lineRule="auto"/>
              <w:rPr>
                <w:rFonts w:ascii="宋体" w:hAnsi="宋体"/>
                <w:color w:val="auto"/>
                <w:highlight w:val="none"/>
              </w:rPr>
            </w:pPr>
          </w:p>
        </w:tc>
        <w:tc>
          <w:tcPr>
            <w:tcW w:w="2015" w:type="dxa"/>
            <w:gridSpan w:val="2"/>
            <w:tcBorders>
              <w:top w:val="single" w:color="auto" w:sz="4" w:space="0"/>
              <w:bottom w:val="single" w:color="auto" w:sz="4" w:space="0"/>
            </w:tcBorders>
          </w:tcPr>
          <w:p w14:paraId="1730394A">
            <w:pPr>
              <w:spacing w:line="360" w:lineRule="auto"/>
              <w:jc w:val="center"/>
              <w:rPr>
                <w:rFonts w:ascii="宋体" w:hAnsi="宋体"/>
                <w:color w:val="auto"/>
                <w:szCs w:val="21"/>
                <w:highlight w:val="none"/>
              </w:rPr>
            </w:pPr>
            <w:r>
              <w:rPr>
                <w:rFonts w:hint="eastAsia" w:ascii="宋体" w:hAnsi="宋体"/>
                <w:color w:val="auto"/>
                <w:kern w:val="0"/>
                <w:highlight w:val="none"/>
              </w:rPr>
              <w:t>拟派监理人员</w:t>
            </w:r>
            <w:r>
              <w:rPr>
                <w:rFonts w:ascii="宋体" w:hAnsi="宋体"/>
                <w:color w:val="auto"/>
                <w:kern w:val="0"/>
                <w:highlight w:val="none"/>
              </w:rPr>
              <w:t>资格</w:t>
            </w:r>
          </w:p>
        </w:tc>
        <w:tc>
          <w:tcPr>
            <w:tcW w:w="5917" w:type="dxa"/>
            <w:vAlign w:val="center"/>
          </w:tcPr>
          <w:p w14:paraId="3D9102AC">
            <w:pPr>
              <w:spacing w:line="360" w:lineRule="auto"/>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4B388F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0AB60D40">
            <w:pPr>
              <w:spacing w:line="360" w:lineRule="auto"/>
              <w:rPr>
                <w:rFonts w:ascii="宋体" w:hAnsi="宋体"/>
                <w:color w:val="auto"/>
                <w:highlight w:val="none"/>
              </w:rPr>
            </w:pPr>
          </w:p>
        </w:tc>
        <w:tc>
          <w:tcPr>
            <w:tcW w:w="673" w:type="dxa"/>
            <w:vMerge w:val="continue"/>
          </w:tcPr>
          <w:p w14:paraId="56D6A884">
            <w:pPr>
              <w:spacing w:line="360" w:lineRule="auto"/>
              <w:rPr>
                <w:rFonts w:ascii="宋体" w:hAnsi="宋体"/>
                <w:color w:val="auto"/>
                <w:highlight w:val="none"/>
              </w:rPr>
            </w:pPr>
          </w:p>
        </w:tc>
        <w:tc>
          <w:tcPr>
            <w:tcW w:w="2015" w:type="dxa"/>
            <w:gridSpan w:val="2"/>
            <w:tcBorders>
              <w:top w:val="single" w:color="auto" w:sz="4" w:space="0"/>
              <w:bottom w:val="single" w:color="auto" w:sz="4" w:space="0"/>
            </w:tcBorders>
          </w:tcPr>
          <w:p w14:paraId="63F75AC4">
            <w:pPr>
              <w:spacing w:line="360" w:lineRule="auto"/>
              <w:jc w:val="center"/>
              <w:rPr>
                <w:rFonts w:ascii="宋体" w:hAnsi="宋体"/>
                <w:color w:val="auto"/>
                <w:kern w:val="0"/>
                <w:highlight w:val="none"/>
              </w:rPr>
            </w:pPr>
            <w:r>
              <w:rPr>
                <w:rFonts w:ascii="宋体" w:hAnsi="宋体"/>
                <w:color w:val="auto"/>
                <w:kern w:val="0"/>
                <w:highlight w:val="none"/>
              </w:rPr>
              <w:t>其他要求</w:t>
            </w:r>
          </w:p>
        </w:tc>
        <w:tc>
          <w:tcPr>
            <w:tcW w:w="5917" w:type="dxa"/>
            <w:vAlign w:val="center"/>
          </w:tcPr>
          <w:p w14:paraId="61F065C9">
            <w:pPr>
              <w:spacing w:line="360" w:lineRule="auto"/>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8E69B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45DF920">
            <w:pPr>
              <w:spacing w:line="360" w:lineRule="auto"/>
              <w:jc w:val="center"/>
              <w:rPr>
                <w:rFonts w:ascii="宋体" w:hAnsi="宋体"/>
                <w:color w:val="auto"/>
                <w:highlight w:val="none"/>
              </w:rPr>
            </w:pPr>
            <w:r>
              <w:rPr>
                <w:rFonts w:ascii="宋体" w:hAnsi="宋体"/>
                <w:color w:val="auto"/>
                <w:kern w:val="0"/>
                <w:highlight w:val="none"/>
              </w:rPr>
              <w:t>2.1.3</w:t>
            </w:r>
          </w:p>
        </w:tc>
        <w:tc>
          <w:tcPr>
            <w:tcW w:w="673" w:type="dxa"/>
            <w:vMerge w:val="restart"/>
            <w:vAlign w:val="center"/>
          </w:tcPr>
          <w:p w14:paraId="38BB72AA">
            <w:pPr>
              <w:spacing w:line="360" w:lineRule="auto"/>
              <w:jc w:val="center"/>
              <w:rPr>
                <w:rFonts w:ascii="宋体" w:hAnsi="宋体"/>
                <w:color w:val="auto"/>
                <w:highlight w:val="none"/>
              </w:rPr>
            </w:pPr>
            <w:r>
              <w:rPr>
                <w:rFonts w:ascii="宋体" w:hAnsi="宋体"/>
                <w:color w:val="auto"/>
                <w:kern w:val="0"/>
                <w:highlight w:val="none"/>
              </w:rPr>
              <w:t>响应性评审标准</w:t>
            </w:r>
          </w:p>
        </w:tc>
        <w:tc>
          <w:tcPr>
            <w:tcW w:w="2015" w:type="dxa"/>
            <w:gridSpan w:val="2"/>
            <w:vAlign w:val="center"/>
          </w:tcPr>
          <w:p w14:paraId="17E5156B">
            <w:pPr>
              <w:spacing w:line="360" w:lineRule="auto"/>
              <w:jc w:val="center"/>
              <w:rPr>
                <w:rFonts w:hint="default" w:ascii="宋体" w:hAnsi="宋体" w:eastAsia="宋体"/>
                <w:color w:val="auto"/>
                <w:kern w:val="0"/>
                <w:highlight w:val="none"/>
                <w:lang w:val="en-US" w:eastAsia="zh-CN"/>
              </w:rPr>
            </w:pPr>
            <w:r>
              <w:rPr>
                <w:rFonts w:hint="eastAsia" w:ascii="宋体" w:hAnsi="宋体"/>
                <w:color w:val="auto"/>
                <w:kern w:val="0"/>
                <w:highlight w:val="none"/>
              </w:rPr>
              <w:t>竞选总报价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p>
          <w:p w14:paraId="4970A278">
            <w:pPr>
              <w:spacing w:line="360" w:lineRule="auto"/>
              <w:jc w:val="center"/>
              <w:rPr>
                <w:rFonts w:hint="eastAsia" w:ascii="宋体" w:hAnsi="宋体" w:eastAsia="宋体"/>
                <w:color w:val="auto"/>
                <w:kern w:val="0"/>
                <w:highlight w:val="none"/>
                <w:lang w:eastAsia="zh-CN"/>
              </w:rPr>
            </w:pPr>
          </w:p>
        </w:tc>
        <w:tc>
          <w:tcPr>
            <w:tcW w:w="5917" w:type="dxa"/>
            <w:vAlign w:val="center"/>
          </w:tcPr>
          <w:p w14:paraId="32EFA4A0">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竞选人的</w:t>
            </w:r>
            <w:r>
              <w:rPr>
                <w:rFonts w:hint="eastAsia" w:ascii="宋体" w:hAnsi="宋体"/>
                <w:color w:val="auto"/>
                <w:kern w:val="0"/>
                <w:highlight w:val="none"/>
                <w:lang w:val="en-US" w:eastAsia="zh-CN"/>
              </w:rPr>
              <w:t>竞选</w:t>
            </w:r>
            <w:r>
              <w:rPr>
                <w:rFonts w:hint="eastAsia" w:ascii="宋体" w:hAnsi="宋体"/>
                <w:color w:val="auto"/>
                <w:kern w:val="0"/>
                <w:highlight w:val="none"/>
              </w:rPr>
              <w:t>总</w:t>
            </w:r>
            <w:r>
              <w:rPr>
                <w:rFonts w:ascii="宋体" w:hAnsi="宋体"/>
                <w:color w:val="auto"/>
                <w:kern w:val="0"/>
                <w:highlight w:val="none"/>
              </w:rPr>
              <w:t>报价</w:t>
            </w:r>
            <w:r>
              <w:rPr>
                <w:rFonts w:hint="eastAsia" w:ascii="宋体" w:hAnsi="宋体"/>
                <w:color w:val="auto"/>
                <w:kern w:val="0"/>
                <w:highlight w:val="none"/>
                <w:lang w:val="en-US" w:eastAsia="zh-CN"/>
              </w:rPr>
              <w:t>以及折扣比例</w:t>
            </w:r>
            <w:r>
              <w:rPr>
                <w:rFonts w:ascii="宋体" w:hAnsi="宋体"/>
                <w:color w:val="auto"/>
                <w:kern w:val="0"/>
                <w:highlight w:val="none"/>
              </w:rPr>
              <w:t>不得高于</w:t>
            </w:r>
            <w:r>
              <w:rPr>
                <w:rFonts w:hint="eastAsia" w:ascii="宋体" w:hAnsi="宋体"/>
                <w:color w:val="auto"/>
                <w:kern w:val="0"/>
                <w:highlight w:val="none"/>
              </w:rPr>
              <w:t>比选人</w:t>
            </w:r>
            <w:r>
              <w:rPr>
                <w:rFonts w:ascii="宋体" w:hAnsi="宋体"/>
                <w:color w:val="auto"/>
                <w:kern w:val="0"/>
                <w:highlight w:val="none"/>
              </w:rPr>
              <w:t>公布的</w:t>
            </w:r>
            <w:r>
              <w:rPr>
                <w:rFonts w:hint="eastAsia" w:ascii="宋体" w:hAnsi="宋体"/>
                <w:color w:val="auto"/>
                <w:kern w:val="0"/>
                <w:highlight w:val="none"/>
                <w:lang w:val="en-US" w:eastAsia="zh-CN"/>
              </w:rPr>
              <w:t>对应</w:t>
            </w:r>
            <w:r>
              <w:rPr>
                <w:rFonts w:hint="eastAsia"/>
                <w:color w:val="auto"/>
                <w:szCs w:val="21"/>
                <w:highlight w:val="none"/>
              </w:rPr>
              <w:t>最高限价。</w:t>
            </w:r>
          </w:p>
          <w:p w14:paraId="2E8C1EC7">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竞选总报价不得低于成本：</w:t>
            </w:r>
            <w:r>
              <w:rPr>
                <w:rFonts w:hint="eastAsia" w:ascii="宋体" w:hAnsi="宋体"/>
                <w:color w:val="auto"/>
                <w:kern w:val="0"/>
                <w:highlight w:val="none"/>
                <w:lang w:eastAsia="zh-CN"/>
              </w:rPr>
              <w:t>评标委员会</w:t>
            </w:r>
            <w:r>
              <w:rPr>
                <w:rFonts w:ascii="宋体" w:hAnsi="宋体"/>
                <w:color w:val="auto"/>
                <w:kern w:val="0"/>
                <w:highlight w:val="none"/>
              </w:rPr>
              <w:t>发现</w:t>
            </w:r>
            <w:r>
              <w:rPr>
                <w:rFonts w:hint="eastAsia" w:ascii="宋体" w:hAnsi="宋体"/>
                <w:color w:val="auto"/>
                <w:kern w:val="0"/>
                <w:highlight w:val="none"/>
              </w:rPr>
              <w:t>竞选人</w:t>
            </w:r>
            <w:r>
              <w:rPr>
                <w:rFonts w:ascii="宋体" w:hAnsi="宋体"/>
                <w:color w:val="auto"/>
                <w:kern w:val="0"/>
                <w:highlight w:val="none"/>
              </w:rPr>
              <w:t>的报价明显低于其他</w:t>
            </w:r>
            <w:r>
              <w:rPr>
                <w:rFonts w:hint="eastAsia" w:ascii="宋体" w:hAnsi="宋体"/>
                <w:color w:val="auto"/>
                <w:kern w:val="0"/>
                <w:highlight w:val="none"/>
              </w:rPr>
              <w:t>竞选总报价</w:t>
            </w:r>
            <w:r>
              <w:rPr>
                <w:rFonts w:ascii="宋体" w:hAnsi="宋体"/>
                <w:color w:val="auto"/>
                <w:kern w:val="0"/>
                <w:highlight w:val="none"/>
              </w:rPr>
              <w:t>，使得其</w:t>
            </w:r>
            <w:r>
              <w:rPr>
                <w:rFonts w:hint="eastAsia" w:ascii="宋体" w:hAnsi="宋体"/>
                <w:color w:val="auto"/>
                <w:kern w:val="0"/>
                <w:highlight w:val="none"/>
              </w:rPr>
              <w:t>竞选总报价</w:t>
            </w:r>
            <w:r>
              <w:rPr>
                <w:rFonts w:ascii="宋体" w:hAnsi="宋体"/>
                <w:color w:val="auto"/>
                <w:kern w:val="0"/>
                <w:highlight w:val="none"/>
              </w:rPr>
              <w:t>可能低于其个别成本的，应当要求该</w:t>
            </w:r>
            <w:r>
              <w:rPr>
                <w:rFonts w:hint="eastAsia" w:ascii="宋体" w:hAnsi="宋体"/>
                <w:color w:val="auto"/>
                <w:kern w:val="0"/>
                <w:highlight w:val="none"/>
              </w:rPr>
              <w:t>竞选人</w:t>
            </w:r>
            <w:r>
              <w:rPr>
                <w:rFonts w:ascii="宋体" w:hAnsi="宋体"/>
                <w:color w:val="auto"/>
                <w:kern w:val="0"/>
                <w:highlight w:val="none"/>
              </w:rPr>
              <w:t>做出书面说明并提供相应的证明材料。</w:t>
            </w:r>
            <w:r>
              <w:rPr>
                <w:rFonts w:hint="eastAsia" w:ascii="宋体" w:hAnsi="宋体"/>
                <w:color w:val="auto"/>
                <w:kern w:val="0"/>
                <w:highlight w:val="none"/>
              </w:rPr>
              <w:t>竞选人</w:t>
            </w:r>
            <w:r>
              <w:rPr>
                <w:rFonts w:ascii="宋体" w:hAnsi="宋体"/>
                <w:color w:val="auto"/>
                <w:kern w:val="0"/>
                <w:highlight w:val="none"/>
              </w:rPr>
              <w:t>不能合理说明或者不能提供相应证明材料的，由</w:t>
            </w:r>
            <w:r>
              <w:rPr>
                <w:rFonts w:hint="eastAsia" w:ascii="宋体" w:hAnsi="宋体"/>
                <w:color w:val="auto"/>
                <w:kern w:val="0"/>
                <w:highlight w:val="none"/>
                <w:lang w:eastAsia="zh-CN"/>
              </w:rPr>
              <w:t>评标委员会</w:t>
            </w:r>
            <w:r>
              <w:rPr>
                <w:rFonts w:ascii="宋体" w:hAnsi="宋体"/>
                <w:color w:val="auto"/>
                <w:kern w:val="0"/>
                <w:highlight w:val="none"/>
              </w:rPr>
              <w:t>认定该</w:t>
            </w:r>
            <w:r>
              <w:rPr>
                <w:rFonts w:hint="eastAsia" w:ascii="宋体" w:hAnsi="宋体"/>
                <w:color w:val="auto"/>
                <w:kern w:val="0"/>
                <w:highlight w:val="none"/>
              </w:rPr>
              <w:t>竞选人</w:t>
            </w:r>
            <w:r>
              <w:rPr>
                <w:rFonts w:ascii="宋体" w:hAnsi="宋体"/>
                <w:color w:val="auto"/>
                <w:kern w:val="0"/>
                <w:highlight w:val="none"/>
              </w:rPr>
              <w:t>以低于成本报价竞标，</w:t>
            </w:r>
            <w:r>
              <w:rPr>
                <w:rFonts w:hint="eastAsia" w:ascii="宋体" w:hAnsi="宋体"/>
                <w:color w:val="auto"/>
                <w:kern w:val="0"/>
                <w:highlight w:val="none"/>
              </w:rPr>
              <w:t>对该竞选人作否决竞选</w:t>
            </w:r>
            <w:r>
              <w:rPr>
                <w:rFonts w:ascii="宋体" w:hAnsi="宋体"/>
                <w:color w:val="auto"/>
                <w:kern w:val="0"/>
                <w:highlight w:val="none"/>
              </w:rPr>
              <w:t>处理。</w:t>
            </w:r>
          </w:p>
        </w:tc>
      </w:tr>
      <w:tr w14:paraId="7A19B0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15094710">
            <w:pPr>
              <w:spacing w:line="360" w:lineRule="auto"/>
              <w:jc w:val="center"/>
              <w:rPr>
                <w:rFonts w:ascii="宋体" w:hAnsi="宋体"/>
                <w:color w:val="auto"/>
                <w:kern w:val="0"/>
                <w:highlight w:val="none"/>
              </w:rPr>
            </w:pPr>
          </w:p>
        </w:tc>
        <w:tc>
          <w:tcPr>
            <w:tcW w:w="673" w:type="dxa"/>
            <w:vMerge w:val="continue"/>
            <w:textDirection w:val="tbRlV"/>
            <w:vAlign w:val="center"/>
          </w:tcPr>
          <w:p w14:paraId="58454F67">
            <w:pPr>
              <w:spacing w:line="360" w:lineRule="auto"/>
              <w:jc w:val="center"/>
              <w:rPr>
                <w:rFonts w:ascii="宋体" w:hAnsi="宋体"/>
                <w:color w:val="auto"/>
                <w:kern w:val="0"/>
                <w:highlight w:val="none"/>
              </w:rPr>
            </w:pPr>
          </w:p>
        </w:tc>
        <w:tc>
          <w:tcPr>
            <w:tcW w:w="2015" w:type="dxa"/>
            <w:gridSpan w:val="2"/>
            <w:vAlign w:val="center"/>
          </w:tcPr>
          <w:p w14:paraId="5DE6C487">
            <w:pPr>
              <w:spacing w:line="360" w:lineRule="auto"/>
              <w:jc w:val="center"/>
              <w:rPr>
                <w:rFonts w:ascii="宋体" w:hAnsi="宋体"/>
                <w:color w:val="auto"/>
                <w:kern w:val="0"/>
                <w:highlight w:val="none"/>
              </w:rPr>
            </w:pPr>
            <w:r>
              <w:rPr>
                <w:rFonts w:hint="eastAsia" w:ascii="宋体" w:hAnsi="宋体"/>
                <w:color w:val="auto"/>
                <w:kern w:val="0"/>
                <w:highlight w:val="none"/>
              </w:rPr>
              <w:t>竞选内容</w:t>
            </w:r>
          </w:p>
        </w:tc>
        <w:tc>
          <w:tcPr>
            <w:tcW w:w="5917" w:type="dxa"/>
            <w:vAlign w:val="center"/>
          </w:tcPr>
          <w:p w14:paraId="678BEC4B">
            <w:pPr>
              <w:spacing w:line="360" w:lineRule="auto"/>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须知”第1.3.1项规定</w:t>
            </w:r>
          </w:p>
        </w:tc>
      </w:tr>
      <w:tr w14:paraId="1D5479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07BD19D1">
            <w:pPr>
              <w:spacing w:line="360" w:lineRule="auto"/>
              <w:jc w:val="center"/>
              <w:rPr>
                <w:rFonts w:ascii="宋体" w:hAnsi="宋体"/>
                <w:color w:val="auto"/>
                <w:highlight w:val="none"/>
              </w:rPr>
            </w:pPr>
          </w:p>
        </w:tc>
        <w:tc>
          <w:tcPr>
            <w:tcW w:w="673" w:type="dxa"/>
            <w:vMerge w:val="continue"/>
          </w:tcPr>
          <w:p w14:paraId="447A63ED">
            <w:pPr>
              <w:spacing w:line="360" w:lineRule="auto"/>
              <w:jc w:val="center"/>
              <w:rPr>
                <w:rFonts w:ascii="宋体" w:hAnsi="宋体"/>
                <w:color w:val="auto"/>
                <w:highlight w:val="none"/>
              </w:rPr>
            </w:pPr>
          </w:p>
        </w:tc>
        <w:tc>
          <w:tcPr>
            <w:tcW w:w="2015" w:type="dxa"/>
            <w:gridSpan w:val="2"/>
            <w:vAlign w:val="center"/>
          </w:tcPr>
          <w:p w14:paraId="2A203347">
            <w:pPr>
              <w:spacing w:line="360" w:lineRule="auto"/>
              <w:jc w:val="center"/>
              <w:rPr>
                <w:rFonts w:ascii="宋体" w:hAnsi="宋体"/>
                <w:color w:val="auto"/>
                <w:kern w:val="0"/>
                <w:highlight w:val="none"/>
              </w:rPr>
            </w:pPr>
            <w:r>
              <w:rPr>
                <w:rFonts w:hint="eastAsia"/>
                <w:color w:val="auto"/>
                <w:highlight w:val="none"/>
              </w:rPr>
              <w:t>监理服务期</w:t>
            </w:r>
          </w:p>
        </w:tc>
        <w:tc>
          <w:tcPr>
            <w:tcW w:w="5917" w:type="dxa"/>
            <w:vAlign w:val="center"/>
          </w:tcPr>
          <w:p w14:paraId="4260B5B6">
            <w:pPr>
              <w:spacing w:line="360" w:lineRule="auto"/>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须知”第1.3.2项规定</w:t>
            </w:r>
          </w:p>
        </w:tc>
      </w:tr>
      <w:tr w14:paraId="107098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1331DACA">
            <w:pPr>
              <w:spacing w:line="360" w:lineRule="auto"/>
              <w:jc w:val="center"/>
              <w:rPr>
                <w:rFonts w:ascii="宋体" w:hAnsi="宋体"/>
                <w:color w:val="auto"/>
                <w:highlight w:val="none"/>
              </w:rPr>
            </w:pPr>
          </w:p>
        </w:tc>
        <w:tc>
          <w:tcPr>
            <w:tcW w:w="673" w:type="dxa"/>
            <w:vMerge w:val="continue"/>
          </w:tcPr>
          <w:p w14:paraId="5C438219">
            <w:pPr>
              <w:spacing w:line="360" w:lineRule="auto"/>
              <w:jc w:val="center"/>
              <w:rPr>
                <w:rFonts w:ascii="宋体" w:hAnsi="宋体"/>
                <w:color w:val="auto"/>
                <w:highlight w:val="none"/>
              </w:rPr>
            </w:pPr>
          </w:p>
        </w:tc>
        <w:tc>
          <w:tcPr>
            <w:tcW w:w="2015" w:type="dxa"/>
            <w:gridSpan w:val="2"/>
            <w:vAlign w:val="center"/>
          </w:tcPr>
          <w:p w14:paraId="749B22E8">
            <w:pPr>
              <w:spacing w:line="360" w:lineRule="auto"/>
              <w:jc w:val="center"/>
              <w:rPr>
                <w:rFonts w:ascii="宋体" w:hAnsi="宋体"/>
                <w:color w:val="auto"/>
                <w:kern w:val="0"/>
                <w:highlight w:val="none"/>
              </w:rPr>
            </w:pPr>
            <w:r>
              <w:rPr>
                <w:rFonts w:ascii="宋体" w:hAnsi="宋体"/>
                <w:color w:val="auto"/>
                <w:kern w:val="0"/>
                <w:highlight w:val="none"/>
              </w:rPr>
              <w:t>质量</w:t>
            </w:r>
            <w:r>
              <w:rPr>
                <w:rFonts w:hint="eastAsia" w:ascii="宋体" w:hAnsi="宋体"/>
                <w:color w:val="auto"/>
                <w:kern w:val="0"/>
                <w:highlight w:val="none"/>
              </w:rPr>
              <w:t>要求</w:t>
            </w:r>
          </w:p>
        </w:tc>
        <w:tc>
          <w:tcPr>
            <w:tcW w:w="5917" w:type="dxa"/>
            <w:vAlign w:val="center"/>
          </w:tcPr>
          <w:p w14:paraId="0691808E">
            <w:pPr>
              <w:spacing w:line="360" w:lineRule="auto"/>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须知”第1.3.3项规定</w:t>
            </w:r>
          </w:p>
        </w:tc>
      </w:tr>
      <w:tr w14:paraId="185A8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A811CC">
            <w:pPr>
              <w:spacing w:line="360" w:lineRule="auto"/>
              <w:jc w:val="center"/>
              <w:rPr>
                <w:rFonts w:ascii="宋体" w:hAnsi="宋体"/>
                <w:color w:val="auto"/>
                <w:highlight w:val="none"/>
              </w:rPr>
            </w:pPr>
          </w:p>
        </w:tc>
        <w:tc>
          <w:tcPr>
            <w:tcW w:w="673" w:type="dxa"/>
            <w:vMerge w:val="continue"/>
          </w:tcPr>
          <w:p w14:paraId="07A0A8C1">
            <w:pPr>
              <w:spacing w:line="360" w:lineRule="auto"/>
              <w:jc w:val="center"/>
              <w:rPr>
                <w:rFonts w:ascii="宋体" w:hAnsi="宋体"/>
                <w:color w:val="auto"/>
                <w:highlight w:val="none"/>
              </w:rPr>
            </w:pPr>
          </w:p>
        </w:tc>
        <w:tc>
          <w:tcPr>
            <w:tcW w:w="2015" w:type="dxa"/>
            <w:gridSpan w:val="2"/>
            <w:vAlign w:val="center"/>
          </w:tcPr>
          <w:p w14:paraId="4CDAF32D">
            <w:pPr>
              <w:spacing w:line="360" w:lineRule="auto"/>
              <w:jc w:val="center"/>
              <w:rPr>
                <w:rFonts w:ascii="宋体" w:hAnsi="宋体"/>
                <w:color w:val="auto"/>
                <w:kern w:val="0"/>
                <w:highlight w:val="none"/>
              </w:rPr>
            </w:pPr>
            <w:r>
              <w:rPr>
                <w:rFonts w:hint="eastAsia" w:ascii="宋体" w:hAnsi="宋体"/>
                <w:color w:val="auto"/>
                <w:kern w:val="0"/>
                <w:highlight w:val="none"/>
              </w:rPr>
              <w:t>比选有效期</w:t>
            </w:r>
          </w:p>
        </w:tc>
        <w:tc>
          <w:tcPr>
            <w:tcW w:w="5917" w:type="dxa"/>
            <w:vAlign w:val="center"/>
          </w:tcPr>
          <w:p w14:paraId="1ECBAB64">
            <w:pPr>
              <w:spacing w:line="360" w:lineRule="auto"/>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须知”第3.3.1项规定</w:t>
            </w:r>
          </w:p>
        </w:tc>
      </w:tr>
      <w:tr w14:paraId="797F2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38187AE">
            <w:pPr>
              <w:spacing w:line="360" w:lineRule="auto"/>
              <w:jc w:val="center"/>
              <w:rPr>
                <w:rFonts w:ascii="宋体" w:hAnsi="宋体"/>
                <w:color w:val="auto"/>
                <w:highlight w:val="none"/>
              </w:rPr>
            </w:pPr>
          </w:p>
        </w:tc>
        <w:tc>
          <w:tcPr>
            <w:tcW w:w="673" w:type="dxa"/>
            <w:vMerge w:val="continue"/>
          </w:tcPr>
          <w:p w14:paraId="54BF22A8">
            <w:pPr>
              <w:spacing w:line="360" w:lineRule="auto"/>
              <w:jc w:val="center"/>
              <w:rPr>
                <w:rFonts w:ascii="宋体" w:hAnsi="宋体"/>
                <w:color w:val="auto"/>
                <w:highlight w:val="none"/>
              </w:rPr>
            </w:pPr>
          </w:p>
        </w:tc>
        <w:tc>
          <w:tcPr>
            <w:tcW w:w="2015" w:type="dxa"/>
            <w:gridSpan w:val="2"/>
            <w:vAlign w:val="center"/>
          </w:tcPr>
          <w:p w14:paraId="2D047335">
            <w:pPr>
              <w:spacing w:line="360" w:lineRule="auto"/>
              <w:jc w:val="center"/>
              <w:rPr>
                <w:rFonts w:ascii="宋体" w:hAnsi="宋体"/>
                <w:color w:val="auto"/>
                <w:kern w:val="0"/>
                <w:highlight w:val="none"/>
              </w:rPr>
            </w:pPr>
            <w:r>
              <w:rPr>
                <w:rFonts w:ascii="宋体" w:hAnsi="宋体"/>
                <w:color w:val="auto"/>
                <w:kern w:val="0"/>
                <w:highlight w:val="none"/>
              </w:rPr>
              <w:t>权利义务</w:t>
            </w:r>
          </w:p>
        </w:tc>
        <w:tc>
          <w:tcPr>
            <w:tcW w:w="5917" w:type="dxa"/>
            <w:vAlign w:val="center"/>
          </w:tcPr>
          <w:p w14:paraId="406BA0FD">
            <w:pPr>
              <w:spacing w:after="62" w:afterLines="20" w:line="360" w:lineRule="auto"/>
              <w:ind w:firstLine="420" w:firstLineChars="200"/>
              <w:rPr>
                <w:rFonts w:ascii="宋体" w:hAnsi="宋体"/>
                <w:color w:val="auto"/>
                <w:kern w:val="0"/>
                <w:highlight w:val="none"/>
              </w:rPr>
            </w:pPr>
            <w:r>
              <w:rPr>
                <w:rFonts w:ascii="宋体" w:hAnsi="宋体"/>
                <w:color w:val="auto"/>
                <w:kern w:val="0"/>
                <w:highlight w:val="none"/>
              </w:rPr>
              <w:t>符合第四章“合同条款及格式”规定，</w:t>
            </w:r>
            <w:r>
              <w:rPr>
                <w:rFonts w:hint="eastAsia" w:ascii="宋体" w:hAnsi="宋体"/>
                <w:color w:val="auto"/>
                <w:kern w:val="0"/>
                <w:highlight w:val="none"/>
              </w:rPr>
              <w:t>竞选文件</w:t>
            </w:r>
            <w:r>
              <w:rPr>
                <w:rFonts w:ascii="宋体" w:hAnsi="宋体"/>
                <w:color w:val="auto"/>
                <w:kern w:val="0"/>
                <w:highlight w:val="none"/>
              </w:rPr>
              <w:t>不应附有</w:t>
            </w:r>
            <w:r>
              <w:rPr>
                <w:rFonts w:hint="eastAsia" w:ascii="宋体" w:hAnsi="宋体"/>
                <w:color w:val="auto"/>
                <w:kern w:val="0"/>
                <w:highlight w:val="none"/>
              </w:rPr>
              <w:t>比选人</w:t>
            </w:r>
            <w:r>
              <w:rPr>
                <w:rFonts w:ascii="宋体" w:hAnsi="宋体"/>
                <w:color w:val="auto"/>
                <w:kern w:val="0"/>
                <w:highlight w:val="none"/>
              </w:rPr>
              <w:t>不能接受的条件。</w:t>
            </w:r>
            <w:r>
              <w:rPr>
                <w:rFonts w:hint="eastAsia" w:ascii="宋体" w:hAnsi="宋体" w:eastAsia="宋体" w:cs="宋体"/>
                <w:color w:val="auto"/>
                <w:kern w:val="0"/>
                <w:highlight w:val="none"/>
              </w:rPr>
              <w:t>（由竞选人自行承诺，格式自拟。）</w:t>
            </w:r>
          </w:p>
        </w:tc>
      </w:tr>
      <w:tr w14:paraId="0F53CD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157EB14">
            <w:pPr>
              <w:spacing w:line="360" w:lineRule="auto"/>
              <w:rPr>
                <w:rFonts w:ascii="宋体" w:hAnsi="宋体"/>
                <w:color w:val="auto"/>
                <w:highlight w:val="none"/>
              </w:rPr>
            </w:pPr>
          </w:p>
        </w:tc>
        <w:tc>
          <w:tcPr>
            <w:tcW w:w="673" w:type="dxa"/>
            <w:vMerge w:val="continue"/>
          </w:tcPr>
          <w:p w14:paraId="76549B4D">
            <w:pPr>
              <w:spacing w:line="360" w:lineRule="auto"/>
              <w:rPr>
                <w:rFonts w:ascii="宋体" w:hAnsi="宋体"/>
                <w:color w:val="auto"/>
                <w:highlight w:val="none"/>
              </w:rPr>
            </w:pPr>
          </w:p>
        </w:tc>
        <w:tc>
          <w:tcPr>
            <w:tcW w:w="2015" w:type="dxa"/>
            <w:gridSpan w:val="2"/>
            <w:vAlign w:val="center"/>
          </w:tcPr>
          <w:p w14:paraId="0B4F9A8E">
            <w:pPr>
              <w:spacing w:line="360" w:lineRule="auto"/>
              <w:jc w:val="center"/>
              <w:rPr>
                <w:rFonts w:ascii="宋体" w:hAnsi="宋体"/>
                <w:color w:val="auto"/>
                <w:kern w:val="0"/>
                <w:highlight w:val="none"/>
              </w:rPr>
            </w:pPr>
            <w:r>
              <w:rPr>
                <w:rFonts w:ascii="宋体" w:hAnsi="宋体"/>
                <w:color w:val="auto"/>
                <w:kern w:val="0"/>
                <w:highlight w:val="none"/>
              </w:rPr>
              <w:t>实质性要求</w:t>
            </w:r>
          </w:p>
        </w:tc>
        <w:tc>
          <w:tcPr>
            <w:tcW w:w="5917" w:type="dxa"/>
            <w:vAlign w:val="center"/>
          </w:tcPr>
          <w:p w14:paraId="343E285D">
            <w:pPr>
              <w:spacing w:after="62" w:afterLines="20" w:line="360" w:lineRule="auto"/>
              <w:ind w:firstLine="420" w:firstLineChars="200"/>
              <w:rPr>
                <w:rFonts w:ascii="宋体" w:hAnsi="宋体"/>
                <w:color w:val="auto"/>
                <w:kern w:val="0"/>
                <w:highlight w:val="none"/>
              </w:rPr>
            </w:pPr>
            <w:r>
              <w:rPr>
                <w:rFonts w:ascii="宋体" w:hAnsi="宋体"/>
                <w:color w:val="auto"/>
                <w:kern w:val="0"/>
                <w:highlight w:val="none"/>
              </w:rPr>
              <w:t>涉嫌</w:t>
            </w:r>
            <w:r>
              <w:rPr>
                <w:rFonts w:hint="eastAsia" w:ascii="宋体" w:hAnsi="宋体"/>
                <w:color w:val="auto"/>
                <w:kern w:val="0"/>
                <w:highlight w:val="none"/>
              </w:rPr>
              <w:t>串通投标</w:t>
            </w:r>
            <w:r>
              <w:rPr>
                <w:rFonts w:ascii="宋体" w:hAnsi="宋体"/>
                <w:color w:val="auto"/>
                <w:kern w:val="0"/>
                <w:highlight w:val="none"/>
              </w:rPr>
              <w:t>、弄虚作假等其他违反招投标相关法律、法规行为的。</w:t>
            </w:r>
          </w:p>
        </w:tc>
      </w:tr>
      <w:tr w14:paraId="7E3ED4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4BA3E155">
            <w:pPr>
              <w:spacing w:line="360" w:lineRule="auto"/>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015" w:type="dxa"/>
            <w:gridSpan w:val="2"/>
            <w:vAlign w:val="center"/>
          </w:tcPr>
          <w:p w14:paraId="6EF8E470">
            <w:pPr>
              <w:tabs>
                <w:tab w:val="left" w:pos="1875"/>
              </w:tabs>
              <w:spacing w:line="360" w:lineRule="auto"/>
              <w:jc w:val="center"/>
              <w:rPr>
                <w:rFonts w:ascii="宋体" w:hAnsi="宋体"/>
                <w:color w:val="auto"/>
                <w:kern w:val="0"/>
                <w:highlight w:val="none"/>
              </w:rPr>
            </w:pPr>
            <w:r>
              <w:rPr>
                <w:rFonts w:ascii="宋体" w:hAnsi="宋体"/>
                <w:color w:val="auto"/>
                <w:kern w:val="0"/>
                <w:highlight w:val="none"/>
              </w:rPr>
              <w:t xml:space="preserve">分值构成 </w:t>
            </w:r>
          </w:p>
          <w:p w14:paraId="6F5D24A5">
            <w:pPr>
              <w:tabs>
                <w:tab w:val="left" w:pos="1875"/>
              </w:tabs>
              <w:spacing w:line="360" w:lineRule="auto"/>
              <w:jc w:val="center"/>
              <w:rPr>
                <w:rFonts w:ascii="宋体" w:hAnsi="宋体"/>
                <w:color w:val="auto"/>
                <w:kern w:val="0"/>
                <w:highlight w:val="none"/>
              </w:rPr>
            </w:pPr>
            <w:r>
              <w:rPr>
                <w:rFonts w:ascii="宋体" w:hAnsi="宋体"/>
                <w:color w:val="auto"/>
                <w:kern w:val="0"/>
                <w:highlight w:val="none"/>
              </w:rPr>
              <w:t>（总分1</w:t>
            </w:r>
            <w:r>
              <w:rPr>
                <w:rFonts w:hint="eastAsia" w:ascii="宋体" w:hAnsi="宋体"/>
                <w:color w:val="auto"/>
                <w:kern w:val="0"/>
                <w:highlight w:val="none"/>
              </w:rPr>
              <w:t>00</w:t>
            </w:r>
            <w:r>
              <w:rPr>
                <w:rFonts w:ascii="宋体" w:hAnsi="宋体"/>
                <w:color w:val="auto"/>
                <w:kern w:val="0"/>
                <w:highlight w:val="none"/>
              </w:rPr>
              <w:t>分）</w:t>
            </w:r>
          </w:p>
        </w:tc>
        <w:tc>
          <w:tcPr>
            <w:tcW w:w="5917" w:type="dxa"/>
            <w:vAlign w:val="center"/>
          </w:tcPr>
          <w:p w14:paraId="519A380F">
            <w:pPr>
              <w:spacing w:line="360" w:lineRule="auto"/>
              <w:jc w:val="center"/>
              <w:rPr>
                <w:color w:val="auto"/>
                <w:highlight w:val="none"/>
                <w:lang w:val="zh-CN"/>
              </w:rPr>
            </w:pPr>
            <w:r>
              <w:rPr>
                <w:rFonts w:hint="eastAsia"/>
                <w:color w:val="auto"/>
                <w:highlight w:val="none"/>
                <w:lang w:val="zh-CN"/>
              </w:rPr>
              <w:t>1、竞选总报价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r>
              <w:rPr>
                <w:rFonts w:hint="eastAsia"/>
                <w:color w:val="auto"/>
                <w:highlight w:val="none"/>
                <w:lang w:val="en-US" w:eastAsia="zh-CN"/>
              </w:rPr>
              <w:t>7</w:t>
            </w:r>
            <w:r>
              <w:rPr>
                <w:rFonts w:hint="eastAsia"/>
                <w:color w:val="auto"/>
                <w:highlight w:val="none"/>
              </w:rPr>
              <w:t>0</w:t>
            </w:r>
            <w:r>
              <w:rPr>
                <w:rFonts w:hint="eastAsia"/>
                <w:color w:val="auto"/>
                <w:highlight w:val="none"/>
                <w:lang w:val="zh-CN"/>
              </w:rPr>
              <w:t>分；</w:t>
            </w:r>
          </w:p>
          <w:p w14:paraId="0B910087">
            <w:pPr>
              <w:spacing w:line="360" w:lineRule="auto"/>
              <w:ind w:right="-23" w:firstLine="420" w:firstLineChars="200"/>
              <w:rPr>
                <w:color w:val="auto"/>
                <w:highlight w:val="none"/>
              </w:rPr>
            </w:pPr>
            <w:r>
              <w:rPr>
                <w:rFonts w:hint="eastAsia"/>
                <w:color w:val="auto"/>
                <w:highlight w:val="none"/>
                <w:lang w:val="zh-CN"/>
              </w:rPr>
              <w:t>2、技术部分</w:t>
            </w:r>
            <w:r>
              <w:rPr>
                <w:rFonts w:hint="eastAsia"/>
                <w:color w:val="auto"/>
                <w:highlight w:val="none"/>
                <w:lang w:val="en-US" w:eastAsia="zh-CN"/>
              </w:rPr>
              <w:t>3</w:t>
            </w:r>
            <w:r>
              <w:rPr>
                <w:rFonts w:hint="eastAsia"/>
                <w:color w:val="auto"/>
                <w:highlight w:val="none"/>
              </w:rPr>
              <w:t>0</w:t>
            </w:r>
            <w:r>
              <w:rPr>
                <w:rFonts w:hint="eastAsia"/>
                <w:color w:val="auto"/>
                <w:highlight w:val="none"/>
                <w:lang w:val="zh-CN"/>
              </w:rPr>
              <w:t>分。</w:t>
            </w:r>
          </w:p>
        </w:tc>
      </w:tr>
      <w:tr w14:paraId="0079C9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537" w:type="dxa"/>
            <w:gridSpan w:val="2"/>
            <w:vMerge w:val="restart"/>
            <w:vAlign w:val="center"/>
          </w:tcPr>
          <w:p w14:paraId="3A98929C">
            <w:pPr>
              <w:spacing w:line="360" w:lineRule="auto"/>
              <w:jc w:val="center"/>
              <w:rPr>
                <w:rFonts w:ascii="宋体" w:hAnsi="宋体"/>
                <w:color w:val="auto"/>
                <w:kern w:val="0"/>
                <w:highlight w:val="none"/>
              </w:rPr>
            </w:pPr>
            <w:r>
              <w:rPr>
                <w:rFonts w:ascii="宋体" w:hAnsi="宋体"/>
                <w:color w:val="auto"/>
                <w:kern w:val="0"/>
                <w:highlight w:val="none"/>
              </w:rPr>
              <w:t>2.2.2</w:t>
            </w:r>
          </w:p>
        </w:tc>
        <w:tc>
          <w:tcPr>
            <w:tcW w:w="1030" w:type="dxa"/>
            <w:vMerge w:val="restart"/>
            <w:vAlign w:val="center"/>
          </w:tcPr>
          <w:p w14:paraId="0EFF05B6">
            <w:pPr>
              <w:spacing w:line="360" w:lineRule="auto"/>
              <w:jc w:val="center"/>
              <w:rPr>
                <w:rFonts w:ascii="宋体" w:hAnsi="宋体"/>
                <w:color w:val="auto"/>
                <w:kern w:val="0"/>
                <w:highlight w:val="none"/>
              </w:rPr>
            </w:pPr>
            <w:r>
              <w:rPr>
                <w:rFonts w:hint="eastAsia" w:ascii="宋体" w:hAnsi="宋体"/>
                <w:color w:val="auto"/>
                <w:kern w:val="0"/>
                <w:highlight w:val="none"/>
              </w:rPr>
              <w:t>竞选</w:t>
            </w:r>
          </w:p>
          <w:p w14:paraId="3E5192D3">
            <w:pPr>
              <w:spacing w:line="360" w:lineRule="auto"/>
              <w:jc w:val="center"/>
              <w:rPr>
                <w:rFonts w:hint="default" w:ascii="宋体" w:hAnsi="宋体" w:eastAsia="宋体"/>
                <w:color w:val="auto"/>
                <w:kern w:val="0"/>
                <w:highlight w:val="none"/>
                <w:lang w:val="en-US" w:eastAsia="zh-CN"/>
              </w:rPr>
            </w:pPr>
            <w:r>
              <w:rPr>
                <w:rFonts w:hint="eastAsia" w:ascii="宋体" w:hAnsi="宋体"/>
                <w:color w:val="auto"/>
                <w:kern w:val="0"/>
                <w:highlight w:val="none"/>
              </w:rPr>
              <w:t>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p>
          <w:p w14:paraId="693301EC">
            <w:pPr>
              <w:spacing w:line="360" w:lineRule="auto"/>
              <w:jc w:val="center"/>
              <w:rPr>
                <w:rFonts w:ascii="宋体" w:hAnsi="宋体"/>
                <w:color w:val="auto"/>
                <w:kern w:val="0"/>
                <w:highlight w:val="none"/>
              </w:rPr>
            </w:pPr>
            <w:r>
              <w:rPr>
                <w:rFonts w:hint="eastAsia" w:ascii="宋体" w:hAnsi="宋体"/>
                <w:color w:val="auto"/>
                <w:kern w:val="0"/>
                <w:highlight w:val="none"/>
              </w:rPr>
              <w:t>A</w:t>
            </w:r>
          </w:p>
          <w:p w14:paraId="545F80EB">
            <w:pPr>
              <w:spacing w:line="360" w:lineRule="auto"/>
              <w:jc w:val="center"/>
              <w:rPr>
                <w:rFonts w:ascii="宋体" w:hAnsi="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7</w:t>
            </w:r>
            <w:r>
              <w:rPr>
                <w:rFonts w:ascii="宋体" w:hAnsi="宋体"/>
                <w:color w:val="auto"/>
                <w:kern w:val="0"/>
                <w:highlight w:val="none"/>
              </w:rPr>
              <w:t>0</w:t>
            </w:r>
            <w:r>
              <w:rPr>
                <w:rFonts w:hint="eastAsia" w:ascii="宋体" w:hAnsi="宋体"/>
                <w:color w:val="auto"/>
                <w:kern w:val="0"/>
                <w:highlight w:val="none"/>
              </w:rPr>
              <w:t>分）</w:t>
            </w:r>
          </w:p>
        </w:tc>
        <w:tc>
          <w:tcPr>
            <w:tcW w:w="985" w:type="dxa"/>
            <w:vAlign w:val="center"/>
          </w:tcPr>
          <w:p w14:paraId="52610D4D">
            <w:pPr>
              <w:spacing w:line="360" w:lineRule="auto"/>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基准价计算方法</w:t>
            </w:r>
          </w:p>
        </w:tc>
        <w:tc>
          <w:tcPr>
            <w:tcW w:w="5917" w:type="dxa"/>
          </w:tcPr>
          <w:p w14:paraId="78F5D978">
            <w:pPr>
              <w:keepNext w:val="0"/>
              <w:keepLines w:val="0"/>
              <w:pageBreakBefore w:val="0"/>
              <w:widowControl w:val="0"/>
              <w:kinsoku/>
              <w:wordWrap/>
              <w:overflowPunct/>
              <w:topLinePunct w:val="0"/>
              <w:autoSpaceDE/>
              <w:autoSpaceDN/>
              <w:bidi w:val="0"/>
              <w:adjustRightInd/>
              <w:snapToGrid/>
              <w:spacing w:line="276" w:lineRule="auto"/>
              <w:ind w:right="-23"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所有通过初步评审的竞选人（比选人设有最高限价的，则竞选总报价高于最高限价的除外）的竞选总报价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r>
              <w:rPr>
                <w:rFonts w:hint="eastAsia" w:ascii="宋体" w:hAnsi="宋体" w:cs="宋体"/>
                <w:color w:val="auto"/>
                <w:szCs w:val="21"/>
                <w:highlight w:val="none"/>
              </w:rPr>
              <w:t>中去掉六分之一（不能整除的按小数点前整数取整，不足六家报价则不去掉）的最低价和相同家数的最高价的算数平均值即为评选基准价；</w:t>
            </w:r>
          </w:p>
          <w:p w14:paraId="5AF94B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评选基准价计算完成后（除计算错误外），在后续的评审中不得再对其做出调整。</w:t>
            </w:r>
          </w:p>
          <w:p w14:paraId="182484E6">
            <w:pPr>
              <w:snapToGrid w:val="0"/>
              <w:spacing w:line="360" w:lineRule="auto"/>
              <w:ind w:firstLine="420" w:firstLineChars="200"/>
              <w:jc w:val="left"/>
              <w:rPr>
                <w:rFonts w:ascii="宋体" w:hAnsi="宋体"/>
                <w:color w:val="auto"/>
                <w:kern w:val="0"/>
                <w:szCs w:val="21"/>
                <w:highlight w:val="none"/>
              </w:rPr>
            </w:pPr>
            <w:r>
              <w:rPr>
                <w:rFonts w:hint="eastAsia" w:ascii="宋体" w:hAnsi="宋体" w:cs="宋体"/>
                <w:color w:val="auto"/>
                <w:szCs w:val="21"/>
                <w:highlight w:val="none"/>
              </w:rPr>
              <w:t>以上计算结果保留小数点后两位，第三位四舍五入。</w:t>
            </w:r>
          </w:p>
        </w:tc>
      </w:tr>
      <w:tr w14:paraId="6D0D0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537" w:type="dxa"/>
            <w:gridSpan w:val="2"/>
            <w:vMerge w:val="continue"/>
            <w:vAlign w:val="center"/>
          </w:tcPr>
          <w:p w14:paraId="0BB04EB6">
            <w:pPr>
              <w:spacing w:line="360" w:lineRule="auto"/>
              <w:jc w:val="center"/>
              <w:rPr>
                <w:rFonts w:ascii="宋体" w:hAnsi="宋体"/>
                <w:color w:val="auto"/>
                <w:kern w:val="0"/>
                <w:highlight w:val="none"/>
              </w:rPr>
            </w:pPr>
          </w:p>
        </w:tc>
        <w:tc>
          <w:tcPr>
            <w:tcW w:w="1030" w:type="dxa"/>
            <w:vMerge w:val="continue"/>
            <w:vAlign w:val="center"/>
          </w:tcPr>
          <w:p w14:paraId="0412F3EC">
            <w:pPr>
              <w:spacing w:line="360" w:lineRule="auto"/>
              <w:jc w:val="center"/>
              <w:rPr>
                <w:rFonts w:ascii="宋体" w:hAnsi="宋体"/>
                <w:color w:val="auto"/>
                <w:kern w:val="0"/>
                <w:highlight w:val="none"/>
              </w:rPr>
            </w:pPr>
          </w:p>
        </w:tc>
        <w:tc>
          <w:tcPr>
            <w:tcW w:w="985" w:type="dxa"/>
            <w:vAlign w:val="center"/>
          </w:tcPr>
          <w:p w14:paraId="1590AECF">
            <w:pPr>
              <w:spacing w:line="360" w:lineRule="auto"/>
              <w:jc w:val="center"/>
              <w:rPr>
                <w:rFonts w:ascii="宋体" w:hAnsi="宋体"/>
                <w:color w:val="auto"/>
                <w:kern w:val="0"/>
                <w:highlight w:val="none"/>
              </w:rPr>
            </w:pPr>
            <w:r>
              <w:rPr>
                <w:rFonts w:hint="eastAsia" w:ascii="宋体" w:hAnsi="宋体"/>
                <w:color w:val="auto"/>
                <w:kern w:val="0"/>
                <w:highlight w:val="none"/>
              </w:rPr>
              <w:t>竞选</w:t>
            </w:r>
          </w:p>
          <w:p w14:paraId="56C29CEF">
            <w:pPr>
              <w:spacing w:line="360" w:lineRule="auto"/>
              <w:jc w:val="center"/>
              <w:rPr>
                <w:rFonts w:ascii="宋体" w:hAnsi="宋体"/>
                <w:color w:val="auto"/>
                <w:kern w:val="0"/>
                <w:highlight w:val="none"/>
              </w:rPr>
            </w:pPr>
            <w:r>
              <w:rPr>
                <w:rFonts w:hint="eastAsia" w:ascii="宋体" w:hAnsi="宋体"/>
                <w:color w:val="auto"/>
                <w:kern w:val="0"/>
                <w:highlight w:val="none"/>
              </w:rPr>
              <w:t>总报价得分</w:t>
            </w:r>
          </w:p>
        </w:tc>
        <w:tc>
          <w:tcPr>
            <w:tcW w:w="5917" w:type="dxa"/>
            <w:vAlign w:val="center"/>
          </w:tcPr>
          <w:p w14:paraId="6F3E2241">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所有通过初步评审的竞选人的竞选总报价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r>
              <w:rPr>
                <w:rFonts w:hint="eastAsia" w:ascii="宋体" w:hAnsi="宋体"/>
                <w:color w:val="auto"/>
                <w:kern w:val="0"/>
                <w:highlight w:val="none"/>
              </w:rPr>
              <w:t>先得满分</w:t>
            </w:r>
            <w:r>
              <w:rPr>
                <w:rFonts w:hint="eastAsia" w:ascii="宋体" w:hAnsi="宋体"/>
                <w:color w:val="auto"/>
                <w:kern w:val="0"/>
                <w:highlight w:val="none"/>
                <w:lang w:val="en-US" w:eastAsia="zh-CN"/>
              </w:rPr>
              <w:t>7</w:t>
            </w:r>
            <w:r>
              <w:rPr>
                <w:rFonts w:hint="eastAsia" w:ascii="宋体" w:hAnsi="宋体"/>
                <w:color w:val="auto"/>
                <w:kern w:val="0"/>
                <w:highlight w:val="none"/>
              </w:rPr>
              <w:t>0分,在此基础上，竞选总报价</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暂定监理费用投标总报价）</w:t>
            </w:r>
            <w:r>
              <w:rPr>
                <w:rFonts w:hint="eastAsia" w:ascii="宋体" w:hAnsi="宋体"/>
                <w:color w:val="auto"/>
                <w:kern w:val="0"/>
                <w:highlight w:val="none"/>
              </w:rPr>
              <w:t>与评选准基价相比，每增加1%扣0.5分，每减少1%扣0.25分。</w:t>
            </w:r>
            <w:r>
              <w:rPr>
                <w:rFonts w:hint="eastAsia" w:asciiTheme="minorEastAsia" w:hAnsiTheme="minorEastAsia" w:eastAsiaTheme="minorEastAsia" w:cstheme="minorEastAsia"/>
                <w:color w:val="auto"/>
                <w:szCs w:val="21"/>
                <w:highlight w:val="none"/>
              </w:rPr>
              <w:t>最多扣</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3</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分</w:t>
            </w:r>
            <w:r>
              <w:rPr>
                <w:rFonts w:hint="eastAsia" w:ascii="宋体" w:hAnsi="宋体"/>
                <w:color w:val="auto"/>
                <w:kern w:val="0"/>
                <w:highlight w:val="none"/>
              </w:rPr>
              <w:t>。</w:t>
            </w:r>
          </w:p>
          <w:p w14:paraId="5E6C8EDB">
            <w:pPr>
              <w:spacing w:line="360" w:lineRule="auto"/>
              <w:ind w:firstLine="420" w:firstLineChars="200"/>
              <w:rPr>
                <w:rFonts w:ascii="宋体" w:hAnsi="宋体" w:cs="宋体"/>
                <w:color w:val="auto"/>
                <w:szCs w:val="21"/>
                <w:highlight w:val="none"/>
              </w:rPr>
            </w:pPr>
            <w:r>
              <w:rPr>
                <w:rFonts w:hint="eastAsia" w:ascii="宋体" w:hAnsi="宋体"/>
                <w:color w:val="auto"/>
                <w:kern w:val="0"/>
                <w:highlight w:val="none"/>
              </w:rPr>
              <w:t>采用插入法计算，保留小数点后两位，第三位四舍五入。</w:t>
            </w:r>
          </w:p>
        </w:tc>
      </w:tr>
      <w:tr w14:paraId="3B3CE0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restart"/>
            <w:vAlign w:val="center"/>
          </w:tcPr>
          <w:p w14:paraId="2871EB1A">
            <w:pPr>
              <w:snapToGrid w:val="0"/>
              <w:spacing w:line="360" w:lineRule="auto"/>
              <w:rPr>
                <w:rFonts w:ascii="宋体" w:hAnsi="宋体"/>
                <w:color w:val="auto"/>
                <w:kern w:val="0"/>
                <w:szCs w:val="21"/>
                <w:highlight w:val="none"/>
              </w:rPr>
            </w:pPr>
          </w:p>
          <w:p w14:paraId="64CD6633">
            <w:pPr>
              <w:snapToGrid w:val="0"/>
              <w:spacing w:line="360" w:lineRule="auto"/>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p>
        </w:tc>
        <w:tc>
          <w:tcPr>
            <w:tcW w:w="673" w:type="dxa"/>
            <w:vMerge w:val="restart"/>
            <w:vAlign w:val="center"/>
          </w:tcPr>
          <w:p w14:paraId="709D1D45">
            <w:pPr>
              <w:snapToGrid w:val="0"/>
              <w:spacing w:line="360" w:lineRule="auto"/>
              <w:jc w:val="center"/>
              <w:rPr>
                <w:rFonts w:ascii="宋体" w:hAnsi="宋体"/>
                <w:color w:val="auto"/>
                <w:kern w:val="0"/>
                <w:highlight w:val="none"/>
              </w:rPr>
            </w:pPr>
            <w:r>
              <w:rPr>
                <w:rFonts w:hint="eastAsia" w:ascii="宋体" w:hAnsi="宋体"/>
                <w:color w:val="auto"/>
                <w:kern w:val="0"/>
                <w:highlight w:val="none"/>
              </w:rPr>
              <w:t>技术部分B（监理大纲）</w:t>
            </w:r>
            <w:r>
              <w:rPr>
                <w:rFonts w:ascii="宋体" w:hAnsi="宋体"/>
                <w:color w:val="auto"/>
                <w:kern w:val="0"/>
                <w:highlight w:val="none"/>
              </w:rPr>
              <w:t>评分标准</w:t>
            </w: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0分）</w:t>
            </w:r>
          </w:p>
        </w:tc>
        <w:tc>
          <w:tcPr>
            <w:tcW w:w="2015" w:type="dxa"/>
            <w:gridSpan w:val="2"/>
            <w:vAlign w:val="center"/>
          </w:tcPr>
          <w:p w14:paraId="0124BEC7">
            <w:pPr>
              <w:spacing w:line="360" w:lineRule="auto"/>
              <w:jc w:val="center"/>
              <w:rPr>
                <w:rFonts w:ascii="宋体" w:hAnsi="宋体"/>
                <w:color w:val="auto"/>
                <w:kern w:val="0"/>
                <w:highlight w:val="none"/>
              </w:rPr>
            </w:pPr>
            <w:r>
              <w:rPr>
                <w:rFonts w:hint="eastAsia" w:ascii="宋体" w:hAnsi="宋体"/>
                <w:color w:val="auto"/>
                <w:kern w:val="0"/>
                <w:highlight w:val="none"/>
              </w:rPr>
              <w:t>监理依据、监理工作目标</w:t>
            </w:r>
          </w:p>
        </w:tc>
        <w:tc>
          <w:tcPr>
            <w:tcW w:w="5917" w:type="dxa"/>
            <w:vAlign w:val="center"/>
          </w:tcPr>
          <w:p w14:paraId="7512D081">
            <w:pPr>
              <w:ind w:firstLine="420" w:firstLineChars="200"/>
              <w:jc w:val="left"/>
              <w:rPr>
                <w:rFonts w:ascii="宋体" w:hAnsi="宋体"/>
                <w:color w:val="auto"/>
                <w:highlight w:val="none"/>
                <w:u w:val="single"/>
              </w:rPr>
            </w:pPr>
            <w:r>
              <w:rPr>
                <w:rFonts w:hint="eastAsia" w:ascii="宋体" w:hAnsi="宋体"/>
                <w:color w:val="auto"/>
                <w:highlight w:val="none"/>
                <w:u w:val="single"/>
              </w:rPr>
              <w:t>3分</w:t>
            </w:r>
            <w:r>
              <w:rPr>
                <w:rFonts w:hint="eastAsia" w:ascii="宋体" w:hAnsi="宋体"/>
                <w:color w:val="auto"/>
                <w:highlight w:val="none"/>
              </w:rPr>
              <w:t xml:space="preserve">   </w:t>
            </w:r>
            <w:r>
              <w:rPr>
                <w:rFonts w:hint="eastAsia" w:ascii="宋体" w:hAnsi="宋体"/>
                <w:color w:val="auto"/>
                <w:highlight w:val="none"/>
                <w:u w:val="single"/>
              </w:rPr>
              <w:t>编制要点：监理依据、监理工作目标；优得</w:t>
            </w:r>
            <w:r>
              <w:rPr>
                <w:rFonts w:hint="eastAsia" w:ascii="宋体" w:hAnsi="宋体"/>
                <w:color w:val="auto"/>
                <w:highlight w:val="none"/>
                <w:u w:val="single"/>
                <w:lang w:val="en-US" w:eastAsia="zh-CN"/>
              </w:rPr>
              <w:t>2分-</w:t>
            </w:r>
            <w:r>
              <w:rPr>
                <w:rFonts w:hint="eastAsia" w:ascii="宋体" w:hAnsi="宋体"/>
                <w:color w:val="auto"/>
                <w:highlight w:val="none"/>
                <w:u w:val="single"/>
              </w:rPr>
              <w:t>3分，良得1分-</w:t>
            </w:r>
            <w:r>
              <w:rPr>
                <w:rFonts w:hint="eastAsia" w:ascii="宋体" w:hAnsi="宋体"/>
                <w:color w:val="auto"/>
                <w:highlight w:val="none"/>
                <w:u w:val="single"/>
                <w:lang w:val="en-US" w:eastAsia="zh-CN"/>
              </w:rPr>
              <w:t>2</w:t>
            </w:r>
            <w:r>
              <w:rPr>
                <w:rFonts w:hint="eastAsia" w:ascii="宋体" w:hAnsi="宋体"/>
                <w:color w:val="auto"/>
                <w:highlight w:val="none"/>
                <w:u w:val="single"/>
              </w:rPr>
              <w:t>分（不含），一般得0分-1分（不含），差得0分。</w:t>
            </w:r>
          </w:p>
        </w:tc>
      </w:tr>
      <w:tr w14:paraId="76C5BF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continue"/>
            <w:vAlign w:val="center"/>
          </w:tcPr>
          <w:p w14:paraId="6A60A511">
            <w:pPr>
              <w:snapToGrid w:val="0"/>
              <w:spacing w:line="360" w:lineRule="auto"/>
              <w:rPr>
                <w:rFonts w:ascii="宋体" w:hAnsi="宋体"/>
                <w:color w:val="auto"/>
                <w:kern w:val="0"/>
                <w:szCs w:val="21"/>
                <w:highlight w:val="none"/>
              </w:rPr>
            </w:pPr>
          </w:p>
        </w:tc>
        <w:tc>
          <w:tcPr>
            <w:tcW w:w="673" w:type="dxa"/>
            <w:vMerge w:val="continue"/>
            <w:vAlign w:val="center"/>
          </w:tcPr>
          <w:p w14:paraId="411DDEF3">
            <w:pPr>
              <w:snapToGrid w:val="0"/>
              <w:spacing w:line="360" w:lineRule="auto"/>
              <w:jc w:val="center"/>
              <w:rPr>
                <w:rFonts w:ascii="宋体" w:hAnsi="宋体"/>
                <w:color w:val="auto"/>
                <w:kern w:val="0"/>
                <w:highlight w:val="none"/>
              </w:rPr>
            </w:pPr>
          </w:p>
        </w:tc>
        <w:tc>
          <w:tcPr>
            <w:tcW w:w="2015" w:type="dxa"/>
            <w:gridSpan w:val="2"/>
            <w:vAlign w:val="center"/>
          </w:tcPr>
          <w:p w14:paraId="32A807AC">
            <w:pPr>
              <w:jc w:val="center"/>
              <w:rPr>
                <w:rFonts w:ascii="宋体" w:hAnsi="宋体"/>
                <w:color w:val="auto"/>
                <w:kern w:val="0"/>
                <w:highlight w:val="none"/>
              </w:rPr>
            </w:pPr>
            <w:r>
              <w:rPr>
                <w:rFonts w:hint="eastAsia" w:ascii="宋体" w:hAnsi="宋体"/>
                <w:color w:val="auto"/>
                <w:kern w:val="0"/>
                <w:highlight w:val="none"/>
              </w:rPr>
              <w:t>监理机构设置和岗位职责</w:t>
            </w:r>
          </w:p>
        </w:tc>
        <w:tc>
          <w:tcPr>
            <w:tcW w:w="5917" w:type="dxa"/>
            <w:vAlign w:val="center"/>
          </w:tcPr>
          <w:p w14:paraId="2D9C5A7C">
            <w:pPr>
              <w:ind w:firstLine="420" w:firstLineChars="200"/>
              <w:jc w:val="left"/>
              <w:rPr>
                <w:rFonts w:ascii="宋体" w:hAnsi="宋体"/>
                <w:color w:val="auto"/>
                <w:highlight w:val="none"/>
                <w:u w:val="single"/>
              </w:rPr>
            </w:pPr>
            <w:r>
              <w:rPr>
                <w:rFonts w:hint="eastAsia" w:ascii="宋体" w:hAnsi="宋体"/>
                <w:color w:val="auto"/>
                <w:highlight w:val="none"/>
                <w:u w:val="single"/>
              </w:rPr>
              <w:t>3分</w:t>
            </w:r>
            <w:r>
              <w:rPr>
                <w:rFonts w:hint="eastAsia" w:ascii="宋体" w:hAnsi="宋体"/>
                <w:color w:val="auto"/>
                <w:highlight w:val="none"/>
              </w:rPr>
              <w:t xml:space="preserve">   </w:t>
            </w:r>
            <w:r>
              <w:rPr>
                <w:rFonts w:hint="eastAsia" w:ascii="宋体" w:hAnsi="宋体"/>
                <w:color w:val="auto"/>
                <w:highlight w:val="none"/>
                <w:u w:val="single"/>
              </w:rPr>
              <w:t>编制要点：监理机构设置和岗位职责；优得</w:t>
            </w:r>
            <w:r>
              <w:rPr>
                <w:rFonts w:hint="eastAsia" w:ascii="宋体" w:hAnsi="宋体"/>
                <w:color w:val="auto"/>
                <w:highlight w:val="none"/>
                <w:u w:val="single"/>
                <w:lang w:val="en-US" w:eastAsia="zh-CN"/>
              </w:rPr>
              <w:t>2分-</w:t>
            </w:r>
            <w:r>
              <w:rPr>
                <w:rFonts w:hint="eastAsia" w:ascii="宋体" w:hAnsi="宋体"/>
                <w:color w:val="auto"/>
                <w:highlight w:val="none"/>
                <w:u w:val="single"/>
              </w:rPr>
              <w:t>3分，良得1分-</w:t>
            </w:r>
            <w:r>
              <w:rPr>
                <w:rFonts w:hint="eastAsia" w:ascii="宋体" w:hAnsi="宋体"/>
                <w:color w:val="auto"/>
                <w:highlight w:val="none"/>
                <w:u w:val="single"/>
                <w:lang w:val="en-US" w:eastAsia="zh-CN"/>
              </w:rPr>
              <w:t>2</w:t>
            </w:r>
            <w:r>
              <w:rPr>
                <w:rFonts w:hint="eastAsia" w:ascii="宋体" w:hAnsi="宋体"/>
                <w:color w:val="auto"/>
                <w:highlight w:val="none"/>
                <w:u w:val="single"/>
              </w:rPr>
              <w:t>分（不含），一般得0分-1分（不含），差得0分。</w:t>
            </w:r>
          </w:p>
        </w:tc>
      </w:tr>
      <w:tr w14:paraId="18C448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continue"/>
            <w:vAlign w:val="center"/>
          </w:tcPr>
          <w:p w14:paraId="2F93E9B2">
            <w:pPr>
              <w:snapToGrid w:val="0"/>
              <w:spacing w:line="360" w:lineRule="auto"/>
              <w:rPr>
                <w:rFonts w:ascii="宋体" w:hAnsi="宋体"/>
                <w:color w:val="auto"/>
                <w:kern w:val="0"/>
                <w:szCs w:val="21"/>
                <w:highlight w:val="none"/>
              </w:rPr>
            </w:pPr>
          </w:p>
        </w:tc>
        <w:tc>
          <w:tcPr>
            <w:tcW w:w="673" w:type="dxa"/>
            <w:vMerge w:val="continue"/>
            <w:vAlign w:val="center"/>
          </w:tcPr>
          <w:p w14:paraId="6CD62D51">
            <w:pPr>
              <w:snapToGrid w:val="0"/>
              <w:spacing w:line="360" w:lineRule="auto"/>
              <w:jc w:val="center"/>
              <w:rPr>
                <w:rFonts w:ascii="宋体" w:hAnsi="宋体"/>
                <w:color w:val="auto"/>
                <w:kern w:val="0"/>
                <w:highlight w:val="none"/>
              </w:rPr>
            </w:pPr>
          </w:p>
        </w:tc>
        <w:tc>
          <w:tcPr>
            <w:tcW w:w="2015" w:type="dxa"/>
            <w:gridSpan w:val="2"/>
            <w:vAlign w:val="center"/>
          </w:tcPr>
          <w:p w14:paraId="39F53012">
            <w:pPr>
              <w:jc w:val="center"/>
              <w:rPr>
                <w:rFonts w:ascii="宋体" w:hAnsi="宋体" w:cs="宋体"/>
                <w:color w:val="auto"/>
                <w:kern w:val="0"/>
                <w:highlight w:val="none"/>
              </w:rPr>
            </w:pPr>
            <w:r>
              <w:rPr>
                <w:rFonts w:hint="eastAsia" w:ascii="宋体" w:hAnsi="宋体" w:cs="宋体"/>
                <w:color w:val="auto"/>
                <w:kern w:val="0"/>
                <w:highlight w:val="none"/>
              </w:rPr>
              <w:t>监理工作程序、方法和制度</w:t>
            </w:r>
          </w:p>
        </w:tc>
        <w:tc>
          <w:tcPr>
            <w:tcW w:w="5917" w:type="dxa"/>
            <w:vAlign w:val="center"/>
          </w:tcPr>
          <w:p w14:paraId="72A7EF33">
            <w:pPr>
              <w:ind w:firstLine="420" w:firstLineChars="200"/>
              <w:jc w:val="left"/>
              <w:rPr>
                <w:rFonts w:ascii="宋体" w:hAnsi="宋体"/>
                <w:color w:val="auto"/>
                <w:highlight w:val="none"/>
                <w:u w:val="single"/>
              </w:rPr>
            </w:pPr>
            <w:r>
              <w:rPr>
                <w:rFonts w:hint="eastAsia" w:ascii="宋体" w:hAnsi="宋体"/>
                <w:color w:val="auto"/>
                <w:highlight w:val="none"/>
                <w:u w:val="single"/>
              </w:rPr>
              <w:t>5分</w:t>
            </w:r>
            <w:r>
              <w:rPr>
                <w:rFonts w:hint="eastAsia" w:ascii="宋体" w:hAnsi="宋体"/>
                <w:color w:val="auto"/>
                <w:highlight w:val="none"/>
              </w:rPr>
              <w:t xml:space="preserve">   </w:t>
            </w:r>
            <w:r>
              <w:rPr>
                <w:rFonts w:hint="eastAsia" w:ascii="宋体" w:hAnsi="宋体"/>
                <w:color w:val="auto"/>
                <w:highlight w:val="none"/>
                <w:u w:val="single"/>
              </w:rPr>
              <w:t>编制要点：监理工作程序、方法和制度；优得4分-5分，良得2分-4分（不含），一般得0分-2分（不含），差得0分。</w:t>
            </w:r>
          </w:p>
        </w:tc>
      </w:tr>
      <w:tr w14:paraId="778A5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continue"/>
            <w:vAlign w:val="center"/>
          </w:tcPr>
          <w:p w14:paraId="2CCE4C49">
            <w:pPr>
              <w:snapToGrid w:val="0"/>
              <w:spacing w:line="360" w:lineRule="auto"/>
              <w:rPr>
                <w:rFonts w:ascii="宋体" w:hAnsi="宋体"/>
                <w:color w:val="auto"/>
                <w:kern w:val="0"/>
                <w:szCs w:val="21"/>
                <w:highlight w:val="none"/>
              </w:rPr>
            </w:pPr>
          </w:p>
        </w:tc>
        <w:tc>
          <w:tcPr>
            <w:tcW w:w="673" w:type="dxa"/>
            <w:vMerge w:val="continue"/>
            <w:vAlign w:val="center"/>
          </w:tcPr>
          <w:p w14:paraId="70764353">
            <w:pPr>
              <w:snapToGrid w:val="0"/>
              <w:spacing w:line="360" w:lineRule="auto"/>
              <w:jc w:val="center"/>
              <w:rPr>
                <w:rFonts w:ascii="宋体" w:hAnsi="宋体"/>
                <w:color w:val="auto"/>
                <w:kern w:val="0"/>
                <w:highlight w:val="none"/>
              </w:rPr>
            </w:pPr>
          </w:p>
        </w:tc>
        <w:tc>
          <w:tcPr>
            <w:tcW w:w="2015" w:type="dxa"/>
            <w:gridSpan w:val="2"/>
            <w:vAlign w:val="center"/>
          </w:tcPr>
          <w:p w14:paraId="6DDB5D8E">
            <w:pPr>
              <w:jc w:val="center"/>
              <w:rPr>
                <w:rFonts w:ascii="宋体" w:hAnsi="宋体"/>
                <w:color w:val="auto"/>
                <w:kern w:val="0"/>
                <w:highlight w:val="none"/>
              </w:rPr>
            </w:pPr>
            <w:r>
              <w:rPr>
                <w:rFonts w:hint="eastAsia" w:ascii="宋体" w:hAnsi="宋体"/>
                <w:color w:val="auto"/>
                <w:kern w:val="0"/>
                <w:highlight w:val="none"/>
              </w:rPr>
              <w:t>质量、进度、造价、安全、环保监理措施</w:t>
            </w:r>
          </w:p>
        </w:tc>
        <w:tc>
          <w:tcPr>
            <w:tcW w:w="5917" w:type="dxa"/>
            <w:vAlign w:val="center"/>
          </w:tcPr>
          <w:p w14:paraId="3F034D2A">
            <w:pPr>
              <w:ind w:firstLine="420" w:firstLineChars="200"/>
              <w:jc w:val="left"/>
              <w:rPr>
                <w:rFonts w:ascii="宋体" w:hAnsi="宋体"/>
                <w:color w:val="auto"/>
                <w:highlight w:val="none"/>
                <w:u w:val="single"/>
              </w:rPr>
            </w:pPr>
            <w:r>
              <w:rPr>
                <w:rFonts w:hint="eastAsia" w:ascii="宋体" w:hAnsi="宋体"/>
                <w:color w:val="auto"/>
                <w:highlight w:val="none"/>
                <w:u w:val="single"/>
              </w:rPr>
              <w:t>5分</w:t>
            </w:r>
            <w:r>
              <w:rPr>
                <w:rFonts w:hint="eastAsia" w:ascii="宋体" w:hAnsi="宋体"/>
                <w:color w:val="auto"/>
                <w:highlight w:val="none"/>
              </w:rPr>
              <w:t xml:space="preserve">   </w:t>
            </w:r>
            <w:r>
              <w:rPr>
                <w:rFonts w:hint="eastAsia" w:ascii="宋体" w:hAnsi="宋体"/>
                <w:color w:val="auto"/>
                <w:highlight w:val="none"/>
                <w:u w:val="single"/>
              </w:rPr>
              <w:t>编制要点：质量、进度、造价、安全、环保监理措施；优得4分-5分，良得2分-4分（不含），一般得0分-2分（不含），差得0分。</w:t>
            </w:r>
          </w:p>
        </w:tc>
      </w:tr>
      <w:tr w14:paraId="4B7012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5" w:hRule="atLeast"/>
          <w:jc w:val="center"/>
        </w:trPr>
        <w:tc>
          <w:tcPr>
            <w:tcW w:w="864" w:type="dxa"/>
            <w:vMerge w:val="continue"/>
            <w:vAlign w:val="center"/>
          </w:tcPr>
          <w:p w14:paraId="6DD70F7C">
            <w:pPr>
              <w:snapToGrid w:val="0"/>
              <w:spacing w:line="360" w:lineRule="auto"/>
              <w:rPr>
                <w:rFonts w:ascii="宋体" w:hAnsi="宋体"/>
                <w:color w:val="auto"/>
                <w:kern w:val="0"/>
                <w:szCs w:val="21"/>
                <w:highlight w:val="none"/>
              </w:rPr>
            </w:pPr>
          </w:p>
        </w:tc>
        <w:tc>
          <w:tcPr>
            <w:tcW w:w="673" w:type="dxa"/>
            <w:vMerge w:val="continue"/>
            <w:vAlign w:val="center"/>
          </w:tcPr>
          <w:p w14:paraId="7B5489AA">
            <w:pPr>
              <w:snapToGrid w:val="0"/>
              <w:spacing w:line="360" w:lineRule="auto"/>
              <w:jc w:val="center"/>
              <w:rPr>
                <w:rFonts w:ascii="宋体" w:hAnsi="宋体"/>
                <w:color w:val="auto"/>
                <w:kern w:val="0"/>
                <w:highlight w:val="none"/>
              </w:rPr>
            </w:pPr>
          </w:p>
        </w:tc>
        <w:tc>
          <w:tcPr>
            <w:tcW w:w="2015" w:type="dxa"/>
            <w:gridSpan w:val="2"/>
            <w:vAlign w:val="center"/>
          </w:tcPr>
          <w:p w14:paraId="1328761A">
            <w:pPr>
              <w:jc w:val="center"/>
              <w:rPr>
                <w:rFonts w:ascii="宋体" w:hAnsi="宋体"/>
                <w:color w:val="auto"/>
                <w:kern w:val="0"/>
                <w:highlight w:val="none"/>
              </w:rPr>
            </w:pPr>
            <w:r>
              <w:rPr>
                <w:rFonts w:hint="eastAsia" w:ascii="宋体" w:hAnsi="宋体"/>
                <w:color w:val="auto"/>
                <w:kern w:val="0"/>
                <w:highlight w:val="none"/>
              </w:rPr>
              <w:t>监理组织协调内容及措施</w:t>
            </w:r>
          </w:p>
        </w:tc>
        <w:tc>
          <w:tcPr>
            <w:tcW w:w="5917" w:type="dxa"/>
            <w:vAlign w:val="center"/>
          </w:tcPr>
          <w:p w14:paraId="72A0DCD7">
            <w:pPr>
              <w:ind w:firstLine="420" w:firstLineChars="200"/>
              <w:jc w:val="left"/>
              <w:rPr>
                <w:rFonts w:ascii="宋体" w:hAnsi="宋体"/>
                <w:color w:val="auto"/>
                <w:highlight w:val="none"/>
                <w:u w:val="single"/>
              </w:rPr>
            </w:pPr>
            <w:r>
              <w:rPr>
                <w:rFonts w:hint="eastAsia" w:ascii="宋体" w:hAnsi="宋体"/>
                <w:color w:val="auto"/>
                <w:highlight w:val="none"/>
                <w:u w:val="single"/>
              </w:rPr>
              <w:t>5分</w:t>
            </w:r>
            <w:r>
              <w:rPr>
                <w:rFonts w:hint="eastAsia" w:ascii="宋体" w:hAnsi="宋体"/>
                <w:color w:val="auto"/>
                <w:highlight w:val="none"/>
              </w:rPr>
              <w:t xml:space="preserve">   </w:t>
            </w:r>
            <w:r>
              <w:rPr>
                <w:rFonts w:hint="eastAsia" w:ascii="宋体" w:hAnsi="宋体"/>
                <w:color w:val="auto"/>
                <w:highlight w:val="none"/>
                <w:u w:val="single"/>
              </w:rPr>
              <w:t>编制要点：监理组织协调内容及措施；优得4分-5分，良得2分-4分（不含），一般得0分-2分（不含），差得0分。</w:t>
            </w:r>
          </w:p>
        </w:tc>
      </w:tr>
      <w:tr w14:paraId="4995B5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continue"/>
            <w:vAlign w:val="center"/>
          </w:tcPr>
          <w:p w14:paraId="48613103">
            <w:pPr>
              <w:snapToGrid w:val="0"/>
              <w:spacing w:line="360" w:lineRule="auto"/>
              <w:rPr>
                <w:rFonts w:ascii="宋体" w:hAnsi="宋体"/>
                <w:color w:val="auto"/>
                <w:kern w:val="0"/>
                <w:szCs w:val="21"/>
                <w:highlight w:val="none"/>
              </w:rPr>
            </w:pPr>
          </w:p>
        </w:tc>
        <w:tc>
          <w:tcPr>
            <w:tcW w:w="673" w:type="dxa"/>
            <w:vMerge w:val="continue"/>
            <w:vAlign w:val="center"/>
          </w:tcPr>
          <w:p w14:paraId="11F3B791">
            <w:pPr>
              <w:snapToGrid w:val="0"/>
              <w:spacing w:line="360" w:lineRule="auto"/>
              <w:jc w:val="center"/>
              <w:rPr>
                <w:rFonts w:ascii="宋体" w:hAnsi="宋体"/>
                <w:color w:val="auto"/>
                <w:kern w:val="0"/>
                <w:highlight w:val="none"/>
              </w:rPr>
            </w:pPr>
          </w:p>
        </w:tc>
        <w:tc>
          <w:tcPr>
            <w:tcW w:w="2015" w:type="dxa"/>
            <w:gridSpan w:val="2"/>
            <w:vAlign w:val="center"/>
          </w:tcPr>
          <w:p w14:paraId="439E13FD">
            <w:pPr>
              <w:jc w:val="center"/>
              <w:rPr>
                <w:rFonts w:ascii="宋体" w:hAnsi="宋体" w:cs="宋体"/>
                <w:color w:val="auto"/>
                <w:highlight w:val="none"/>
              </w:rPr>
            </w:pPr>
            <w:r>
              <w:rPr>
                <w:rFonts w:hint="eastAsia" w:ascii="宋体" w:hAnsi="宋体" w:cs="宋体"/>
                <w:color w:val="auto"/>
                <w:highlight w:val="none"/>
              </w:rPr>
              <w:t>监理工作重点、难点分析</w:t>
            </w:r>
          </w:p>
        </w:tc>
        <w:tc>
          <w:tcPr>
            <w:tcW w:w="5917" w:type="dxa"/>
            <w:vAlign w:val="center"/>
          </w:tcPr>
          <w:p w14:paraId="21B6CEF6">
            <w:pPr>
              <w:ind w:firstLine="420" w:firstLineChars="200"/>
              <w:jc w:val="left"/>
              <w:rPr>
                <w:rFonts w:ascii="宋体" w:hAnsi="宋体"/>
                <w:color w:val="auto"/>
                <w:highlight w:val="none"/>
                <w:u w:val="single"/>
              </w:rPr>
            </w:pPr>
            <w:r>
              <w:rPr>
                <w:rFonts w:hint="eastAsia" w:ascii="宋体" w:hAnsi="宋体"/>
                <w:color w:val="auto"/>
                <w:highlight w:val="none"/>
                <w:u w:val="single"/>
              </w:rPr>
              <w:t>5分</w:t>
            </w:r>
            <w:r>
              <w:rPr>
                <w:rFonts w:hint="eastAsia" w:ascii="宋体" w:hAnsi="宋体"/>
                <w:color w:val="auto"/>
                <w:highlight w:val="none"/>
              </w:rPr>
              <w:t xml:space="preserve">   </w:t>
            </w:r>
            <w:r>
              <w:rPr>
                <w:rFonts w:hint="eastAsia" w:ascii="宋体" w:hAnsi="宋体"/>
                <w:color w:val="auto"/>
                <w:highlight w:val="none"/>
                <w:u w:val="single"/>
              </w:rPr>
              <w:t>编制要点：监理工作重点、难点分析；优得4分-5分，良得2分-4分（不含），一般得0分-2分（不含），差得0分。</w:t>
            </w:r>
          </w:p>
        </w:tc>
      </w:tr>
      <w:tr w14:paraId="4A9EB6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0" w:hRule="atLeast"/>
          <w:jc w:val="center"/>
        </w:trPr>
        <w:tc>
          <w:tcPr>
            <w:tcW w:w="864" w:type="dxa"/>
            <w:vMerge w:val="continue"/>
            <w:vAlign w:val="center"/>
          </w:tcPr>
          <w:p w14:paraId="0853D094">
            <w:pPr>
              <w:snapToGrid w:val="0"/>
              <w:spacing w:line="360" w:lineRule="auto"/>
              <w:rPr>
                <w:rFonts w:ascii="宋体" w:hAnsi="宋体"/>
                <w:color w:val="auto"/>
                <w:kern w:val="0"/>
                <w:szCs w:val="21"/>
                <w:highlight w:val="none"/>
              </w:rPr>
            </w:pPr>
          </w:p>
        </w:tc>
        <w:tc>
          <w:tcPr>
            <w:tcW w:w="673" w:type="dxa"/>
            <w:vMerge w:val="continue"/>
            <w:vAlign w:val="center"/>
          </w:tcPr>
          <w:p w14:paraId="05B7A1C7">
            <w:pPr>
              <w:snapToGrid w:val="0"/>
              <w:spacing w:line="360" w:lineRule="auto"/>
              <w:jc w:val="center"/>
              <w:rPr>
                <w:rFonts w:ascii="宋体" w:hAnsi="宋体"/>
                <w:color w:val="auto"/>
                <w:kern w:val="0"/>
                <w:highlight w:val="none"/>
              </w:rPr>
            </w:pPr>
          </w:p>
        </w:tc>
        <w:tc>
          <w:tcPr>
            <w:tcW w:w="2015" w:type="dxa"/>
            <w:gridSpan w:val="2"/>
            <w:vAlign w:val="center"/>
          </w:tcPr>
          <w:p w14:paraId="681106E4">
            <w:pPr>
              <w:jc w:val="center"/>
              <w:rPr>
                <w:rFonts w:ascii="宋体" w:hAnsi="宋体" w:cs="宋体"/>
                <w:color w:val="auto"/>
                <w:highlight w:val="none"/>
              </w:rPr>
            </w:pPr>
            <w:r>
              <w:rPr>
                <w:rFonts w:hint="eastAsia" w:ascii="宋体" w:hAnsi="宋体" w:cs="宋体"/>
                <w:color w:val="auto"/>
                <w:highlight w:val="none"/>
              </w:rPr>
              <w:t>安全控制措施</w:t>
            </w:r>
          </w:p>
        </w:tc>
        <w:tc>
          <w:tcPr>
            <w:tcW w:w="5917" w:type="dxa"/>
            <w:vAlign w:val="center"/>
          </w:tcPr>
          <w:p w14:paraId="178ABCB4">
            <w:pPr>
              <w:ind w:firstLine="420" w:firstLineChars="200"/>
              <w:jc w:val="left"/>
              <w:rPr>
                <w:rFonts w:ascii="宋体" w:hAnsi="宋体"/>
                <w:color w:val="auto"/>
                <w:highlight w:val="none"/>
                <w:u w:val="single"/>
              </w:rPr>
            </w:pPr>
            <w:r>
              <w:rPr>
                <w:rFonts w:hint="eastAsia" w:ascii="宋体" w:hAnsi="宋体"/>
                <w:color w:val="auto"/>
                <w:highlight w:val="none"/>
                <w:u w:val="single"/>
              </w:rPr>
              <w:t>4分</w:t>
            </w:r>
            <w:r>
              <w:rPr>
                <w:rFonts w:hint="eastAsia" w:ascii="宋体" w:hAnsi="宋体"/>
                <w:color w:val="auto"/>
                <w:highlight w:val="none"/>
              </w:rPr>
              <w:t xml:space="preserve">   </w:t>
            </w:r>
            <w:r>
              <w:rPr>
                <w:rFonts w:hint="eastAsia" w:ascii="宋体" w:hAnsi="宋体"/>
                <w:color w:val="auto"/>
                <w:highlight w:val="none"/>
                <w:u w:val="single"/>
              </w:rPr>
              <w:t>编制要点：安全控制措施；优得4分，良得2分-4分（不含），一般得0分-2分（不含），差得0分。</w:t>
            </w:r>
          </w:p>
        </w:tc>
      </w:tr>
      <w:tr w14:paraId="73821D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377001C3">
            <w:pPr>
              <w:spacing w:line="360" w:lineRule="auto"/>
              <w:jc w:val="center"/>
              <w:rPr>
                <w:rFonts w:ascii="宋体" w:hAnsi="宋体"/>
                <w:color w:val="auto"/>
                <w:kern w:val="0"/>
                <w:highlight w:val="none"/>
              </w:rPr>
            </w:pPr>
            <w:r>
              <w:rPr>
                <w:rFonts w:ascii="宋体" w:hAnsi="宋体"/>
                <w:color w:val="auto"/>
                <w:highlight w:val="none"/>
              </w:rPr>
              <w:t>3</w:t>
            </w:r>
          </w:p>
        </w:tc>
        <w:tc>
          <w:tcPr>
            <w:tcW w:w="673" w:type="dxa"/>
            <w:vAlign w:val="center"/>
          </w:tcPr>
          <w:p w14:paraId="2782C70D">
            <w:pPr>
              <w:spacing w:line="360" w:lineRule="auto"/>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程序</w:t>
            </w:r>
          </w:p>
        </w:tc>
        <w:tc>
          <w:tcPr>
            <w:tcW w:w="7932" w:type="dxa"/>
            <w:gridSpan w:val="3"/>
          </w:tcPr>
          <w:p w14:paraId="5FDB97FE">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1.按本章评选办法第2.1款进行初步评审。</w:t>
            </w:r>
          </w:p>
          <w:p w14:paraId="3D6831D2">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2.对初步评审合格的竞选人按照本章2.2.2项计算方法计算评选基准价及各竞选人的竞选总报价得分A。（计算结果取小数点后两位，第三位四舍五入）</w:t>
            </w:r>
          </w:p>
          <w:p w14:paraId="153FD440">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3.按本章评选办法前附表2.2.3的规定的各评审因素对技术部分（监理大纲）进行评审。</w:t>
            </w:r>
            <w:r>
              <w:rPr>
                <w:rFonts w:hint="eastAsia" w:ascii="宋体" w:hAnsi="宋体"/>
                <w:color w:val="auto"/>
                <w:kern w:val="0"/>
                <w:highlight w:val="none"/>
                <w:lang w:eastAsia="zh-CN"/>
              </w:rPr>
              <w:t>评标委员会</w:t>
            </w:r>
            <w:r>
              <w:rPr>
                <w:rFonts w:hint="eastAsia" w:ascii="宋体" w:hAnsi="宋体"/>
                <w:color w:val="auto"/>
                <w:kern w:val="0"/>
                <w:highlight w:val="none"/>
              </w:rPr>
              <w:t>全体成员对监理大纲进行评审，各评委打分的算术平均值即为该竞选人监理大纲得分B。（计算结果取小数点后两位，第三位四舍五入）</w:t>
            </w:r>
          </w:p>
          <w:p w14:paraId="088653BB">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4.对竞选人综合得分按照</w:t>
            </w:r>
            <w:r>
              <w:rPr>
                <w:rFonts w:hint="eastAsia" w:ascii="宋体" w:hAnsi="宋体"/>
                <w:color w:val="auto"/>
                <w:kern w:val="0"/>
                <w:highlight w:val="none"/>
                <w:u w:val="single"/>
              </w:rPr>
              <w:t>竞选总报价（暂定监理费用投标总报价）A+技术部分B</w:t>
            </w:r>
            <w:r>
              <w:rPr>
                <w:rFonts w:hint="eastAsia" w:ascii="宋体" w:hAnsi="宋体"/>
                <w:color w:val="auto"/>
                <w:kern w:val="0"/>
                <w:highlight w:val="none"/>
              </w:rPr>
              <w:t>进行汇总，确定综合得分由高至低前3名竞选人为中选候选人。</w:t>
            </w:r>
          </w:p>
        </w:tc>
      </w:tr>
      <w:tr w14:paraId="649818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37" w:type="dxa"/>
            <w:gridSpan w:val="2"/>
            <w:vAlign w:val="center"/>
          </w:tcPr>
          <w:p w14:paraId="78953AF4">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4</w:t>
            </w:r>
          </w:p>
        </w:tc>
        <w:tc>
          <w:tcPr>
            <w:tcW w:w="2015" w:type="dxa"/>
            <w:gridSpan w:val="2"/>
            <w:vAlign w:val="center"/>
          </w:tcPr>
          <w:p w14:paraId="5F57DD7C">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竞选人综合</w:t>
            </w:r>
            <w:r>
              <w:rPr>
                <w:rFonts w:ascii="宋体" w:hAnsi="宋体"/>
                <w:color w:val="auto"/>
                <w:szCs w:val="21"/>
                <w:highlight w:val="none"/>
              </w:rPr>
              <w:t>得分</w:t>
            </w:r>
          </w:p>
        </w:tc>
        <w:tc>
          <w:tcPr>
            <w:tcW w:w="5917" w:type="dxa"/>
            <w:vAlign w:val="center"/>
          </w:tcPr>
          <w:p w14:paraId="5A53CF83">
            <w:pPr>
              <w:jc w:val="center"/>
              <w:rPr>
                <w:rFonts w:hint="default" w:ascii="宋体" w:hAnsi="宋体" w:eastAsia="宋体"/>
                <w:color w:val="auto"/>
                <w:szCs w:val="21"/>
                <w:highlight w:val="none"/>
                <w:u w:val="single"/>
                <w:lang w:val="en-US" w:eastAsia="zh-CN"/>
              </w:rPr>
            </w:pPr>
            <w:r>
              <w:rPr>
                <w:rFonts w:ascii="宋体" w:hAnsi="宋体"/>
                <w:color w:val="auto"/>
                <w:szCs w:val="21"/>
                <w:highlight w:val="none"/>
              </w:rPr>
              <w:t>A+B</w:t>
            </w:r>
          </w:p>
        </w:tc>
      </w:tr>
    </w:tbl>
    <w:p w14:paraId="01427E03">
      <w:pPr>
        <w:rPr>
          <w:rFonts w:ascii="宋体" w:hAnsi="宋体"/>
          <w:b w:val="0"/>
          <w:snapToGrid w:val="0"/>
          <w:color w:val="auto"/>
          <w:highlight w:val="none"/>
        </w:rPr>
      </w:pPr>
      <w:r>
        <w:rPr>
          <w:rFonts w:ascii="宋体" w:hAnsi="宋体"/>
          <w:b w:val="0"/>
          <w:snapToGrid w:val="0"/>
          <w:color w:val="auto"/>
          <w:highlight w:val="none"/>
        </w:rPr>
        <w:br w:type="page"/>
      </w:r>
    </w:p>
    <w:p w14:paraId="589D4EDF">
      <w:pPr>
        <w:pStyle w:val="3"/>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1.  </w:t>
      </w:r>
      <w:r>
        <w:rPr>
          <w:rFonts w:hint="eastAsia" w:ascii="宋体" w:hAnsi="宋体"/>
          <w:b w:val="0"/>
          <w:snapToGrid w:val="0"/>
          <w:color w:val="auto"/>
          <w:highlight w:val="none"/>
        </w:rPr>
        <w:t>评选</w:t>
      </w:r>
      <w:r>
        <w:rPr>
          <w:rFonts w:ascii="宋体" w:hAnsi="宋体"/>
          <w:b w:val="0"/>
          <w:snapToGrid w:val="0"/>
          <w:color w:val="auto"/>
          <w:highlight w:val="none"/>
        </w:rPr>
        <w:t>方法</w:t>
      </w:r>
      <w:bookmarkEnd w:id="616"/>
    </w:p>
    <w:p w14:paraId="2039201F">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w:t>
      </w:r>
      <w:r>
        <w:rPr>
          <w:rFonts w:hint="eastAsia" w:ascii="宋体" w:hAnsi="宋体"/>
          <w:color w:val="auto"/>
          <w:kern w:val="0"/>
          <w:szCs w:val="21"/>
          <w:highlight w:val="none"/>
        </w:rPr>
        <w:t>比选</w:t>
      </w:r>
      <w:r>
        <w:rPr>
          <w:rFonts w:ascii="宋体" w:hAnsi="宋体"/>
          <w:color w:val="auto"/>
          <w:kern w:val="0"/>
          <w:szCs w:val="21"/>
          <w:highlight w:val="none"/>
        </w:rPr>
        <w:t>采用综合评估法</w:t>
      </w:r>
      <w:r>
        <w:rPr>
          <w:rFonts w:ascii="宋体" w:hAnsi="宋体"/>
          <w:color w:val="auto"/>
          <w:spacing w:val="-47"/>
          <w:kern w:val="0"/>
          <w:szCs w:val="21"/>
          <w:highlight w:val="none"/>
        </w:rPr>
        <w:t>。</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w:t>
      </w:r>
      <w:r>
        <w:rPr>
          <w:rFonts w:hint="eastAsia" w:ascii="宋体" w:hAnsi="宋体"/>
          <w:color w:val="auto"/>
          <w:kern w:val="0"/>
          <w:szCs w:val="21"/>
          <w:highlight w:val="none"/>
        </w:rPr>
        <w:t>中选</w:t>
      </w:r>
      <w:r>
        <w:rPr>
          <w:rFonts w:ascii="宋体" w:hAnsi="宋体"/>
          <w:color w:val="auto"/>
          <w:kern w:val="0"/>
          <w:szCs w:val="21"/>
          <w:highlight w:val="none"/>
        </w:rPr>
        <w:t>人</w:t>
      </w:r>
      <w:r>
        <w:rPr>
          <w:rFonts w:hint="eastAsia" w:ascii="宋体" w:hAnsi="宋体"/>
          <w:color w:val="auto"/>
          <w:kern w:val="0"/>
          <w:szCs w:val="21"/>
          <w:highlight w:val="none"/>
        </w:rPr>
        <w:t>，若出现竞选人综合得分相同的，以评选办法前附表约定的原则确定排序</w:t>
      </w:r>
      <w:r>
        <w:rPr>
          <w:rFonts w:ascii="宋体" w:hAnsi="宋体"/>
          <w:color w:val="auto"/>
          <w:spacing w:val="-31"/>
          <w:kern w:val="0"/>
          <w:szCs w:val="21"/>
          <w:highlight w:val="none"/>
        </w:rPr>
        <w:t>。</w:t>
      </w:r>
    </w:p>
    <w:p w14:paraId="712F1AF2">
      <w:pPr>
        <w:pStyle w:val="3"/>
        <w:spacing w:before="0" w:after="0" w:line="360" w:lineRule="auto"/>
        <w:rPr>
          <w:rFonts w:ascii="宋体" w:hAnsi="宋体"/>
          <w:b w:val="0"/>
          <w:snapToGrid w:val="0"/>
          <w:color w:val="auto"/>
          <w:highlight w:val="none"/>
        </w:rPr>
      </w:pPr>
      <w:bookmarkStart w:id="620" w:name="_Toc430530501"/>
      <w:bookmarkStart w:id="621" w:name="_Toc287607813"/>
      <w:bookmarkStart w:id="622" w:name="_Toc27983301"/>
      <w:bookmarkStart w:id="623" w:name="_Toc287620752"/>
      <w:bookmarkStart w:id="624" w:name="_Toc509218777"/>
      <w:bookmarkStart w:id="625" w:name="_Toc200513199"/>
      <w:bookmarkStart w:id="626" w:name="_Toc277082619"/>
      <w:bookmarkStart w:id="627" w:name="_Toc224103385"/>
      <w:r>
        <w:rPr>
          <w:rFonts w:ascii="宋体" w:hAnsi="宋体"/>
          <w:b w:val="0"/>
          <w:snapToGrid w:val="0"/>
          <w:color w:val="auto"/>
          <w:highlight w:val="none"/>
        </w:rPr>
        <w:t>2.  评审标准</w:t>
      </w:r>
      <w:bookmarkEnd w:id="620"/>
      <w:bookmarkEnd w:id="621"/>
      <w:bookmarkEnd w:id="622"/>
      <w:bookmarkEnd w:id="623"/>
      <w:bookmarkEnd w:id="624"/>
      <w:bookmarkEnd w:id="625"/>
      <w:bookmarkEnd w:id="626"/>
      <w:bookmarkEnd w:id="627"/>
    </w:p>
    <w:p w14:paraId="43A276B4">
      <w:pPr>
        <w:pStyle w:val="4"/>
        <w:snapToGrid w:val="0"/>
        <w:spacing w:before="0" w:after="0" w:line="360" w:lineRule="auto"/>
        <w:jc w:val="left"/>
        <w:rPr>
          <w:rFonts w:ascii="宋体" w:hAnsi="宋体"/>
          <w:b w:val="0"/>
          <w:snapToGrid w:val="0"/>
          <w:color w:val="auto"/>
          <w:sz w:val="24"/>
          <w:szCs w:val="24"/>
          <w:highlight w:val="none"/>
        </w:rPr>
      </w:pPr>
      <w:bookmarkStart w:id="628" w:name="_Toc287620753"/>
      <w:bookmarkStart w:id="629" w:name="_Toc287607814"/>
      <w:bookmarkStart w:id="630" w:name="_Toc277082620"/>
      <w:bookmarkStart w:id="631" w:name="_Toc27983302"/>
      <w:bookmarkStart w:id="632" w:name="_Toc224103386"/>
      <w:bookmarkStart w:id="633" w:name="_Toc509218778"/>
      <w:bookmarkStart w:id="634" w:name="_Toc430530502"/>
      <w:bookmarkStart w:id="635" w:name="_Toc200513200"/>
      <w:r>
        <w:rPr>
          <w:rFonts w:ascii="宋体" w:hAnsi="宋体"/>
          <w:b w:val="0"/>
          <w:snapToGrid w:val="0"/>
          <w:color w:val="auto"/>
          <w:sz w:val="24"/>
          <w:szCs w:val="24"/>
          <w:highlight w:val="none"/>
        </w:rPr>
        <w:t>2.1  初步评审标准</w:t>
      </w:r>
      <w:bookmarkEnd w:id="628"/>
      <w:bookmarkEnd w:id="629"/>
      <w:bookmarkEnd w:id="630"/>
      <w:bookmarkEnd w:id="631"/>
      <w:bookmarkEnd w:id="632"/>
      <w:bookmarkEnd w:id="633"/>
      <w:bookmarkEnd w:id="634"/>
      <w:bookmarkEnd w:id="635"/>
    </w:p>
    <w:p w14:paraId="2F08AD54">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2.1.1  形式评审标准：见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634F4C91">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2.1.2  资格评审标准：见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6B683AA6">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响应性评审标准：见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41C4C65F">
      <w:pPr>
        <w:pStyle w:val="4"/>
        <w:snapToGrid w:val="0"/>
        <w:spacing w:before="0" w:after="0" w:line="360" w:lineRule="auto"/>
        <w:jc w:val="left"/>
        <w:rPr>
          <w:rFonts w:ascii="宋体" w:hAnsi="宋体"/>
          <w:b w:val="0"/>
          <w:snapToGrid w:val="0"/>
          <w:color w:val="auto"/>
          <w:sz w:val="24"/>
          <w:szCs w:val="24"/>
          <w:highlight w:val="none"/>
        </w:rPr>
      </w:pPr>
      <w:bookmarkStart w:id="636" w:name="_Toc287620754"/>
      <w:bookmarkStart w:id="637" w:name="_Toc430530503"/>
      <w:bookmarkStart w:id="638" w:name="_Toc224103387"/>
      <w:bookmarkStart w:id="639" w:name="_Toc287607815"/>
      <w:bookmarkStart w:id="640" w:name="_Toc277082621"/>
      <w:bookmarkStart w:id="641" w:name="_Toc27983303"/>
      <w:bookmarkStart w:id="642" w:name="_Toc200513201"/>
      <w:bookmarkStart w:id="643" w:name="_Toc509218779"/>
      <w:r>
        <w:rPr>
          <w:rFonts w:ascii="宋体" w:hAnsi="宋体"/>
          <w:b w:val="0"/>
          <w:snapToGrid w:val="0"/>
          <w:color w:val="auto"/>
          <w:sz w:val="24"/>
          <w:szCs w:val="24"/>
          <w:highlight w:val="none"/>
        </w:rPr>
        <w:t>2.2  分值构成与评分标准</w:t>
      </w:r>
      <w:bookmarkEnd w:id="636"/>
      <w:bookmarkEnd w:id="637"/>
      <w:bookmarkEnd w:id="638"/>
      <w:bookmarkEnd w:id="639"/>
      <w:bookmarkEnd w:id="640"/>
      <w:bookmarkEnd w:id="641"/>
      <w:bookmarkEnd w:id="642"/>
      <w:bookmarkEnd w:id="643"/>
    </w:p>
    <w:p w14:paraId="55090332">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50C1DD9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3F9919F0">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技术部分</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5455AE04">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竞选总报价</w:t>
      </w:r>
    </w:p>
    <w:p w14:paraId="42E7C801">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744D2F97">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技术部分</w:t>
      </w:r>
      <w:r>
        <w:rPr>
          <w:rFonts w:ascii="宋体" w:hAnsi="宋体"/>
          <w:color w:val="auto"/>
          <w:kern w:val="0"/>
          <w:szCs w:val="21"/>
          <w:highlight w:val="none"/>
        </w:rPr>
        <w:t>评分</w:t>
      </w:r>
      <w:r>
        <w:rPr>
          <w:rFonts w:hint="eastAsia" w:ascii="宋体" w:hAnsi="宋体"/>
          <w:color w:val="auto"/>
          <w:kern w:val="0"/>
          <w:szCs w:val="21"/>
          <w:highlight w:val="none"/>
        </w:rPr>
        <w:t>标准</w:t>
      </w:r>
    </w:p>
    <w:p w14:paraId="213E8E0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10701E87">
      <w:pPr>
        <w:pStyle w:val="3"/>
        <w:spacing w:before="0" w:after="0" w:line="360" w:lineRule="auto"/>
        <w:rPr>
          <w:rFonts w:ascii="宋体" w:hAnsi="宋体"/>
          <w:b w:val="0"/>
          <w:snapToGrid w:val="0"/>
          <w:color w:val="auto"/>
          <w:highlight w:val="none"/>
        </w:rPr>
      </w:pPr>
      <w:bookmarkStart w:id="644" w:name="_Toc287620755"/>
      <w:bookmarkStart w:id="645" w:name="_Toc509218780"/>
      <w:bookmarkStart w:id="646" w:name="_Toc287607816"/>
      <w:bookmarkStart w:id="647" w:name="_Toc200513202"/>
      <w:bookmarkStart w:id="648" w:name="_Toc430530504"/>
      <w:bookmarkStart w:id="649" w:name="_Toc224103388"/>
      <w:bookmarkStart w:id="650" w:name="_Toc277082622"/>
      <w:bookmarkStart w:id="651" w:name="_Toc27983304"/>
      <w:r>
        <w:rPr>
          <w:rFonts w:ascii="宋体" w:hAnsi="宋体"/>
          <w:b w:val="0"/>
          <w:snapToGrid w:val="0"/>
          <w:color w:val="auto"/>
          <w:highlight w:val="none"/>
        </w:rPr>
        <w:t xml:space="preserve">3.  </w:t>
      </w:r>
      <w:r>
        <w:rPr>
          <w:rFonts w:hint="eastAsia" w:ascii="宋体" w:hAnsi="宋体"/>
          <w:b w:val="0"/>
          <w:snapToGrid w:val="0"/>
          <w:color w:val="auto"/>
          <w:highlight w:val="none"/>
        </w:rPr>
        <w:t>评选</w:t>
      </w:r>
      <w:r>
        <w:rPr>
          <w:rFonts w:ascii="宋体" w:hAnsi="宋体"/>
          <w:b w:val="0"/>
          <w:snapToGrid w:val="0"/>
          <w:color w:val="auto"/>
          <w:highlight w:val="none"/>
        </w:rPr>
        <w:t>程序</w:t>
      </w:r>
      <w:bookmarkEnd w:id="644"/>
      <w:bookmarkEnd w:id="645"/>
      <w:bookmarkEnd w:id="646"/>
      <w:bookmarkEnd w:id="647"/>
      <w:bookmarkEnd w:id="648"/>
      <w:bookmarkEnd w:id="649"/>
      <w:bookmarkEnd w:id="650"/>
      <w:bookmarkEnd w:id="651"/>
    </w:p>
    <w:p w14:paraId="5E9A18CC">
      <w:pPr>
        <w:pStyle w:val="4"/>
        <w:snapToGrid w:val="0"/>
        <w:spacing w:before="0" w:after="0" w:line="360" w:lineRule="auto"/>
        <w:jc w:val="left"/>
        <w:rPr>
          <w:rFonts w:ascii="宋体" w:hAnsi="宋体"/>
          <w:b w:val="0"/>
          <w:snapToGrid w:val="0"/>
          <w:color w:val="auto"/>
          <w:sz w:val="24"/>
          <w:szCs w:val="24"/>
          <w:highlight w:val="none"/>
        </w:rPr>
      </w:pPr>
      <w:bookmarkStart w:id="652" w:name="_Toc287620756"/>
      <w:bookmarkStart w:id="653" w:name="_Toc224103389"/>
      <w:bookmarkStart w:id="654" w:name="_Toc277082623"/>
      <w:bookmarkStart w:id="655" w:name="_Toc287607817"/>
      <w:bookmarkStart w:id="656" w:name="_Toc430530505"/>
      <w:bookmarkStart w:id="657" w:name="_Toc27983305"/>
      <w:bookmarkStart w:id="658" w:name="_Toc200513203"/>
      <w:bookmarkStart w:id="659" w:name="_Toc509218781"/>
      <w:r>
        <w:rPr>
          <w:rFonts w:ascii="宋体" w:hAnsi="宋体"/>
          <w:b w:val="0"/>
          <w:snapToGrid w:val="0"/>
          <w:color w:val="auto"/>
          <w:sz w:val="24"/>
          <w:szCs w:val="24"/>
          <w:highlight w:val="none"/>
        </w:rPr>
        <w:t>3.1  初步评审</w:t>
      </w:r>
      <w:bookmarkEnd w:id="652"/>
      <w:bookmarkEnd w:id="653"/>
      <w:bookmarkEnd w:id="654"/>
      <w:bookmarkEnd w:id="655"/>
      <w:bookmarkEnd w:id="656"/>
      <w:bookmarkEnd w:id="657"/>
      <w:bookmarkEnd w:id="658"/>
      <w:bookmarkEnd w:id="659"/>
    </w:p>
    <w:p w14:paraId="12901A57">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3.1.1  </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依据本章第2.1.1项、</w:t>
      </w:r>
      <w:r>
        <w:rPr>
          <w:rFonts w:hint="eastAsia" w:ascii="宋体" w:hAnsi="宋体"/>
          <w:color w:val="auto"/>
          <w:kern w:val="0"/>
          <w:szCs w:val="21"/>
          <w:highlight w:val="none"/>
        </w:rPr>
        <w:t>2.1.2和</w:t>
      </w:r>
      <w:r>
        <w:rPr>
          <w:rFonts w:ascii="宋体" w:hAnsi="宋体"/>
          <w:color w:val="auto"/>
          <w:kern w:val="0"/>
          <w:szCs w:val="21"/>
          <w:highlight w:val="none"/>
        </w:rPr>
        <w:t>第2.1.3项规定的评审标准对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w:t>
      </w:r>
      <w:r>
        <w:rPr>
          <w:rFonts w:hint="eastAsia" w:ascii="宋体" w:hAnsi="宋体"/>
          <w:color w:val="auto"/>
          <w:kern w:val="0"/>
          <w:szCs w:val="21"/>
          <w:highlight w:val="none"/>
        </w:rPr>
        <w:t>作否决竞选</w:t>
      </w:r>
      <w:r>
        <w:rPr>
          <w:rFonts w:ascii="宋体" w:hAnsi="宋体"/>
          <w:color w:val="auto"/>
          <w:kern w:val="0"/>
          <w:szCs w:val="21"/>
          <w:highlight w:val="none"/>
        </w:rPr>
        <w:t>处理。当</w:t>
      </w:r>
      <w:r>
        <w:rPr>
          <w:rFonts w:hint="eastAsia" w:ascii="宋体" w:hAnsi="宋体"/>
          <w:color w:val="auto"/>
          <w:kern w:val="0"/>
          <w:szCs w:val="21"/>
          <w:highlight w:val="none"/>
        </w:rPr>
        <w:t>竞选人</w:t>
      </w:r>
      <w:r>
        <w:rPr>
          <w:rFonts w:ascii="宋体" w:hAnsi="宋体"/>
          <w:color w:val="auto"/>
          <w:kern w:val="0"/>
          <w:szCs w:val="21"/>
          <w:highlight w:val="none"/>
        </w:rPr>
        <w:t>资格预审申请文件的内容发生重大变化时，</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依据本章第2.1.2项规定的标准对其更新资料进行评审。</w:t>
      </w:r>
    </w:p>
    <w:p w14:paraId="4EEDDCA3">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233F683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（1）与比选人存在利害关系可能影响比选公正性的法人、其他组织或者个人；</w:t>
      </w:r>
    </w:p>
    <w:p w14:paraId="76C9AD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5D3FDD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09F206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02B1B1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063C1A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33F5D6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2B88490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2E106A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2D2CB1B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09F9799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（11）单位负责人为同一人或者存在控股、管理关系的不同单位，不得在同一标段同时参加竞选。</w:t>
      </w:r>
    </w:p>
    <w:p w14:paraId="40E288FF">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3.1.3  </w:t>
      </w:r>
      <w:r>
        <w:rPr>
          <w:rFonts w:hint="eastAsia" w:ascii="宋体" w:hAnsi="宋体"/>
          <w:color w:val="auto"/>
          <w:kern w:val="0"/>
          <w:szCs w:val="21"/>
          <w:highlight w:val="none"/>
        </w:rPr>
        <w:t>竞选总报价</w:t>
      </w:r>
      <w:r>
        <w:rPr>
          <w:rFonts w:ascii="宋体" w:hAnsi="宋体"/>
          <w:color w:val="auto"/>
          <w:kern w:val="0"/>
          <w:szCs w:val="21"/>
          <w:highlight w:val="none"/>
        </w:rPr>
        <w:t>有算术错误的，</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按以下原则对</w:t>
      </w:r>
      <w:r>
        <w:rPr>
          <w:rFonts w:hint="eastAsia" w:ascii="宋体" w:hAnsi="宋体"/>
          <w:color w:val="auto"/>
          <w:kern w:val="0"/>
          <w:szCs w:val="21"/>
          <w:highlight w:val="none"/>
        </w:rPr>
        <w:t>竞选总报价</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暂定监理费用投标总报价</w:t>
      </w:r>
      <w:r>
        <w:rPr>
          <w:rFonts w:hint="eastAsia" w:ascii="宋体" w:hAnsi="宋体"/>
          <w:color w:val="auto"/>
          <w:kern w:val="0"/>
          <w:szCs w:val="21"/>
          <w:highlight w:val="none"/>
          <w:lang w:eastAsia="zh-CN"/>
        </w:rPr>
        <w:t>）</w:t>
      </w:r>
      <w:r>
        <w:rPr>
          <w:rFonts w:ascii="宋体" w:hAnsi="宋体"/>
          <w:color w:val="auto"/>
          <w:kern w:val="0"/>
          <w:szCs w:val="21"/>
          <w:highlight w:val="none"/>
        </w:rPr>
        <w:t>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竞选人</w:t>
      </w:r>
      <w:r>
        <w:rPr>
          <w:rFonts w:ascii="宋体" w:hAnsi="宋体"/>
          <w:color w:val="auto"/>
          <w:kern w:val="0"/>
          <w:szCs w:val="21"/>
          <w:highlight w:val="none"/>
        </w:rPr>
        <w:t>不接受修正价格的，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0BA41832">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竞选文件</w:t>
      </w:r>
      <w:r>
        <w:rPr>
          <w:rFonts w:ascii="宋体" w:hAnsi="宋体"/>
          <w:color w:val="auto"/>
          <w:kern w:val="0"/>
          <w:szCs w:val="21"/>
          <w:highlight w:val="none"/>
        </w:rPr>
        <w:t>中的大写金额与小写金额不一致的，以大写金额为准；</w:t>
      </w:r>
    </w:p>
    <w:p w14:paraId="4B026C05">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竞选总报价</w:t>
      </w:r>
      <w:r>
        <w:rPr>
          <w:rFonts w:hint="eastAsia" w:ascii="宋体" w:hAnsi="宋体"/>
          <w:color w:val="auto"/>
          <w:kern w:val="0"/>
          <w:szCs w:val="21"/>
          <w:highlight w:val="none"/>
          <w:lang w:val="en-US" w:eastAsia="zh-CN"/>
        </w:rPr>
        <w:t>与“</w:t>
      </w:r>
      <w:r>
        <w:rPr>
          <w:rFonts w:hint="eastAsia" w:ascii="宋体" w:hAnsi="宋体" w:eastAsia="宋体" w:cs="Times New Roman"/>
          <w:color w:val="auto"/>
          <w:kern w:val="0"/>
          <w:szCs w:val="21"/>
          <w:highlight w:val="none"/>
          <w:lang w:val="en-US" w:eastAsia="zh-CN"/>
        </w:rPr>
        <w:t>建安工程费计算出工程建设监理费收费基价×中标人填报的折扣比例</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计算结果不一致的，以“</w:t>
      </w:r>
      <w:r>
        <w:rPr>
          <w:rFonts w:hint="eastAsia" w:ascii="宋体" w:hAnsi="宋体" w:eastAsia="宋体" w:cs="Times New Roman"/>
          <w:color w:val="auto"/>
          <w:kern w:val="0"/>
          <w:szCs w:val="21"/>
          <w:highlight w:val="none"/>
          <w:lang w:val="en-US" w:eastAsia="zh-CN"/>
        </w:rPr>
        <w:t>建安工程费计算出工程建设监理费收费基价×中标人填报的折扣比例</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计算结果为准</w:t>
      </w:r>
      <w:r>
        <w:rPr>
          <w:rFonts w:hint="eastAsia" w:ascii="宋体" w:hAnsi="宋体"/>
          <w:color w:val="auto"/>
          <w:kern w:val="0"/>
          <w:szCs w:val="21"/>
          <w:highlight w:val="none"/>
        </w:rPr>
        <w:t>；</w:t>
      </w:r>
    </w:p>
    <w:p w14:paraId="3556E812">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比选文件规定的其他关于修正的要求。</w:t>
      </w:r>
    </w:p>
    <w:p w14:paraId="511DB9BF">
      <w:pPr>
        <w:pStyle w:val="4"/>
        <w:snapToGrid w:val="0"/>
        <w:spacing w:before="0" w:after="0" w:line="360" w:lineRule="auto"/>
        <w:jc w:val="left"/>
        <w:rPr>
          <w:rFonts w:ascii="宋体" w:hAnsi="宋体"/>
          <w:b w:val="0"/>
          <w:snapToGrid w:val="0"/>
          <w:color w:val="auto"/>
          <w:sz w:val="24"/>
          <w:szCs w:val="24"/>
          <w:highlight w:val="none"/>
        </w:rPr>
      </w:pPr>
      <w:bookmarkStart w:id="660" w:name="_Toc27983306"/>
      <w:bookmarkStart w:id="661" w:name="_Toc430530506"/>
      <w:bookmarkStart w:id="662" w:name="_Toc277082624"/>
      <w:bookmarkStart w:id="663" w:name="_Toc509218782"/>
      <w:bookmarkStart w:id="664" w:name="_Toc287620757"/>
      <w:bookmarkStart w:id="665" w:name="_Toc287607818"/>
      <w:bookmarkStart w:id="666" w:name="_Toc200513204"/>
      <w:bookmarkStart w:id="667" w:name="_Toc224103390"/>
      <w:r>
        <w:rPr>
          <w:rFonts w:ascii="宋体" w:hAnsi="宋体"/>
          <w:b w:val="0"/>
          <w:snapToGrid w:val="0"/>
          <w:color w:val="auto"/>
          <w:sz w:val="24"/>
          <w:szCs w:val="24"/>
          <w:highlight w:val="none"/>
        </w:rPr>
        <w:t>3.2  详细评</w:t>
      </w:r>
      <w:bookmarkEnd w:id="660"/>
      <w:bookmarkEnd w:id="661"/>
      <w:bookmarkEnd w:id="662"/>
      <w:bookmarkEnd w:id="663"/>
      <w:bookmarkEnd w:id="664"/>
      <w:bookmarkEnd w:id="665"/>
      <w:bookmarkEnd w:id="666"/>
      <w:bookmarkEnd w:id="667"/>
      <w:r>
        <w:rPr>
          <w:rFonts w:hint="eastAsia" w:ascii="宋体" w:hAnsi="宋体"/>
          <w:b w:val="0"/>
          <w:snapToGrid w:val="0"/>
          <w:color w:val="auto"/>
          <w:sz w:val="24"/>
          <w:szCs w:val="24"/>
          <w:highlight w:val="none"/>
        </w:rPr>
        <w:t>选</w:t>
      </w:r>
    </w:p>
    <w:p w14:paraId="51D84CB2">
      <w:pPr>
        <w:autoSpaceDE w:val="0"/>
        <w:autoSpaceDN w:val="0"/>
        <w:adjustRightInd w:val="0"/>
        <w:snapToGrid w:val="0"/>
        <w:spacing w:line="360" w:lineRule="auto"/>
        <w:ind w:firstLine="532"/>
        <w:rPr>
          <w:rFonts w:hint="eastAsia" w:ascii="宋体" w:hAnsi="宋体" w:eastAsia="宋体" w:cs="Times New Roman"/>
          <w:color w:val="auto"/>
          <w:kern w:val="0"/>
          <w:szCs w:val="21"/>
          <w:highlight w:val="none"/>
        </w:rPr>
      </w:pPr>
      <w:bookmarkStart w:id="668" w:name="_Toc224103391"/>
      <w:bookmarkStart w:id="669" w:name="_Toc509218783"/>
      <w:bookmarkStart w:id="670" w:name="_Toc287607819"/>
      <w:bookmarkStart w:id="671" w:name="_Toc287620758"/>
      <w:bookmarkStart w:id="672" w:name="_Toc277082625"/>
      <w:bookmarkStart w:id="673" w:name="_Toc430530507"/>
      <w:bookmarkStart w:id="674" w:name="_Toc27983307"/>
      <w:bookmarkStart w:id="675" w:name="_Toc200513205"/>
      <w:r>
        <w:rPr>
          <w:rFonts w:hint="eastAsia" w:ascii="宋体" w:hAnsi="宋体" w:eastAsia="宋体" w:cs="Times New Roman"/>
          <w:color w:val="auto"/>
          <w:kern w:val="0"/>
          <w:szCs w:val="21"/>
          <w:highlight w:val="none"/>
        </w:rPr>
        <w:t>详见评选办法前附表。</w:t>
      </w:r>
    </w:p>
    <w:p w14:paraId="230E28AB">
      <w:pPr>
        <w:pStyle w:val="4"/>
        <w:snapToGrid w:val="0"/>
        <w:spacing w:before="0" w:after="0" w:line="360" w:lineRule="auto"/>
        <w:jc w:val="left"/>
        <w:rPr>
          <w:rFonts w:ascii="宋体" w:hAnsi="宋体"/>
          <w:b w:val="0"/>
          <w:snapToGrid w:val="0"/>
          <w:color w:val="auto"/>
          <w:sz w:val="24"/>
          <w:szCs w:val="24"/>
          <w:highlight w:val="none"/>
        </w:rPr>
      </w:pPr>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68"/>
      <w:bookmarkEnd w:id="669"/>
      <w:bookmarkEnd w:id="670"/>
      <w:bookmarkEnd w:id="671"/>
      <w:bookmarkEnd w:id="672"/>
      <w:bookmarkEnd w:id="673"/>
      <w:bookmarkEnd w:id="674"/>
      <w:bookmarkEnd w:id="675"/>
    </w:p>
    <w:p w14:paraId="5CAA4EE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3.3.1  在</w:t>
      </w:r>
      <w:r>
        <w:rPr>
          <w:rFonts w:hint="eastAsia" w:ascii="宋体" w:hAnsi="宋体"/>
          <w:color w:val="auto"/>
          <w:kern w:val="0"/>
          <w:szCs w:val="21"/>
          <w:highlight w:val="none"/>
        </w:rPr>
        <w:t>评选</w:t>
      </w:r>
      <w:r>
        <w:rPr>
          <w:rFonts w:ascii="宋体" w:hAnsi="宋体"/>
          <w:color w:val="auto"/>
          <w:kern w:val="0"/>
          <w:szCs w:val="21"/>
          <w:highlight w:val="none"/>
        </w:rPr>
        <w:t>过程中，</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59D82290">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15724D0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3.3.3  </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的要求。</w:t>
      </w:r>
    </w:p>
    <w:p w14:paraId="3563C9FD">
      <w:pPr>
        <w:pStyle w:val="4"/>
        <w:snapToGrid w:val="0"/>
        <w:spacing w:before="0" w:after="0" w:line="360" w:lineRule="auto"/>
        <w:jc w:val="left"/>
        <w:rPr>
          <w:rFonts w:ascii="宋体" w:hAnsi="宋体" w:eastAsia="宋体" w:cs="Times New Roman"/>
          <w:b w:val="0"/>
          <w:snapToGrid w:val="0"/>
          <w:color w:val="auto"/>
          <w:sz w:val="24"/>
          <w:szCs w:val="24"/>
          <w:highlight w:val="none"/>
        </w:rPr>
      </w:pPr>
      <w:bookmarkStart w:id="676" w:name="_Toc430530508"/>
      <w:bookmarkStart w:id="677" w:name="_Toc200513206"/>
      <w:bookmarkStart w:id="678" w:name="_Toc277082626"/>
      <w:bookmarkStart w:id="679" w:name="_Toc287620759"/>
      <w:bookmarkStart w:id="680" w:name="_Toc287607820"/>
      <w:bookmarkStart w:id="681" w:name="_Toc509218784"/>
      <w:bookmarkStart w:id="682" w:name="_Toc224103392"/>
      <w:bookmarkStart w:id="683" w:name="_Toc27983308"/>
      <w:r>
        <w:rPr>
          <w:rFonts w:ascii="宋体" w:hAnsi="宋体" w:eastAsia="宋体" w:cs="Times New Roman"/>
          <w:b w:val="0"/>
          <w:snapToGrid w:val="0"/>
          <w:color w:val="auto"/>
          <w:sz w:val="24"/>
          <w:szCs w:val="24"/>
          <w:highlight w:val="none"/>
        </w:rPr>
        <w:t xml:space="preserve">3.4  </w:t>
      </w:r>
      <w:r>
        <w:rPr>
          <w:rFonts w:hint="eastAsia" w:ascii="宋体" w:hAnsi="宋体" w:eastAsia="宋体" w:cs="Times New Roman"/>
          <w:b w:val="0"/>
          <w:snapToGrid w:val="0"/>
          <w:color w:val="auto"/>
          <w:sz w:val="24"/>
          <w:szCs w:val="24"/>
          <w:highlight w:val="none"/>
        </w:rPr>
        <w:t>评选</w:t>
      </w:r>
      <w:r>
        <w:rPr>
          <w:rFonts w:ascii="宋体" w:hAnsi="宋体" w:eastAsia="宋体" w:cs="Times New Roman"/>
          <w:b w:val="0"/>
          <w:snapToGrid w:val="0"/>
          <w:color w:val="auto"/>
          <w:sz w:val="24"/>
          <w:szCs w:val="24"/>
          <w:highlight w:val="none"/>
        </w:rPr>
        <w:t>结果</w:t>
      </w:r>
      <w:bookmarkEnd w:id="676"/>
      <w:bookmarkEnd w:id="677"/>
      <w:bookmarkEnd w:id="678"/>
      <w:bookmarkEnd w:id="679"/>
      <w:bookmarkEnd w:id="680"/>
      <w:bookmarkEnd w:id="681"/>
      <w:bookmarkEnd w:id="682"/>
      <w:bookmarkEnd w:id="683"/>
    </w:p>
    <w:p w14:paraId="76F03D3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3.4.1  除第二章“</w:t>
      </w:r>
      <w:r>
        <w:rPr>
          <w:rFonts w:hint="eastAsia" w:ascii="宋体" w:hAnsi="宋体"/>
          <w:color w:val="auto"/>
          <w:kern w:val="0"/>
          <w:szCs w:val="21"/>
          <w:highlight w:val="none"/>
        </w:rPr>
        <w:t>竞选人</w:t>
      </w:r>
      <w:r>
        <w:rPr>
          <w:rFonts w:ascii="宋体" w:hAnsi="宋体"/>
          <w:color w:val="auto"/>
          <w:kern w:val="0"/>
          <w:szCs w:val="21"/>
          <w:highlight w:val="none"/>
        </w:rPr>
        <w:t>须知”前附表授权直接确定</w:t>
      </w:r>
      <w:r>
        <w:rPr>
          <w:rFonts w:hint="eastAsia" w:ascii="宋体" w:hAnsi="宋体"/>
          <w:color w:val="auto"/>
          <w:kern w:val="0"/>
          <w:szCs w:val="21"/>
          <w:highlight w:val="none"/>
        </w:rPr>
        <w:t>中选</w:t>
      </w:r>
      <w:r>
        <w:rPr>
          <w:rFonts w:ascii="宋体" w:hAnsi="宋体"/>
          <w:color w:val="auto"/>
          <w:kern w:val="0"/>
          <w:szCs w:val="21"/>
          <w:highlight w:val="none"/>
        </w:rPr>
        <w:t>人外，</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按照得分由高到低的顺序推荐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p>
    <w:p w14:paraId="3FA3B63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3.4.2  </w:t>
      </w:r>
      <w:r>
        <w:rPr>
          <w:rFonts w:hint="eastAsia" w:ascii="宋体" w:hAnsi="宋体"/>
          <w:color w:val="auto"/>
          <w:kern w:val="0"/>
          <w:szCs w:val="21"/>
          <w:highlight w:val="none"/>
          <w:lang w:eastAsia="zh-CN"/>
        </w:rPr>
        <w:t>评标委员会</w:t>
      </w:r>
      <w:r>
        <w:rPr>
          <w:rFonts w:ascii="宋体" w:hAnsi="宋体"/>
          <w:color w:val="auto"/>
          <w:kern w:val="0"/>
          <w:szCs w:val="21"/>
          <w:highlight w:val="none"/>
        </w:rPr>
        <w:t>完成</w:t>
      </w:r>
      <w:r>
        <w:rPr>
          <w:rFonts w:hint="eastAsia" w:ascii="宋体" w:hAnsi="宋体"/>
          <w:color w:val="auto"/>
          <w:kern w:val="0"/>
          <w:szCs w:val="21"/>
          <w:highlight w:val="none"/>
        </w:rPr>
        <w:t>评选</w:t>
      </w:r>
      <w:r>
        <w:rPr>
          <w:rFonts w:ascii="宋体" w:hAnsi="宋体"/>
          <w:color w:val="auto"/>
          <w:kern w:val="0"/>
          <w:szCs w:val="21"/>
          <w:highlight w:val="none"/>
        </w:rPr>
        <w:t>后，应当向</w:t>
      </w:r>
      <w:r>
        <w:rPr>
          <w:rFonts w:hint="eastAsia" w:ascii="宋体" w:hAnsi="宋体"/>
          <w:color w:val="auto"/>
          <w:kern w:val="0"/>
          <w:szCs w:val="21"/>
          <w:highlight w:val="none"/>
        </w:rPr>
        <w:t>比选人</w:t>
      </w:r>
      <w:r>
        <w:rPr>
          <w:rFonts w:ascii="宋体" w:hAnsi="宋体"/>
          <w:color w:val="auto"/>
          <w:kern w:val="0"/>
          <w:szCs w:val="21"/>
          <w:highlight w:val="none"/>
        </w:rPr>
        <w:t>提交书面</w:t>
      </w:r>
      <w:r>
        <w:rPr>
          <w:rFonts w:hint="eastAsia" w:ascii="宋体" w:hAnsi="宋体"/>
          <w:color w:val="auto"/>
          <w:kern w:val="0"/>
          <w:szCs w:val="21"/>
          <w:highlight w:val="none"/>
        </w:rPr>
        <w:t>评选</w:t>
      </w:r>
      <w:r>
        <w:rPr>
          <w:rFonts w:ascii="宋体" w:hAnsi="宋体"/>
          <w:color w:val="auto"/>
          <w:kern w:val="0"/>
          <w:szCs w:val="21"/>
          <w:highlight w:val="none"/>
        </w:rPr>
        <w:t>报告。</w:t>
      </w:r>
    </w:p>
    <w:bookmarkEnd w:id="617"/>
    <w:bookmarkEnd w:id="618"/>
    <w:bookmarkEnd w:id="619"/>
    <w:p w14:paraId="04D21773">
      <w:pPr>
        <w:autoSpaceDE w:val="0"/>
        <w:autoSpaceDN w:val="0"/>
        <w:adjustRightInd w:val="0"/>
        <w:snapToGrid w:val="0"/>
        <w:spacing w:line="360" w:lineRule="auto"/>
        <w:ind w:firstLine="535" w:firstLineChars="255"/>
        <w:rPr>
          <w:rFonts w:ascii="宋体" w:hAnsi="宋体"/>
          <w:color w:val="auto"/>
          <w:kern w:val="0"/>
          <w:szCs w:val="21"/>
          <w:highlight w:val="none"/>
        </w:rPr>
      </w:pPr>
    </w:p>
    <w:p w14:paraId="23AA658B">
      <w:pPr>
        <w:autoSpaceDE w:val="0"/>
        <w:autoSpaceDN w:val="0"/>
        <w:adjustRightInd w:val="0"/>
        <w:snapToGrid w:val="0"/>
        <w:spacing w:line="360" w:lineRule="auto"/>
        <w:ind w:firstLine="535" w:firstLineChars="255"/>
        <w:rPr>
          <w:rFonts w:ascii="宋体" w:hAnsi="宋体"/>
          <w:color w:val="auto"/>
          <w:kern w:val="0"/>
          <w:szCs w:val="21"/>
          <w:highlight w:val="none"/>
        </w:rPr>
      </w:pPr>
    </w:p>
    <w:p w14:paraId="0F2A9E60">
      <w:pPr>
        <w:autoSpaceDE w:val="0"/>
        <w:autoSpaceDN w:val="0"/>
        <w:adjustRightInd w:val="0"/>
        <w:snapToGrid w:val="0"/>
        <w:spacing w:line="360" w:lineRule="auto"/>
        <w:ind w:firstLine="535" w:firstLineChars="255"/>
        <w:rPr>
          <w:rFonts w:ascii="宋体" w:hAnsi="宋体"/>
          <w:color w:val="auto"/>
          <w:kern w:val="0"/>
          <w:szCs w:val="21"/>
          <w:highlight w:val="none"/>
        </w:rPr>
      </w:pPr>
    </w:p>
    <w:p w14:paraId="5FBC5D8C">
      <w:pPr>
        <w:autoSpaceDE w:val="0"/>
        <w:autoSpaceDN w:val="0"/>
        <w:adjustRightInd w:val="0"/>
        <w:snapToGrid w:val="0"/>
        <w:spacing w:line="360" w:lineRule="auto"/>
        <w:ind w:firstLine="535" w:firstLineChars="255"/>
        <w:rPr>
          <w:rFonts w:ascii="宋体" w:hAnsi="宋体"/>
          <w:color w:val="auto"/>
          <w:kern w:val="0"/>
          <w:szCs w:val="21"/>
          <w:highlight w:val="none"/>
        </w:rPr>
      </w:pPr>
    </w:p>
    <w:p w14:paraId="7E5EBFF8">
      <w:pPr>
        <w:autoSpaceDE w:val="0"/>
        <w:autoSpaceDN w:val="0"/>
        <w:adjustRightInd w:val="0"/>
        <w:snapToGrid w:val="0"/>
        <w:spacing w:line="360" w:lineRule="auto"/>
        <w:ind w:firstLine="535" w:firstLineChars="255"/>
        <w:rPr>
          <w:rFonts w:ascii="宋体" w:hAnsi="宋体"/>
          <w:color w:val="auto"/>
          <w:kern w:val="0"/>
          <w:szCs w:val="21"/>
          <w:highlight w:val="none"/>
        </w:rPr>
      </w:pPr>
    </w:p>
    <w:p w14:paraId="24436AF4">
      <w:pPr>
        <w:autoSpaceDE w:val="0"/>
        <w:autoSpaceDN w:val="0"/>
        <w:adjustRightInd w:val="0"/>
        <w:snapToGrid w:val="0"/>
        <w:spacing w:line="360" w:lineRule="auto"/>
        <w:ind w:firstLine="535" w:firstLineChars="255"/>
        <w:rPr>
          <w:rFonts w:ascii="宋体" w:hAnsi="宋体"/>
          <w:color w:val="auto"/>
          <w:kern w:val="0"/>
          <w:szCs w:val="21"/>
          <w:highlight w:val="none"/>
        </w:rPr>
      </w:pPr>
    </w:p>
    <w:p w14:paraId="75D7CFA3">
      <w:pPr>
        <w:autoSpaceDE w:val="0"/>
        <w:autoSpaceDN w:val="0"/>
        <w:adjustRightInd w:val="0"/>
        <w:snapToGrid w:val="0"/>
        <w:spacing w:line="360" w:lineRule="auto"/>
        <w:ind w:firstLine="535" w:firstLineChars="255"/>
        <w:rPr>
          <w:rFonts w:ascii="宋体" w:hAnsi="宋体"/>
          <w:color w:val="auto"/>
          <w:kern w:val="0"/>
          <w:szCs w:val="21"/>
          <w:highlight w:val="none"/>
        </w:rPr>
      </w:pPr>
    </w:p>
    <w:p w14:paraId="475785D9">
      <w:pPr>
        <w:autoSpaceDE w:val="0"/>
        <w:autoSpaceDN w:val="0"/>
        <w:adjustRightInd w:val="0"/>
        <w:snapToGrid w:val="0"/>
        <w:spacing w:line="360" w:lineRule="auto"/>
        <w:ind w:firstLine="535" w:firstLineChars="255"/>
        <w:rPr>
          <w:rFonts w:ascii="宋体" w:hAnsi="宋体"/>
          <w:color w:val="auto"/>
          <w:kern w:val="0"/>
          <w:szCs w:val="21"/>
          <w:highlight w:val="none"/>
        </w:rPr>
      </w:pPr>
    </w:p>
    <w:p w14:paraId="411E094E">
      <w:pPr>
        <w:autoSpaceDE w:val="0"/>
        <w:autoSpaceDN w:val="0"/>
        <w:adjustRightInd w:val="0"/>
        <w:snapToGrid w:val="0"/>
        <w:spacing w:line="360" w:lineRule="auto"/>
        <w:ind w:firstLine="535" w:firstLineChars="255"/>
        <w:rPr>
          <w:rFonts w:ascii="宋体" w:hAnsi="宋体"/>
          <w:color w:val="auto"/>
          <w:kern w:val="0"/>
          <w:szCs w:val="21"/>
          <w:highlight w:val="none"/>
        </w:rPr>
      </w:pPr>
    </w:p>
    <w:p w14:paraId="7B38309F">
      <w:pPr>
        <w:autoSpaceDE w:val="0"/>
        <w:autoSpaceDN w:val="0"/>
        <w:adjustRightInd w:val="0"/>
        <w:snapToGrid w:val="0"/>
        <w:spacing w:line="360" w:lineRule="auto"/>
        <w:ind w:firstLine="535" w:firstLineChars="255"/>
        <w:rPr>
          <w:rFonts w:ascii="宋体" w:hAnsi="宋体"/>
          <w:color w:val="auto"/>
          <w:kern w:val="0"/>
          <w:szCs w:val="21"/>
          <w:highlight w:val="none"/>
        </w:rPr>
      </w:pPr>
    </w:p>
    <w:p w14:paraId="08FF7C55">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64AA2AA">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附件A：综合评估法否决竞选情况一览表</w:t>
      </w:r>
    </w:p>
    <w:p w14:paraId="575B3707">
      <w:pPr>
        <w:pStyle w:val="15"/>
        <w:spacing w:line="360" w:lineRule="auto"/>
        <w:ind w:firstLine="420"/>
        <w:jc w:val="both"/>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竞选人存在一览表中情形之一的，作否决竞选处理，否决竞选条件之外的评标委员会不得判为重大偏差。</w:t>
      </w:r>
    </w:p>
    <w:tbl>
      <w:tblPr>
        <w:tblStyle w:val="21"/>
        <w:tblW w:w="9627" w:type="dxa"/>
        <w:tblInd w:w="108" w:type="dxa"/>
        <w:tblLayout w:type="fixed"/>
        <w:tblCellMar>
          <w:top w:w="0" w:type="dxa"/>
          <w:left w:w="108" w:type="dxa"/>
          <w:bottom w:w="0" w:type="dxa"/>
          <w:right w:w="108" w:type="dxa"/>
        </w:tblCellMar>
      </w:tblPr>
      <w:tblGrid>
        <w:gridCol w:w="2319"/>
        <w:gridCol w:w="7308"/>
      </w:tblGrid>
      <w:tr w14:paraId="1E893CBA">
        <w:tc>
          <w:tcPr>
            <w:tcW w:w="2319" w:type="dxa"/>
            <w:tcBorders>
              <w:top w:val="single" w:color="000000" w:sz="8" w:space="0"/>
              <w:left w:val="single" w:color="000000" w:sz="4" w:space="0"/>
              <w:bottom w:val="single" w:color="000000" w:sz="4" w:space="0"/>
              <w:right w:val="single" w:color="000000" w:sz="4" w:space="0"/>
            </w:tcBorders>
            <w:vAlign w:val="center"/>
          </w:tcPr>
          <w:p w14:paraId="243D882E">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条款名称</w:t>
            </w:r>
          </w:p>
        </w:tc>
        <w:tc>
          <w:tcPr>
            <w:tcW w:w="7308" w:type="dxa"/>
            <w:tcBorders>
              <w:top w:val="single" w:color="000000" w:sz="8" w:space="0"/>
              <w:left w:val="single" w:color="000000" w:sz="4" w:space="0"/>
              <w:bottom w:val="single" w:color="000000" w:sz="4" w:space="0"/>
              <w:right w:val="single" w:color="000000" w:sz="8" w:space="0"/>
            </w:tcBorders>
            <w:vAlign w:val="center"/>
          </w:tcPr>
          <w:p w14:paraId="2D5BEF6C">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否决竞选条件</w:t>
            </w:r>
          </w:p>
        </w:tc>
      </w:tr>
      <w:tr w14:paraId="4E887C7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249ACE33">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形式评审</w:t>
            </w:r>
          </w:p>
        </w:tc>
        <w:tc>
          <w:tcPr>
            <w:tcW w:w="7308" w:type="dxa"/>
            <w:tcBorders>
              <w:top w:val="single" w:color="000000" w:sz="4" w:space="0"/>
              <w:left w:val="single" w:color="000000" w:sz="4" w:space="0"/>
              <w:bottom w:val="single" w:color="000000" w:sz="4" w:space="0"/>
              <w:right w:val="single" w:color="000000" w:sz="8" w:space="0"/>
            </w:tcBorders>
          </w:tcPr>
          <w:p w14:paraId="49A5135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A-1竞选人名称必须与营业执照、资质证书一致，</w:t>
            </w:r>
            <w:r>
              <w:rPr>
                <w:color w:val="auto"/>
                <w:highlight w:val="none"/>
              </w:rPr>
              <w:t>依法变更名称的应提交相应证明材料</w:t>
            </w:r>
            <w:r>
              <w:rPr>
                <w:rFonts w:hint="eastAsia"/>
                <w:color w:val="auto"/>
                <w:highlight w:val="none"/>
              </w:rPr>
              <w:t>，</w:t>
            </w:r>
            <w:r>
              <w:rPr>
                <w:rFonts w:hint="eastAsia" w:ascii="宋体" w:hAnsi="宋体" w:cs="宋体"/>
                <w:color w:val="auto"/>
                <w:kern w:val="1"/>
                <w:szCs w:val="21"/>
                <w:highlight w:val="none"/>
              </w:rPr>
              <w:t>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32BAE6C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3EFFF12">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35A3D57F">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A-2竞选文件的签字盖章须按本章竞选人须知3.7.3款执行，规定签字、盖章的位置有法定代表人或其委托代理人签字（或盖章）、加盖单位公章，否则由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1C6AEABC">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4D8269B">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2A5A8FC9">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A-3竞选文件格式符合第五章“竞选文件格式”的要求，否则由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1FD4FC4E">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6DB4582">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37BC77C7">
            <w:pPr>
              <w:spacing w:line="400" w:lineRule="exact"/>
              <w:ind w:firstLine="420"/>
              <w:rPr>
                <w:rFonts w:ascii="宋体" w:hAnsi="宋体" w:cs="宋体"/>
                <w:i/>
                <w:color w:val="auto"/>
                <w:kern w:val="1"/>
                <w:szCs w:val="21"/>
                <w:highlight w:val="none"/>
              </w:rPr>
            </w:pPr>
            <w:r>
              <w:rPr>
                <w:rFonts w:hint="eastAsia" w:ascii="宋体" w:hAnsi="宋体" w:cs="宋体"/>
                <w:color w:val="auto"/>
                <w:kern w:val="1"/>
                <w:szCs w:val="21"/>
                <w:highlight w:val="none"/>
              </w:rPr>
              <w:t>A-4</w:t>
            </w:r>
            <w:r>
              <w:rPr>
                <w:rStyle w:val="48"/>
                <w:rFonts w:hint="eastAsia" w:ascii="宋体" w:hAnsi="宋体"/>
                <w:color w:val="auto"/>
                <w:szCs w:val="21"/>
                <w:highlight w:val="none"/>
              </w:rPr>
              <w:t>竞选文件</w:t>
            </w:r>
            <w:r>
              <w:rPr>
                <w:rStyle w:val="48"/>
                <w:rFonts w:ascii="宋体" w:hAnsi="宋体"/>
                <w:color w:val="auto"/>
                <w:szCs w:val="21"/>
                <w:highlight w:val="none"/>
              </w:rPr>
              <w:t>正本</w:t>
            </w:r>
            <w:r>
              <w:rPr>
                <w:rStyle w:val="48"/>
                <w:rFonts w:hint="eastAsia" w:ascii="宋体" w:hAnsi="宋体"/>
                <w:color w:val="auto"/>
                <w:szCs w:val="21"/>
                <w:highlight w:val="none"/>
              </w:rPr>
              <w:t>、副本、</w:t>
            </w:r>
            <w:r>
              <w:rPr>
                <w:rStyle w:val="48"/>
                <w:rFonts w:ascii="宋体" w:hAnsi="宋体"/>
                <w:color w:val="auto"/>
                <w:kern w:val="0"/>
                <w:szCs w:val="21"/>
                <w:highlight w:val="none"/>
              </w:rPr>
              <w:t>电子版</w:t>
            </w:r>
            <w:r>
              <w:rPr>
                <w:rStyle w:val="48"/>
                <w:rFonts w:hint="eastAsia" w:ascii="宋体" w:hAnsi="宋体"/>
                <w:color w:val="auto"/>
                <w:kern w:val="0"/>
                <w:szCs w:val="21"/>
                <w:highlight w:val="none"/>
              </w:rPr>
              <w:t>份数及形式符合竞选文件要求</w:t>
            </w:r>
            <w:r>
              <w:rPr>
                <w:rStyle w:val="48"/>
                <w:rFonts w:ascii="宋体" w:hAnsi="宋体"/>
                <w:color w:val="auto"/>
                <w:kern w:val="0"/>
                <w:szCs w:val="21"/>
                <w:highlight w:val="none"/>
              </w:rPr>
              <w:t>。</w:t>
            </w:r>
            <w:r>
              <w:rPr>
                <w:rStyle w:val="48"/>
                <w:rFonts w:hint="eastAsia" w:ascii="宋体" w:hAnsi="宋体"/>
                <w:color w:val="auto"/>
                <w:kern w:val="0"/>
                <w:szCs w:val="21"/>
                <w:highlight w:val="none"/>
              </w:rPr>
              <w:t>不按规定递交足够份数或形式不符合要求的，</w:t>
            </w:r>
            <w:r>
              <w:rPr>
                <w:rStyle w:val="48"/>
                <w:rFonts w:ascii="宋体" w:hAnsi="宋体"/>
                <w:color w:val="auto"/>
                <w:szCs w:val="21"/>
                <w:highlight w:val="none"/>
              </w:rPr>
              <w:t>由</w:t>
            </w:r>
            <w:r>
              <w:rPr>
                <w:rStyle w:val="48"/>
                <w:rFonts w:hint="eastAsia" w:ascii="宋体" w:hAnsi="宋体"/>
                <w:color w:val="auto"/>
                <w:szCs w:val="21"/>
                <w:highlight w:val="none"/>
                <w:lang w:eastAsia="zh-CN"/>
              </w:rPr>
              <w:t>评标委员会</w:t>
            </w:r>
            <w:r>
              <w:rPr>
                <w:rStyle w:val="48"/>
                <w:rFonts w:hint="eastAsia" w:ascii="宋体" w:hAnsi="宋体"/>
                <w:color w:val="auto"/>
                <w:szCs w:val="21"/>
                <w:highlight w:val="none"/>
              </w:rPr>
              <w:t>作否决竞选</w:t>
            </w:r>
            <w:r>
              <w:rPr>
                <w:rStyle w:val="48"/>
                <w:rFonts w:ascii="宋体" w:hAnsi="宋体"/>
                <w:color w:val="auto"/>
                <w:szCs w:val="21"/>
                <w:highlight w:val="none"/>
              </w:rPr>
              <w:t>处理。</w:t>
            </w:r>
          </w:p>
        </w:tc>
      </w:tr>
      <w:tr w14:paraId="75A28697">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C011424">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61890D1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A-5只能有一个有效报价。在比选文件没有规定的情况下，不得提交选择性报价，不得超过最高限价，否则由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72FE2C4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3991C07">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4E7A8A30">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A-6竞选文件中竞选文件格式要求须法定代表人或其委托代理人的签字（或盖章）须齐全，否则由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77E559B1">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87156">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tcPr>
          <w:p w14:paraId="411378D2">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A-7竞选人法定代表人的委托代理人有法定代表人签署的授权委托书。</w:t>
            </w:r>
          </w:p>
        </w:tc>
      </w:tr>
      <w:tr w14:paraId="3FB7917A">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0AB25C5B">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资格评审</w:t>
            </w:r>
          </w:p>
        </w:tc>
        <w:tc>
          <w:tcPr>
            <w:tcW w:w="7308" w:type="dxa"/>
            <w:tcBorders>
              <w:top w:val="single" w:color="000000" w:sz="4" w:space="0"/>
              <w:left w:val="single" w:color="000000" w:sz="4" w:space="0"/>
              <w:bottom w:val="single" w:color="000000" w:sz="4" w:space="0"/>
              <w:right w:val="single" w:color="000000" w:sz="8" w:space="0"/>
            </w:tcBorders>
            <w:vAlign w:val="center"/>
          </w:tcPr>
          <w:p w14:paraId="4C9AE91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A-8竞选人的资质条件、营业执照须满足竞选人须知前附表1.4.1项要求，否则由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280E1B63">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4486C95E">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44BA9225">
            <w:pPr>
              <w:spacing w:line="400" w:lineRule="exact"/>
              <w:ind w:firstLine="420"/>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rPr>
              <w:t>A-9竞选人的财务状况须满足竞选人须知前附表1.4.1项要求，否则由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如有</w:t>
            </w:r>
            <w:r>
              <w:rPr>
                <w:rFonts w:hint="eastAsia" w:ascii="宋体" w:hAnsi="宋体" w:cs="宋体"/>
                <w:color w:val="auto"/>
                <w:kern w:val="1"/>
                <w:szCs w:val="21"/>
                <w:highlight w:val="none"/>
                <w:lang w:eastAsia="zh-CN"/>
              </w:rPr>
              <w:t>）</w:t>
            </w:r>
          </w:p>
        </w:tc>
      </w:tr>
      <w:tr w14:paraId="2A9CB24F">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72435A8">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1C62C108">
            <w:pPr>
              <w:adjustRightInd w:val="0"/>
              <w:snapToGrid w:val="0"/>
              <w:spacing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A-10比选截止日竞选人竞选资格情况须满足竞选人须知前附表1.4.1项要求，否则由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0F93735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6EBA7816">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3BC0893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A-11竞选人的</w:t>
            </w:r>
            <w:r>
              <w:rPr>
                <w:rFonts w:hint="eastAsia" w:ascii="宋体" w:hAnsi="宋体" w:cs="宋体"/>
                <w:color w:val="auto"/>
                <w:highlight w:val="none"/>
              </w:rPr>
              <w:t>拟派监理人员</w:t>
            </w:r>
            <w:r>
              <w:rPr>
                <w:rFonts w:hint="eastAsia" w:ascii="宋体" w:hAnsi="宋体" w:cs="宋体"/>
                <w:color w:val="auto"/>
                <w:kern w:val="1"/>
                <w:szCs w:val="21"/>
                <w:highlight w:val="none"/>
              </w:rPr>
              <w:t>须满足竞选人须知前附表1.4.1项要求，否则由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如有</w:t>
            </w:r>
            <w:r>
              <w:rPr>
                <w:rFonts w:hint="eastAsia" w:ascii="宋体" w:hAnsi="宋体" w:cs="宋体"/>
                <w:color w:val="auto"/>
                <w:kern w:val="1"/>
                <w:szCs w:val="21"/>
                <w:highlight w:val="none"/>
                <w:lang w:eastAsia="zh-CN"/>
              </w:rPr>
              <w:t>）</w:t>
            </w:r>
          </w:p>
        </w:tc>
      </w:tr>
      <w:tr w14:paraId="36CEF156">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13235AD">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3A4B1060">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A-12 竞选人的</w:t>
            </w:r>
            <w:r>
              <w:rPr>
                <w:rFonts w:hint="eastAsia" w:ascii="宋体" w:hAnsi="宋体" w:cs="宋体"/>
                <w:color w:val="auto"/>
                <w:highlight w:val="none"/>
              </w:rPr>
              <w:t>委托代理人</w:t>
            </w:r>
            <w:r>
              <w:rPr>
                <w:rFonts w:hint="eastAsia" w:ascii="宋体" w:hAnsi="宋体" w:cs="宋体"/>
                <w:color w:val="auto"/>
                <w:kern w:val="1"/>
                <w:szCs w:val="21"/>
                <w:highlight w:val="none"/>
              </w:rPr>
              <w:t>须满足竞选人须知前附表1.4.1项要求，否则由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r>
              <w:rPr>
                <w:rFonts w:hint="eastAsia" w:ascii="宋体" w:hAnsi="宋体" w:cs="宋体"/>
                <w:color w:val="auto"/>
                <w:kern w:val="1"/>
                <w:szCs w:val="21"/>
                <w:highlight w:val="none"/>
                <w:lang w:eastAsia="zh-CN"/>
              </w:rPr>
              <w:t>（</w:t>
            </w:r>
            <w:r>
              <w:rPr>
                <w:rFonts w:hint="eastAsia" w:ascii="宋体" w:hAnsi="宋体" w:cs="宋体"/>
                <w:color w:val="auto"/>
                <w:kern w:val="1"/>
                <w:szCs w:val="21"/>
                <w:highlight w:val="none"/>
                <w:lang w:val="en-US" w:eastAsia="zh-CN"/>
              </w:rPr>
              <w:t>如有</w:t>
            </w:r>
            <w:r>
              <w:rPr>
                <w:rFonts w:hint="eastAsia" w:ascii="宋体" w:hAnsi="宋体" w:cs="宋体"/>
                <w:color w:val="auto"/>
                <w:kern w:val="1"/>
                <w:szCs w:val="21"/>
                <w:highlight w:val="none"/>
                <w:lang w:eastAsia="zh-CN"/>
              </w:rPr>
              <w:t>）</w:t>
            </w:r>
          </w:p>
        </w:tc>
      </w:tr>
      <w:tr w14:paraId="56E71037">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3DA870DD">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响应性评审</w:t>
            </w:r>
          </w:p>
        </w:tc>
        <w:tc>
          <w:tcPr>
            <w:tcW w:w="7308" w:type="dxa"/>
            <w:tcBorders>
              <w:top w:val="single" w:color="000000" w:sz="4" w:space="0"/>
              <w:left w:val="single" w:color="000000" w:sz="4" w:space="0"/>
              <w:bottom w:val="single" w:color="000000" w:sz="4" w:space="0"/>
              <w:right w:val="single" w:color="000000" w:sz="8" w:space="0"/>
            </w:tcBorders>
            <w:vAlign w:val="center"/>
          </w:tcPr>
          <w:p w14:paraId="4924289B">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A-13竞选内容符合第二章“竞选人须知”第1.3.1项规定，否则由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4604C90E">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C9C13FF">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5E308B24">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A-14监理服务期符合第二章“竞选人须知”第1.3.2项规定，否则由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662CF009">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1A82EAA7">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0AB72589">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A-15工程质量符合第二章“竞选人须知”第1.3.</w:t>
            </w:r>
            <w:r>
              <w:rPr>
                <w:rFonts w:ascii="宋体" w:hAnsi="宋体" w:cs="宋体"/>
                <w:color w:val="auto"/>
                <w:kern w:val="1"/>
                <w:szCs w:val="21"/>
                <w:highlight w:val="none"/>
              </w:rPr>
              <w:t>3</w:t>
            </w:r>
            <w:r>
              <w:rPr>
                <w:rFonts w:hint="eastAsia" w:ascii="宋体" w:hAnsi="宋体" w:cs="宋体"/>
                <w:color w:val="auto"/>
                <w:kern w:val="1"/>
                <w:szCs w:val="21"/>
                <w:highlight w:val="none"/>
              </w:rPr>
              <w:t>项规定，否则由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34E55AED">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8D775C7">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72CDEB6F">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A-16比选有效期符合第二章“竞选人须知”第3.3.1项规定，否则由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64887E36">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EEFED00">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1061B358">
            <w:pPr>
              <w:spacing w:line="400" w:lineRule="exact"/>
              <w:ind w:firstLine="420"/>
              <w:rPr>
                <w:rFonts w:hint="eastAsia" w:ascii="宋体" w:hAnsi="宋体" w:cs="宋体"/>
                <w:color w:val="auto"/>
                <w:kern w:val="1"/>
                <w:szCs w:val="21"/>
                <w:highlight w:val="none"/>
              </w:rPr>
            </w:pPr>
            <w:r>
              <w:rPr>
                <w:rFonts w:hint="eastAsia" w:ascii="宋体" w:hAnsi="宋体" w:eastAsia="宋体" w:cs="宋体"/>
                <w:color w:val="auto"/>
                <w:kern w:val="1"/>
                <w:szCs w:val="21"/>
                <w:highlight w:val="none"/>
              </w:rPr>
              <w:t>A-1</w:t>
            </w:r>
            <w:r>
              <w:rPr>
                <w:rFonts w:hint="eastAsia" w:ascii="宋体" w:hAnsi="宋体" w:eastAsia="宋体" w:cs="宋体"/>
                <w:color w:val="auto"/>
                <w:kern w:val="1"/>
                <w:szCs w:val="21"/>
                <w:highlight w:val="none"/>
                <w:lang w:val="en-US" w:eastAsia="zh-CN"/>
              </w:rPr>
              <w:t>7</w:t>
            </w:r>
            <w:r>
              <w:rPr>
                <w:rFonts w:hint="eastAsia" w:ascii="宋体" w:hAnsi="宋体" w:eastAsia="宋体" w:cs="宋体"/>
                <w:color w:val="auto"/>
                <w:szCs w:val="21"/>
                <w:highlight w:val="none"/>
              </w:rPr>
              <w:t>竞选人存在“第二章 竞选人须知”第1.4.3项规定的任何一种情形的，由</w:t>
            </w:r>
            <w:r>
              <w:rPr>
                <w:rFonts w:hint="eastAsia" w:ascii="宋体" w:hAnsi="宋体" w:cs="宋体"/>
                <w:color w:val="auto"/>
                <w:szCs w:val="21"/>
                <w:highlight w:val="none"/>
                <w:lang w:eastAsia="zh-CN"/>
              </w:rPr>
              <w:t>评标委员会</w:t>
            </w:r>
            <w:r>
              <w:rPr>
                <w:rFonts w:hint="eastAsia" w:ascii="宋体" w:hAnsi="宋体" w:eastAsia="宋体" w:cs="宋体"/>
                <w:color w:val="auto"/>
                <w:szCs w:val="21"/>
                <w:highlight w:val="none"/>
              </w:rPr>
              <w:t>作否决竞选处理。</w:t>
            </w:r>
          </w:p>
        </w:tc>
      </w:tr>
      <w:tr w14:paraId="2E0BFC8B">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1526DFAA">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17A84C61">
            <w:pPr>
              <w:spacing w:line="400" w:lineRule="exact"/>
              <w:ind w:firstLine="42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A-1</w:t>
            </w:r>
            <w:r>
              <w:rPr>
                <w:rFonts w:hint="eastAsia" w:ascii="宋体" w:hAnsi="宋体" w:eastAsia="宋体" w:cs="宋体"/>
                <w:color w:val="auto"/>
                <w:kern w:val="1"/>
                <w:szCs w:val="21"/>
                <w:highlight w:val="none"/>
                <w:lang w:val="en-US" w:eastAsia="zh-CN"/>
              </w:rPr>
              <w:t>8</w:t>
            </w:r>
            <w:r>
              <w:rPr>
                <w:rFonts w:hint="eastAsia" w:ascii="宋体" w:hAnsi="宋体" w:eastAsia="宋体" w:cs="宋体"/>
                <w:color w:val="auto"/>
                <w:szCs w:val="21"/>
                <w:highlight w:val="none"/>
              </w:rPr>
              <w:t>竞选总报价不得高于比选人公布的比选总报价最高限价，否则由</w:t>
            </w:r>
            <w:r>
              <w:rPr>
                <w:rFonts w:hint="eastAsia" w:ascii="宋体" w:hAnsi="宋体" w:cs="宋体"/>
                <w:color w:val="auto"/>
                <w:szCs w:val="21"/>
                <w:highlight w:val="none"/>
                <w:lang w:eastAsia="zh-CN"/>
              </w:rPr>
              <w:t>评标委员会</w:t>
            </w:r>
            <w:r>
              <w:rPr>
                <w:rFonts w:hint="eastAsia" w:ascii="宋体" w:hAnsi="宋体" w:eastAsia="宋体" w:cs="宋体"/>
                <w:color w:val="auto"/>
                <w:szCs w:val="21"/>
                <w:highlight w:val="none"/>
              </w:rPr>
              <w:t>作否决竞选处理。</w:t>
            </w:r>
          </w:p>
        </w:tc>
      </w:tr>
      <w:tr w14:paraId="7E4899EE">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6FD95BD">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000000" w:sz="8" w:space="0"/>
            </w:tcBorders>
            <w:vAlign w:val="center"/>
          </w:tcPr>
          <w:p w14:paraId="554C662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9</w:t>
            </w:r>
            <w:r>
              <w:rPr>
                <w:rFonts w:hint="eastAsia" w:ascii="宋体" w:hAnsi="宋体" w:cs="宋体"/>
                <w:color w:val="auto"/>
                <w:kern w:val="1"/>
                <w:szCs w:val="21"/>
                <w:highlight w:val="none"/>
              </w:rPr>
              <w:t>竞选总报价有算术错误的，</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按比选文件规定的原则对竞选总报价进行修正，修正的价格经竞选人书面确认后具有约束力。竞选人不接受修正价格的，其投标由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6EB7887F">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0272C92C">
            <w:pPr>
              <w:spacing w:line="400" w:lineRule="exact"/>
              <w:jc w:val="left"/>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auto" w:sz="4" w:space="0"/>
              <w:right w:val="single" w:color="000000" w:sz="8" w:space="0"/>
            </w:tcBorders>
            <w:vAlign w:val="center"/>
          </w:tcPr>
          <w:p w14:paraId="32BED0F6">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20</w:t>
            </w:r>
            <w:r>
              <w:rPr>
                <w:rFonts w:hint="eastAsia" w:ascii="宋体" w:hAnsi="宋体" w:cs="宋体"/>
                <w:color w:val="auto"/>
                <w:kern w:val="1"/>
                <w:szCs w:val="21"/>
                <w:highlight w:val="none"/>
              </w:rPr>
              <w:t>不得有涉嫌串通投标、弄虚作假等违反招投标相关法律、法规的行为，否则由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作否决竞选处理。</w:t>
            </w:r>
          </w:p>
        </w:tc>
      </w:tr>
      <w:tr w14:paraId="39956BDF">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000000" w:sz="4" w:space="0"/>
            </w:tcBorders>
            <w:vAlign w:val="center"/>
          </w:tcPr>
          <w:p w14:paraId="357B6423">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其他</w:t>
            </w:r>
          </w:p>
        </w:tc>
        <w:tc>
          <w:tcPr>
            <w:tcW w:w="7308" w:type="dxa"/>
            <w:tcBorders>
              <w:top w:val="single" w:color="auto" w:sz="4" w:space="0"/>
              <w:left w:val="single" w:color="000000" w:sz="4" w:space="0"/>
              <w:bottom w:val="single" w:color="000000" w:sz="4" w:space="0"/>
              <w:right w:val="single" w:color="auto" w:sz="4" w:space="0"/>
            </w:tcBorders>
          </w:tcPr>
          <w:p w14:paraId="5AE9405F">
            <w:pPr>
              <w:spacing w:line="400" w:lineRule="exact"/>
              <w:ind w:firstLine="420" w:firstLineChars="200"/>
              <w:jc w:val="left"/>
              <w:rPr>
                <w:rFonts w:hint="eastAsia" w:eastAsia="宋体"/>
                <w:color w:val="auto"/>
                <w:highlight w:val="none"/>
                <w:lang w:val="en-US" w:eastAsia="zh-CN"/>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21</w:t>
            </w:r>
            <w:r>
              <w:rPr>
                <w:rFonts w:hint="eastAsia" w:ascii="宋体" w:hAnsi="宋体" w:cs="宋体"/>
                <w:color w:val="auto"/>
                <w:kern w:val="1"/>
                <w:szCs w:val="21"/>
                <w:highlight w:val="none"/>
              </w:rPr>
              <w:t>竞选人不按本章第 3.4.1 项要求提交比选保证金的，其竞选文件作否决竞选处理</w:t>
            </w:r>
            <w:r>
              <w:rPr>
                <w:rFonts w:hint="eastAsia" w:ascii="宋体" w:hAnsi="宋体" w:cs="宋体"/>
                <w:color w:val="auto"/>
                <w:kern w:val="1"/>
                <w:szCs w:val="21"/>
                <w:highlight w:val="none"/>
                <w:lang w:eastAsia="zh-CN"/>
              </w:rPr>
              <w:t>。</w:t>
            </w:r>
          </w:p>
        </w:tc>
      </w:tr>
      <w:tr w14:paraId="155F02C2">
        <w:tblPrEx>
          <w:tblCellMar>
            <w:top w:w="0" w:type="dxa"/>
            <w:left w:w="108" w:type="dxa"/>
            <w:bottom w:w="0" w:type="dxa"/>
            <w:right w:w="108" w:type="dxa"/>
          </w:tblCellMar>
        </w:tblPrEx>
        <w:tc>
          <w:tcPr>
            <w:tcW w:w="2319" w:type="dxa"/>
            <w:vMerge w:val="continue"/>
            <w:tcBorders>
              <w:left w:val="single" w:color="auto" w:sz="4" w:space="0"/>
              <w:right w:val="single" w:color="000000" w:sz="4" w:space="0"/>
            </w:tcBorders>
            <w:vAlign w:val="center"/>
          </w:tcPr>
          <w:p w14:paraId="0750DF2B">
            <w:pPr>
              <w:spacing w:line="400" w:lineRule="exact"/>
              <w:jc w:val="center"/>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000000" w:sz="4" w:space="0"/>
              <w:right w:val="single" w:color="auto" w:sz="4" w:space="0"/>
            </w:tcBorders>
          </w:tcPr>
          <w:p w14:paraId="0CDF9AD8">
            <w:pPr>
              <w:spacing w:line="400" w:lineRule="exact"/>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22</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发现竞选人的报价明显低于其他竞选总报价，使得其竞选总报价可能低于其个别成本的，应当要求该竞选人做出书面说明并提供相应的证明材料。竞选人不能合理说明或者不能提供相应证明材料的，由</w:t>
            </w:r>
            <w:r>
              <w:rPr>
                <w:rFonts w:hint="eastAsia" w:ascii="宋体" w:hAnsi="宋体" w:cs="宋体"/>
                <w:color w:val="auto"/>
                <w:kern w:val="1"/>
                <w:szCs w:val="21"/>
                <w:highlight w:val="none"/>
                <w:lang w:eastAsia="zh-CN"/>
              </w:rPr>
              <w:t>评标委员会</w:t>
            </w:r>
            <w:r>
              <w:rPr>
                <w:rFonts w:hint="eastAsia" w:ascii="宋体" w:hAnsi="宋体" w:cs="宋体"/>
                <w:color w:val="auto"/>
                <w:kern w:val="1"/>
                <w:szCs w:val="21"/>
                <w:highlight w:val="none"/>
              </w:rPr>
              <w:t>认定该竞选人以低于成本报价竞选，对该竞选人作否决竞选处理。</w:t>
            </w:r>
          </w:p>
        </w:tc>
      </w:tr>
      <w:tr w14:paraId="6A34A96F">
        <w:tblPrEx>
          <w:tblCellMar>
            <w:top w:w="0" w:type="dxa"/>
            <w:left w:w="108" w:type="dxa"/>
            <w:bottom w:w="0" w:type="dxa"/>
            <w:right w:w="108" w:type="dxa"/>
          </w:tblCellMar>
        </w:tblPrEx>
        <w:trPr>
          <w:trHeight w:val="1368" w:hRule="atLeast"/>
        </w:trPr>
        <w:tc>
          <w:tcPr>
            <w:tcW w:w="2319" w:type="dxa"/>
            <w:vMerge w:val="continue"/>
            <w:tcBorders>
              <w:left w:val="single" w:color="auto" w:sz="4" w:space="0"/>
              <w:bottom w:val="single" w:color="auto" w:sz="4" w:space="0"/>
              <w:right w:val="single" w:color="000000" w:sz="4" w:space="0"/>
            </w:tcBorders>
            <w:vAlign w:val="center"/>
          </w:tcPr>
          <w:p w14:paraId="2FD26564">
            <w:pPr>
              <w:spacing w:line="400" w:lineRule="exact"/>
              <w:jc w:val="center"/>
              <w:rPr>
                <w:rFonts w:ascii="宋体" w:hAnsi="宋体" w:cs="宋体"/>
                <w:color w:val="auto"/>
                <w:kern w:val="1"/>
                <w:szCs w:val="21"/>
                <w:highlight w:val="none"/>
              </w:rPr>
            </w:pPr>
          </w:p>
        </w:tc>
        <w:tc>
          <w:tcPr>
            <w:tcW w:w="7308" w:type="dxa"/>
            <w:tcBorders>
              <w:top w:val="single" w:color="000000" w:sz="4" w:space="0"/>
              <w:left w:val="single" w:color="000000" w:sz="4" w:space="0"/>
              <w:bottom w:val="single" w:color="auto" w:sz="4" w:space="0"/>
              <w:right w:val="single" w:color="auto" w:sz="4" w:space="0"/>
            </w:tcBorders>
          </w:tcPr>
          <w:p w14:paraId="17BAC168">
            <w:pPr>
              <w:snapToGrid w:val="0"/>
              <w:spacing w:line="400" w:lineRule="exact"/>
              <w:ind w:firstLine="420" w:firstLineChars="200"/>
              <w:rPr>
                <w:rFonts w:ascii="宋体" w:hAnsi="宋体" w:cs="宋体"/>
                <w:color w:val="auto"/>
                <w:kern w:val="1"/>
                <w:szCs w:val="21"/>
                <w:highlight w:val="none"/>
              </w:rPr>
            </w:pPr>
            <w:r>
              <w:rPr>
                <w:rFonts w:hint="eastAsia" w:ascii="宋体" w:hAnsi="宋体" w:eastAsia="宋体" w:cs="宋体"/>
                <w:color w:val="auto"/>
                <w:szCs w:val="21"/>
                <w:highlight w:val="none"/>
              </w:rPr>
              <w:t>A-2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符合第四章“合同条款及格式”规定，竞选文件不应附有比选人不能接受的条件，否则由评选审委员会作否决竞选处理。</w:t>
            </w:r>
            <w:r>
              <w:rPr>
                <w:rFonts w:hint="eastAsia" w:ascii="宋体" w:hAnsi="宋体" w:eastAsia="宋体" w:cs="宋体"/>
                <w:color w:val="auto"/>
                <w:kern w:val="0"/>
                <w:highlight w:val="none"/>
              </w:rPr>
              <w:t>（由竞选人自行承诺，格式自拟。）</w:t>
            </w:r>
          </w:p>
        </w:tc>
      </w:tr>
    </w:tbl>
    <w:p w14:paraId="000BAB8D">
      <w:pPr>
        <w:pStyle w:val="7"/>
        <w:spacing w:line="360" w:lineRule="auto"/>
        <w:rPr>
          <w:rFonts w:ascii="宋体" w:hAnsi="宋体" w:cs="宋体"/>
          <w:color w:val="auto"/>
          <w:kern w:val="0"/>
          <w:sz w:val="52"/>
          <w:szCs w:val="52"/>
          <w:highlight w:val="none"/>
        </w:rPr>
      </w:pPr>
    </w:p>
    <w:p w14:paraId="5A0AF7FC">
      <w:pPr>
        <w:jc w:val="center"/>
        <w:rPr>
          <w:color w:val="auto"/>
          <w:highlight w:val="none"/>
        </w:rPr>
      </w:pPr>
      <w:bookmarkStart w:id="684" w:name="_Toc32462"/>
      <w:bookmarkStart w:id="685" w:name="_Toc29600"/>
    </w:p>
    <w:p w14:paraId="4CE5F908">
      <w:pPr>
        <w:pStyle w:val="14"/>
        <w:rPr>
          <w:color w:val="auto"/>
          <w:highlight w:val="none"/>
        </w:rPr>
      </w:pPr>
    </w:p>
    <w:p w14:paraId="56635A5B">
      <w:pPr>
        <w:rPr>
          <w:color w:val="auto"/>
          <w:highlight w:val="none"/>
        </w:rPr>
      </w:pPr>
    </w:p>
    <w:p w14:paraId="02B5F44A">
      <w:pPr>
        <w:pStyle w:val="14"/>
        <w:rPr>
          <w:color w:val="auto"/>
          <w:highlight w:val="none"/>
        </w:rPr>
      </w:pPr>
    </w:p>
    <w:p w14:paraId="6FDCCB67">
      <w:pPr>
        <w:rPr>
          <w:color w:val="auto"/>
          <w:highlight w:val="none"/>
        </w:rPr>
      </w:pPr>
    </w:p>
    <w:p w14:paraId="42E5EFC7">
      <w:pPr>
        <w:pStyle w:val="14"/>
        <w:rPr>
          <w:color w:val="auto"/>
          <w:highlight w:val="none"/>
        </w:rPr>
      </w:pPr>
    </w:p>
    <w:p w14:paraId="5798231C">
      <w:pPr>
        <w:rPr>
          <w:color w:val="auto"/>
          <w:highlight w:val="none"/>
        </w:rPr>
      </w:pPr>
    </w:p>
    <w:p w14:paraId="0F38CA39">
      <w:pPr>
        <w:pStyle w:val="14"/>
        <w:rPr>
          <w:color w:val="auto"/>
          <w:highlight w:val="none"/>
        </w:rPr>
      </w:pPr>
    </w:p>
    <w:p w14:paraId="2F168331">
      <w:pPr>
        <w:rPr>
          <w:color w:val="auto"/>
          <w:highlight w:val="none"/>
        </w:rPr>
      </w:pPr>
    </w:p>
    <w:p w14:paraId="128AA236">
      <w:pPr>
        <w:pStyle w:val="2"/>
        <w:jc w:val="center"/>
        <w:rPr>
          <w:color w:val="auto"/>
          <w:highlight w:val="none"/>
        </w:rPr>
      </w:pPr>
      <w:bookmarkStart w:id="686" w:name="_Toc11441"/>
      <w:r>
        <w:rPr>
          <w:rFonts w:hint="eastAsia"/>
          <w:color w:val="auto"/>
          <w:highlight w:val="none"/>
        </w:rPr>
        <w:t>第四章  合同条款及格式</w:t>
      </w:r>
      <w:bookmarkEnd w:id="686"/>
    </w:p>
    <w:p w14:paraId="7AC5A331">
      <w:pPr>
        <w:rPr>
          <w:color w:val="auto"/>
          <w:highlight w:val="none"/>
        </w:rPr>
      </w:pPr>
    </w:p>
    <w:p w14:paraId="4238F641">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72BE0037">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687E41A7">
      <w:pPr>
        <w:pStyle w:val="14"/>
        <w:rPr>
          <w:rFonts w:ascii="宋体" w:hAnsi="宋体"/>
          <w:b/>
          <w:bCs/>
          <w:color w:val="auto"/>
          <w:sz w:val="72"/>
          <w:szCs w:val="72"/>
          <w:highlight w:val="none"/>
        </w:rPr>
      </w:pPr>
    </w:p>
    <w:p w14:paraId="45797F23">
      <w:pPr>
        <w:rPr>
          <w:rFonts w:ascii="宋体" w:hAnsi="宋体"/>
          <w:b/>
          <w:bCs/>
          <w:color w:val="auto"/>
          <w:sz w:val="72"/>
          <w:szCs w:val="72"/>
          <w:highlight w:val="none"/>
        </w:rPr>
      </w:pPr>
    </w:p>
    <w:p w14:paraId="3BE605F6">
      <w:pPr>
        <w:pStyle w:val="14"/>
        <w:rPr>
          <w:rFonts w:ascii="宋体" w:hAnsi="宋体"/>
          <w:b/>
          <w:bCs/>
          <w:color w:val="auto"/>
          <w:sz w:val="72"/>
          <w:szCs w:val="72"/>
          <w:highlight w:val="none"/>
        </w:rPr>
      </w:pPr>
    </w:p>
    <w:p w14:paraId="4D447014">
      <w:pPr>
        <w:rPr>
          <w:rFonts w:ascii="宋体" w:hAnsi="宋体"/>
          <w:b/>
          <w:bCs/>
          <w:color w:val="auto"/>
          <w:sz w:val="72"/>
          <w:szCs w:val="72"/>
          <w:highlight w:val="none"/>
        </w:rPr>
      </w:pPr>
    </w:p>
    <w:p w14:paraId="261509A6">
      <w:pPr>
        <w:pStyle w:val="14"/>
        <w:rPr>
          <w:rFonts w:ascii="宋体" w:hAnsi="宋体"/>
          <w:b/>
          <w:bCs/>
          <w:color w:val="auto"/>
          <w:sz w:val="72"/>
          <w:szCs w:val="72"/>
          <w:highlight w:val="none"/>
        </w:rPr>
      </w:pPr>
    </w:p>
    <w:p w14:paraId="06CA2D9A">
      <w:pPr>
        <w:rPr>
          <w:rFonts w:ascii="宋体" w:hAnsi="宋体"/>
          <w:b/>
          <w:bCs/>
          <w:color w:val="auto"/>
          <w:sz w:val="72"/>
          <w:szCs w:val="72"/>
          <w:highlight w:val="none"/>
        </w:rPr>
      </w:pPr>
    </w:p>
    <w:p w14:paraId="5572B60F">
      <w:pPr>
        <w:pStyle w:val="14"/>
        <w:rPr>
          <w:color w:val="auto"/>
          <w:highlight w:val="none"/>
        </w:rPr>
      </w:pPr>
    </w:p>
    <w:p w14:paraId="7BE2FA0B">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62ABDA83">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29360C30">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012C74BE">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6DD56F3C">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17186678">
      <w:pPr>
        <w:overflowPunct w:val="0"/>
        <w:autoSpaceDE w:val="0"/>
        <w:autoSpaceDN w:val="0"/>
        <w:adjustRightInd w:val="0"/>
        <w:snapToGrid w:val="0"/>
        <w:spacing w:line="720" w:lineRule="exact"/>
        <w:ind w:firstLine="1446" w:firstLineChars="200"/>
        <w:rPr>
          <w:rFonts w:ascii="宋体" w:hAnsi="宋体"/>
          <w:b/>
          <w:bCs/>
          <w:color w:val="auto"/>
          <w:sz w:val="72"/>
          <w:szCs w:val="72"/>
          <w:highlight w:val="none"/>
        </w:rPr>
      </w:pPr>
      <w:bookmarkStart w:id="687" w:name="_Toc267261701"/>
    </w:p>
    <w:p w14:paraId="0974B4DB">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bookmarkStart w:id="688" w:name="_Toc300835199"/>
      <w:bookmarkEnd w:id="688"/>
      <w:bookmarkStart w:id="689" w:name="_Toc179632787"/>
      <w:bookmarkEnd w:id="689"/>
      <w:bookmarkStart w:id="690" w:name="_Toc184635122"/>
      <w:bookmarkEnd w:id="690"/>
      <w:bookmarkStart w:id="691" w:name="_Toc144974578"/>
      <w:bookmarkEnd w:id="691"/>
      <w:bookmarkStart w:id="692" w:name="_Toc152042549"/>
      <w:bookmarkEnd w:id="692"/>
      <w:bookmarkStart w:id="693" w:name="_Toc247514197"/>
      <w:bookmarkEnd w:id="693"/>
      <w:bookmarkStart w:id="694" w:name="_Toc152045610"/>
      <w:bookmarkEnd w:id="694"/>
      <w:bookmarkStart w:id="695" w:name="_Toc144974829"/>
      <w:bookmarkEnd w:id="695"/>
      <w:bookmarkStart w:id="696" w:name="_Toc246996338"/>
      <w:bookmarkEnd w:id="696"/>
      <w:bookmarkStart w:id="697" w:name="_Toc247085853"/>
      <w:bookmarkEnd w:id="697"/>
      <w:bookmarkStart w:id="698" w:name="_Toc152042388"/>
      <w:bookmarkEnd w:id="698"/>
      <w:bookmarkStart w:id="699" w:name="_Toc246997081"/>
      <w:bookmarkEnd w:id="699"/>
      <w:bookmarkStart w:id="700" w:name="_Toc247527798"/>
      <w:bookmarkEnd w:id="700"/>
    </w:p>
    <w:p w14:paraId="20AF10A2">
      <w:pPr>
        <w:overflowPunct w:val="0"/>
        <w:autoSpaceDE w:val="0"/>
        <w:autoSpaceDN w:val="0"/>
        <w:adjustRightInd w:val="0"/>
        <w:snapToGrid w:val="0"/>
        <w:spacing w:line="720" w:lineRule="exact"/>
        <w:ind w:firstLine="1446" w:firstLineChars="200"/>
        <w:rPr>
          <w:rFonts w:ascii="宋体" w:hAnsi="宋体"/>
          <w:b/>
          <w:bCs/>
          <w:color w:val="auto"/>
          <w:sz w:val="72"/>
          <w:szCs w:val="72"/>
          <w:highlight w:val="none"/>
        </w:rPr>
      </w:pPr>
    </w:p>
    <w:p w14:paraId="05279DE5">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p>
    <w:p w14:paraId="1C7CDC37">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p>
    <w:p w14:paraId="56CB01D8">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p>
    <w:p w14:paraId="6EDB8BC8">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p>
    <w:p w14:paraId="5FEA6D51">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p>
    <w:p w14:paraId="75A9A6AE">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建设工程监理合同</w:t>
      </w:r>
    </w:p>
    <w:p w14:paraId="4E907459">
      <w:pPr>
        <w:overflowPunct w:val="0"/>
        <w:autoSpaceDE w:val="0"/>
        <w:autoSpaceDN w:val="0"/>
        <w:adjustRightInd w:val="0"/>
        <w:snapToGrid w:val="0"/>
        <w:spacing w:line="720" w:lineRule="exact"/>
        <w:ind w:firstLine="960" w:firstLineChars="200"/>
        <w:jc w:val="center"/>
        <w:rPr>
          <w:rFonts w:hint="eastAsia" w:ascii="宋体" w:hAnsi="宋体" w:eastAsia="宋体" w:cs="宋体"/>
          <w:bCs/>
          <w:color w:val="auto"/>
          <w:sz w:val="48"/>
          <w:szCs w:val="48"/>
          <w:highlight w:val="none"/>
        </w:rPr>
      </w:pPr>
    </w:p>
    <w:p w14:paraId="4B754D78">
      <w:pPr>
        <w:overflowPunct w:val="0"/>
        <w:autoSpaceDE w:val="0"/>
        <w:autoSpaceDN w:val="0"/>
        <w:adjustRightInd w:val="0"/>
        <w:snapToGrid w:val="0"/>
        <w:spacing w:line="720" w:lineRule="exact"/>
        <w:ind w:firstLine="480" w:firstLineChars="200"/>
        <w:jc w:val="center"/>
        <w:rPr>
          <w:rFonts w:hint="eastAsia" w:ascii="宋体" w:hAnsi="宋体" w:eastAsia="宋体" w:cs="宋体"/>
          <w:bCs/>
          <w:color w:val="auto"/>
          <w:sz w:val="24"/>
          <w:highlight w:val="none"/>
        </w:rPr>
      </w:pPr>
    </w:p>
    <w:p w14:paraId="669DB926">
      <w:pPr>
        <w:overflowPunct w:val="0"/>
        <w:autoSpaceDE w:val="0"/>
        <w:autoSpaceDN w:val="0"/>
        <w:adjustRightInd w:val="0"/>
        <w:snapToGrid w:val="0"/>
        <w:spacing w:line="720" w:lineRule="exact"/>
        <w:ind w:firstLine="482" w:firstLineChars="200"/>
        <w:jc w:val="center"/>
        <w:rPr>
          <w:rFonts w:hint="eastAsia" w:ascii="宋体" w:hAnsi="宋体" w:eastAsia="宋体" w:cs="宋体"/>
          <w:b/>
          <w:bCs/>
          <w:color w:val="auto"/>
          <w:sz w:val="24"/>
          <w:highlight w:val="none"/>
        </w:rPr>
      </w:pPr>
    </w:p>
    <w:p w14:paraId="61032EAB">
      <w:pPr>
        <w:overflowPunct w:val="0"/>
        <w:autoSpaceDE w:val="0"/>
        <w:autoSpaceDN w:val="0"/>
        <w:adjustRightInd w:val="0"/>
        <w:snapToGrid w:val="0"/>
        <w:spacing w:line="720" w:lineRule="exact"/>
        <w:jc w:val="both"/>
        <w:rPr>
          <w:rFonts w:hint="eastAsia" w:ascii="宋体" w:hAnsi="宋体" w:eastAsia="宋体" w:cs="宋体"/>
          <w:b/>
          <w:bCs/>
          <w:color w:val="auto"/>
          <w:sz w:val="24"/>
          <w:highlight w:val="none"/>
        </w:rPr>
      </w:pPr>
    </w:p>
    <w:p w14:paraId="25083D50">
      <w:pPr>
        <w:overflowPunct w:val="0"/>
        <w:autoSpaceDE w:val="0"/>
        <w:autoSpaceDN w:val="0"/>
        <w:adjustRightInd w:val="0"/>
        <w:snapToGrid w:val="0"/>
        <w:spacing w:line="720" w:lineRule="exact"/>
        <w:ind w:firstLine="627" w:firstLineChars="200"/>
        <w:jc w:val="both"/>
        <w:rPr>
          <w:rFonts w:hint="eastAsia" w:ascii="宋体" w:hAnsi="宋体" w:eastAsia="宋体" w:cs="宋体"/>
          <w:b/>
          <w:snapToGrid w:val="0"/>
          <w:color w:val="auto"/>
          <w:spacing w:val="-4"/>
          <w:kern w:val="0"/>
          <w:sz w:val="32"/>
          <w:szCs w:val="32"/>
          <w:highlight w:val="none"/>
          <w:u w:val="single"/>
          <w:lang w:val="en-US" w:eastAsia="zh-CN"/>
        </w:rPr>
      </w:pPr>
      <w:r>
        <w:rPr>
          <w:rFonts w:hint="eastAsia" w:ascii="宋体" w:hAnsi="宋体" w:eastAsia="宋体" w:cs="宋体"/>
          <w:b/>
          <w:snapToGrid w:val="0"/>
          <w:color w:val="auto"/>
          <w:spacing w:val="-4"/>
          <w:kern w:val="0"/>
          <w:sz w:val="32"/>
          <w:szCs w:val="32"/>
          <w:highlight w:val="none"/>
        </w:rPr>
        <w:t>项目名称：</w:t>
      </w:r>
      <w:r>
        <w:rPr>
          <w:rFonts w:hint="eastAsia" w:ascii="宋体" w:hAnsi="宋体" w:cs="宋体"/>
          <w:b/>
          <w:snapToGrid w:val="0"/>
          <w:color w:val="auto"/>
          <w:spacing w:val="-4"/>
          <w:kern w:val="0"/>
          <w:sz w:val="32"/>
          <w:szCs w:val="32"/>
          <w:highlight w:val="none"/>
          <w:u w:val="single"/>
          <w:lang w:val="en-US" w:eastAsia="zh-CN"/>
        </w:rPr>
        <w:t>重庆市第一一0中学校五公里校区改扩建项目</w:t>
      </w:r>
      <w:r>
        <w:rPr>
          <w:rFonts w:hint="eastAsia" w:ascii="宋体" w:hAnsi="宋体" w:eastAsia="宋体" w:cs="宋体"/>
          <w:b/>
          <w:snapToGrid w:val="0"/>
          <w:color w:val="auto"/>
          <w:spacing w:val="-4"/>
          <w:kern w:val="0"/>
          <w:sz w:val="32"/>
          <w:szCs w:val="32"/>
          <w:highlight w:val="none"/>
          <w:u w:val="single"/>
          <w:lang w:val="en-US" w:eastAsia="zh-CN"/>
        </w:rPr>
        <w:t>监理</w:t>
      </w:r>
    </w:p>
    <w:p w14:paraId="76483EBF">
      <w:pPr>
        <w:overflowPunct w:val="0"/>
        <w:autoSpaceDE w:val="0"/>
        <w:autoSpaceDN w:val="0"/>
        <w:adjustRightInd w:val="0"/>
        <w:snapToGrid w:val="0"/>
        <w:spacing w:line="720" w:lineRule="exact"/>
        <w:ind w:firstLine="627" w:firstLineChars="200"/>
        <w:jc w:val="left"/>
        <w:rPr>
          <w:rFonts w:hint="eastAsia" w:ascii="宋体" w:hAnsi="宋体" w:eastAsia="宋体" w:cs="宋体"/>
          <w:b/>
          <w:bCs/>
          <w:color w:val="auto"/>
          <w:kern w:val="0"/>
          <w:sz w:val="28"/>
          <w:szCs w:val="28"/>
          <w:highlight w:val="none"/>
          <w:u w:val="single"/>
          <w:lang w:val="zh-TW"/>
        </w:rPr>
      </w:pPr>
      <w:r>
        <w:rPr>
          <w:rFonts w:hint="eastAsia" w:ascii="宋体" w:hAnsi="宋体" w:eastAsia="宋体" w:cs="宋体"/>
          <w:b/>
          <w:snapToGrid w:val="0"/>
          <w:color w:val="auto"/>
          <w:spacing w:val="-4"/>
          <w:kern w:val="0"/>
          <w:sz w:val="32"/>
          <w:szCs w:val="32"/>
          <w:highlight w:val="none"/>
        </w:rPr>
        <w:t>发包单位：</w:t>
      </w:r>
      <w:r>
        <w:rPr>
          <w:rFonts w:hint="eastAsia" w:ascii="宋体" w:hAnsi="宋体" w:eastAsia="宋体" w:cs="宋体"/>
          <w:b/>
          <w:snapToGrid w:val="0"/>
          <w:color w:val="auto"/>
          <w:spacing w:val="-4"/>
          <w:kern w:val="0"/>
          <w:sz w:val="32"/>
          <w:szCs w:val="32"/>
          <w:highlight w:val="none"/>
          <w:u w:val="single"/>
          <w:lang w:val="zh-TW" w:eastAsia="zh-CN"/>
        </w:rPr>
        <w:t xml:space="preserve"> </w:t>
      </w:r>
      <w:r>
        <w:rPr>
          <w:rFonts w:hint="eastAsia" w:ascii="宋体" w:hAnsi="宋体" w:eastAsia="宋体" w:cs="宋体"/>
          <w:b/>
          <w:snapToGrid w:val="0"/>
          <w:color w:val="auto"/>
          <w:spacing w:val="-4"/>
          <w:kern w:val="0"/>
          <w:sz w:val="32"/>
          <w:szCs w:val="32"/>
          <w:highlight w:val="none"/>
          <w:u w:val="single"/>
          <w:lang w:val="en-US" w:eastAsia="zh-CN"/>
        </w:rPr>
        <w:t xml:space="preserve">重庆市江南城市建设发展（集团）有限公司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lang w:val="zh-TW"/>
        </w:rPr>
        <w:t xml:space="preserve">  </w:t>
      </w:r>
    </w:p>
    <w:p w14:paraId="242BCBB9">
      <w:pPr>
        <w:overflowPunct w:val="0"/>
        <w:autoSpaceDE w:val="0"/>
        <w:autoSpaceDN w:val="0"/>
        <w:adjustRightInd w:val="0"/>
        <w:snapToGrid w:val="0"/>
        <w:spacing w:line="720" w:lineRule="exact"/>
        <w:ind w:firstLine="627" w:firstLineChars="200"/>
        <w:jc w:val="left"/>
        <w:rPr>
          <w:rFonts w:hint="eastAsia" w:ascii="宋体" w:hAnsi="宋体" w:eastAsia="宋体" w:cs="宋体"/>
          <w:b/>
          <w:snapToGrid w:val="0"/>
          <w:color w:val="auto"/>
          <w:spacing w:val="-4"/>
          <w:kern w:val="0"/>
          <w:sz w:val="32"/>
          <w:szCs w:val="32"/>
          <w:highlight w:val="none"/>
          <w:u w:val="single"/>
        </w:rPr>
      </w:pPr>
      <w:bookmarkStart w:id="701" w:name="_Hlk127894415"/>
      <w:r>
        <w:rPr>
          <w:rFonts w:hint="eastAsia" w:ascii="宋体" w:hAnsi="宋体" w:eastAsia="宋体" w:cs="宋体"/>
          <w:b/>
          <w:snapToGrid w:val="0"/>
          <w:color w:val="auto"/>
          <w:spacing w:val="-4"/>
          <w:kern w:val="0"/>
          <w:sz w:val="32"/>
          <w:szCs w:val="32"/>
          <w:highlight w:val="none"/>
          <w:lang w:val="zh-TW"/>
        </w:rPr>
        <w:t>监理单位：</w:t>
      </w:r>
      <w:r>
        <w:rPr>
          <w:rFonts w:hint="eastAsia" w:ascii="宋体" w:hAnsi="宋体" w:eastAsia="宋体" w:cs="宋体"/>
          <w:b/>
          <w:bCs/>
          <w:color w:val="auto"/>
          <w:kern w:val="0"/>
          <w:sz w:val="28"/>
          <w:szCs w:val="28"/>
          <w:highlight w:val="none"/>
          <w:u w:val="single"/>
          <w:lang w:val="zh-TW"/>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lang w:val="zh-TW"/>
        </w:rPr>
        <w:t xml:space="preserve">   </w:t>
      </w:r>
    </w:p>
    <w:bookmarkEnd w:id="701"/>
    <w:p w14:paraId="18CD6240">
      <w:pPr>
        <w:overflowPunct w:val="0"/>
        <w:autoSpaceDE w:val="0"/>
        <w:autoSpaceDN w:val="0"/>
        <w:adjustRightInd w:val="0"/>
        <w:snapToGrid w:val="0"/>
        <w:spacing w:line="720" w:lineRule="exact"/>
        <w:rPr>
          <w:rFonts w:hint="eastAsia" w:ascii="宋体" w:hAnsi="宋体" w:eastAsia="宋体" w:cs="宋体"/>
          <w:snapToGrid w:val="0"/>
          <w:color w:val="auto"/>
          <w:spacing w:val="-4"/>
          <w:kern w:val="0"/>
          <w:sz w:val="32"/>
          <w:szCs w:val="32"/>
          <w:highlight w:val="none"/>
        </w:rPr>
      </w:pPr>
    </w:p>
    <w:p w14:paraId="73A243E6">
      <w:pPr>
        <w:overflowPunct w:val="0"/>
        <w:autoSpaceDE w:val="0"/>
        <w:autoSpaceDN w:val="0"/>
        <w:adjustRightInd w:val="0"/>
        <w:snapToGrid w:val="0"/>
        <w:spacing w:line="720" w:lineRule="exact"/>
        <w:jc w:val="center"/>
        <w:rPr>
          <w:rFonts w:hint="eastAsia"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签订日期：</w:t>
      </w:r>
      <w:r>
        <w:rPr>
          <w:rFonts w:hint="eastAsia" w:ascii="宋体" w:hAnsi="宋体" w:eastAsia="宋体" w:cs="宋体"/>
          <w:b/>
          <w:snapToGrid w:val="0"/>
          <w:color w:val="auto"/>
          <w:spacing w:val="-4"/>
          <w:kern w:val="0"/>
          <w:sz w:val="32"/>
          <w:szCs w:val="32"/>
          <w:highlight w:val="none"/>
          <w:u w:val="single"/>
        </w:rPr>
        <w:t xml:space="preserve">      </w:t>
      </w:r>
      <w:r>
        <w:rPr>
          <w:rFonts w:hint="eastAsia" w:ascii="宋体" w:hAnsi="宋体" w:eastAsia="宋体" w:cs="宋体"/>
          <w:b/>
          <w:snapToGrid w:val="0"/>
          <w:color w:val="auto"/>
          <w:spacing w:val="-4"/>
          <w:kern w:val="0"/>
          <w:sz w:val="32"/>
          <w:szCs w:val="32"/>
          <w:highlight w:val="none"/>
        </w:rPr>
        <w:t>年</w:t>
      </w:r>
      <w:r>
        <w:rPr>
          <w:rFonts w:hint="eastAsia" w:ascii="宋体" w:hAnsi="宋体" w:eastAsia="宋体" w:cs="宋体"/>
          <w:b/>
          <w:snapToGrid w:val="0"/>
          <w:color w:val="auto"/>
          <w:spacing w:val="-4"/>
          <w:kern w:val="0"/>
          <w:sz w:val="32"/>
          <w:szCs w:val="32"/>
          <w:highlight w:val="none"/>
          <w:u w:val="single"/>
        </w:rPr>
        <w:t xml:space="preserve">   </w:t>
      </w:r>
      <w:r>
        <w:rPr>
          <w:rFonts w:hint="eastAsia" w:ascii="宋体" w:hAnsi="宋体" w:eastAsia="宋体" w:cs="宋体"/>
          <w:b/>
          <w:snapToGrid w:val="0"/>
          <w:color w:val="auto"/>
          <w:spacing w:val="-4"/>
          <w:kern w:val="0"/>
          <w:sz w:val="32"/>
          <w:szCs w:val="32"/>
          <w:highlight w:val="none"/>
        </w:rPr>
        <w:t>月</w:t>
      </w:r>
      <w:r>
        <w:rPr>
          <w:rFonts w:hint="eastAsia" w:ascii="宋体" w:hAnsi="宋体" w:eastAsia="宋体" w:cs="宋体"/>
          <w:b/>
          <w:snapToGrid w:val="0"/>
          <w:color w:val="auto"/>
          <w:spacing w:val="-4"/>
          <w:kern w:val="0"/>
          <w:sz w:val="32"/>
          <w:szCs w:val="32"/>
          <w:highlight w:val="none"/>
          <w:u w:val="single"/>
        </w:rPr>
        <w:t xml:space="preserve">   </w:t>
      </w:r>
      <w:r>
        <w:rPr>
          <w:rFonts w:hint="eastAsia" w:ascii="宋体" w:hAnsi="宋体" w:eastAsia="宋体" w:cs="宋体"/>
          <w:b/>
          <w:snapToGrid w:val="0"/>
          <w:color w:val="auto"/>
          <w:spacing w:val="-4"/>
          <w:kern w:val="0"/>
          <w:sz w:val="32"/>
          <w:szCs w:val="32"/>
          <w:highlight w:val="none"/>
        </w:rPr>
        <w:t>日</w:t>
      </w:r>
    </w:p>
    <w:p w14:paraId="64807B37">
      <w:pPr>
        <w:overflowPunct w:val="0"/>
        <w:autoSpaceDE w:val="0"/>
        <w:autoSpaceDN w:val="0"/>
        <w:adjustRightInd w:val="0"/>
        <w:snapToGrid w:val="0"/>
        <w:spacing w:line="720" w:lineRule="exact"/>
        <w:ind w:firstLine="2506" w:firstLineChars="800"/>
        <w:jc w:val="both"/>
        <w:rPr>
          <w:rFonts w:hint="eastAsia" w:ascii="宋体" w:hAnsi="宋体" w:eastAsia="宋体" w:cs="宋体"/>
          <w:b/>
          <w:bCs/>
          <w:snapToGrid w:val="0"/>
          <w:color w:val="auto"/>
          <w:spacing w:val="-4"/>
          <w:kern w:val="0"/>
          <w:sz w:val="32"/>
          <w:szCs w:val="32"/>
          <w:highlight w:val="none"/>
          <w:u w:val="single"/>
          <w:lang w:val="en-US" w:eastAsia="zh-CN"/>
        </w:rPr>
      </w:pPr>
      <w:r>
        <w:rPr>
          <w:rFonts w:hint="eastAsia" w:ascii="宋体" w:hAnsi="宋体" w:eastAsia="宋体" w:cs="宋体"/>
          <w:b/>
          <w:snapToGrid w:val="0"/>
          <w:color w:val="auto"/>
          <w:spacing w:val="-4"/>
          <w:kern w:val="0"/>
          <w:sz w:val="32"/>
          <w:szCs w:val="32"/>
          <w:highlight w:val="none"/>
        </w:rPr>
        <w:t>签订地点：</w:t>
      </w:r>
      <w:r>
        <w:rPr>
          <w:rFonts w:hint="eastAsia" w:ascii="宋体" w:hAnsi="宋体" w:eastAsia="宋体" w:cs="宋体"/>
          <w:b/>
          <w:bCs/>
          <w:snapToGrid w:val="0"/>
          <w:color w:val="auto"/>
          <w:spacing w:val="-4"/>
          <w:kern w:val="0"/>
          <w:sz w:val="32"/>
          <w:szCs w:val="32"/>
          <w:highlight w:val="none"/>
          <w:u w:val="single"/>
        </w:rPr>
        <w:t xml:space="preserve">    重庆市南岸区</w:t>
      </w:r>
      <w:r>
        <w:rPr>
          <w:rFonts w:hint="eastAsia" w:ascii="宋体" w:hAnsi="宋体" w:eastAsia="宋体" w:cs="宋体"/>
          <w:b/>
          <w:bCs/>
          <w:snapToGrid w:val="0"/>
          <w:color w:val="auto"/>
          <w:spacing w:val="-4"/>
          <w:kern w:val="0"/>
          <w:sz w:val="32"/>
          <w:szCs w:val="32"/>
          <w:highlight w:val="none"/>
          <w:u w:val="single"/>
          <w:lang w:val="en-US" w:eastAsia="zh-CN"/>
        </w:rPr>
        <w:t xml:space="preserve">  </w:t>
      </w:r>
    </w:p>
    <w:p w14:paraId="103F20FD">
      <w:pPr>
        <w:pStyle w:val="7"/>
        <w:rPr>
          <w:rFonts w:hint="eastAsia"/>
          <w:highlight w:val="none"/>
        </w:rPr>
      </w:pPr>
    </w:p>
    <w:p w14:paraId="7A1A5033">
      <w:pPr>
        <w:rPr>
          <w:rFonts w:hint="eastAsia"/>
          <w:highlight w:val="none"/>
        </w:rPr>
      </w:pPr>
    </w:p>
    <w:p w14:paraId="4E7AB0AC">
      <w:pPr>
        <w:pStyle w:val="7"/>
        <w:rPr>
          <w:rFonts w:hint="eastAsia"/>
        </w:rPr>
      </w:pPr>
    </w:p>
    <w:p w14:paraId="2CA6618B">
      <w:pPr>
        <w:keepNext w:val="0"/>
        <w:keepLines w:val="0"/>
        <w:pageBreakBefore w:val="0"/>
        <w:numPr>
          <w:ilvl w:val="0"/>
          <w:numId w:val="3"/>
        </w:numPr>
        <w:tabs>
          <w:tab w:val="left" w:pos="3120"/>
        </w:tabs>
        <w:kinsoku/>
        <w:wordWrap/>
        <w:overflowPunct w:val="0"/>
        <w:topLinePunct w:val="0"/>
        <w:autoSpaceDE w:val="0"/>
        <w:autoSpaceDN w:val="0"/>
        <w:bidi w:val="0"/>
        <w:adjustRightInd w:val="0"/>
        <w:snapToGrid w:val="0"/>
        <w:spacing w:line="440" w:lineRule="exact"/>
        <w:jc w:val="center"/>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 xml:space="preserve"> 协议书</w:t>
      </w:r>
    </w:p>
    <w:p w14:paraId="0DB1688A">
      <w:pPr>
        <w:pStyle w:val="14"/>
        <w:keepNext w:val="0"/>
        <w:keepLines w:val="0"/>
        <w:pageBreakBefore w:val="0"/>
        <w:numPr>
          <w:ilvl w:val="0"/>
          <w:numId w:val="0"/>
        </w:numPr>
        <w:kinsoku/>
        <w:wordWrap/>
        <w:topLinePunct w:val="0"/>
        <w:bidi w:val="0"/>
        <w:spacing w:line="440" w:lineRule="exact"/>
        <w:rPr>
          <w:rFonts w:hint="eastAsia" w:ascii="宋体" w:hAnsi="宋体" w:eastAsia="宋体" w:cs="宋体"/>
          <w:color w:val="auto"/>
          <w:highlight w:val="none"/>
        </w:rPr>
      </w:pPr>
    </w:p>
    <w:p w14:paraId="0FA8510A">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Cs/>
          <w:color w:val="auto"/>
          <w:sz w:val="24"/>
          <w:szCs w:val="24"/>
          <w:highlight w:val="none"/>
          <w:u w:val="single"/>
          <w:lang w:val="en-US"/>
        </w:rPr>
      </w:pPr>
      <w:r>
        <w:rPr>
          <w:rFonts w:hint="eastAsia" w:ascii="宋体" w:hAnsi="宋体" w:eastAsia="宋体" w:cs="宋体"/>
          <w:b/>
          <w:color w:val="auto"/>
          <w:sz w:val="24"/>
          <w:szCs w:val="24"/>
          <w:highlight w:val="none"/>
        </w:rPr>
        <w:t>委托人（全称）：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重庆市江南城市建设发展（集团）有限公司    </w:t>
      </w:r>
      <w:r>
        <w:rPr>
          <w:rFonts w:hint="eastAsia" w:ascii="宋体" w:hAnsi="宋体" w:eastAsia="宋体" w:cs="宋体"/>
          <w:bCs/>
          <w:color w:val="auto"/>
          <w:sz w:val="24"/>
          <w:szCs w:val="24"/>
          <w:highlight w:val="none"/>
          <w:u w:val="single"/>
          <w:lang w:val="en-US" w:eastAsia="zh-CN"/>
        </w:rPr>
        <w:t xml:space="preserve">  </w:t>
      </w:r>
    </w:p>
    <w:p w14:paraId="0E6605EF">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监理人（全称）：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58DA311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p>
    <w:p w14:paraId="1FDBB4F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《中华人民共和国民法典》、《中华人民共和国建筑法》及其他有关法律、法规，遵循平等、自愿、公平和诚信的原则，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方就下述工程委托监理与相关服务事项协商一致，订立本合同。</w:t>
      </w:r>
    </w:p>
    <w:p w14:paraId="3EF22AE3">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一、工程概况</w:t>
      </w:r>
    </w:p>
    <w:p w14:paraId="0A9D1BA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u w:val="single"/>
          <w:lang w:val="zh-TW" w:eastAsia="zh-CN"/>
        </w:rPr>
      </w:pPr>
      <w:r>
        <w:rPr>
          <w:rFonts w:hint="eastAsia" w:ascii="宋体" w:hAnsi="宋体" w:eastAsia="宋体" w:cs="宋体"/>
          <w:color w:val="auto"/>
          <w:sz w:val="24"/>
          <w:szCs w:val="24"/>
          <w:highlight w:val="none"/>
        </w:rPr>
        <w:t>1. 工程名称：</w:t>
      </w:r>
      <w:r>
        <w:rPr>
          <w:rFonts w:hint="eastAsia" w:ascii="宋体" w:hAnsi="宋体" w:cs="宋体"/>
          <w:bCs/>
          <w:color w:val="auto"/>
          <w:sz w:val="24"/>
          <w:szCs w:val="24"/>
          <w:highlight w:val="none"/>
          <w:u w:val="single"/>
          <w:lang w:val="en-US" w:eastAsia="zh-CN"/>
        </w:rPr>
        <w:t>重庆市第一一0中学校五公里校区改扩建项目</w:t>
      </w:r>
      <w:r>
        <w:rPr>
          <w:rFonts w:hint="eastAsia" w:ascii="宋体" w:hAnsi="宋体" w:eastAsia="宋体" w:cs="宋体"/>
          <w:bCs/>
          <w:color w:val="auto"/>
          <w:sz w:val="24"/>
          <w:szCs w:val="24"/>
          <w:highlight w:val="none"/>
          <w:u w:val="single"/>
          <w:lang w:val="en-US" w:eastAsia="zh-CN"/>
        </w:rPr>
        <w:t xml:space="preserve">监理 </w:t>
      </w:r>
    </w:p>
    <w:p w14:paraId="49DB061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u w:val="single"/>
          <w:lang w:val="zh-TW" w:eastAsia="zh-CN"/>
        </w:rPr>
      </w:pPr>
      <w:r>
        <w:rPr>
          <w:rFonts w:hint="eastAsia" w:ascii="宋体" w:hAnsi="宋体" w:eastAsia="宋体" w:cs="宋体"/>
          <w:color w:val="auto"/>
          <w:sz w:val="24"/>
          <w:szCs w:val="24"/>
          <w:highlight w:val="none"/>
        </w:rPr>
        <w:t>2. 工程地点：</w:t>
      </w:r>
      <w:r>
        <w:rPr>
          <w:rFonts w:hint="eastAsia" w:ascii="宋体" w:hAnsi="宋体" w:cs="宋体"/>
          <w:bCs/>
          <w:color w:val="auto"/>
          <w:sz w:val="24"/>
          <w:szCs w:val="24"/>
          <w:highlight w:val="none"/>
          <w:u w:val="single"/>
          <w:lang w:val="en-US" w:eastAsia="zh-CN"/>
        </w:rPr>
        <w:t>重庆市第一一0中学校教育用地控规范围内</w:t>
      </w:r>
      <w:r>
        <w:rPr>
          <w:rFonts w:hint="eastAsia" w:ascii="宋体" w:hAnsi="宋体" w:eastAsia="宋体" w:cs="宋体"/>
          <w:bCs/>
          <w:color w:val="auto"/>
          <w:sz w:val="24"/>
          <w:szCs w:val="24"/>
          <w:highlight w:val="none"/>
          <w:u w:val="single"/>
          <w:lang w:val="en-US" w:eastAsia="zh-CN"/>
        </w:rPr>
        <w:t xml:space="preserve">。 </w:t>
      </w:r>
    </w:p>
    <w:p w14:paraId="71A863C2">
      <w:pPr>
        <w:keepNext w:val="0"/>
        <w:keepLines w:val="0"/>
        <w:pageBreakBefore w:val="0"/>
        <w:shd w:val="clear"/>
        <w:kinsoku/>
        <w:wordWrap/>
        <w:topLinePunct w:val="0"/>
        <w:bidi w:val="0"/>
        <w:snapToGrid w:val="0"/>
        <w:spacing w:line="440" w:lineRule="exact"/>
        <w:ind w:firstLine="480" w:firstLineChars="200"/>
        <w:jc w:val="left"/>
        <w:rPr>
          <w:rStyle w:val="48"/>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3. 工程规模：</w:t>
      </w:r>
      <w:r>
        <w:rPr>
          <w:rFonts w:hint="eastAsia" w:ascii="宋体" w:hAnsi="宋体" w:cs="宋体"/>
          <w:bCs/>
          <w:color w:val="auto"/>
          <w:sz w:val="24"/>
          <w:szCs w:val="24"/>
          <w:highlight w:val="none"/>
          <w:u w:val="single"/>
          <w:lang w:val="en-US" w:eastAsia="zh-CN"/>
        </w:rPr>
        <w:t>项目主要为拆除、新建和改建。拆除面积为11513.49平方米(其中房屋拆除面积4513.49平方米)，包括拆除善学楼、男女生宿舍、食堂、公厕、男生浴室现状运动场及周边硬化地块、生化池(日处理量140立方米/天)一座;新建地上建筑面积为6167.94平方米，包括新建教学楼食堂，新建地下建筑面积为1806.90平方米，包括新建车库及设备用房、生化池;改建面积为8549.13平方米，包括改建广场、运动场。建设内容主要包括拆除工程、主体工程(土建工程、安装工程、装饰工程)、岩土工程、室外附属工程等</w:t>
      </w:r>
      <w:r>
        <w:rPr>
          <w:rStyle w:val="48"/>
          <w:rFonts w:hint="eastAsia" w:ascii="宋体" w:hAnsi="宋体" w:eastAsia="宋体" w:cs="宋体"/>
          <w:color w:val="auto"/>
          <w:szCs w:val="24"/>
          <w:highlight w:val="none"/>
          <w:lang w:val="en-US" w:eastAsia="zh-CN"/>
        </w:rPr>
        <w:t>。</w:t>
      </w:r>
    </w:p>
    <w:p w14:paraId="092C8D6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工程</w:t>
      </w:r>
      <w:r>
        <w:rPr>
          <w:rFonts w:hint="eastAsia" w:ascii="宋体" w:hAnsi="宋体" w:eastAsia="宋体" w:cs="宋体"/>
          <w:color w:val="auto"/>
          <w:kern w:val="0"/>
          <w:sz w:val="24"/>
          <w:szCs w:val="24"/>
          <w:highlight w:val="none"/>
        </w:rPr>
        <w:t>概算投资额或建筑安装工程费</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u w:val="single"/>
          <w:lang w:val="zh-TW"/>
        </w:rPr>
        <w:t xml:space="preserve"> </w:t>
      </w:r>
      <w:r>
        <w:rPr>
          <w:rFonts w:hint="eastAsia" w:ascii="宋体" w:hAnsi="宋体" w:eastAsia="宋体" w:cs="宋体"/>
          <w:bCs/>
          <w:color w:val="auto"/>
          <w:sz w:val="24"/>
          <w:szCs w:val="24"/>
          <w:highlight w:val="none"/>
          <w:u w:val="single"/>
          <w:lang w:val="en-US" w:eastAsia="zh-CN"/>
        </w:rPr>
        <w:t>建筑安装费暂定35874392.35元</w:t>
      </w:r>
      <w:r>
        <w:rPr>
          <w:rFonts w:hint="eastAsia" w:ascii="宋体" w:hAnsi="宋体" w:eastAsia="宋体" w:cs="宋体"/>
          <w:b/>
          <w:bCs/>
          <w:color w:val="auto"/>
          <w:kern w:val="0"/>
          <w:sz w:val="24"/>
          <w:szCs w:val="24"/>
          <w:highlight w:val="none"/>
          <w:u w:val="single"/>
          <w:lang w:val="zh-TW"/>
        </w:rPr>
        <w:t xml:space="preserve"> </w:t>
      </w:r>
      <w:r>
        <w:rPr>
          <w:rFonts w:hint="eastAsia" w:ascii="宋体" w:hAnsi="宋体" w:eastAsia="宋体" w:cs="宋体"/>
          <w:b/>
          <w:bCs/>
          <w:color w:val="auto"/>
          <w:kern w:val="0"/>
          <w:sz w:val="24"/>
          <w:szCs w:val="24"/>
          <w:highlight w:val="none"/>
          <w:lang w:val="zh-TW"/>
        </w:rPr>
        <w:t>。</w:t>
      </w:r>
    </w:p>
    <w:p w14:paraId="736528E6">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二、词语限定</w:t>
      </w:r>
    </w:p>
    <w:p w14:paraId="357D80E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p>
    <w:p w14:paraId="47EB8BFD">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三、组成本合同的文件</w:t>
      </w:r>
    </w:p>
    <w:p w14:paraId="59A885F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14:paraId="32D900C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w:t>
      </w:r>
    </w:p>
    <w:p w14:paraId="705D47F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10166DA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专用条件；</w:t>
      </w:r>
    </w:p>
    <w:p w14:paraId="545DD53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通用条件；</w:t>
      </w:r>
    </w:p>
    <w:p w14:paraId="3D05C6C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 附录</w:t>
      </w:r>
      <w:bookmarkStart w:id="702" w:name="_Hlk88038364"/>
      <w:r>
        <w:rPr>
          <w:rFonts w:hint="eastAsia" w:ascii="宋体" w:hAnsi="宋体" w:eastAsia="宋体" w:cs="宋体"/>
          <w:color w:val="auto"/>
          <w:sz w:val="24"/>
          <w:szCs w:val="24"/>
          <w:highlight w:val="none"/>
          <w:lang w:val="en-US" w:eastAsia="zh-CN"/>
        </w:rPr>
        <w:t>。</w:t>
      </w:r>
    </w:p>
    <w:bookmarkEnd w:id="702"/>
    <w:p w14:paraId="7FAF6D6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方依法签订的补充协议与修正文件也是本合同文件的组成部分。</w:t>
      </w:r>
    </w:p>
    <w:p w14:paraId="384DFCA1">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四、总监理工程师</w:t>
      </w:r>
    </w:p>
    <w:p w14:paraId="5BABE55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。未经委托人同意，监理人不得擅自更换总监理工程师，否则视为其违约，委托人有权解除本合同。</w:t>
      </w:r>
    </w:p>
    <w:p w14:paraId="1132F86B">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五、签约酬金</w:t>
      </w:r>
    </w:p>
    <w:p w14:paraId="35F8A4D9">
      <w:pPr>
        <w:keepNext w:val="0"/>
        <w:keepLines w:val="0"/>
        <w:pageBreakBefore w:val="0"/>
        <w:widowControl/>
        <w:kinsoku/>
        <w:wordWrap/>
        <w:topLinePunct w:val="0"/>
        <w:bidi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签约酬金（大写）：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成交折扣比例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税率      %</w:t>
      </w:r>
      <w:r>
        <w:rPr>
          <w:rFonts w:hint="eastAsia" w:ascii="宋体" w:hAnsi="宋体" w:eastAsia="宋体" w:cs="宋体"/>
          <w:color w:val="auto"/>
          <w:sz w:val="24"/>
          <w:szCs w:val="24"/>
          <w:highlight w:val="none"/>
        </w:rPr>
        <w:t>。</w:t>
      </w:r>
    </w:p>
    <w:p w14:paraId="3E0B5D66">
      <w:pPr>
        <w:keepNext w:val="0"/>
        <w:keepLines w:val="0"/>
        <w:pageBreakBefore w:val="0"/>
        <w:shd w:val="clear"/>
        <w:kinsoku/>
        <w:wordWrap/>
        <w:topLinePunct w:val="0"/>
        <w:bidi w:val="0"/>
        <w:snapToGrid w:val="0"/>
        <w:spacing w:line="440" w:lineRule="exact"/>
        <w:ind w:firstLine="42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按国家发展改革委、建设部关于印发《建设工程监理与相关服务收费管理规定》的通知（发改价格〔2007〕670号）规定，</w:t>
      </w:r>
      <w:r>
        <w:rPr>
          <w:rFonts w:hint="eastAsia" w:ascii="宋体" w:hAnsi="宋体" w:eastAsia="宋体" w:cs="宋体"/>
          <w:color w:val="auto"/>
          <w:sz w:val="24"/>
          <w:szCs w:val="24"/>
          <w:highlight w:val="none"/>
        </w:rPr>
        <w:t>专业调整系数为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，工程复杂程度调整系数为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，高程调整系数为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以最终</w:t>
      </w:r>
      <w:r>
        <w:rPr>
          <w:rFonts w:hint="eastAsia" w:ascii="宋体" w:hAnsi="宋体" w:eastAsia="宋体" w:cs="宋体"/>
          <w:color w:val="auto"/>
          <w:kern w:val="0"/>
          <w:sz w:val="24"/>
          <w:szCs w:val="24"/>
          <w:highlight w:val="none"/>
          <w:lang w:val="en-US" w:eastAsia="zh-CN"/>
        </w:rPr>
        <w:t>审定的建安工程费计算出工程建设监理费收费基价×成交折扣比例</w:t>
      </w:r>
      <w:r>
        <w:rPr>
          <w:rFonts w:hint="eastAsia" w:ascii="宋体" w:hAnsi="宋体" w:eastAsia="宋体" w:cs="宋体"/>
          <w:color w:val="auto"/>
          <w:kern w:val="0"/>
          <w:sz w:val="24"/>
          <w:szCs w:val="24"/>
          <w:highlight w:val="none"/>
        </w:rPr>
        <w:t>做</w:t>
      </w:r>
      <w:r>
        <w:rPr>
          <w:rFonts w:hint="eastAsia" w:ascii="宋体" w:hAnsi="宋体" w:eastAsia="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rPr>
        <w:t>最终结算</w:t>
      </w:r>
      <w:r>
        <w:rPr>
          <w:rFonts w:hint="eastAsia" w:ascii="宋体" w:hAnsi="宋体" w:eastAsia="宋体" w:cs="宋体"/>
          <w:color w:val="auto"/>
          <w:kern w:val="0"/>
          <w:sz w:val="24"/>
          <w:szCs w:val="24"/>
          <w:highlight w:val="none"/>
          <w:lang w:val="en-US" w:eastAsia="zh-CN"/>
        </w:rPr>
        <w:t>金额</w:t>
      </w:r>
      <w:r>
        <w:rPr>
          <w:rFonts w:hint="eastAsia" w:ascii="宋体" w:hAnsi="宋体" w:eastAsia="宋体" w:cs="宋体"/>
          <w:color w:val="auto"/>
          <w:kern w:val="0"/>
          <w:sz w:val="24"/>
          <w:szCs w:val="24"/>
          <w:highlight w:val="none"/>
        </w:rPr>
        <w:t>，</w:t>
      </w:r>
      <w:r>
        <w:rPr>
          <w:rFonts w:hint="eastAsia" w:ascii="宋体" w:hAnsi="宋体" w:eastAsia="宋体" w:cs="宋体"/>
          <w:b/>
          <w:bCs w:val="0"/>
          <w:color w:val="auto"/>
          <w:kern w:val="0"/>
          <w:sz w:val="24"/>
          <w:szCs w:val="24"/>
          <w:highlight w:val="none"/>
        </w:rPr>
        <w:t>且</w:t>
      </w:r>
      <w:r>
        <w:rPr>
          <w:rFonts w:hint="eastAsia" w:ascii="宋体" w:hAnsi="宋体" w:eastAsia="宋体" w:cs="宋体"/>
          <w:b/>
          <w:bCs w:val="0"/>
          <w:color w:val="auto"/>
          <w:kern w:val="0"/>
          <w:sz w:val="24"/>
          <w:szCs w:val="24"/>
          <w:highlight w:val="none"/>
          <w:lang w:val="en-US" w:eastAsia="zh-CN"/>
        </w:rPr>
        <w:t>最终工程建设监理费结算金额不得超过概算批复中列支的工程建设监理费</w:t>
      </w:r>
      <w:r>
        <w:rPr>
          <w:rFonts w:hint="eastAsia" w:ascii="宋体" w:hAnsi="宋体" w:eastAsia="宋体" w:cs="宋体"/>
          <w:color w:val="auto"/>
          <w:kern w:val="0"/>
          <w:sz w:val="24"/>
          <w:szCs w:val="24"/>
          <w:highlight w:val="none"/>
        </w:rPr>
        <w:t>。</w:t>
      </w:r>
    </w:p>
    <w:p w14:paraId="342BAA5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监理人在履行本合同时，因履行本合同相应人员产生的费用以及房屋等使用所产生的费用由监理人承担。委托人与本合同项目有关的承包人签订合同另有约定按照约定执行。</w:t>
      </w:r>
    </w:p>
    <w:p w14:paraId="74930C5D">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六、期限</w:t>
      </w:r>
    </w:p>
    <w:p w14:paraId="7CB0419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监理期限：</w:t>
      </w:r>
    </w:p>
    <w:p w14:paraId="6D593B3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Style w:val="48"/>
          <w:rFonts w:hint="eastAsia" w:ascii="宋体" w:hAnsi="宋体" w:eastAsia="宋体" w:cs="宋体"/>
          <w:color w:val="auto"/>
          <w:sz w:val="24"/>
          <w:szCs w:val="24"/>
          <w:highlight w:val="none"/>
        </w:rPr>
        <w:t>自</w:t>
      </w:r>
      <w:r>
        <w:rPr>
          <w:rStyle w:val="48"/>
          <w:rFonts w:hint="eastAsia" w:ascii="宋体" w:hAnsi="宋体" w:eastAsia="宋体" w:cs="宋体"/>
          <w:color w:val="auto"/>
          <w:sz w:val="24"/>
          <w:szCs w:val="24"/>
          <w:highlight w:val="none"/>
          <w:u w:val="single"/>
        </w:rPr>
        <w:t xml:space="preserve">  开工之日  </w:t>
      </w:r>
      <w:r>
        <w:rPr>
          <w:rStyle w:val="48"/>
          <w:rFonts w:hint="eastAsia" w:ascii="宋体" w:hAnsi="宋体" w:eastAsia="宋体" w:cs="宋体"/>
          <w:color w:val="auto"/>
          <w:sz w:val="24"/>
          <w:szCs w:val="24"/>
          <w:highlight w:val="none"/>
        </w:rPr>
        <w:t>始，至</w:t>
      </w:r>
      <w:r>
        <w:rPr>
          <w:rStyle w:val="48"/>
          <w:rFonts w:hint="eastAsia" w:ascii="宋体" w:hAnsi="宋体" w:eastAsia="宋体" w:cs="宋体"/>
          <w:color w:val="auto"/>
          <w:sz w:val="24"/>
          <w:szCs w:val="24"/>
          <w:highlight w:val="none"/>
          <w:u w:val="single"/>
        </w:rPr>
        <w:t>竣工验收及缺陷责任期验收合格之日</w:t>
      </w:r>
      <w:r>
        <w:rPr>
          <w:rStyle w:val="48"/>
          <w:rFonts w:hint="eastAsia" w:ascii="宋体" w:hAnsi="宋体" w:eastAsia="宋体" w:cs="宋体"/>
          <w:color w:val="auto"/>
          <w:sz w:val="24"/>
          <w:szCs w:val="24"/>
          <w:highlight w:val="none"/>
        </w:rPr>
        <w:t>止</w:t>
      </w:r>
      <w:r>
        <w:rPr>
          <w:rFonts w:hint="eastAsia" w:ascii="宋体" w:hAnsi="宋体" w:eastAsia="宋体" w:cs="宋体"/>
          <w:color w:val="auto"/>
          <w:sz w:val="24"/>
          <w:szCs w:val="24"/>
          <w:highlight w:val="none"/>
        </w:rPr>
        <w:t>。</w:t>
      </w:r>
    </w:p>
    <w:p w14:paraId="09D56BD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相关服务期限：</w:t>
      </w:r>
    </w:p>
    <w:p w14:paraId="48E3506D">
      <w:pPr>
        <w:keepNext w:val="0"/>
        <w:keepLines w:val="0"/>
        <w:pageBreakBefore w:val="0"/>
        <w:kinsoku/>
        <w:wordWrap/>
        <w:topLinePunct w:val="0"/>
        <w:bidi w:val="0"/>
        <w:snapToGrid w:val="0"/>
        <w:spacing w:line="440" w:lineRule="exact"/>
        <w:ind w:firstLine="480" w:firstLineChars="200"/>
        <w:textAlignment w:val="baseline"/>
        <w:rPr>
          <w:rStyle w:val="48"/>
          <w:rFonts w:hint="eastAsia" w:ascii="宋体" w:hAnsi="宋体" w:eastAsia="宋体" w:cs="宋体"/>
          <w:color w:val="auto"/>
          <w:sz w:val="24"/>
          <w:szCs w:val="24"/>
          <w:highlight w:val="none"/>
        </w:rPr>
      </w:pPr>
      <w:r>
        <w:rPr>
          <w:rStyle w:val="48"/>
          <w:rFonts w:hint="eastAsia" w:ascii="宋体" w:hAnsi="宋体" w:eastAsia="宋体" w:cs="宋体"/>
          <w:color w:val="auto"/>
          <w:kern w:val="0"/>
          <w:sz w:val="24"/>
          <w:szCs w:val="24"/>
          <w:highlight w:val="none"/>
        </w:rPr>
        <w:t>（1）保修阶段</w:t>
      </w:r>
      <w:r>
        <w:rPr>
          <w:rStyle w:val="48"/>
          <w:rFonts w:hint="eastAsia" w:ascii="宋体" w:hAnsi="宋体" w:eastAsia="宋体" w:cs="宋体"/>
          <w:color w:val="auto"/>
          <w:sz w:val="24"/>
          <w:szCs w:val="24"/>
          <w:highlight w:val="none"/>
        </w:rPr>
        <w:t>服务期限自</w:t>
      </w:r>
      <w:r>
        <w:rPr>
          <w:rStyle w:val="48"/>
          <w:rFonts w:hint="eastAsia" w:ascii="宋体" w:hAnsi="宋体" w:eastAsia="宋体" w:cs="宋体"/>
          <w:color w:val="auto"/>
          <w:sz w:val="24"/>
          <w:szCs w:val="24"/>
          <w:highlight w:val="none"/>
          <w:u w:val="single"/>
        </w:rPr>
        <w:t xml:space="preserve"> 竣工验收或者交付使用之日起 </w:t>
      </w:r>
      <w:r>
        <w:rPr>
          <w:rStyle w:val="48"/>
          <w:rFonts w:hint="eastAsia" w:ascii="宋体" w:hAnsi="宋体" w:eastAsia="宋体" w:cs="宋体"/>
          <w:color w:val="auto"/>
          <w:sz w:val="24"/>
          <w:szCs w:val="24"/>
          <w:highlight w:val="none"/>
        </w:rPr>
        <w:t>至</w:t>
      </w:r>
      <w:r>
        <w:rPr>
          <w:rStyle w:val="48"/>
          <w:rFonts w:hint="eastAsia" w:ascii="宋体" w:hAnsi="宋体" w:eastAsia="宋体" w:cs="宋体"/>
          <w:color w:val="auto"/>
          <w:sz w:val="24"/>
          <w:szCs w:val="24"/>
          <w:highlight w:val="none"/>
          <w:u w:val="single"/>
        </w:rPr>
        <w:t>缺陷责任期验收合格之日</w:t>
      </w:r>
      <w:r>
        <w:rPr>
          <w:rStyle w:val="48"/>
          <w:rFonts w:hint="eastAsia" w:ascii="宋体" w:hAnsi="宋体" w:eastAsia="宋体" w:cs="宋体"/>
          <w:color w:val="auto"/>
          <w:sz w:val="24"/>
          <w:szCs w:val="24"/>
          <w:highlight w:val="none"/>
        </w:rPr>
        <w:t>止。</w:t>
      </w:r>
    </w:p>
    <w:p w14:paraId="4A367996">
      <w:pPr>
        <w:keepNext w:val="0"/>
        <w:keepLines w:val="0"/>
        <w:pageBreakBefore w:val="0"/>
        <w:kinsoku/>
        <w:wordWrap/>
        <w:topLinePunct w:val="0"/>
        <w:bidi w:val="0"/>
        <w:snapToGrid w:val="0"/>
        <w:spacing w:line="440" w:lineRule="exact"/>
        <w:ind w:firstLine="480" w:firstLineChars="200"/>
        <w:textAlignment w:val="baseline"/>
        <w:rPr>
          <w:rStyle w:val="48"/>
          <w:rFonts w:hint="eastAsia" w:ascii="宋体" w:hAnsi="宋体" w:eastAsia="宋体" w:cs="宋体"/>
          <w:color w:val="auto"/>
          <w:sz w:val="24"/>
          <w:szCs w:val="24"/>
          <w:highlight w:val="none"/>
        </w:rPr>
      </w:pPr>
      <w:r>
        <w:rPr>
          <w:rStyle w:val="48"/>
          <w:rFonts w:hint="eastAsia" w:ascii="宋体" w:hAnsi="宋体" w:eastAsia="宋体" w:cs="宋体"/>
          <w:color w:val="auto"/>
          <w:kern w:val="0"/>
          <w:sz w:val="24"/>
          <w:szCs w:val="24"/>
          <w:highlight w:val="none"/>
        </w:rPr>
        <w:t>（2）</w:t>
      </w:r>
      <w:r>
        <w:rPr>
          <w:rStyle w:val="48"/>
          <w:rFonts w:hint="eastAsia" w:ascii="宋体" w:hAnsi="宋体" w:eastAsia="宋体" w:cs="宋体"/>
          <w:color w:val="auto"/>
          <w:sz w:val="24"/>
          <w:szCs w:val="24"/>
          <w:highlight w:val="none"/>
        </w:rPr>
        <w:t>其他相关服务期限按第</w:t>
      </w:r>
      <w:r>
        <w:rPr>
          <w:rStyle w:val="48"/>
          <w:rFonts w:hint="eastAsia" w:ascii="宋体" w:hAnsi="宋体" w:eastAsia="宋体" w:cs="宋体"/>
          <w:color w:val="auto"/>
          <w:sz w:val="24"/>
          <w:szCs w:val="24"/>
          <w:highlight w:val="none"/>
          <w:u w:val="single" w:color="000000"/>
        </w:rPr>
        <w:t xml:space="preserve">   </w:t>
      </w:r>
      <w:r>
        <w:rPr>
          <w:rStyle w:val="48"/>
          <w:rFonts w:hint="eastAsia" w:ascii="宋体" w:hAnsi="宋体" w:eastAsia="宋体" w:cs="宋体"/>
          <w:color w:val="auto"/>
          <w:sz w:val="24"/>
          <w:szCs w:val="24"/>
          <w:highlight w:val="none"/>
          <w:u w:val="single" w:color="000000"/>
          <w:lang w:val="en-US" w:eastAsia="zh-CN"/>
        </w:rPr>
        <w:t xml:space="preserve"> </w:t>
      </w:r>
      <w:r>
        <w:rPr>
          <w:rStyle w:val="48"/>
          <w:rFonts w:hint="eastAsia" w:ascii="宋体" w:hAnsi="宋体" w:eastAsia="宋体" w:cs="宋体"/>
          <w:color w:val="auto"/>
          <w:sz w:val="24"/>
          <w:szCs w:val="24"/>
          <w:highlight w:val="none"/>
          <w:u w:val="single" w:color="000000"/>
        </w:rPr>
        <w:t xml:space="preserve"> </w:t>
      </w:r>
      <w:r>
        <w:rPr>
          <w:rStyle w:val="48"/>
          <w:rFonts w:hint="eastAsia" w:ascii="宋体" w:hAnsi="宋体" w:eastAsia="宋体" w:cs="宋体"/>
          <w:color w:val="auto"/>
          <w:sz w:val="24"/>
          <w:szCs w:val="24"/>
          <w:highlight w:val="none"/>
        </w:rPr>
        <w:t>条执行。</w:t>
      </w:r>
    </w:p>
    <w:p w14:paraId="6FD1493B">
      <w:pPr>
        <w:keepNext w:val="0"/>
        <w:keepLines w:val="0"/>
        <w:pageBreakBefore w:val="0"/>
        <w:kinsoku/>
        <w:wordWrap/>
        <w:topLinePunct w:val="0"/>
        <w:bidi w:val="0"/>
        <w:snapToGrid w:val="0"/>
        <w:spacing w:line="440" w:lineRule="exact"/>
        <w:ind w:firstLine="480" w:firstLineChars="200"/>
        <w:textAlignment w:val="baseline"/>
        <w:rPr>
          <w:rStyle w:val="48"/>
          <w:rFonts w:hint="eastAsia" w:ascii="宋体" w:hAnsi="宋体" w:eastAsia="宋体" w:cs="宋体"/>
          <w:color w:val="auto"/>
          <w:sz w:val="24"/>
          <w:szCs w:val="24"/>
          <w:highlight w:val="none"/>
        </w:rPr>
      </w:pPr>
      <w:r>
        <w:rPr>
          <w:rStyle w:val="48"/>
          <w:rFonts w:hint="default" w:ascii="Calibri" w:hAnsi="Calibri" w:eastAsia="宋体" w:cs="Calibri"/>
          <w:color w:val="auto"/>
          <w:sz w:val="24"/>
          <w:szCs w:val="24"/>
          <w:highlight w:val="none"/>
        </w:rPr>
        <w:t>①</w:t>
      </w:r>
      <w:r>
        <w:rPr>
          <w:rStyle w:val="48"/>
          <w:rFonts w:hint="eastAsia" w:ascii="宋体" w:hAnsi="宋体" w:eastAsia="宋体" w:cs="宋体"/>
          <w:color w:val="auto"/>
          <w:sz w:val="24"/>
          <w:szCs w:val="24"/>
          <w:highlight w:val="none"/>
        </w:rPr>
        <w:t>待工程验收备案手续办完后；</w:t>
      </w:r>
    </w:p>
    <w:p w14:paraId="77CF52FD">
      <w:pPr>
        <w:keepNext w:val="0"/>
        <w:keepLines w:val="0"/>
        <w:pageBreakBefore w:val="0"/>
        <w:kinsoku/>
        <w:wordWrap/>
        <w:topLinePunct w:val="0"/>
        <w:bidi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Style w:val="48"/>
          <w:rFonts w:hint="default" w:ascii="Calibri" w:hAnsi="Calibri" w:eastAsia="宋体" w:cs="Calibri"/>
          <w:color w:val="auto"/>
          <w:sz w:val="24"/>
          <w:szCs w:val="24"/>
          <w:highlight w:val="none"/>
        </w:rPr>
        <w:t>②</w:t>
      </w:r>
      <w:r>
        <w:rPr>
          <w:rStyle w:val="48"/>
          <w:rFonts w:hint="eastAsia" w:ascii="宋体" w:hAnsi="宋体" w:eastAsia="宋体" w:cs="宋体"/>
          <w:color w:val="auto"/>
          <w:sz w:val="24"/>
          <w:szCs w:val="24"/>
          <w:highlight w:val="none"/>
        </w:rPr>
        <w:t>缺陷责任期满后</w:t>
      </w:r>
      <w:r>
        <w:rPr>
          <w:rStyle w:val="48"/>
          <w:rFonts w:hint="eastAsia" w:ascii="宋体" w:hAnsi="宋体" w:eastAsia="宋体" w:cs="宋体"/>
          <w:color w:val="auto"/>
          <w:kern w:val="0"/>
          <w:sz w:val="24"/>
          <w:szCs w:val="24"/>
          <w:highlight w:val="none"/>
        </w:rPr>
        <w:t>。</w:t>
      </w:r>
    </w:p>
    <w:p w14:paraId="61EBD77C">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、合同订立</w:t>
      </w:r>
    </w:p>
    <w:p w14:paraId="42F4BE8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686CB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重庆市南岸区    </w:t>
      </w:r>
      <w:r>
        <w:rPr>
          <w:rFonts w:hint="eastAsia" w:ascii="宋体" w:hAnsi="宋体" w:eastAsia="宋体" w:cs="宋体"/>
          <w:color w:val="auto"/>
          <w:sz w:val="24"/>
          <w:szCs w:val="24"/>
          <w:highlight w:val="none"/>
        </w:rPr>
        <w:t>。</w:t>
      </w:r>
    </w:p>
    <w:p w14:paraId="284F982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本合同自双方盖章之日起生效。本合同一式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份、监理人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份。合同正文若出现手写内容，手写内容未经双方盖章确认，则无效。本合同载明的代理人未经书面授权，仅代表在本合同签名，其他单方承诺或认可行为无效。</w:t>
      </w:r>
    </w:p>
    <w:p w14:paraId="6C72992D">
      <w:pPr>
        <w:pStyle w:val="14"/>
        <w:keepNext w:val="0"/>
        <w:keepLines w:val="0"/>
        <w:pageBreakBefore w:val="0"/>
        <w:kinsoku/>
        <w:wordWrap/>
        <w:topLinePunct w:val="0"/>
        <w:bidi w:val="0"/>
        <w:spacing w:line="440" w:lineRule="exact"/>
        <w:rPr>
          <w:rFonts w:hint="eastAsia" w:ascii="宋体" w:hAnsi="宋体" w:eastAsia="宋体" w:cs="宋体"/>
          <w:color w:val="auto"/>
          <w:highlight w:val="none"/>
        </w:rPr>
      </w:pPr>
    </w:p>
    <w:p w14:paraId="5CC7845F">
      <w:pPr>
        <w:keepNext w:val="0"/>
        <w:keepLines w:val="0"/>
        <w:pageBreakBefore w:val="0"/>
        <w:kinsoku/>
        <w:wordWrap/>
        <w:topLinePunct w:val="0"/>
        <w:bidi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（以下为盖章页）</w:t>
      </w:r>
    </w:p>
    <w:p w14:paraId="0E001A9C">
      <w:pPr>
        <w:keepNext w:val="0"/>
        <w:keepLines w:val="0"/>
        <w:pageBreakBefore w:val="0"/>
        <w:kinsoku/>
        <w:wordWrap/>
        <w:topLinePunct w:val="0"/>
        <w:bidi w:val="0"/>
        <w:spacing w:line="440" w:lineRule="exact"/>
        <w:rPr>
          <w:rFonts w:hint="eastAsia" w:ascii="宋体" w:hAnsi="宋体" w:eastAsia="宋体" w:cs="宋体"/>
          <w:color w:val="auto"/>
          <w:highlight w:val="none"/>
        </w:rPr>
      </w:pPr>
    </w:p>
    <w:tbl>
      <w:tblPr>
        <w:tblStyle w:val="21"/>
        <w:tblW w:w="0" w:type="auto"/>
        <w:tblInd w:w="0" w:type="dxa"/>
        <w:tblLayout w:type="fixed"/>
        <w:tblCellMar>
          <w:top w:w="0" w:type="dxa"/>
          <w:left w:w="108" w:type="dxa"/>
          <w:bottom w:w="0" w:type="dxa"/>
          <w:right w:w="108" w:type="dxa"/>
        </w:tblCellMar>
      </w:tblPr>
      <w:tblGrid>
        <w:gridCol w:w="4840"/>
        <w:gridCol w:w="4445"/>
      </w:tblGrid>
      <w:tr w14:paraId="20CB6740">
        <w:tblPrEx>
          <w:tblCellMar>
            <w:top w:w="0" w:type="dxa"/>
            <w:left w:w="108" w:type="dxa"/>
            <w:bottom w:w="0" w:type="dxa"/>
            <w:right w:w="108" w:type="dxa"/>
          </w:tblCellMar>
        </w:tblPrEx>
        <w:tc>
          <w:tcPr>
            <w:tcW w:w="4840" w:type="dxa"/>
            <w:shd w:val="clear" w:color="auto" w:fill="auto"/>
            <w:noWrap w:val="0"/>
            <w:vAlign w:val="top"/>
          </w:tcPr>
          <w:p w14:paraId="41FF1D81">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 xml:space="preserve">委托人： </w:t>
            </w:r>
          </w:p>
        </w:tc>
        <w:tc>
          <w:tcPr>
            <w:tcW w:w="4445" w:type="dxa"/>
            <w:shd w:val="clear" w:color="auto" w:fill="auto"/>
            <w:noWrap w:val="0"/>
            <w:vAlign w:val="top"/>
          </w:tcPr>
          <w:p w14:paraId="15C2A7C3">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监理人：</w:t>
            </w:r>
          </w:p>
        </w:tc>
      </w:tr>
      <w:tr w14:paraId="26EAE924">
        <w:tblPrEx>
          <w:tblCellMar>
            <w:top w:w="0" w:type="dxa"/>
            <w:left w:w="108" w:type="dxa"/>
            <w:bottom w:w="0" w:type="dxa"/>
            <w:right w:w="108" w:type="dxa"/>
          </w:tblCellMar>
        </w:tblPrEx>
        <w:tc>
          <w:tcPr>
            <w:tcW w:w="4840" w:type="dxa"/>
            <w:shd w:val="clear" w:color="auto" w:fill="auto"/>
            <w:noWrap w:val="0"/>
            <w:vAlign w:val="top"/>
          </w:tcPr>
          <w:p w14:paraId="58D8DEF3">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统一社会信用代码：</w:t>
            </w:r>
          </w:p>
        </w:tc>
        <w:tc>
          <w:tcPr>
            <w:tcW w:w="4445" w:type="dxa"/>
            <w:shd w:val="clear" w:color="auto" w:fill="auto"/>
            <w:noWrap w:val="0"/>
            <w:vAlign w:val="top"/>
          </w:tcPr>
          <w:p w14:paraId="7D79688E">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统一社会信用代码：</w:t>
            </w:r>
          </w:p>
        </w:tc>
      </w:tr>
      <w:tr w14:paraId="0CDEE78D">
        <w:tblPrEx>
          <w:tblCellMar>
            <w:top w:w="0" w:type="dxa"/>
            <w:left w:w="108" w:type="dxa"/>
            <w:bottom w:w="0" w:type="dxa"/>
            <w:right w:w="108" w:type="dxa"/>
          </w:tblCellMar>
        </w:tblPrEx>
        <w:tc>
          <w:tcPr>
            <w:tcW w:w="4840" w:type="dxa"/>
            <w:shd w:val="clear" w:color="auto" w:fill="auto"/>
            <w:noWrap w:val="0"/>
            <w:vAlign w:val="top"/>
          </w:tcPr>
          <w:p w14:paraId="21AC2F9C">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法定代表人：</w:t>
            </w:r>
          </w:p>
        </w:tc>
        <w:tc>
          <w:tcPr>
            <w:tcW w:w="4445" w:type="dxa"/>
            <w:shd w:val="clear" w:color="auto" w:fill="auto"/>
            <w:noWrap w:val="0"/>
            <w:vAlign w:val="top"/>
          </w:tcPr>
          <w:p w14:paraId="3216DE03">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法定代表人：</w:t>
            </w:r>
          </w:p>
        </w:tc>
      </w:tr>
      <w:tr w14:paraId="2B67A295">
        <w:tblPrEx>
          <w:tblCellMar>
            <w:top w:w="0" w:type="dxa"/>
            <w:left w:w="108" w:type="dxa"/>
            <w:bottom w:w="0" w:type="dxa"/>
            <w:right w:w="108" w:type="dxa"/>
          </w:tblCellMar>
        </w:tblPrEx>
        <w:tc>
          <w:tcPr>
            <w:tcW w:w="4840" w:type="dxa"/>
            <w:shd w:val="clear" w:color="auto" w:fill="auto"/>
            <w:noWrap w:val="0"/>
            <w:vAlign w:val="top"/>
          </w:tcPr>
          <w:p w14:paraId="7F5BC71C">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身份证号码：</w:t>
            </w:r>
          </w:p>
        </w:tc>
        <w:tc>
          <w:tcPr>
            <w:tcW w:w="4445" w:type="dxa"/>
            <w:shd w:val="clear" w:color="auto" w:fill="auto"/>
            <w:noWrap w:val="0"/>
            <w:vAlign w:val="top"/>
          </w:tcPr>
          <w:p w14:paraId="3F710EAB">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身份证号码：</w:t>
            </w:r>
          </w:p>
        </w:tc>
      </w:tr>
      <w:tr w14:paraId="0C30B285">
        <w:tblPrEx>
          <w:tblCellMar>
            <w:top w:w="0" w:type="dxa"/>
            <w:left w:w="108" w:type="dxa"/>
            <w:bottom w:w="0" w:type="dxa"/>
            <w:right w:w="108" w:type="dxa"/>
          </w:tblCellMar>
        </w:tblPrEx>
        <w:tc>
          <w:tcPr>
            <w:tcW w:w="4840" w:type="dxa"/>
            <w:shd w:val="clear" w:color="auto" w:fill="auto"/>
            <w:noWrap w:val="0"/>
            <w:vAlign w:val="top"/>
          </w:tcPr>
          <w:p w14:paraId="6C07FD83">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委托代理人：</w:t>
            </w:r>
          </w:p>
        </w:tc>
        <w:tc>
          <w:tcPr>
            <w:tcW w:w="4445" w:type="dxa"/>
            <w:shd w:val="clear" w:color="auto" w:fill="auto"/>
            <w:noWrap w:val="0"/>
            <w:vAlign w:val="top"/>
          </w:tcPr>
          <w:p w14:paraId="12EA59DE">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委托代理人：</w:t>
            </w:r>
          </w:p>
        </w:tc>
      </w:tr>
      <w:tr w14:paraId="4818F02A">
        <w:tblPrEx>
          <w:tblCellMar>
            <w:top w:w="0" w:type="dxa"/>
            <w:left w:w="108" w:type="dxa"/>
            <w:bottom w:w="0" w:type="dxa"/>
            <w:right w:w="108" w:type="dxa"/>
          </w:tblCellMar>
        </w:tblPrEx>
        <w:tc>
          <w:tcPr>
            <w:tcW w:w="4840" w:type="dxa"/>
            <w:shd w:val="clear" w:color="auto" w:fill="auto"/>
            <w:noWrap w:val="0"/>
            <w:vAlign w:val="top"/>
          </w:tcPr>
          <w:p w14:paraId="7F67E034">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身份证号码：</w:t>
            </w:r>
          </w:p>
        </w:tc>
        <w:tc>
          <w:tcPr>
            <w:tcW w:w="4445" w:type="dxa"/>
            <w:shd w:val="clear" w:color="auto" w:fill="auto"/>
            <w:noWrap w:val="0"/>
            <w:vAlign w:val="top"/>
          </w:tcPr>
          <w:p w14:paraId="4B08042F">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身份证号码：</w:t>
            </w:r>
          </w:p>
        </w:tc>
      </w:tr>
      <w:tr w14:paraId="042BEB4A">
        <w:tblPrEx>
          <w:tblCellMar>
            <w:top w:w="0" w:type="dxa"/>
            <w:left w:w="108" w:type="dxa"/>
            <w:bottom w:w="0" w:type="dxa"/>
            <w:right w:w="108" w:type="dxa"/>
          </w:tblCellMar>
        </w:tblPrEx>
        <w:tc>
          <w:tcPr>
            <w:tcW w:w="4840" w:type="dxa"/>
            <w:shd w:val="clear" w:color="auto" w:fill="auto"/>
            <w:noWrap w:val="0"/>
            <w:vAlign w:val="top"/>
          </w:tcPr>
          <w:p w14:paraId="4151B78D">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经办人：</w:t>
            </w:r>
          </w:p>
        </w:tc>
        <w:tc>
          <w:tcPr>
            <w:tcW w:w="4445" w:type="dxa"/>
            <w:shd w:val="clear" w:color="auto" w:fill="auto"/>
            <w:noWrap w:val="0"/>
            <w:vAlign w:val="top"/>
          </w:tcPr>
          <w:p w14:paraId="60B67957">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经办人：</w:t>
            </w:r>
          </w:p>
        </w:tc>
      </w:tr>
      <w:tr w14:paraId="4D779DB2">
        <w:tblPrEx>
          <w:tblCellMar>
            <w:top w:w="0" w:type="dxa"/>
            <w:left w:w="108" w:type="dxa"/>
            <w:bottom w:w="0" w:type="dxa"/>
            <w:right w:w="108" w:type="dxa"/>
          </w:tblCellMar>
        </w:tblPrEx>
        <w:tc>
          <w:tcPr>
            <w:tcW w:w="4840" w:type="dxa"/>
            <w:shd w:val="clear" w:color="auto" w:fill="auto"/>
            <w:noWrap w:val="0"/>
            <w:vAlign w:val="top"/>
          </w:tcPr>
          <w:p w14:paraId="15B2EB22">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联系电话：</w:t>
            </w:r>
          </w:p>
        </w:tc>
        <w:tc>
          <w:tcPr>
            <w:tcW w:w="4445" w:type="dxa"/>
            <w:shd w:val="clear" w:color="auto" w:fill="auto"/>
            <w:noWrap w:val="0"/>
            <w:vAlign w:val="top"/>
          </w:tcPr>
          <w:p w14:paraId="05F6E08B">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联系电话：</w:t>
            </w:r>
          </w:p>
        </w:tc>
      </w:tr>
      <w:tr w14:paraId="7E677E59">
        <w:tblPrEx>
          <w:tblCellMar>
            <w:top w:w="0" w:type="dxa"/>
            <w:left w:w="108" w:type="dxa"/>
            <w:bottom w:w="0" w:type="dxa"/>
            <w:right w:w="108" w:type="dxa"/>
          </w:tblCellMar>
        </w:tblPrEx>
        <w:tc>
          <w:tcPr>
            <w:tcW w:w="4840" w:type="dxa"/>
            <w:shd w:val="clear" w:color="auto" w:fill="auto"/>
            <w:noWrap w:val="0"/>
            <w:vAlign w:val="top"/>
          </w:tcPr>
          <w:p w14:paraId="35BD0F5A">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地址：</w:t>
            </w:r>
          </w:p>
        </w:tc>
        <w:tc>
          <w:tcPr>
            <w:tcW w:w="4445" w:type="dxa"/>
            <w:shd w:val="clear" w:color="auto" w:fill="auto"/>
            <w:noWrap w:val="0"/>
            <w:vAlign w:val="top"/>
          </w:tcPr>
          <w:p w14:paraId="53386D45">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地址：</w:t>
            </w:r>
          </w:p>
        </w:tc>
      </w:tr>
      <w:tr w14:paraId="5C7C5A1E">
        <w:tblPrEx>
          <w:tblCellMar>
            <w:top w:w="0" w:type="dxa"/>
            <w:left w:w="108" w:type="dxa"/>
            <w:bottom w:w="0" w:type="dxa"/>
            <w:right w:w="108" w:type="dxa"/>
          </w:tblCellMar>
        </w:tblPrEx>
        <w:tc>
          <w:tcPr>
            <w:tcW w:w="4840" w:type="dxa"/>
            <w:shd w:val="clear" w:color="auto" w:fill="auto"/>
            <w:noWrap w:val="0"/>
            <w:vAlign w:val="top"/>
          </w:tcPr>
          <w:p w14:paraId="24B2CCE7">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时间：</w:t>
            </w:r>
          </w:p>
        </w:tc>
        <w:tc>
          <w:tcPr>
            <w:tcW w:w="4445" w:type="dxa"/>
            <w:shd w:val="clear" w:color="auto" w:fill="auto"/>
            <w:noWrap w:val="0"/>
            <w:vAlign w:val="top"/>
          </w:tcPr>
          <w:p w14:paraId="3BAB826A">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开户行：</w:t>
            </w:r>
          </w:p>
        </w:tc>
      </w:tr>
      <w:tr w14:paraId="4977C9BB">
        <w:tblPrEx>
          <w:tblCellMar>
            <w:top w:w="0" w:type="dxa"/>
            <w:left w:w="108" w:type="dxa"/>
            <w:bottom w:w="0" w:type="dxa"/>
            <w:right w:w="108" w:type="dxa"/>
          </w:tblCellMar>
        </w:tblPrEx>
        <w:tc>
          <w:tcPr>
            <w:tcW w:w="4840" w:type="dxa"/>
            <w:shd w:val="clear" w:color="auto" w:fill="auto"/>
            <w:noWrap w:val="0"/>
            <w:vAlign w:val="top"/>
          </w:tcPr>
          <w:p w14:paraId="48411EA5">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p>
        </w:tc>
        <w:tc>
          <w:tcPr>
            <w:tcW w:w="4445" w:type="dxa"/>
            <w:shd w:val="clear" w:color="auto" w:fill="auto"/>
            <w:noWrap w:val="0"/>
            <w:vAlign w:val="top"/>
          </w:tcPr>
          <w:p w14:paraId="5A0DAABF">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账号：</w:t>
            </w:r>
          </w:p>
        </w:tc>
      </w:tr>
      <w:tr w14:paraId="67AD1962">
        <w:tblPrEx>
          <w:tblCellMar>
            <w:top w:w="0" w:type="dxa"/>
            <w:left w:w="108" w:type="dxa"/>
            <w:bottom w:w="0" w:type="dxa"/>
            <w:right w:w="108" w:type="dxa"/>
          </w:tblCellMar>
        </w:tblPrEx>
        <w:tc>
          <w:tcPr>
            <w:tcW w:w="4840" w:type="dxa"/>
            <w:shd w:val="clear" w:color="auto" w:fill="auto"/>
            <w:noWrap w:val="0"/>
            <w:vAlign w:val="top"/>
          </w:tcPr>
          <w:p w14:paraId="31CF5C04">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p>
        </w:tc>
        <w:tc>
          <w:tcPr>
            <w:tcW w:w="4445" w:type="dxa"/>
            <w:shd w:val="clear" w:color="auto" w:fill="auto"/>
            <w:noWrap w:val="0"/>
            <w:vAlign w:val="top"/>
          </w:tcPr>
          <w:p w14:paraId="524765FA">
            <w:pPr>
              <w:keepNext w:val="0"/>
              <w:keepLines w:val="0"/>
              <w:pageBreakBefore w:val="0"/>
              <w:kinsoku/>
              <w:wordWrap/>
              <w:topLinePunct w:val="0"/>
              <w:bidi w:val="0"/>
              <w:spacing w:before="120" w:after="120" w:line="44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时间：</w:t>
            </w:r>
          </w:p>
        </w:tc>
      </w:tr>
    </w:tbl>
    <w:p w14:paraId="3A4E2AC8">
      <w:pPr>
        <w:pStyle w:val="14"/>
        <w:rPr>
          <w:rFonts w:hint="eastAsia" w:ascii="宋体" w:hAnsi="宋体" w:eastAsia="宋体" w:cs="宋体"/>
          <w:color w:val="auto"/>
          <w:highlight w:val="none"/>
        </w:rPr>
      </w:pPr>
    </w:p>
    <w:p w14:paraId="73AD1C03">
      <w:pPr>
        <w:overflowPunct w:val="0"/>
        <w:autoSpaceDE w:val="0"/>
        <w:autoSpaceDN w:val="0"/>
        <w:adjustRightInd w:val="0"/>
        <w:snapToGrid w:val="0"/>
        <w:spacing w:line="480" w:lineRule="auto"/>
        <w:rPr>
          <w:rFonts w:hint="eastAsia" w:ascii="宋体" w:hAnsi="宋体" w:eastAsia="宋体" w:cs="宋体"/>
          <w:color w:val="auto"/>
          <w:sz w:val="32"/>
          <w:szCs w:val="32"/>
          <w:highlight w:val="none"/>
        </w:rPr>
      </w:pPr>
    </w:p>
    <w:p w14:paraId="1123C385">
      <w:pPr>
        <w:pStyle w:val="14"/>
        <w:rPr>
          <w:rFonts w:hint="eastAsia" w:ascii="宋体" w:hAnsi="宋体" w:eastAsia="宋体" w:cs="宋体"/>
          <w:color w:val="auto"/>
          <w:highlight w:val="none"/>
        </w:rPr>
      </w:pPr>
    </w:p>
    <w:p w14:paraId="436E508C">
      <w:pPr>
        <w:rPr>
          <w:rFonts w:hint="eastAsia" w:ascii="宋体" w:hAnsi="宋体" w:eastAsia="宋体" w:cs="宋体"/>
          <w:color w:val="auto"/>
          <w:highlight w:val="none"/>
        </w:rPr>
      </w:pPr>
    </w:p>
    <w:p w14:paraId="283EC98B">
      <w:pPr>
        <w:pStyle w:val="14"/>
        <w:rPr>
          <w:rFonts w:hint="eastAsia" w:ascii="宋体" w:hAnsi="宋体" w:eastAsia="宋体" w:cs="宋体"/>
          <w:color w:val="auto"/>
          <w:highlight w:val="none"/>
        </w:rPr>
      </w:pPr>
    </w:p>
    <w:p w14:paraId="74302774">
      <w:pPr>
        <w:rPr>
          <w:rFonts w:hint="eastAsia" w:ascii="宋体" w:hAnsi="宋体" w:eastAsia="宋体" w:cs="宋体"/>
          <w:color w:val="auto"/>
          <w:highlight w:val="none"/>
        </w:rPr>
      </w:pPr>
    </w:p>
    <w:p w14:paraId="04EF94D2">
      <w:pPr>
        <w:pStyle w:val="14"/>
        <w:rPr>
          <w:rFonts w:hint="eastAsia" w:ascii="宋体" w:hAnsi="宋体" w:eastAsia="宋体" w:cs="宋体"/>
          <w:color w:val="auto"/>
          <w:highlight w:val="none"/>
        </w:rPr>
      </w:pPr>
    </w:p>
    <w:p w14:paraId="221AAD9C">
      <w:pPr>
        <w:pStyle w:val="14"/>
        <w:rPr>
          <w:rFonts w:hint="eastAsia" w:ascii="宋体" w:hAnsi="宋体" w:eastAsia="宋体" w:cs="宋体"/>
          <w:color w:val="auto"/>
          <w:highlight w:val="none"/>
        </w:rPr>
      </w:pPr>
    </w:p>
    <w:p w14:paraId="0ABC5CF0">
      <w:pPr>
        <w:rPr>
          <w:rFonts w:hint="eastAsia" w:ascii="宋体" w:hAnsi="宋体" w:eastAsia="宋体" w:cs="宋体"/>
          <w:color w:val="auto"/>
          <w:highlight w:val="none"/>
        </w:rPr>
      </w:pPr>
    </w:p>
    <w:p w14:paraId="41E13E3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BA3C15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3213" w:firstLineChars="1000"/>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第二部分  通用条件</w:t>
      </w:r>
    </w:p>
    <w:p w14:paraId="1FB6239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 定义与解释</w:t>
      </w:r>
    </w:p>
    <w:p w14:paraId="3AA034D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1.1 </w:t>
      </w:r>
      <w:r>
        <w:rPr>
          <w:rFonts w:hint="eastAsia" w:ascii="宋体" w:hAnsi="宋体" w:eastAsia="宋体" w:cs="宋体"/>
          <w:bCs/>
          <w:color w:val="auto"/>
          <w:sz w:val="24"/>
          <w:szCs w:val="20"/>
          <w:highlight w:val="none"/>
        </w:rPr>
        <w:t>定义</w:t>
      </w:r>
    </w:p>
    <w:p w14:paraId="2F0B9C1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除根据上下文另有其意义外，组成本合同的全部文件中的下列名词和用语应具有本款所赋予的含义：</w:t>
      </w:r>
    </w:p>
    <w:p w14:paraId="245CDB9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 “工程”是指按照本合同约定实施监理与相关服务的建设工程。</w:t>
      </w:r>
    </w:p>
    <w:p w14:paraId="6EBF792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1.1.2 “委托人”是指本合同中委托监理与相关服务的一方，及其合法的继承人或受让人。</w:t>
      </w:r>
    </w:p>
    <w:p w14:paraId="748BD87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1.1.3 “监理人”是指本合同中提供监理与相关服务的一方，及其合法的继承人。</w:t>
      </w:r>
    </w:p>
    <w:p w14:paraId="15A07BC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1.1.4 “承包人”是指在工程范围内与委托人签订勘察、设计、施工等有关合同的当事人，及其合法的继承人。</w:t>
      </w:r>
    </w:p>
    <w:p w14:paraId="043BB0E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C63BE7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1.1.6 “相关服务”是指监理人受委托人的委托 ，按照本合同约定，在勘察、设计、保修等阶段提供的服务活动。</w:t>
      </w:r>
    </w:p>
    <w:p w14:paraId="6A3C08F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1.1.7 “正常工作”指本合同订立时通用条件和专用条件中约定的监理人的工作。</w:t>
      </w:r>
    </w:p>
    <w:p w14:paraId="5C80D66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1.1.8 “附加工作”是指本合同约定的正常工作以外监理人的工作。</w:t>
      </w:r>
    </w:p>
    <w:p w14:paraId="1106DC2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1.1.9 “项目监理机构”是指监理人派驻工程负责履行本合同的组织机构。</w:t>
      </w:r>
    </w:p>
    <w:p w14:paraId="5AD2279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1.1.10 “总监理工程师”是指由监理人的法定代表人书面授权，全面负责履行本合同、主持项目监理机构工作的注册监理工程师。</w:t>
      </w:r>
    </w:p>
    <w:p w14:paraId="59236DA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1.1.11 “酬金”是指监理人履行本合同义务，委托人按照本合同约定给付监理人的金额。</w:t>
      </w:r>
    </w:p>
    <w:p w14:paraId="7B20E5C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1.1.12 “正常工作</w:t>
      </w:r>
      <w:r>
        <w:rPr>
          <w:rFonts w:hint="eastAsia" w:ascii="宋体" w:hAnsi="宋体" w:eastAsia="宋体" w:cs="宋体"/>
          <w:color w:val="auto"/>
          <w:kern w:val="0"/>
          <w:sz w:val="24"/>
          <w:szCs w:val="20"/>
          <w:highlight w:val="none"/>
        </w:rPr>
        <w:t>酬金”</w:t>
      </w:r>
      <w:r>
        <w:rPr>
          <w:rFonts w:hint="eastAsia" w:ascii="宋体" w:hAnsi="宋体" w:eastAsia="宋体" w:cs="宋体"/>
          <w:color w:val="auto"/>
          <w:sz w:val="24"/>
          <w:szCs w:val="20"/>
          <w:highlight w:val="none"/>
        </w:rPr>
        <w:t>是指监理人完成正常工作，委托人应给付监理人并在协议书中载明的签约</w:t>
      </w:r>
      <w:r>
        <w:rPr>
          <w:rFonts w:hint="eastAsia" w:ascii="宋体" w:hAnsi="宋体" w:eastAsia="宋体" w:cs="宋体"/>
          <w:color w:val="auto"/>
          <w:kern w:val="0"/>
          <w:sz w:val="24"/>
          <w:szCs w:val="20"/>
          <w:highlight w:val="none"/>
        </w:rPr>
        <w:t>酬金额</w:t>
      </w:r>
      <w:r>
        <w:rPr>
          <w:rFonts w:hint="eastAsia" w:ascii="宋体" w:hAnsi="宋体" w:eastAsia="宋体" w:cs="宋体"/>
          <w:color w:val="auto"/>
          <w:sz w:val="24"/>
          <w:szCs w:val="20"/>
          <w:highlight w:val="none"/>
        </w:rPr>
        <w:t>。</w:t>
      </w:r>
    </w:p>
    <w:p w14:paraId="58FA052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1.1.13 “附加工作酬金”是指监理人完成附加工作，委托人应给付监理人的金额。</w:t>
      </w:r>
    </w:p>
    <w:p w14:paraId="0693EEC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1.1.14 “一方”是指委托人或监理人；“双方”是指委托人和监理人；“第三方”是指除委托人和监理人以外的有关方。</w:t>
      </w:r>
    </w:p>
    <w:p w14:paraId="6547939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1.1.15 “书面形式”是指合同书、信件和数据电文（包括电报、电传、传真、电子数据交换和电子邮件）等可以有形地表现所载内容的形式。</w:t>
      </w:r>
    </w:p>
    <w:p w14:paraId="3EAFDD1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1.1.16 “天”是指第一天零时至第二天零时的时间。</w:t>
      </w:r>
    </w:p>
    <w:p w14:paraId="265E3E5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1.1.17“月”是指按公历从一个月中任何一天开始的一个公历月时间。</w:t>
      </w:r>
    </w:p>
    <w:p w14:paraId="18DF68E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30CF2B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0"/>
          <w:highlight w:val="none"/>
        </w:rPr>
        <w:t xml:space="preserve">1.2 </w:t>
      </w:r>
      <w:r>
        <w:rPr>
          <w:rFonts w:hint="eastAsia" w:ascii="宋体" w:hAnsi="宋体" w:eastAsia="宋体" w:cs="宋体"/>
          <w:color w:val="auto"/>
          <w:sz w:val="24"/>
          <w:szCs w:val="20"/>
          <w:highlight w:val="none"/>
        </w:rPr>
        <w:t>解释</w:t>
      </w:r>
    </w:p>
    <w:p w14:paraId="789F1FDA">
      <w:pPr>
        <w:keepNext w:val="0"/>
        <w:keepLines w:val="0"/>
        <w:pageBreakBefore w:val="0"/>
        <w:widowControl w:val="0"/>
        <w:tabs>
          <w:tab w:val="left" w:pos="6140"/>
        </w:tabs>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1.2.1本合同使用中文书写、解释和说明。如专用条件约定使用两种及以上语言文字时，应以中文为准。</w:t>
      </w:r>
    </w:p>
    <w:p w14:paraId="5BEA1B78">
      <w:pPr>
        <w:keepNext w:val="0"/>
        <w:keepLines w:val="0"/>
        <w:pageBreakBefore w:val="0"/>
        <w:widowControl w:val="0"/>
        <w:tabs>
          <w:tab w:val="left" w:pos="6140"/>
        </w:tabs>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1.2.2 组成本合同的下列文件彼此应能相互解释、互为说明。除专用条件另有约定外，本合同文件的解释顺序如下：</w:t>
      </w:r>
    </w:p>
    <w:p w14:paraId="334AC48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（1）协议书；</w:t>
      </w:r>
    </w:p>
    <w:p w14:paraId="026C88C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成交</w:t>
      </w:r>
      <w:r>
        <w:rPr>
          <w:rFonts w:hint="eastAsia" w:ascii="宋体" w:hAnsi="宋体" w:eastAsia="宋体" w:cs="宋体"/>
          <w:color w:val="auto"/>
          <w:sz w:val="24"/>
          <w:szCs w:val="20"/>
          <w:highlight w:val="none"/>
        </w:rPr>
        <w:t>通知书；</w:t>
      </w:r>
    </w:p>
    <w:p w14:paraId="0872B32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（3）专用条件及附录；</w:t>
      </w:r>
    </w:p>
    <w:p w14:paraId="2BBA1B6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（4）通用条件；</w:t>
      </w:r>
    </w:p>
    <w:p w14:paraId="37D224A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r>
        <w:rPr>
          <w:rFonts w:hint="eastAsia" w:ascii="宋体"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rPr>
        <w:t>。</w:t>
      </w:r>
    </w:p>
    <w:p w14:paraId="5D7EC86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双方签订的补充协议与其他文件发生矛盾或歧义时，属于同一类内容的文件，应以最新签署的为准。</w:t>
      </w:r>
    </w:p>
    <w:p w14:paraId="181F812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 监理人的义务</w:t>
      </w:r>
    </w:p>
    <w:p w14:paraId="449349D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2.1 监理的范围和工作内容</w:t>
      </w:r>
    </w:p>
    <w:p w14:paraId="302D04B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2.1.1 监理范围在专用条件中约定。</w:t>
      </w:r>
    </w:p>
    <w:p w14:paraId="202BC0F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2.1.2 除专用条件另有约定外，监理工作内容包括但不限于：</w:t>
      </w:r>
    </w:p>
    <w:p w14:paraId="33F1D13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（1）收到工程设计文件后编制监理规划，并在第一次工地会议7天前报委托人。根据有关规定和监理工作需要，编制监理实施细则；</w:t>
      </w:r>
    </w:p>
    <w:p w14:paraId="2DA07C0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（2）熟悉工程设计文件，并参加由委托人主持的图纸会审和设计交底会议；</w:t>
      </w:r>
    </w:p>
    <w:p w14:paraId="3E71300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（3）参加由委托人主持的第一次工地会议；主持监理例会并根据工程需要主持或参加专题会议；</w:t>
      </w:r>
    </w:p>
    <w:p w14:paraId="317D21A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（4）审查施工承包人提交的施工组织设计，重点审查其中的质量安全技术措施、专项施工方案与工程建设强制性标准的符合性；</w:t>
      </w:r>
    </w:p>
    <w:p w14:paraId="54428D6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（5）检查施工承包人工程质量、安全生产管理制度及组织机构和人员资格； </w:t>
      </w:r>
    </w:p>
    <w:p w14:paraId="7560868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（6）检查施工承包人专职安全生产管理人员的配备情况；</w:t>
      </w:r>
    </w:p>
    <w:p w14:paraId="5102EA8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（7）审查施工承包人提交的施工进度计划，核查承包人对施工进度计划的调整；</w:t>
      </w:r>
    </w:p>
    <w:p w14:paraId="73506C8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（8）检查施工承包人的试验室；</w:t>
      </w:r>
    </w:p>
    <w:p w14:paraId="05DF8C8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（9）审核施工区域人资质条件；</w:t>
      </w:r>
    </w:p>
    <w:p w14:paraId="6D27505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（10）查验施工承包人的施工测量放线成果；</w:t>
      </w:r>
    </w:p>
    <w:p w14:paraId="4E30905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（11）审查工程开工条件，对条件具备的签发开工令；</w:t>
      </w:r>
    </w:p>
    <w:p w14:paraId="24F1D04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（12）审查施工承包人报送的工程材料、构配件、设备质量证明文件的有效性和符合性，并按规定对用于工程的材料采取平行检验或见证取样方式进行抽检； </w:t>
      </w:r>
    </w:p>
    <w:p w14:paraId="44F0CA3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（13）审核施工承包人提交的工程款支付申请，签发或出具工程款支付证书，并报委托人审核、批准；</w:t>
      </w:r>
    </w:p>
    <w:p w14:paraId="241F89B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（14）在巡视、旁站和检验过程中，发现工程质量、施工安全存在事故隐患的，要求施工承包人整改并报委托人；</w:t>
      </w:r>
    </w:p>
    <w:p w14:paraId="534D668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（15）经委托人同意，签发工程暂停令和复工令；</w:t>
      </w:r>
    </w:p>
    <w:p w14:paraId="623CF4B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（16）审查施工承包人提交的采用新材料、新工艺、新技术、新设备的论证材料及相关验收标准；</w:t>
      </w:r>
    </w:p>
    <w:p w14:paraId="1BBE886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（17）验收隐蔽工程、分部分项工程；</w:t>
      </w:r>
    </w:p>
    <w:p w14:paraId="657437D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（18）审查施工承包人提交的工程变更申请，协调处理施工进度调整、费用索赔、合同争议等事项；</w:t>
      </w:r>
    </w:p>
    <w:p w14:paraId="1FE13F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（19）审查施工承包人提交的竣工验收申请，编写工程质量评估报告；</w:t>
      </w:r>
    </w:p>
    <w:p w14:paraId="00046BF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（20）参加工程竣工验收，签署竣工验收意见；</w:t>
      </w:r>
    </w:p>
    <w:p w14:paraId="664ACF5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（21）审查施工承包人提交的竣工结算申请并报委托人；</w:t>
      </w:r>
    </w:p>
    <w:p w14:paraId="7419FF2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（22）编制、整理工程监理归档文件并报委托人。</w:t>
      </w:r>
    </w:p>
    <w:p w14:paraId="3392298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2.1.3 相关服务的范围和内容在附录1中约定。</w:t>
      </w:r>
    </w:p>
    <w:p w14:paraId="58754AC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bCs/>
          <w:color w:val="auto"/>
          <w:sz w:val="24"/>
          <w:szCs w:val="20"/>
          <w:highlight w:val="none"/>
        </w:rPr>
        <w:t>监理与相关服务依据</w:t>
      </w:r>
    </w:p>
    <w:p w14:paraId="5017049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2.2.1 监理依据包括：</w:t>
      </w:r>
    </w:p>
    <w:p w14:paraId="059EFB3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（1）适用的法律、行政法规及部门规章；</w:t>
      </w:r>
    </w:p>
    <w:p w14:paraId="0BDAAFC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（2）与工程有关的标准；</w:t>
      </w:r>
    </w:p>
    <w:p w14:paraId="62A92D3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（3）工程设计及有关文件；</w:t>
      </w:r>
    </w:p>
    <w:p w14:paraId="17FF5A8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（4）本合同及委托人与第三方签订的与实施工程有关的其他合同。</w:t>
      </w:r>
    </w:p>
    <w:p w14:paraId="118162B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双方根据工程的行业和地域特点，在专用条件中具体约定监理依据。</w:t>
      </w:r>
    </w:p>
    <w:p w14:paraId="545E184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2.2.2 相关服务依据在专用条件中约定。</w:t>
      </w:r>
    </w:p>
    <w:p w14:paraId="2DA1C54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 项目监理机构和人员</w:t>
      </w:r>
    </w:p>
    <w:p w14:paraId="7480796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2.3.1 监理人应组建满足工作需要的项目监理机构，配备必要的检测设备。项目监理机构的主要人员应具有相应的资格条件。</w:t>
      </w:r>
    </w:p>
    <w:p w14:paraId="5E93E8F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2.3.2本合同履行过程中，总监理工程师及重要岗位监理人员应保持相对稳定，以保证监理工作正常进行。</w:t>
      </w:r>
    </w:p>
    <w:p w14:paraId="762B955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2.3.3监理人可根据工程进展和工作需要调整项目监理机构人员。监理人更换总监理工程师、项目监理、相关服务其他监理人员时，应当提前7天向委托人书面报告，经委托人同意后方可更换。未经委托人同意，擅自更换时，视为监理人违约。</w:t>
      </w:r>
    </w:p>
    <w:p w14:paraId="1448043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2.3.4 监理人应及时更换有下列情形之一的监理人员：</w:t>
      </w:r>
    </w:p>
    <w:p w14:paraId="18AF6C2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（1）严重过失行为的；</w:t>
      </w:r>
    </w:p>
    <w:p w14:paraId="3BDD4A9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（2）有违法行为不能履行职责的；</w:t>
      </w:r>
    </w:p>
    <w:p w14:paraId="13D716B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（3）涉嫌犯罪的；</w:t>
      </w:r>
    </w:p>
    <w:p w14:paraId="419358A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（4）不能胜任岗位职责的；</w:t>
      </w:r>
    </w:p>
    <w:p w14:paraId="4ED71BF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（5）严重违反职业道德的；</w:t>
      </w:r>
    </w:p>
    <w:p w14:paraId="48E107E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（6）专用条件约定的其他情形。</w:t>
      </w:r>
    </w:p>
    <w:p w14:paraId="473D8D3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2.3.5 委托人可要求监理人更换不能胜任本职工作的项目监理机构人员。</w:t>
      </w:r>
    </w:p>
    <w:p w14:paraId="7C94531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 履行职责</w:t>
      </w:r>
    </w:p>
    <w:p w14:paraId="2636B65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监理人应遵循职业道德准则和行为规范，严格按照法律法规、工程建设有关标准及本合同履行职责。</w:t>
      </w:r>
    </w:p>
    <w:p w14:paraId="24AC5CB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2.4.1 在监理与相关服务范围内，委托人和承包人提出的意见和要求，监理人应及时提出处置意见。当委托人与承包人之间发生合同争议时，监理人应协助委托人、承包人协商解决。</w:t>
      </w:r>
    </w:p>
    <w:p w14:paraId="5B399ED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2.4.2 当委托人与承包人之间的合同争议提交仲裁机构仲裁或人民法院审理时，监理人应提供必要的证明资料。未提供，视为监理人违约，承担给委托人造成的一切损失。</w:t>
      </w:r>
    </w:p>
    <w:p w14:paraId="4A6E78B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2.4.3 监理人应在专用条件约定的授权范围内，处理委托人与承包人所签订合同的变更事宜。如果变更超过授权范围，应以书面形式报委托人批准。</w:t>
      </w:r>
    </w:p>
    <w:p w14:paraId="009D91A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在紧急情况下，为了保护财产和人身安全，监理人所发出的指令未能事先报委托人批准时，应在发出指令后的24小时内以书面形式报委托人。</w:t>
      </w:r>
    </w:p>
    <w:p w14:paraId="6C2C03A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2.4.4 除专用条件另有约定外，监理人发现承包人的人员不能胜任本职工作的，有权要求承包人予以调换，应书面告知委托人并附证明材料。</w:t>
      </w:r>
    </w:p>
    <w:p w14:paraId="6241CA7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2.4.5 监理人在实施监理过程中，发现存在安全事故隐患的，应当要求承包人整改；情况严重的，应当要求承包人暂时停止施工，并及时报告委托人。承包人拒不整改或者不停止施工的，监理人应当及时向有关主管部门报告。</w:t>
      </w:r>
    </w:p>
    <w:p w14:paraId="3F1DC9B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2.4.6 监理人及其工作人员不得从与实施工程有关的第三方处获得任何经济利益。</w:t>
      </w:r>
    </w:p>
    <w:p w14:paraId="3A70022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2.4.7监理人应当按法律、法规规定，为履行本合同内容的监理与相关服务机构人员办理相关保险,保证现场监理人员的安全。承担因履行本合同过程中工作人员的安全责任。</w:t>
      </w:r>
    </w:p>
    <w:p w14:paraId="617F3E3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2.5 提交报告</w:t>
      </w:r>
    </w:p>
    <w:p w14:paraId="0964D19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监理人应按专用条件约定的种类、时间和份数向委托人提交监理与相关服务的报告。</w:t>
      </w:r>
    </w:p>
    <w:p w14:paraId="69CE1E2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2.6 文件资料</w:t>
      </w:r>
    </w:p>
    <w:p w14:paraId="3564B0B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在本合同履行期内，监理人应在现场保留工作所用的图纸、报告及记录监理工</w:t>
      </w:r>
      <w:r>
        <w:rPr>
          <w:rFonts w:hint="eastAsia" w:ascii="宋体" w:hAnsi="宋体" w:eastAsia="宋体" w:cs="宋体"/>
          <w:color w:val="auto"/>
          <w:sz w:val="24"/>
          <w:szCs w:val="20"/>
          <w:highlight w:val="none"/>
        </w:rPr>
        <w:t>作的相关文件。工程竣工后，应当按照档案管理规定将监理有关文件归档。</w:t>
      </w:r>
    </w:p>
    <w:p w14:paraId="233076C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2.7 使用委托人的财产</w:t>
      </w:r>
    </w:p>
    <w:p w14:paraId="6F94471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除专用条件另有约定外，委托人提供的房屋、设备属于委托人的财产，监理人应妥善使用和保管，在本合同终止时将这些房屋、设备的清单提交委托人，并按专用条件约定的时间和方式移交。</w:t>
      </w:r>
    </w:p>
    <w:p w14:paraId="37ED355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3．委托人的义务</w:t>
      </w:r>
    </w:p>
    <w:p w14:paraId="2E08C5E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3.1 告知</w:t>
      </w:r>
    </w:p>
    <w:p w14:paraId="5FC8643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委托人应在委托人与承包人签订的合同中明确监理人、总监理工程师和授予项目监理机构的权限。如有变更，应及时通知承包人。</w:t>
      </w:r>
    </w:p>
    <w:p w14:paraId="6191D4D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3.2 提供资料</w:t>
      </w:r>
    </w:p>
    <w:p w14:paraId="4DD5D79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委托人应按照附录2约定，无偿向监理人提供工程有关的资料。</w:t>
      </w:r>
      <w:r>
        <w:rPr>
          <w:rFonts w:hint="eastAsia" w:ascii="宋体" w:hAnsi="宋体" w:eastAsia="宋体" w:cs="宋体"/>
          <w:color w:val="auto"/>
          <w:sz w:val="24"/>
          <w:szCs w:val="20"/>
          <w:highlight w:val="none"/>
        </w:rPr>
        <w:t>在本合同履行过程中，委托人应及时向监理人提供最新的与工程有关的资料。</w:t>
      </w:r>
    </w:p>
    <w:p w14:paraId="14F72E5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3.3 提供工作条件</w:t>
      </w:r>
    </w:p>
    <w:p w14:paraId="658E453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委托人应为监理人完成监理与相关服务提供必要的条件。</w:t>
      </w:r>
    </w:p>
    <w:p w14:paraId="40759D1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 xml:space="preserve">3.3.1 </w:t>
      </w:r>
      <w:r>
        <w:rPr>
          <w:rFonts w:hint="eastAsia" w:ascii="宋体" w:hAnsi="宋体" w:eastAsia="宋体" w:cs="宋体"/>
          <w:color w:val="auto"/>
          <w:sz w:val="24"/>
          <w:szCs w:val="20"/>
          <w:highlight w:val="none"/>
        </w:rPr>
        <w:t>委托人应按照附录2约定，派遣相应的人员。</w:t>
      </w:r>
    </w:p>
    <w:p w14:paraId="3DD163F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 xml:space="preserve">3.3.2 </w:t>
      </w:r>
      <w:r>
        <w:rPr>
          <w:rFonts w:hint="eastAsia" w:ascii="宋体" w:hAnsi="宋体" w:eastAsia="宋体" w:cs="宋体"/>
          <w:color w:val="auto"/>
          <w:sz w:val="24"/>
          <w:szCs w:val="20"/>
          <w:highlight w:val="none"/>
        </w:rPr>
        <w:t>委托人应负责协调工程建设中所有外部关系，为监理人履行本合同提供必要的外部条件。</w:t>
      </w:r>
    </w:p>
    <w:p w14:paraId="0507E42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 委托人代表</w:t>
      </w:r>
    </w:p>
    <w:p w14:paraId="55EBDA2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委托人应授权一名熟悉工程情况的代表，负责与监理人联系。委托人应在双方签订本合同后</w:t>
      </w:r>
      <w:r>
        <w:rPr>
          <w:rFonts w:hint="eastAsia" w:ascii="宋体" w:hAnsi="宋体" w:eastAsia="宋体" w:cs="宋体"/>
          <w:color w:val="auto"/>
          <w:sz w:val="24"/>
          <w:szCs w:val="20"/>
          <w:highlight w:val="none"/>
          <w:u w:val="single"/>
        </w:rPr>
        <w:t>7</w:t>
      </w:r>
      <w:r>
        <w:rPr>
          <w:rFonts w:hint="eastAsia" w:ascii="宋体" w:hAnsi="宋体" w:eastAsia="宋体" w:cs="宋体"/>
          <w:color w:val="auto"/>
          <w:sz w:val="24"/>
          <w:szCs w:val="20"/>
          <w:highlight w:val="none"/>
        </w:rPr>
        <w:t>天内，将委托人代表的姓名和职责书面告知监理人。当委托人更换委托人代表时，应提前</w:t>
      </w:r>
      <w:r>
        <w:rPr>
          <w:rFonts w:hint="eastAsia" w:ascii="宋体" w:hAnsi="宋体" w:eastAsia="宋体" w:cs="宋体"/>
          <w:color w:val="auto"/>
          <w:sz w:val="24"/>
          <w:szCs w:val="20"/>
          <w:highlight w:val="none"/>
          <w:u w:val="single"/>
        </w:rPr>
        <w:t>7</w:t>
      </w:r>
      <w:r>
        <w:rPr>
          <w:rFonts w:hint="eastAsia" w:ascii="宋体" w:hAnsi="宋体" w:eastAsia="宋体" w:cs="宋体"/>
          <w:color w:val="auto"/>
          <w:sz w:val="24"/>
          <w:szCs w:val="20"/>
          <w:highlight w:val="none"/>
        </w:rPr>
        <w:t>天通知监理人。</w:t>
      </w:r>
    </w:p>
    <w:p w14:paraId="7190B21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3.5 委托人意见或要求</w:t>
      </w:r>
    </w:p>
    <w:p w14:paraId="523CB74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在本合同约定的监理与相关服务工作范围内，委托人对承包人的任何意见或要求应通知监理人，由监理人向承包人发出相应指令。</w:t>
      </w:r>
    </w:p>
    <w:p w14:paraId="3014367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3.6 答复</w:t>
      </w:r>
    </w:p>
    <w:p w14:paraId="5559ACE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委托人应在专用条件约定的时间内，对监理人以书面形式提交并要求作出决定的事宜，给予书面答复。逾期未答复的，视为委托人认可。</w:t>
      </w:r>
    </w:p>
    <w:p w14:paraId="786919C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 向</w:t>
      </w:r>
      <w:r>
        <w:rPr>
          <w:rFonts w:hint="eastAsia" w:ascii="宋体" w:hAnsi="宋体" w:eastAsia="宋体" w:cs="宋体"/>
          <w:color w:val="auto"/>
          <w:kern w:val="0"/>
          <w:sz w:val="24"/>
          <w:szCs w:val="20"/>
          <w:highlight w:val="none"/>
          <w:lang w:val="en-US" w:eastAsia="zh-CN"/>
        </w:rPr>
        <w:t>监理</w:t>
      </w:r>
      <w:r>
        <w:rPr>
          <w:rFonts w:hint="eastAsia" w:ascii="宋体" w:hAnsi="宋体" w:eastAsia="宋体" w:cs="宋体"/>
          <w:color w:val="auto"/>
          <w:kern w:val="0"/>
          <w:sz w:val="24"/>
          <w:szCs w:val="20"/>
          <w:highlight w:val="none"/>
        </w:rPr>
        <w:t>人付款</w:t>
      </w:r>
    </w:p>
    <w:p w14:paraId="2BD949A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委托人应按本合同约定，及时向</w:t>
      </w:r>
      <w:r>
        <w:rPr>
          <w:rFonts w:hint="eastAsia" w:ascii="宋体" w:hAnsi="宋体" w:eastAsia="宋体" w:cs="宋体"/>
          <w:color w:val="auto"/>
          <w:kern w:val="0"/>
          <w:sz w:val="24"/>
          <w:szCs w:val="20"/>
          <w:highlight w:val="none"/>
          <w:lang w:val="en-US" w:eastAsia="zh-CN"/>
        </w:rPr>
        <w:t>监理人</w:t>
      </w:r>
      <w:r>
        <w:rPr>
          <w:rFonts w:hint="eastAsia" w:ascii="宋体" w:hAnsi="宋体" w:eastAsia="宋体" w:cs="宋体"/>
          <w:color w:val="auto"/>
          <w:kern w:val="0"/>
          <w:sz w:val="24"/>
          <w:szCs w:val="20"/>
          <w:highlight w:val="none"/>
        </w:rPr>
        <w:t>付款。</w:t>
      </w:r>
    </w:p>
    <w:p w14:paraId="2AA0423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4. 违约责任</w:t>
      </w:r>
    </w:p>
    <w:p w14:paraId="221116C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 监理人的违约责任</w:t>
      </w:r>
    </w:p>
    <w:p w14:paraId="2587AFB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4.1.1　监理人的违约情形</w:t>
      </w:r>
    </w:p>
    <w:p w14:paraId="60BCBB4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4.1.1.1 监理人明确表示或者以行为表明不履行合同义务，或履行义务不符合约定；</w:t>
      </w:r>
    </w:p>
    <w:p w14:paraId="3EB5429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4.1.1.2 监理人违反合同的约定，将监理与相关服务的任何部分转让或区域；</w:t>
      </w:r>
    </w:p>
    <w:p w14:paraId="4D29056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4.1.1.3 违反合同专用条款约定的其他情形。</w:t>
      </w:r>
    </w:p>
    <w:p w14:paraId="51FF0DD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4.1.2监理人未履行本合同义务的，应承担相应的责任。</w:t>
      </w:r>
    </w:p>
    <w:p w14:paraId="309E849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4.1.2.1监理人违反合同约定，在约定的时间内，未改正的，委托人有权解除合同；</w:t>
      </w:r>
    </w:p>
    <w:p w14:paraId="496EB4B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4.1.2.2 因监理人违反本合同约定</w:t>
      </w:r>
      <w:r>
        <w:rPr>
          <w:rFonts w:hint="eastAsia" w:ascii="宋体" w:hAnsi="宋体" w:eastAsia="宋体" w:cs="宋体"/>
          <w:color w:val="auto"/>
          <w:sz w:val="24"/>
          <w:szCs w:val="20"/>
          <w:highlight w:val="none"/>
        </w:rPr>
        <w:t>给委托人造成损失的，监理人应当赔偿委托人损失</w:t>
      </w:r>
      <w:r>
        <w:rPr>
          <w:rFonts w:hint="eastAsia" w:ascii="宋体" w:hAnsi="宋体" w:eastAsia="宋体" w:cs="宋体"/>
          <w:color w:val="auto"/>
          <w:kern w:val="0"/>
          <w:sz w:val="24"/>
          <w:szCs w:val="20"/>
          <w:highlight w:val="none"/>
        </w:rPr>
        <w:t>。赔偿金额的确定方法在专用条件中约定。监理人承担部分赔偿责任的，其承担赔偿金额由双方协商确定。</w:t>
      </w:r>
    </w:p>
    <w:p w14:paraId="65CB7A5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4.1.2.3监理人向委托人的索赔不成立时，监理人应赔偿委托人由此发生的费用。</w:t>
      </w:r>
    </w:p>
    <w:p w14:paraId="397D236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4.2 委托人的违约责任</w:t>
      </w:r>
    </w:p>
    <w:p w14:paraId="411C724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委托人未履行本合同义务的，应承担相应的责任。</w:t>
      </w:r>
    </w:p>
    <w:p w14:paraId="51795AD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4.2.1 委托人违反本合同约定造成监理人损失的，委托人应予以赔偿。</w:t>
      </w:r>
    </w:p>
    <w:p w14:paraId="2BAFDCE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4.2.2 委托人向监理人的索赔不成立时，应赔偿监理人由此引起的费用。</w:t>
      </w:r>
    </w:p>
    <w:p w14:paraId="55C601A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sz w:val="24"/>
          <w:szCs w:val="20"/>
          <w:highlight w:val="none"/>
        </w:rPr>
        <w:t xml:space="preserve">4.2.3 </w:t>
      </w:r>
      <w:r>
        <w:rPr>
          <w:rFonts w:hint="eastAsia" w:ascii="宋体" w:hAnsi="宋体" w:eastAsia="宋体" w:cs="宋体"/>
          <w:color w:val="auto"/>
          <w:kern w:val="0"/>
          <w:sz w:val="24"/>
          <w:szCs w:val="20"/>
          <w:highlight w:val="none"/>
        </w:rPr>
        <w:t>委托人未能按期支付</w:t>
      </w:r>
      <w:r>
        <w:rPr>
          <w:rFonts w:hint="eastAsia" w:ascii="宋体" w:hAnsi="宋体" w:eastAsia="宋体" w:cs="宋体"/>
          <w:color w:val="auto"/>
          <w:sz w:val="24"/>
          <w:szCs w:val="20"/>
          <w:highlight w:val="none"/>
        </w:rPr>
        <w:t>酬金</w:t>
      </w:r>
      <w:r>
        <w:rPr>
          <w:rFonts w:hint="eastAsia" w:ascii="宋体" w:hAnsi="宋体" w:eastAsia="宋体" w:cs="宋体"/>
          <w:color w:val="auto"/>
          <w:kern w:val="0"/>
          <w:sz w:val="24"/>
          <w:szCs w:val="20"/>
          <w:highlight w:val="none"/>
        </w:rPr>
        <w:t>超过28天，应按专用条件约定支付逾期付款利息。</w:t>
      </w:r>
    </w:p>
    <w:p w14:paraId="1352F81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4.3 除外责任</w:t>
      </w:r>
    </w:p>
    <w:p w14:paraId="68FB228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因非监理人的原因，且监理人无过错，发生工程质量事故、安全事故、工期延误等造成的损失，监理人不承担赔偿责任。</w:t>
      </w:r>
    </w:p>
    <w:p w14:paraId="605A6E7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因不可抗力导致本合同全部或部分不能履行时，双方各自承担其因此而造成的损失、损害。</w:t>
      </w:r>
    </w:p>
    <w:p w14:paraId="19A97D3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5. 支付</w:t>
      </w:r>
    </w:p>
    <w:p w14:paraId="2A18856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5.1 </w:t>
      </w:r>
      <w:r>
        <w:rPr>
          <w:rFonts w:hint="eastAsia" w:ascii="宋体" w:hAnsi="宋体" w:eastAsia="宋体" w:cs="宋体"/>
          <w:bCs/>
          <w:color w:val="auto"/>
          <w:sz w:val="24"/>
          <w:szCs w:val="20"/>
          <w:highlight w:val="none"/>
        </w:rPr>
        <w:t>支付货币</w:t>
      </w:r>
    </w:p>
    <w:p w14:paraId="2309CF4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除专用条件另有约定外，酬金均以人民币支付。涉及外币支付的，所采用的货币种类、比例和汇率在专用条件中约定。</w:t>
      </w:r>
    </w:p>
    <w:p w14:paraId="09E71C7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5.2 支付申请</w:t>
      </w:r>
    </w:p>
    <w:p w14:paraId="0F98B75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除专用条件另有约定外，监理人应在本合同约定的每次应付款时间的14天前，向委托人提交支付申请书。支付申请书应当说明当期应付款总额，并列出当期应支付的款项及其金额。委托人每次付款前，监理人还应提供抬头为</w:t>
      </w:r>
      <w:r>
        <w:rPr>
          <w:rFonts w:hint="eastAsia" w:ascii="宋体" w:hAnsi="宋体" w:eastAsia="宋体" w:cs="宋体"/>
          <w:color w:val="auto"/>
          <w:sz w:val="24"/>
          <w:szCs w:val="20"/>
          <w:highlight w:val="none"/>
          <w:lang w:val="en-US" w:eastAsia="zh-CN"/>
        </w:rPr>
        <w:t>委托</w:t>
      </w:r>
      <w:r>
        <w:rPr>
          <w:rFonts w:hint="eastAsia" w:ascii="宋体" w:hAnsi="宋体" w:eastAsia="宋体" w:cs="宋体"/>
          <w:color w:val="auto"/>
          <w:sz w:val="24"/>
          <w:szCs w:val="20"/>
          <w:highlight w:val="none"/>
        </w:rPr>
        <w:t>人的等额有效的增值税专用发票</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监理人未如约开具发票的，委托人有权不向</w:t>
      </w:r>
      <w:r>
        <w:rPr>
          <w:rFonts w:hint="eastAsia" w:ascii="宋体" w:hAnsi="宋体" w:eastAsia="宋体" w:cs="宋体"/>
          <w:color w:val="auto"/>
          <w:sz w:val="24"/>
          <w:szCs w:val="20"/>
          <w:highlight w:val="none"/>
          <w:lang w:val="en-US" w:eastAsia="zh-CN"/>
        </w:rPr>
        <w:t>监理</w:t>
      </w:r>
      <w:r>
        <w:rPr>
          <w:rFonts w:hint="eastAsia" w:ascii="宋体" w:hAnsi="宋体" w:eastAsia="宋体" w:cs="宋体"/>
          <w:color w:val="auto"/>
          <w:sz w:val="24"/>
          <w:szCs w:val="20"/>
          <w:highlight w:val="none"/>
        </w:rPr>
        <w:t>人</w:t>
      </w:r>
      <w:r>
        <w:rPr>
          <w:rFonts w:hint="eastAsia" w:ascii="宋体" w:hAnsi="宋体" w:eastAsia="宋体" w:cs="宋体"/>
          <w:color w:val="auto"/>
          <w:sz w:val="24"/>
          <w:szCs w:val="20"/>
          <w:highlight w:val="none"/>
          <w:lang w:val="en-US" w:eastAsia="zh-CN"/>
        </w:rPr>
        <w:t>支付</w:t>
      </w:r>
      <w:r>
        <w:rPr>
          <w:rFonts w:hint="eastAsia" w:ascii="宋体" w:hAnsi="宋体" w:eastAsia="宋体" w:cs="宋体"/>
          <w:color w:val="auto"/>
          <w:sz w:val="24"/>
          <w:szCs w:val="20"/>
          <w:highlight w:val="none"/>
        </w:rPr>
        <w:t>款项。由此产生的责任由监理人自行承担，委托人不承担逾期付款的责任。</w:t>
      </w:r>
    </w:p>
    <w:p w14:paraId="18E29C8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5.3 支付酬金</w:t>
      </w:r>
    </w:p>
    <w:p w14:paraId="263AA5A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支付的酬金包括正常工作酬金、附加工作酬金、合理化建议奖励金额及费用。</w:t>
      </w:r>
    </w:p>
    <w:p w14:paraId="0E18B82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 5.4 </w:t>
      </w:r>
      <w:r>
        <w:rPr>
          <w:rFonts w:hint="eastAsia" w:ascii="宋体" w:hAnsi="宋体" w:eastAsia="宋体" w:cs="宋体"/>
          <w:bCs/>
          <w:color w:val="auto"/>
          <w:sz w:val="24"/>
          <w:szCs w:val="20"/>
          <w:highlight w:val="none"/>
        </w:rPr>
        <w:t>有争议部分的付款</w:t>
      </w:r>
    </w:p>
    <w:p w14:paraId="54D630C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委托人对监理人提交的支付申请书有异议时，应当在收到监理人提交的支付申请书后14天内，以书面形式向监理人发出异议通知。无异议部分的款项应按期支付，有异议部分的款项按第7条约定办理。</w:t>
      </w:r>
    </w:p>
    <w:p w14:paraId="4DCCC3E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6. 合同生效、变更、暂停、解除与终止</w:t>
      </w:r>
    </w:p>
    <w:p w14:paraId="4B36542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6.1生效</w:t>
      </w:r>
    </w:p>
    <w:p w14:paraId="23C9362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除法律另有规定或者专用条件另有约定外，委托人和监理人的法定代表人或其授权代理人在协议书上签名并盖单位章后本合同生效。</w:t>
      </w:r>
    </w:p>
    <w:p w14:paraId="411954A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6.2</w:t>
      </w:r>
      <w:r>
        <w:rPr>
          <w:rFonts w:hint="eastAsia" w:ascii="宋体" w:hAnsi="宋体" w:eastAsia="宋体" w:cs="宋体"/>
          <w:bCs/>
          <w:color w:val="auto"/>
          <w:sz w:val="24"/>
          <w:szCs w:val="20"/>
          <w:highlight w:val="none"/>
        </w:rPr>
        <w:t>变更</w:t>
      </w:r>
    </w:p>
    <w:p w14:paraId="0BC51F6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6.2.1 任何一方提出变更请求时，双方经协商一致后可进行变更。</w:t>
      </w:r>
    </w:p>
    <w:p w14:paraId="6EA840A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8C47B4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hint="eastAsia" w:ascii="宋体" w:hAnsi="宋体" w:eastAsia="宋体" w:cs="宋体"/>
          <w:color w:val="auto"/>
          <w:sz w:val="24"/>
          <w:szCs w:val="20"/>
          <w:highlight w:val="none"/>
          <w:u w:val="single"/>
        </w:rPr>
        <w:t>28</w:t>
      </w:r>
      <w:r>
        <w:rPr>
          <w:rFonts w:hint="eastAsia" w:ascii="宋体" w:hAnsi="宋体" w:eastAsia="宋体" w:cs="宋体"/>
          <w:color w:val="auto"/>
          <w:sz w:val="24"/>
          <w:szCs w:val="20"/>
          <w:highlight w:val="none"/>
        </w:rPr>
        <w:t>天。</w:t>
      </w:r>
    </w:p>
    <w:p w14:paraId="587FB77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6.2.4合同签订后，遇有与工程相关的法律法规、标准颁布或修订的，双方应遵照执行。由此引起监理与相关服务的范围、时间、酬金变化的，双方应通过协商进行相应调整。</w:t>
      </w:r>
    </w:p>
    <w:p w14:paraId="18D9B97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6.2.5 因非监理人原因造成工程概算投资额或建筑安装工程费增加时，正常工作酬金应作相应调整。调整方法在专用条件中约定。</w:t>
      </w:r>
    </w:p>
    <w:p w14:paraId="0719A1D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6.2.6 因工程规模、监理范围的变化导致监理人的正常工作量减少时，正常工作酬金应作相应调整。调整方法在专用条件中约定。</w:t>
      </w:r>
    </w:p>
    <w:p w14:paraId="2366F79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6.3 暂停与</w:t>
      </w:r>
      <w:r>
        <w:rPr>
          <w:rFonts w:hint="eastAsia" w:ascii="宋体" w:hAnsi="宋体" w:eastAsia="宋体" w:cs="宋体"/>
          <w:bCs/>
          <w:color w:val="auto"/>
          <w:sz w:val="24"/>
          <w:szCs w:val="20"/>
          <w:highlight w:val="none"/>
        </w:rPr>
        <w:t>解除</w:t>
      </w:r>
    </w:p>
    <w:p w14:paraId="3CB9424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除双方协商一致可以解除本合同外，当一方无正当理由未履行本合同约定的义务时，另一方可以根据本合同约定暂停履行本合同直至解除本合同。</w:t>
      </w:r>
    </w:p>
    <w:p w14:paraId="02E9066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51ED97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因解除本合同或解除监理人的部分义务导致监理人遭受的损失，除依法可以免除责任的情况外，应由委托人予以补偿，补偿金额由双方协商确定。</w:t>
      </w:r>
    </w:p>
    <w:p w14:paraId="556A945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解除本合同的协议必须采取书面形式，协议未达成之前，本合同仍然有效。</w:t>
      </w:r>
    </w:p>
    <w:p w14:paraId="4182A4E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AD404A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4"/>
          <w:szCs w:val="20"/>
          <w:highlight w:val="none"/>
        </w:rPr>
        <w:t>的</w:t>
      </w:r>
      <w:r>
        <w:rPr>
          <w:rFonts w:hint="eastAsia" w:ascii="宋体" w:hAnsi="宋体" w:eastAsia="宋体" w:cs="宋体"/>
          <w:color w:val="auto"/>
          <w:sz w:val="24"/>
          <w:szCs w:val="20"/>
          <w:highlight w:val="none"/>
        </w:rPr>
        <w:t>酬金支付至本合同解除日，且应承担第4.2款约定的责任。</w:t>
      </w:r>
    </w:p>
    <w:p w14:paraId="39F55EE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4"/>
          <w:szCs w:val="20"/>
          <w:highlight w:val="none"/>
        </w:rPr>
        <w:t>的</w:t>
      </w:r>
      <w:r>
        <w:rPr>
          <w:rFonts w:hint="eastAsia" w:ascii="宋体" w:hAnsi="宋体" w:eastAsia="宋体" w:cs="宋体"/>
          <w:color w:val="auto"/>
          <w:sz w:val="24"/>
          <w:szCs w:val="20"/>
          <w:highlight w:val="none"/>
        </w:rPr>
        <w:t>酬金支付至</w:t>
      </w:r>
      <w:r>
        <w:rPr>
          <w:rFonts w:hint="eastAsia" w:ascii="宋体" w:hAnsi="宋体" w:eastAsia="宋体" w:cs="宋体"/>
          <w:color w:val="auto"/>
          <w:kern w:val="0"/>
          <w:sz w:val="24"/>
          <w:szCs w:val="20"/>
          <w:highlight w:val="none"/>
        </w:rPr>
        <w:t>限期改正通知到达监理人之日</w:t>
      </w:r>
      <w:r>
        <w:rPr>
          <w:rFonts w:hint="eastAsia" w:ascii="宋体" w:hAnsi="宋体" w:eastAsia="宋体" w:cs="宋体"/>
          <w:color w:val="auto"/>
          <w:sz w:val="24"/>
          <w:szCs w:val="20"/>
          <w:highlight w:val="none"/>
        </w:rPr>
        <w:t>，但监理人应承担第4.1款约定的责任。</w:t>
      </w:r>
    </w:p>
    <w:p w14:paraId="0D089B6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FF90BF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sz w:val="24"/>
          <w:szCs w:val="20"/>
          <w:highlight w:val="none"/>
        </w:rPr>
        <w:t>6.3.5 因不可抗力致使本合同部分或全部不能履行时，一方应立即通知另一方，可暂停或解除本合同。</w:t>
      </w:r>
    </w:p>
    <w:p w14:paraId="3540818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6.3.6 本合同解除后，本合同约定的有关结算、清理、争议解决方式的条件仍然有效。</w:t>
      </w:r>
    </w:p>
    <w:p w14:paraId="41354C5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6.4 </w:t>
      </w:r>
      <w:r>
        <w:rPr>
          <w:rFonts w:hint="eastAsia" w:ascii="宋体" w:hAnsi="宋体" w:eastAsia="宋体" w:cs="宋体"/>
          <w:bCs/>
          <w:color w:val="auto"/>
          <w:sz w:val="24"/>
          <w:szCs w:val="20"/>
          <w:highlight w:val="none"/>
        </w:rPr>
        <w:t>终止</w:t>
      </w:r>
    </w:p>
    <w:p w14:paraId="3DBB12B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6.4.1以下条件全部满足时，本合同即告终止：</w:t>
      </w:r>
    </w:p>
    <w:p w14:paraId="115E804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（1）监理人完成本合同约定的全部工作；</w:t>
      </w:r>
    </w:p>
    <w:p w14:paraId="2F1CB44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（2）委托人与监理人结清并支付全部酬金。</w:t>
      </w:r>
    </w:p>
    <w:p w14:paraId="6695FC1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6.4.2合同权利义务终止后，合同约定的有关结算、清理、争议解决方式的条款仍然有效。</w:t>
      </w:r>
    </w:p>
    <w:p w14:paraId="4284C7D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7. 争议解决</w:t>
      </w:r>
    </w:p>
    <w:p w14:paraId="5D46775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7.1</w:t>
      </w:r>
      <w:r>
        <w:rPr>
          <w:rFonts w:hint="eastAsia" w:ascii="宋体" w:hAnsi="宋体" w:eastAsia="宋体" w:cs="宋体"/>
          <w:bCs/>
          <w:color w:val="auto"/>
          <w:sz w:val="24"/>
          <w:szCs w:val="20"/>
          <w:highlight w:val="none"/>
        </w:rPr>
        <w:t>协商</w:t>
      </w:r>
    </w:p>
    <w:p w14:paraId="448C7BF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双方应本着诚信原则协商解决彼此间的争议。</w:t>
      </w:r>
    </w:p>
    <w:p w14:paraId="238F514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7.2</w:t>
      </w:r>
      <w:r>
        <w:rPr>
          <w:rFonts w:hint="eastAsia" w:ascii="宋体" w:hAnsi="宋体" w:eastAsia="宋体" w:cs="宋体"/>
          <w:bCs/>
          <w:color w:val="auto"/>
          <w:sz w:val="24"/>
          <w:szCs w:val="20"/>
          <w:highlight w:val="none"/>
        </w:rPr>
        <w:t>调解</w:t>
      </w:r>
    </w:p>
    <w:p w14:paraId="52CBD04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如果双方不能在14天内或双方商定的其他时间内解决本合同争议，可以将其提交给专用条件约定的或事后达成协议的调解人进行调解。</w:t>
      </w:r>
    </w:p>
    <w:p w14:paraId="50DD000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7.3</w:t>
      </w:r>
      <w:r>
        <w:rPr>
          <w:rFonts w:hint="eastAsia" w:ascii="宋体" w:hAnsi="宋体" w:eastAsia="宋体" w:cs="宋体"/>
          <w:bCs/>
          <w:color w:val="auto"/>
          <w:sz w:val="24"/>
          <w:szCs w:val="20"/>
          <w:highlight w:val="none"/>
        </w:rPr>
        <w:t>仲裁或诉讼</w:t>
      </w:r>
    </w:p>
    <w:p w14:paraId="2FE24A2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双方均有权不经调解直接向专用条件约定的仲裁机构申请仲裁或向项目工程所在地有管辖权的人民法院提起诉讼。</w:t>
      </w:r>
    </w:p>
    <w:p w14:paraId="594A9C6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8. 其他</w:t>
      </w:r>
    </w:p>
    <w:p w14:paraId="1A02B18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8.1 </w:t>
      </w:r>
      <w:r>
        <w:rPr>
          <w:rFonts w:hint="eastAsia" w:ascii="宋体" w:hAnsi="宋体" w:eastAsia="宋体" w:cs="宋体"/>
          <w:bCs/>
          <w:color w:val="auto"/>
          <w:sz w:val="24"/>
          <w:szCs w:val="20"/>
          <w:highlight w:val="none"/>
        </w:rPr>
        <w:t>外出考察费用</w:t>
      </w:r>
    </w:p>
    <w:p w14:paraId="0B8C0CF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经委托人同意，监理人员外出考察发生的费用由委托人审核后支付。</w:t>
      </w:r>
    </w:p>
    <w:p w14:paraId="4B7A520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8.2 </w:t>
      </w:r>
      <w:r>
        <w:rPr>
          <w:rFonts w:hint="eastAsia" w:ascii="宋体" w:hAnsi="宋体" w:eastAsia="宋体" w:cs="宋体"/>
          <w:bCs/>
          <w:color w:val="auto"/>
          <w:sz w:val="24"/>
          <w:szCs w:val="20"/>
          <w:highlight w:val="none"/>
        </w:rPr>
        <w:t>检测费用</w:t>
      </w:r>
    </w:p>
    <w:p w14:paraId="51E3238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委托人要求监理人进行的材料和设备检测所发生的费用，由委托人支付，支付时间在专用条件中约定。</w:t>
      </w:r>
    </w:p>
    <w:p w14:paraId="1A97925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8.3 </w:t>
      </w:r>
      <w:r>
        <w:rPr>
          <w:rFonts w:hint="eastAsia" w:ascii="宋体" w:hAnsi="宋体" w:eastAsia="宋体" w:cs="宋体"/>
          <w:bCs/>
          <w:color w:val="auto"/>
          <w:sz w:val="24"/>
          <w:szCs w:val="20"/>
          <w:highlight w:val="none"/>
        </w:rPr>
        <w:t>咨询费用</w:t>
      </w:r>
    </w:p>
    <w:p w14:paraId="7C15E33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经委托人同意，根据工程需要由监理人组织的相关咨询论证会以及聘请相关专家等发生的费用由委托人支付，支付时间在专用条件中约定。</w:t>
      </w:r>
    </w:p>
    <w:p w14:paraId="77E5108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8.4 </w:t>
      </w:r>
      <w:r>
        <w:rPr>
          <w:rFonts w:hint="eastAsia" w:ascii="宋体" w:hAnsi="宋体" w:eastAsia="宋体" w:cs="宋体"/>
          <w:bCs/>
          <w:color w:val="auto"/>
          <w:sz w:val="24"/>
          <w:szCs w:val="20"/>
          <w:highlight w:val="none"/>
        </w:rPr>
        <w:t>奖励</w:t>
      </w:r>
    </w:p>
    <w:p w14:paraId="361A131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8EDB25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8.5 </w:t>
      </w:r>
      <w:r>
        <w:rPr>
          <w:rFonts w:hint="eastAsia" w:ascii="宋体" w:hAnsi="宋体" w:eastAsia="宋体" w:cs="宋体"/>
          <w:bCs/>
          <w:color w:val="auto"/>
          <w:sz w:val="24"/>
          <w:szCs w:val="20"/>
          <w:highlight w:val="none"/>
        </w:rPr>
        <w:t>守法诚信</w:t>
      </w:r>
    </w:p>
    <w:p w14:paraId="7441EF0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监理人及其工作人员不得从与实施工程有关的第三方处获得任何经济利益。</w:t>
      </w:r>
    </w:p>
    <w:p w14:paraId="0C3C021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8.6 </w:t>
      </w:r>
      <w:r>
        <w:rPr>
          <w:rFonts w:hint="eastAsia" w:ascii="宋体" w:hAnsi="宋体" w:eastAsia="宋体" w:cs="宋体"/>
          <w:bCs/>
          <w:color w:val="auto"/>
          <w:sz w:val="24"/>
          <w:szCs w:val="20"/>
          <w:highlight w:val="none"/>
        </w:rPr>
        <w:t>保密</w:t>
      </w:r>
    </w:p>
    <w:p w14:paraId="0138B3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双方不得泄露对方申明的保密资料，亦不得泄露与实施工程有关的第三方所提供的保密资料，保密事项在专用条件中约定。</w:t>
      </w:r>
    </w:p>
    <w:p w14:paraId="67889E7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8.7 </w:t>
      </w:r>
      <w:r>
        <w:rPr>
          <w:rFonts w:hint="eastAsia" w:ascii="宋体" w:hAnsi="宋体" w:eastAsia="宋体" w:cs="宋体"/>
          <w:bCs/>
          <w:color w:val="auto"/>
          <w:sz w:val="24"/>
          <w:szCs w:val="20"/>
          <w:highlight w:val="none"/>
        </w:rPr>
        <w:t>通知</w:t>
      </w:r>
    </w:p>
    <w:p w14:paraId="12C5B1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本合同涉及的通知均应当采用书面形式，并在送达对方时生效，收件人应书面签收。专用条款另有约定，按照约定执行。</w:t>
      </w:r>
    </w:p>
    <w:p w14:paraId="3D24886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color w:val="auto"/>
          <w:sz w:val="24"/>
          <w:szCs w:val="20"/>
          <w:highlight w:val="none"/>
        </w:rPr>
        <w:t xml:space="preserve">8.8 </w:t>
      </w:r>
      <w:r>
        <w:rPr>
          <w:rFonts w:hint="eastAsia" w:ascii="宋体" w:hAnsi="宋体" w:eastAsia="宋体" w:cs="宋体"/>
          <w:bCs/>
          <w:color w:val="auto"/>
          <w:sz w:val="24"/>
          <w:szCs w:val="20"/>
          <w:highlight w:val="none"/>
        </w:rPr>
        <w:t>著作权</w:t>
      </w:r>
    </w:p>
    <w:p w14:paraId="40ACF40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监理人因履行本合同形成的知识产权成果归委托人所有，未经委托人同意，监理人不得复制泄露或向第三人转让或用于本合同外的项目，如发生以上情况，监理人承担给委托人造成一切损失。因履行本合同产生的知识成果侵害第三方权益时，责任由监理人承担，同时视为监理人违约。</w:t>
      </w:r>
    </w:p>
    <w:p w14:paraId="608F25F4">
      <w:pPr>
        <w:rPr>
          <w:rFonts w:hint="eastAsia" w:ascii="宋体" w:hAnsi="宋体" w:eastAsia="宋体" w:cs="宋体"/>
          <w:color w:val="auto"/>
          <w:sz w:val="32"/>
          <w:szCs w:val="32"/>
          <w:highlight w:val="none"/>
        </w:rPr>
      </w:pPr>
    </w:p>
    <w:p w14:paraId="04AAB090">
      <w:pPr>
        <w:keepNext w:val="0"/>
        <w:keepLines w:val="0"/>
        <w:pageBreakBefore w:val="0"/>
        <w:kinsoku/>
        <w:wordWrap/>
        <w:overflowPunct w:val="0"/>
        <w:topLinePunct w:val="0"/>
        <w:autoSpaceDE w:val="0"/>
        <w:autoSpaceDN w:val="0"/>
        <w:bidi w:val="0"/>
        <w:adjustRightInd w:val="0"/>
        <w:snapToGrid w:val="0"/>
        <w:spacing w:line="440" w:lineRule="exact"/>
        <w:ind w:firstLine="643" w:firstLineChars="200"/>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专用条件</w:t>
      </w:r>
    </w:p>
    <w:p w14:paraId="046385A6">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jc w:val="center"/>
        <w:rPr>
          <w:rFonts w:hint="eastAsia" w:ascii="宋体" w:hAnsi="宋体" w:eastAsia="宋体" w:cs="宋体"/>
          <w:b/>
          <w:color w:val="auto"/>
          <w:sz w:val="24"/>
          <w:highlight w:val="none"/>
        </w:rPr>
      </w:pPr>
    </w:p>
    <w:p w14:paraId="6AF4C972">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定义与解释</w:t>
      </w:r>
    </w:p>
    <w:p w14:paraId="0FC3F88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定义</w:t>
      </w:r>
    </w:p>
    <w:p w14:paraId="5324760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1.1.19“承包人”是指除监理人以外，委托人就工程建设有关事宜签订合同的当事人。</w:t>
      </w:r>
    </w:p>
    <w:p w14:paraId="37E1236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解释</w:t>
      </w:r>
    </w:p>
    <w:p w14:paraId="5D93DCB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FC066A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约定本合同文件的解释顺序为：</w:t>
      </w:r>
      <w:r>
        <w:rPr>
          <w:rFonts w:hint="eastAsia" w:ascii="宋体" w:hAnsi="宋体" w:eastAsia="宋体" w:cs="宋体"/>
          <w:color w:val="auto"/>
          <w:sz w:val="24"/>
          <w:szCs w:val="24"/>
          <w:highlight w:val="none"/>
          <w:u w:val="single"/>
        </w:rPr>
        <w:t xml:space="preserve">  按“通用条件”执行  </w:t>
      </w:r>
      <w:r>
        <w:rPr>
          <w:rFonts w:hint="eastAsia" w:ascii="宋体" w:hAnsi="宋体" w:eastAsia="宋体" w:cs="宋体"/>
          <w:color w:val="auto"/>
          <w:sz w:val="24"/>
          <w:szCs w:val="24"/>
          <w:highlight w:val="none"/>
        </w:rPr>
        <w:t>。</w:t>
      </w:r>
    </w:p>
    <w:p w14:paraId="7E7C04CB">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监理人义务</w:t>
      </w:r>
    </w:p>
    <w:p w14:paraId="0CA396E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监理的范围和</w:t>
      </w:r>
      <w:r>
        <w:rPr>
          <w:rFonts w:hint="eastAsia" w:ascii="宋体" w:hAnsi="宋体" w:eastAsia="宋体" w:cs="宋体"/>
          <w:bCs/>
          <w:color w:val="auto"/>
          <w:sz w:val="24"/>
          <w:szCs w:val="24"/>
          <w:highlight w:val="none"/>
        </w:rPr>
        <w:t>内容</w:t>
      </w:r>
    </w:p>
    <w:p w14:paraId="32418A0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2.1.1 监理范围包括：</w:t>
      </w:r>
      <w:r>
        <w:rPr>
          <w:rFonts w:hint="eastAsia" w:ascii="宋体" w:hAnsi="宋体" w:eastAsia="宋体" w:cs="宋体"/>
          <w:snapToGrid w:val="0"/>
          <w:color w:val="auto"/>
          <w:kern w:val="0"/>
          <w:sz w:val="24"/>
          <w:szCs w:val="24"/>
          <w:highlight w:val="none"/>
        </w:rPr>
        <w:t>包含施工、缺陷责任期内表现出的任何缺陷修复的监理服务。具体如下：</w:t>
      </w:r>
    </w:p>
    <w:p w14:paraId="3A9C8F3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施工阶段：含施工图设计及清单范围内全部工程施工及竣工验收的监理服务，包括施工准备阶段，施工过程中的质量，进度，费用控制，安全、文明施工监理，合同、信息方面的协调管理等。</w:t>
      </w:r>
    </w:p>
    <w:p w14:paraId="5422A7E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缺陷责任期阶段：检查和记录工程质量缺陷，对缺陷原因进行调查分析并确定责任归属，审核修复方案，监督修复过程并验收，审核修复费用等保修阶段的监理服务。</w:t>
      </w:r>
    </w:p>
    <w:p w14:paraId="5FE9E58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监理工作内容还包括但不限于：</w:t>
      </w:r>
    </w:p>
    <w:p w14:paraId="19515E7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“通用条件”所包含的内容。</w:t>
      </w:r>
    </w:p>
    <w:p w14:paraId="7C0B011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（2）综合管理</w:t>
      </w:r>
    </w:p>
    <w:p w14:paraId="5BBA18C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受委托人委托全面监理承包合同履约，审查承包人相关工作内容。</w:t>
      </w:r>
    </w:p>
    <w:p w14:paraId="37BDAAD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督促委托人按承包合同的规定，落实必须提供的施工条件。检查承包人的开工准备工作，并在检查与审查合格后签发各单项工程的开工令。</w:t>
      </w:r>
    </w:p>
    <w:p w14:paraId="501C5B7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审批承包人提交的采购计划、施工或安装工程组织设计、施工和设备安装工程进度计划、施工和设备安装工程技术措施计划、作业规程、试验成果、临建工程设计、主体工程施工详图、使用的原材料及试验成果等。 签发补充的设计文件、技术规范等。</w:t>
      </w:r>
    </w:p>
    <w:p w14:paraId="0D7F586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核查施工和设备安装工程承包人进场施工设备的数量、种类、规格型号、设备状况是否与合同文件一致，是否能满足机电安装需要；核查劳动力进场情况及物资材料进场情况；对施工和设备安装工程承包人的组织状况、派驻现场的主要管理人员的资质和管理能力等作出评价。对上述各项中不符合施工和设备安装合同要求、不能满足施工要求者，应及时与承包人协调，要求施工和设备安装承包人采取措施限期解决，并报告委托人。</w:t>
      </w:r>
    </w:p>
    <w:p w14:paraId="3D07B52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（3）工程进度控制</w:t>
      </w:r>
    </w:p>
    <w:p w14:paraId="653297D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进度控制主要应从设计、采购、施工和设备安装调试进度计划的编制、各控制性目标的确定、进度计划实施的检查监督与协调、进度的统计分析与进度计划的调整等几方面进行。</w:t>
      </w:r>
    </w:p>
    <w:p w14:paraId="3009780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包括(但不限于)：协助委托单位对承包人编制的设计、采购、施工和设备安装调试进度计划进行审查；编制本项目的设计、采购、施工和设备安装调试控制性进度计划；对比控制性进度计划，查找实际工作进度的偏差，并责成承包人及区域人提出纠偏措施。</w:t>
      </w:r>
    </w:p>
    <w:p w14:paraId="12B43C1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（4）工程质量控制</w:t>
      </w:r>
    </w:p>
    <w:p w14:paraId="017435E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控制应依据合同文件、设计文件、技术规范与质量检验标准进行，以单元工程和工序过程为基础，通过巡视、检查、旁站、试验和验收等有效的措施和手段，对工程质量实行全面全过程质量监督和控制。内容包括(但不限于)：</w:t>
      </w:r>
    </w:p>
    <w:p w14:paraId="45F5BAD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对监理项目的构成进行划分(单元工程、分部分项工程、单位工程等)，并按项目建设程序明确质量控制工作流程，分析和确定质量控制重点及其应采取的监理措施，制订质量控制的各项实施细则、规定及其它管理制度。</w:t>
      </w:r>
    </w:p>
    <w:p w14:paraId="257ECDD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核实并签发采购、施工和设备安装调试必须遵循的设计要求、采用的技术标准、技术规程规范等质量文件；审核签发设备和工程施工图纸。</w:t>
      </w:r>
    </w:p>
    <w:p w14:paraId="61E423B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审查承包人、供货商、施工和设备安装工程区域人的质量管理体系文件和质量措施，督促其质量管理体系的正常运作。</w:t>
      </w:r>
    </w:p>
    <w:p w14:paraId="3811265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审查工程承包人提交的测量实施报告，其内容应包括测量人员资质、测量仪器及其它设备配备、测量工作规程、合同项目施测方案、测点保护等；审查工程总承包人引伸的测量控制网点测量成果及关键部位施工测量放样放点成果，并进行必要的复测。</w:t>
      </w:r>
    </w:p>
    <w:p w14:paraId="70C323A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审查进场设备、材料的质量证明文件及相关分承包人按有关规定进行的试验检测结果。不符合合同要求及国家有关规定的设备、材料及其半成品不得投入施工和安装，且应限期清理出场。</w:t>
      </w:r>
    </w:p>
    <w:p w14:paraId="46A7F2B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检查施工和设备安装前的其它各项准备工作是否完备(如图纸供应、水电供应、道路、场地、施工组织、施工设备以及其它环境影响因素)，尽力避免可能影响工程质量的问题发生。</w:t>
      </w:r>
    </w:p>
    <w:p w14:paraId="53FD357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对施工和安装质量进行全过程全面的监督管理，在加强现场管理工作的前提下对关键部位、关键施工工序、特殊工序、关键设备和隐蔽工程的施工必须实行旁站监理，对发现的可能影响工程质量的问题及时指令承包人采取措施解决，必要时发出停工、返工的指令。</w:t>
      </w:r>
    </w:p>
    <w:p w14:paraId="3E77357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充分运用监理的质量检查签证的控制手段，对施工和设备安装项目及时进行逐层次的逐项的施工、安装质量认证和质量评定工作。及时组织进行隐蔽工程、重要部位、重要工序的质量检查验收和签证工作以及部分工程的检查验收工作。</w:t>
      </w:r>
    </w:p>
    <w:p w14:paraId="56C84B8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9）监理人依据相关规范对施工承包人施工过程的材料、成品、半成品、工艺、工序等进行的抽样检查试验。</w:t>
      </w:r>
    </w:p>
    <w:p w14:paraId="1AC34E4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做好监理日志，随时记录施工中有关质量方面的问题，并对发生质量问题的施工现场及时拍照或录相。对关键部位、关键施工工序、特殊工序、关键设备和隐蔽工程检查、验收时，应进行拍照和录像，其影像资料随监理日志按月报于委托单位。</w:t>
      </w:r>
    </w:p>
    <w:p w14:paraId="624B2DE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组织并主持定期或不定期的质量检查和质量分析会，分析、通报施工和设备制安质量情况，协调有关单位间的施工活动以消除影响质量的各种外部干扰因素。</w:t>
      </w:r>
    </w:p>
    <w:p w14:paraId="6C5267D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代表或协助委托人组织进行中间验收、分部分项工程验收，监理人应做好验收前的各项具体准备工作。</w:t>
      </w:r>
    </w:p>
    <w:p w14:paraId="166D0E3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审查工程承包人提交的质量事故报告；对质量事故进行调查、提出处理意见，并监督事故的处理。</w:t>
      </w:r>
    </w:p>
    <w:p w14:paraId="63130ED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对工程质量进行经常性的分析，并定期提出工程质量报告和按规定格式编制工程质量统计报表(年、季、月)报委托人。</w:t>
      </w:r>
    </w:p>
    <w:p w14:paraId="1AC7B1C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（5）工程造价控制</w:t>
      </w:r>
    </w:p>
    <w:p w14:paraId="47A381C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对承包合同费用、工程造价进行有效的控制。内容包括(但不限于)：</w:t>
      </w:r>
    </w:p>
    <w:p w14:paraId="1490B9C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协助委托人监督、审核承包人编制的投资控制目标和分年度投资计划。编制监理工程项目以及各合同项目的投资控制目标，各年度、季度和月份的合理投资计划。审查承包人提交的资金流计划。</w:t>
      </w:r>
    </w:p>
    <w:p w14:paraId="57B2E45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对工程计量进行审核，实现对工程量总量的控制和阶段性的控制。</w:t>
      </w:r>
    </w:p>
    <w:p w14:paraId="7439602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协助承包人审核各分承包人上报的申请结算工程量及工程费用等，并提供审核意见在支付凭证上签名。</w:t>
      </w:r>
    </w:p>
    <w:p w14:paraId="206CD73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为控制和减少索赔事件的发生，监理人应对合同的履行进行检查监督和经常性分析，及时发现和预测可能引起索赔的条件及事项，并采取措施尽力避免索赔事件的发生；对工程实施情况做好记录以备索赔要求提出后核查；索赔事件发生后应采取有效措施，尽力避免索赔事件的扩大和延伸；受理并公正处理索赔，提出处理意见，组织各方进行协商，做好调解协调工作。</w:t>
      </w:r>
    </w:p>
    <w:p w14:paraId="02573FA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依据委托人授权审核各类工程变更(合同变更及设计修改、设计变更等)，并提出处理意见，报委托人批准后下达变更指令。</w:t>
      </w:r>
    </w:p>
    <w:p w14:paraId="6727329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对采购、施工和设备安装合同费用支付与已完工程量、工程形象进行综合分析，编制每月、季、年的工程量和投资统计报表报委托人。按工程进展情况和资金到位的可能情况，进行经常性的工程费用分析，必要时提出投资计划调整、修改和采取相应措施的处理意见上报委托人。</w:t>
      </w:r>
    </w:p>
    <w:p w14:paraId="1ECE0DF4">
      <w:pPr>
        <w:keepNext w:val="0"/>
        <w:keepLines w:val="0"/>
        <w:pageBreakBefore w:val="0"/>
        <w:kinsoku/>
        <w:wordWrap/>
        <w:overflowPunct w:val="0"/>
        <w:topLinePunct w:val="0"/>
        <w:autoSpaceDE w:val="0"/>
        <w:autoSpaceDN w:val="0"/>
        <w:bidi w:val="0"/>
        <w:adjustRightInd w:val="0"/>
        <w:snapToGrid w:val="0"/>
        <w:spacing w:line="44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参与对承包商申报的各种材料设备结算价格审核,审定材料设备质量与价格相符,并提供审查意见。</w:t>
      </w:r>
    </w:p>
    <w:p w14:paraId="7AED029E">
      <w:pPr>
        <w:keepNext w:val="0"/>
        <w:keepLines w:val="0"/>
        <w:pageBreakBefore w:val="0"/>
        <w:kinsoku/>
        <w:wordWrap/>
        <w:overflowPunct w:val="0"/>
        <w:topLinePunct w:val="0"/>
        <w:autoSpaceDE w:val="0"/>
        <w:autoSpaceDN w:val="0"/>
        <w:bidi w:val="0"/>
        <w:adjustRightInd w:val="0"/>
        <w:snapToGrid w:val="0"/>
        <w:spacing w:line="44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工程安全监督</w:t>
      </w:r>
    </w:p>
    <w:p w14:paraId="12222CF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监理人在安全监督管理工作中必须坚持“安全第一、预防为主”的原则，通过对勘测、采购、施工和设备安装调试中各种不安全因素的分析和预控制，避免安全事故的发生。内容包括(但不限于)： </w:t>
      </w:r>
    </w:p>
    <w:p w14:paraId="7DD8327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监理人必须配备专职有安全监督资质的监理工程师进行工程安全监督工作。</w:t>
      </w:r>
    </w:p>
    <w:p w14:paraId="617D99A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检查督促工程承包人建立健全安全管理制度，督促工程承包人认真执行国家及有关部门颁发的安全生产法规、规定和总承包合同对安全生产的规定。</w:t>
      </w:r>
    </w:p>
    <w:p w14:paraId="6E75760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对施工生产及安全设施进行经常性的检查监督(定期与不定期)，对违反安全生产规定的施工及时指令整改。</w:t>
      </w:r>
    </w:p>
    <w:p w14:paraId="0EE24B0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检查督促工程承包人按照合同规定和国家标准规定做好劳动保护、环境保护及水土保持工作，并将情况定期向委托人提交专题报告。</w:t>
      </w:r>
    </w:p>
    <w:p w14:paraId="4EAD669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定期组织安全生产检查活动和安全生产评比表彰活动。做好监理合同内施工和设备安装的安全生产协调工作，协助委托人做好各施工和设备安装合同间的安全生产协调工作。</w:t>
      </w:r>
    </w:p>
    <w:p w14:paraId="2A2718E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提供事故分析所需的一切资料，参加安全事故的调查分析，审查工程承包人的安全事故报告及安全报表，监督工程承包人对安全事故的处理。</w:t>
      </w:r>
    </w:p>
    <w:p w14:paraId="46BDAD9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定期(每月)向委托人报告安全生产情况，并按规定编制监理工程项目的安全生产统计报表。对重大安全事故的处理必须及时向委托人报告。</w:t>
      </w:r>
    </w:p>
    <w:p w14:paraId="3A8D0BD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组织协调</w:t>
      </w:r>
    </w:p>
    <w:p w14:paraId="7B7CDBE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监理人应通过沟通、调解和与监理工程项目建设直接有关的各方关系，使工程项目建设各方及其建设活动协调一致，以实现承包合同预定的目标。内容包括(但不限于)：</w:t>
      </w:r>
    </w:p>
    <w:p w14:paraId="43CD124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以实现总进度计划和承包合同工期为目标，做好各设计、采购、施工和设备安装调试合同项目间的进度协调。</w:t>
      </w:r>
    </w:p>
    <w:p w14:paraId="3D604AD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以监理工程项目的施工总布置为依据，控制协调好各工程施工、安装合同项目的施工布置，控制协调好各施工和设备安装工程分承包人对施工场地、施工道路的使用。</w:t>
      </w:r>
    </w:p>
    <w:p w14:paraId="4A23899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组织与主持定期与不定期的工地协调会议，编写各有关问题的协调处理意见及各种协调会议的纪要。</w:t>
      </w:r>
    </w:p>
    <w:p w14:paraId="0C552DE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（8）其它</w:t>
      </w:r>
    </w:p>
    <w:p w14:paraId="28F2C48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信息管理：做好施工现场监理记录与信息反馈。按本合同附件要求编制监理月、季、年报，对工程资料及档案按期进行整编和管理，并在工程竣工验收或监理服务期结束后移交委托人。 </w:t>
      </w:r>
    </w:p>
    <w:p w14:paraId="5967622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协助委托人按有关规定进行工程各阶段验收、单位工程验收及竣工验收，提交相应的工程监理资料，审查总承包人编制的竣工图纸和资料。督促建设工程办理竣工验收及其备案手续。</w:t>
      </w:r>
    </w:p>
    <w:p w14:paraId="589BB5D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监理人应配合参加国家有关部门对工程质量安全鉴定工作，并提供相关资料。</w:t>
      </w:r>
    </w:p>
    <w:p w14:paraId="214B6AC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配合委托人聘请的咨询专家工作并提供有关资料与文件；</w:t>
      </w:r>
    </w:p>
    <w:p w14:paraId="0E27A2C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对监理合同项目有关的咨询专家建议、意见进行分析研究，并作出相应的书面意见。</w:t>
      </w:r>
    </w:p>
    <w:p w14:paraId="31FBE98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监理与相关服务依据</w:t>
      </w:r>
    </w:p>
    <w:p w14:paraId="05DC731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r>
        <w:rPr>
          <w:rFonts w:hint="eastAsia" w:ascii="宋体" w:hAnsi="宋体" w:eastAsia="宋体" w:cs="宋体"/>
          <w:color w:val="auto"/>
          <w:sz w:val="24"/>
          <w:szCs w:val="24"/>
          <w:highlight w:val="none"/>
          <w:u w:val="single"/>
        </w:rPr>
        <w:t xml:space="preserve">同“通用条件”2.2.1 </w:t>
      </w:r>
      <w:r>
        <w:rPr>
          <w:rFonts w:hint="eastAsia" w:ascii="宋体" w:hAnsi="宋体" w:eastAsia="宋体" w:cs="宋体"/>
          <w:color w:val="auto"/>
          <w:sz w:val="24"/>
          <w:szCs w:val="24"/>
          <w:highlight w:val="none"/>
        </w:rPr>
        <w:t>。</w:t>
      </w:r>
    </w:p>
    <w:p w14:paraId="0B988CC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dstrike/>
          <w:color w:val="auto"/>
          <w:sz w:val="24"/>
          <w:szCs w:val="24"/>
          <w:highlight w:val="none"/>
        </w:rPr>
      </w:pPr>
      <w:r>
        <w:rPr>
          <w:rFonts w:hint="eastAsia" w:ascii="宋体" w:hAnsi="宋体" w:eastAsia="宋体" w:cs="宋体"/>
          <w:color w:val="auto"/>
          <w:sz w:val="24"/>
          <w:szCs w:val="24"/>
          <w:highlight w:val="none"/>
        </w:rPr>
        <w:t>2.2.2 相关服务依据包括：</w:t>
      </w:r>
      <w:r>
        <w:rPr>
          <w:rFonts w:hint="eastAsia" w:ascii="宋体" w:hAnsi="宋体" w:eastAsia="宋体" w:cs="宋体"/>
          <w:color w:val="auto"/>
          <w:sz w:val="24"/>
          <w:szCs w:val="24"/>
          <w:highlight w:val="none"/>
          <w:u w:val="single"/>
        </w:rPr>
        <w:t xml:space="preserve">同“通用条件”2.2.1 </w:t>
      </w:r>
      <w:r>
        <w:rPr>
          <w:rFonts w:hint="eastAsia" w:ascii="宋体" w:hAnsi="宋体" w:eastAsia="宋体" w:cs="宋体"/>
          <w:color w:val="auto"/>
          <w:sz w:val="24"/>
          <w:szCs w:val="24"/>
          <w:highlight w:val="none"/>
        </w:rPr>
        <w:t>。</w:t>
      </w:r>
    </w:p>
    <w:p w14:paraId="70EB7E4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kern w:val="0"/>
          <w:sz w:val="24"/>
          <w:szCs w:val="24"/>
          <w:highlight w:val="none"/>
        </w:rPr>
        <w:t>项目监理机构和人员</w:t>
      </w:r>
    </w:p>
    <w:p w14:paraId="430CE5A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2.3.3监理人更换总监理工程师时，应提前</w:t>
      </w:r>
      <w:r>
        <w:rPr>
          <w:rFonts w:hint="eastAsia" w:ascii="宋体" w:hAnsi="宋体" w:eastAsia="宋体" w:cs="宋体"/>
          <w:b/>
          <w:color w:val="auto"/>
          <w:kern w:val="0"/>
          <w:sz w:val="24"/>
          <w:szCs w:val="24"/>
          <w:highlight w:val="none"/>
          <w:u w:val="single"/>
        </w:rPr>
        <w:t>7</w:t>
      </w:r>
      <w:r>
        <w:rPr>
          <w:rFonts w:hint="eastAsia" w:ascii="宋体" w:hAnsi="宋体" w:eastAsia="宋体" w:cs="宋体"/>
          <w:color w:val="auto"/>
          <w:kern w:val="0"/>
          <w:sz w:val="24"/>
          <w:szCs w:val="24"/>
          <w:highlight w:val="none"/>
        </w:rPr>
        <w:t>天向委托人书面报告，经委托人同意并按照</w:t>
      </w:r>
      <w:r>
        <w:rPr>
          <w:rFonts w:hint="eastAsia" w:ascii="宋体" w:hAnsi="宋体" w:eastAsia="宋体" w:cs="宋体"/>
          <w:color w:val="auto"/>
          <w:kern w:val="0"/>
          <w:sz w:val="24"/>
          <w:szCs w:val="24"/>
          <w:highlight w:val="none"/>
          <w:u w:val="single"/>
        </w:rPr>
        <w:t xml:space="preserve"> 附录3 </w:t>
      </w:r>
      <w:r>
        <w:rPr>
          <w:rFonts w:hint="eastAsia" w:ascii="宋体" w:hAnsi="宋体" w:eastAsia="宋体" w:cs="宋体"/>
          <w:color w:val="auto"/>
          <w:kern w:val="0"/>
          <w:sz w:val="24"/>
          <w:szCs w:val="24"/>
          <w:highlight w:val="none"/>
        </w:rPr>
        <w:t>承担违约金后方可更换。监理人更换项目监理机构其他监理人员，应以相当资格与能力的人员替换，并委托人同意。</w:t>
      </w:r>
    </w:p>
    <w:p w14:paraId="500EE0F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2.3.4 </w:t>
      </w:r>
      <w:r>
        <w:rPr>
          <w:rFonts w:hint="eastAsia" w:ascii="宋体" w:hAnsi="宋体" w:eastAsia="宋体" w:cs="宋体"/>
          <w:color w:val="auto"/>
          <w:kern w:val="0"/>
          <w:sz w:val="24"/>
          <w:szCs w:val="24"/>
          <w:highlight w:val="none"/>
        </w:rPr>
        <w:t>更换监理人员的其他情形：</w:t>
      </w:r>
      <w:r>
        <w:rPr>
          <w:rFonts w:hint="eastAsia" w:ascii="宋体" w:hAnsi="宋体" w:eastAsia="宋体" w:cs="宋体"/>
          <w:color w:val="auto"/>
          <w:kern w:val="0"/>
          <w:sz w:val="24"/>
          <w:szCs w:val="24"/>
          <w:highlight w:val="none"/>
          <w:u w:val="single"/>
        </w:rPr>
        <w:t xml:space="preserve">离职、丧失职业能力（提供委托人认可的证明材料）  </w:t>
      </w:r>
      <w:r>
        <w:rPr>
          <w:rFonts w:hint="eastAsia" w:ascii="宋体" w:hAnsi="宋体" w:eastAsia="宋体" w:cs="宋体"/>
          <w:color w:val="auto"/>
          <w:kern w:val="0"/>
          <w:sz w:val="24"/>
          <w:szCs w:val="24"/>
          <w:highlight w:val="none"/>
        </w:rPr>
        <w:t>。</w:t>
      </w:r>
    </w:p>
    <w:p w14:paraId="1EE6D32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 </w:t>
      </w:r>
      <w:r>
        <w:rPr>
          <w:rFonts w:hint="eastAsia" w:ascii="宋体" w:hAnsi="宋体" w:eastAsia="宋体" w:cs="宋体"/>
          <w:color w:val="auto"/>
          <w:kern w:val="0"/>
          <w:sz w:val="24"/>
          <w:szCs w:val="24"/>
          <w:highlight w:val="none"/>
        </w:rPr>
        <w:t>履行职责</w:t>
      </w:r>
    </w:p>
    <w:p w14:paraId="78D4C74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2.4.3 对监理人的授权范围：</w:t>
      </w:r>
      <w:r>
        <w:rPr>
          <w:rFonts w:hint="eastAsia" w:ascii="宋体" w:hAnsi="宋体" w:eastAsia="宋体" w:cs="宋体"/>
          <w:color w:val="auto"/>
          <w:sz w:val="24"/>
          <w:szCs w:val="24"/>
          <w:highlight w:val="none"/>
          <w:u w:val="single"/>
        </w:rPr>
        <w:t xml:space="preserve">  本工程施工阶段的全过程监理工作：质量、进度、投资控制；合同和信息管理；施工现场协调；履行建设工程安全生产管理法定职责。 </w:t>
      </w:r>
    </w:p>
    <w:p w14:paraId="20334C8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2.4.4 监理人有权要求承包人调换其人员</w:t>
      </w:r>
      <w:r>
        <w:rPr>
          <w:rFonts w:hint="eastAsia" w:ascii="宋体" w:hAnsi="宋体" w:eastAsia="宋体" w:cs="宋体"/>
          <w:color w:val="auto"/>
          <w:sz w:val="24"/>
          <w:szCs w:val="24"/>
          <w:highlight w:val="none"/>
        </w:rPr>
        <w:t>的限制条件：</w:t>
      </w:r>
      <w:r>
        <w:rPr>
          <w:rFonts w:hint="eastAsia" w:ascii="宋体" w:hAnsi="宋体" w:eastAsia="宋体" w:cs="宋体"/>
          <w:color w:val="auto"/>
          <w:sz w:val="24"/>
          <w:szCs w:val="24"/>
          <w:highlight w:val="none"/>
          <w:u w:val="single"/>
        </w:rPr>
        <w:t xml:space="preserve"> 经委托人同意 </w:t>
      </w:r>
      <w:r>
        <w:rPr>
          <w:rFonts w:hint="eastAsia" w:ascii="宋体" w:hAnsi="宋体" w:eastAsia="宋体" w:cs="宋体"/>
          <w:color w:val="auto"/>
          <w:sz w:val="24"/>
          <w:szCs w:val="24"/>
          <w:highlight w:val="none"/>
        </w:rPr>
        <w:t xml:space="preserve">。  </w:t>
      </w:r>
    </w:p>
    <w:p w14:paraId="6BD16B1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2.5 </w:t>
      </w:r>
      <w:r>
        <w:rPr>
          <w:rFonts w:hint="eastAsia" w:ascii="宋体" w:hAnsi="宋体" w:eastAsia="宋体" w:cs="宋体"/>
          <w:color w:val="auto"/>
          <w:sz w:val="24"/>
          <w:szCs w:val="24"/>
          <w:highlight w:val="none"/>
        </w:rPr>
        <w:t>提交</w:t>
      </w:r>
      <w:r>
        <w:rPr>
          <w:rFonts w:hint="eastAsia" w:ascii="宋体" w:hAnsi="宋体" w:eastAsia="宋体" w:cs="宋体"/>
          <w:color w:val="auto"/>
          <w:kern w:val="0"/>
          <w:sz w:val="24"/>
          <w:szCs w:val="24"/>
          <w:highlight w:val="none"/>
        </w:rPr>
        <w:t>报告</w:t>
      </w:r>
    </w:p>
    <w:p w14:paraId="054CD89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2.5.1监理规划、监理实施细则、约定的专项报告：</w:t>
      </w:r>
      <w:r>
        <w:rPr>
          <w:rFonts w:hint="eastAsia" w:ascii="宋体" w:hAnsi="宋体" w:eastAsia="宋体" w:cs="宋体"/>
          <w:color w:val="auto"/>
          <w:sz w:val="24"/>
          <w:szCs w:val="24"/>
          <w:highlight w:val="none"/>
        </w:rPr>
        <w:t xml:space="preserve">收到工程设计文件后编制监理规划，并在第一次工地例会前7天报委托人5份；编制监理实施细则，并在施工单位开工前5天报委托人5份；约定的专题报告在约定后14天内报委托人5份。逾期提交上述文件资料，视为监理人违约，委托人有权解除本合同，同时，按照本合同约定的暂定酬金总金额的30%承担违约金； </w:t>
      </w:r>
    </w:p>
    <w:p w14:paraId="341076E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2.5.2定期信息文件</w:t>
      </w:r>
    </w:p>
    <w:p w14:paraId="646CF56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根据监理工程项目、范围及内容，随工程施工进展向委托人报送监理周报、月报、年报，其主要内容为：</w:t>
      </w:r>
    </w:p>
    <w:p w14:paraId="3C0C9D2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工程进展情况；</w:t>
      </w:r>
    </w:p>
    <w:p w14:paraId="0FFE66A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施工安装质量情况；</w:t>
      </w:r>
    </w:p>
    <w:p w14:paraId="4A34CB8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进场施工机械设备及劳动力动态；</w:t>
      </w:r>
    </w:p>
    <w:p w14:paraId="01E24B5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施工安全与文明施工情况；</w:t>
      </w:r>
    </w:p>
    <w:p w14:paraId="72F20DD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工程变更和机电设备安装合同索赔情况；</w:t>
      </w:r>
    </w:p>
    <w:p w14:paraId="1651A90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工程支付情况；</w:t>
      </w:r>
    </w:p>
    <w:p w14:paraId="7B5F6B7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 安全监测信息(包括资料的整理、分析和信息报告)；</w:t>
      </w:r>
    </w:p>
    <w:p w14:paraId="33B08AC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 环境保护情况；</w:t>
      </w:r>
    </w:p>
    <w:p w14:paraId="1246D4D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 监理工作情况；</w:t>
      </w:r>
    </w:p>
    <w:p w14:paraId="4994780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 采购、施工和设备安装大事记；</w:t>
      </w:r>
    </w:p>
    <w:p w14:paraId="6B6EC0D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（11）监理日志</w:t>
      </w:r>
    </w:p>
    <w:p w14:paraId="1D3D3A3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其它。</w:t>
      </w:r>
    </w:p>
    <w:p w14:paraId="20BF197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2.5.3根据监理工程进展情况的不定期报告</w:t>
      </w:r>
    </w:p>
    <w:p w14:paraId="54D181E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关于工程优化设计或变更或施工进展的建议；</w:t>
      </w:r>
    </w:p>
    <w:p w14:paraId="58A537D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资金、资源投入及合理配置的建议；</w:t>
      </w:r>
    </w:p>
    <w:p w14:paraId="4DB9CAA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工程进展预测分析报告；</w:t>
      </w:r>
    </w:p>
    <w:p w14:paraId="1133792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委托人要求提交的其他报告；</w:t>
      </w:r>
    </w:p>
    <w:p w14:paraId="780A49D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工程阶段验收，竣工验收监理工作报告。</w:t>
      </w:r>
    </w:p>
    <w:p w14:paraId="55772E6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2.5.4监理过程文件</w:t>
      </w:r>
    </w:p>
    <w:p w14:paraId="218DF1F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施工措施计划批复文件；</w:t>
      </w:r>
    </w:p>
    <w:p w14:paraId="4CD3234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施工进度调整批复文件；</w:t>
      </w:r>
    </w:p>
    <w:p w14:paraId="08B0AAF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监理协调会议纪要文件；</w:t>
      </w:r>
    </w:p>
    <w:p w14:paraId="75BD148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施工质量事故处理文件；</w:t>
      </w:r>
    </w:p>
    <w:p w14:paraId="38DE67B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施工安全事故处理文件；</w:t>
      </w:r>
    </w:p>
    <w:p w14:paraId="66FCE78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其它按合同文件规定应报送的文件。</w:t>
      </w:r>
    </w:p>
    <w:p w14:paraId="7C422BD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（7）监理人提交的监理文件份数及时间要求</w:t>
      </w:r>
    </w:p>
    <w:p w14:paraId="6CB7C78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监理人向委托人提交的监理文件一式5份(并附电子文档1份)，其中监理周报、月报、年报一式5份。</w:t>
      </w:r>
    </w:p>
    <w:p w14:paraId="04006CD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时间要求：周报为每周一、月报为月末、年报为1月20日。</w:t>
      </w:r>
    </w:p>
    <w:p w14:paraId="5D4BD5F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违约责任：逾期提交上述文件资料，视为监理人违约，委托人有权解除本合同，同时，按照本合同约定的暂定酬金总金额的30%承担违约金。</w:t>
      </w:r>
    </w:p>
    <w:p w14:paraId="30D0945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使用委托人的财产</w:t>
      </w:r>
    </w:p>
    <w:p w14:paraId="4A9B7D5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委托人不提供的房屋、设备。</w:t>
      </w:r>
    </w:p>
    <w:p w14:paraId="29A1DD3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监理人应在本合同终止后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天内移交委托人提供的房屋、设备，移交的时间和方式为：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。若监理人逾期移交，委托人有权单方移交，若场地内留有监理人物品，视为遗弃物，委托人有权任意处置，产生的处置费或恢复场地的费用由监理人承担。</w:t>
      </w:r>
    </w:p>
    <w:p w14:paraId="4F526885">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 xml:space="preserve">3. 委托人义务  </w:t>
      </w:r>
    </w:p>
    <w:p w14:paraId="70DB999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3.3.1通用条件修改为：委托人无义务提供监理人员所需的现场办公用房，生产与生活设施、设备与物品、通讯、交通等均由监理单位自行解决。</w:t>
      </w:r>
    </w:p>
    <w:p w14:paraId="20D80EF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3.4 委托人代表</w:t>
      </w:r>
    </w:p>
    <w:p w14:paraId="4B97E70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委托人代表为：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89662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bookmarkStart w:id="703" w:name="_Hlk127978119"/>
      <w:r>
        <w:rPr>
          <w:rFonts w:hint="eastAsia" w:ascii="宋体" w:hAnsi="宋体" w:eastAsia="宋体" w:cs="宋体"/>
          <w:color w:val="auto"/>
          <w:kern w:val="0"/>
          <w:sz w:val="24"/>
          <w:szCs w:val="24"/>
          <w:highlight w:val="none"/>
        </w:rPr>
        <w:t>3.6 答复</w:t>
      </w:r>
    </w:p>
    <w:bookmarkEnd w:id="703"/>
    <w:p w14:paraId="2D7E629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委托人同意在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 xml:space="preserve">天内，对监理人书面提交并要求做出决定的事宜给予答复。 </w:t>
      </w:r>
    </w:p>
    <w:p w14:paraId="27FE8055">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违约责任</w:t>
      </w:r>
    </w:p>
    <w:p w14:paraId="00C2997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监理人的违约责任</w:t>
      </w:r>
    </w:p>
    <w:p w14:paraId="026AE0E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监理人违约的其他情形：</w:t>
      </w:r>
    </w:p>
    <w:p w14:paraId="72C4CCD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4.1.1.1监理人按本合同约定的内容、时间、数量向委托人交付报告、成果、文件的。</w:t>
      </w:r>
    </w:p>
    <w:p w14:paraId="0127F6D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4.1.1.2监理人拒绝对报告、成果、文件出现的遗漏或错误负责修改补充的。</w:t>
      </w:r>
    </w:p>
    <w:p w14:paraId="7210B14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4.1.1.3监理人向第三人扩散、转让本合同中委托人提供的技术资料、文件的。</w:t>
      </w:r>
    </w:p>
    <w:p w14:paraId="6F6CA96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4.1.1.4未经委托人人同意，监理人将履行本合同形成的知识成果擅自复制泄露或向第三人转让或用于本合同外的项目。</w:t>
      </w:r>
    </w:p>
    <w:p w14:paraId="5788F33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4.1.1.5拒为委托人提供口头、现场咨询或参加现场论证的。</w:t>
      </w:r>
    </w:p>
    <w:p w14:paraId="40AF6F9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4.1.1.6拒绝承担监理人工作人员的现场安全责任及其工作人员给第三方或委托人造成的一切损失的。</w:t>
      </w:r>
    </w:p>
    <w:p w14:paraId="15005B5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4.1.1.7未为其工作人员办理社会保险、签订劳动合同、按时支付工资的。</w:t>
      </w:r>
    </w:p>
    <w:p w14:paraId="12E55A0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4.1.1.8拒绝更换委托人不满意的工作人员的。</w:t>
      </w:r>
    </w:p>
    <w:p w14:paraId="02B1545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4.1.1.9本合同有关条款规定和补充协议中监理人违约情形。</w:t>
      </w:r>
    </w:p>
    <w:p w14:paraId="30C91CD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4.1.1.10拒绝配合办理竣工结算的。</w:t>
      </w:r>
    </w:p>
    <w:p w14:paraId="1E527A1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4.1.1.11拒绝履行本合同2.1条约定的义务的。</w:t>
      </w:r>
    </w:p>
    <w:p w14:paraId="4B12C88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4.1.1.12因监理人拒绝承担本合同约定的安全责任，致使委托人承担责任的。</w:t>
      </w:r>
    </w:p>
    <w:p w14:paraId="062FBA6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4.1.1.13因监理人行为给委托人造成不良影响。</w:t>
      </w:r>
    </w:p>
    <w:p w14:paraId="1C2821A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4.1.1.14本合同有关条款规定和补充协议中承包人应负的责任。</w:t>
      </w:r>
    </w:p>
    <w:p w14:paraId="35CB910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4.1.2监理人赔偿金额按下列方法确定：</w:t>
      </w:r>
    </w:p>
    <w:p w14:paraId="2608AD1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（1）因监理人原因而暂停或终止监理业务，其善后工作及恢复监理业务所发生的费用，由监理单位承担，赔偿金按下列方法确定：</w:t>
      </w:r>
      <w:r>
        <w:rPr>
          <w:rFonts w:hint="eastAsia" w:ascii="宋体" w:hAnsi="宋体" w:eastAsia="宋体" w:cs="宋体"/>
          <w:color w:val="auto"/>
          <w:sz w:val="24"/>
          <w:szCs w:val="24"/>
          <w:highlight w:val="none"/>
          <w:u w:val="single"/>
        </w:rPr>
        <w:t xml:space="preserve"> 扣除所有未支付费用以及履约保证金</w:t>
      </w:r>
      <w:r>
        <w:rPr>
          <w:rFonts w:hint="eastAsia" w:ascii="宋体" w:hAnsi="宋体" w:eastAsia="宋体" w:cs="宋体"/>
          <w:color w:val="auto"/>
          <w:sz w:val="24"/>
          <w:szCs w:val="24"/>
          <w:highlight w:val="none"/>
        </w:rPr>
        <w:t xml:space="preserve">。 </w:t>
      </w:r>
    </w:p>
    <w:p w14:paraId="1ED5761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（2）除</w:t>
      </w:r>
      <w:r>
        <w:rPr>
          <w:rFonts w:hint="eastAsia" w:ascii="宋体" w:hAnsi="宋体" w:eastAsia="宋体" w:cs="宋体"/>
          <w:color w:val="auto"/>
          <w:kern w:val="0"/>
          <w:sz w:val="24"/>
          <w:szCs w:val="24"/>
          <w:highlight w:val="none"/>
        </w:rPr>
        <w:t>4.1.1（1）</w:t>
      </w:r>
      <w:r>
        <w:rPr>
          <w:rFonts w:hint="eastAsia" w:ascii="宋体" w:hAnsi="宋体" w:eastAsia="宋体" w:cs="宋体"/>
          <w:color w:val="auto"/>
          <w:sz w:val="24"/>
          <w:szCs w:val="24"/>
          <w:highlight w:val="none"/>
        </w:rPr>
        <w:t>因监理人违反本合同约定给委托人造成损失的，赔偿金按下列方法确定：赔偿金＝直接经济损失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不超过本合同监理</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监理人承担部分赔偿责任的，其承担赔偿金额由双方协商确定。</w:t>
      </w:r>
    </w:p>
    <w:p w14:paraId="67E7546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4.1.3违约的处理</w:t>
      </w:r>
    </w:p>
    <w:p w14:paraId="79CB164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4.1.3.1监理人违约时，委托人有权解除本合同。</w:t>
      </w:r>
    </w:p>
    <w:p w14:paraId="30FB5D4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4.1.3.2由于监理人原因延误工期或未按规定时间交付报告、成果、文件，每延误一天应承担以工程费万分之五计算的违约金，并承担给委托人造成的一切损失。若延误15天，监理人承担给委托人造成的一切损失，且委托人有权解除本合同。</w:t>
      </w:r>
    </w:p>
    <w:p w14:paraId="3AD7EE1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4.1.3.2交付的报告、成果、文件达不到合同约定条件的部分，委托人可要求监理人返工，监理人按委托人要求的的时间返工，直到符合约定条件，因监理人原因达不到约定条件，由监理人承担返工费，返工后仍不能达到约定条件，监理人承担违约责任，并根据因此造成的损失程度向委托人支付赔偿金。</w:t>
      </w:r>
    </w:p>
    <w:p w14:paraId="78BC559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4.1.3.3监理人拒绝提供咨询、参加论证，每发生一次，按合同总金额的（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）向委托人承担违约金，累计发生3次以上（含本数），委托人有权解除本合同，监理人按合同总金额的30%向委托人承担违约金。</w:t>
      </w:r>
    </w:p>
    <w:p w14:paraId="3FC4A81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4.1.3.4监理人擅自更换项目工作人员，每发生一次，按合同总金额的（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）%向委托人承担违约金，累计发生2次以上（含本数），委托人有权解除本合同，监理人按合同总金额的30%向委托人承担违约金。</w:t>
      </w:r>
    </w:p>
    <w:p w14:paraId="395ED4E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4.1.3.5监理人拒绝更换工作人员，每发生一次，按合同总金额的（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）%向委托人承担违约金，累计发生2次以上（含本数），委托人有权解除本合同，监理人按合同总金额的30%向委托人承担违约金。</w:t>
      </w:r>
    </w:p>
    <w:p w14:paraId="6B77D5C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4.1.3.6因监理人原因解除本合同时，委托人另行委托第三方提供监理服务时，费用由监理人承担。</w:t>
      </w:r>
    </w:p>
    <w:p w14:paraId="25FE293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4.1.3.7监理人需承诺：在项目实施期间，因工作需要，须在委托人电话通知后4小时内到达现场，一次未到支付违约金一万元，按次数累加（该违约金可在勘察费中扣划）。累计超过5次（含本数），委托人有权解除本合同。</w:t>
      </w:r>
    </w:p>
    <w:p w14:paraId="7F20537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4.1.3.8监理人拒绝对报告、成果、文件出现的遗漏或错误负责修改补充的，每延误一天应承担以工程费万分之五计算的违约金，并承担给委托人造成的一切损失。若延误15天，监理人承担给委托人造成的一切损失，且委托人有权解除本合同。</w:t>
      </w:r>
    </w:p>
    <w:p w14:paraId="305C4B2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4.1.3.9监理人向第三人扩散、转让本合同中委托人提供的技术资料、文件的，承担给委托人造成的一切损失。</w:t>
      </w:r>
    </w:p>
    <w:p w14:paraId="41B1DD0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4.1.3.10未经委托人人同意，监理人将履行本合同形成的知识成果擅自复制泄露或向第三人转让或用于本合同外的项目，承担给委托人造成的一切损失。</w:t>
      </w:r>
    </w:p>
    <w:p w14:paraId="5FA3D0F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4.1.3.11因监理人与其工作人员之间的纠纷或其工作人员给第三方造成损失，委托人代为承担责任时，监理人承担给委托人造成的一切损失。</w:t>
      </w:r>
    </w:p>
    <w:p w14:paraId="788CF69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4.1.3.12拒绝配合办理竣工结算，每延误一天应承担以工程费万分之五计算的违约金，并承担给委托人造成的一切损失。若延误15天，监理人承担给委托人造成的一切损失，且委托人有权解除本合同。</w:t>
      </w:r>
    </w:p>
    <w:p w14:paraId="2AB89B7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4.1.3.13因监理人行为给委托人造成不良影响，监理人拒绝消除影响时或不良影响未消除时，委托人有权解除本合同，监理人承担给委托人造成的一切损失。</w:t>
      </w:r>
    </w:p>
    <w:p w14:paraId="49B644D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4.1.3.14监理人在承担上述一项或多项违约责任后，仍应继续履行合同规定的义务（委托人解除合同的除外）。委托人未能及时追究监理人的任何一项违约责任并不代表委托人放弃追究承包人该项或其他违约责任。</w:t>
      </w:r>
    </w:p>
    <w:p w14:paraId="3E18A1B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4.1.3.15守约方为维护其合法权益产生的费用由违约方承担，该费用包括但不限于律师费、诉讼费、财产保全费、财产保全担保费、差旅费、评估费、审计费、鉴定费、公证费等费用。</w:t>
      </w:r>
    </w:p>
    <w:p w14:paraId="29F4DED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委托人的违约责任</w:t>
      </w:r>
    </w:p>
    <w:p w14:paraId="3042339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4.2.3 委托人</w:t>
      </w:r>
      <w:r>
        <w:rPr>
          <w:rFonts w:hint="eastAsia" w:ascii="宋体" w:hAnsi="宋体" w:eastAsia="宋体" w:cs="宋体"/>
          <w:color w:val="auto"/>
          <w:kern w:val="0"/>
          <w:sz w:val="24"/>
          <w:szCs w:val="24"/>
          <w:highlight w:val="none"/>
        </w:rPr>
        <w:t>逾期付款利息按下列方法确定：</w:t>
      </w:r>
    </w:p>
    <w:p w14:paraId="1BB9DF2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逾期付款利息＝当期应付款总额×中国人民银行同期存款利息×拖延支付天数</w:t>
      </w:r>
    </w:p>
    <w:p w14:paraId="7287896E">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 支付</w:t>
      </w:r>
    </w:p>
    <w:p w14:paraId="52A05B0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5.1 </w:t>
      </w:r>
      <w:r>
        <w:rPr>
          <w:rFonts w:hint="eastAsia" w:ascii="宋体" w:hAnsi="宋体" w:eastAsia="宋体" w:cs="宋体"/>
          <w:bCs/>
          <w:color w:val="auto"/>
          <w:sz w:val="24"/>
          <w:szCs w:val="24"/>
          <w:highlight w:val="none"/>
        </w:rPr>
        <w:t>支付货币</w:t>
      </w:r>
    </w:p>
    <w:p w14:paraId="5AE90F6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u w:val="single"/>
        </w:rPr>
        <w:t xml:space="preserve">  人民币 </w:t>
      </w:r>
      <w:r>
        <w:rPr>
          <w:rFonts w:hint="eastAsia" w:ascii="宋体" w:hAnsi="宋体" w:eastAsia="宋体" w:cs="宋体"/>
          <w:color w:val="auto"/>
          <w:sz w:val="24"/>
          <w:szCs w:val="24"/>
          <w:highlight w:val="none"/>
        </w:rPr>
        <w:t>，比例为：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，汇率为：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6AACAE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支付酬金</w:t>
      </w:r>
    </w:p>
    <w:p w14:paraId="63E03570">
      <w:pPr>
        <w:pStyle w:val="14"/>
        <w:keepNext w:val="0"/>
        <w:keepLines w:val="0"/>
        <w:pageBreakBefore w:val="0"/>
        <w:kinsoku/>
        <w:wordWrap/>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本合同计算酬金=根据经审计部门审定的建安工程费计算出工程建设监理费收费基价×中标人填报的折扣比例</w:t>
      </w:r>
      <w:r>
        <w:rPr>
          <w:rFonts w:hint="eastAsia" w:ascii="宋体" w:hAnsi="宋体" w:eastAsia="宋体" w:cs="宋体"/>
          <w:color w:val="auto"/>
          <w:sz w:val="24"/>
          <w:szCs w:val="24"/>
          <w:highlight w:val="none"/>
          <w:lang w:val="en-US" w:eastAsia="zh-CN"/>
        </w:rPr>
        <w:t>；监理人中标</w:t>
      </w:r>
      <w:r>
        <w:rPr>
          <w:rFonts w:hint="eastAsia" w:ascii="宋体" w:hAnsi="宋体" w:cs="宋体"/>
          <w:color w:val="auto"/>
          <w:sz w:val="24"/>
          <w:szCs w:val="24"/>
          <w:highlight w:val="none"/>
          <w:lang w:val="en-US" w:eastAsia="zh-CN"/>
        </w:rPr>
        <w:t>折扣比例</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9DEDA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5.2.1本项目不采用预付款</w:t>
      </w:r>
    </w:p>
    <w:p w14:paraId="1B218D1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5.2.2监理酬金</w:t>
      </w:r>
    </w:p>
    <w:p w14:paraId="626E361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本项目监理费用按施工进度付款：</w:t>
      </w:r>
    </w:p>
    <w:p w14:paraId="7D8BE4B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委托人按每季度审核完成进度支付监理酬金，每期实际支付为：委托人确认的建安工程费计算出工程建设监理费收费基价×中标人填报的折扣比例×70%。监理人于次月提出申请，委托人自收到监理人提出的申请经确认且收到等额的增值税专用发票后的28日内，支付上一个季度的监理酬金；</w:t>
      </w:r>
    </w:p>
    <w:p w14:paraId="7B4EF0A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项目竣工验收合格、监理人提出申请经确认且收到等额的增值税专用发票后的【60】日内后支付至合同金额的70%；所有监理资料按规范整理完毕并移交、监理人提出申请经确认且收到等额的增值税专用发票后的【60】日内支付至合同金额的80%；办理完结算审定最终监理酬金、监理人提出申请经确认且收到等额的增值税专用发票后的【60】日内支付至结算金额的95%； </w:t>
      </w:r>
    </w:p>
    <w:p w14:paraId="2DF23F5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保修阶段服务（5%）：缺陷责任期满，验收合格、监理人提出申请经确认且收到等额的增值税专用发票后的【60】日内内一次性支付剩余5%（无息）；</w:t>
      </w:r>
    </w:p>
    <w:p w14:paraId="1771A05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注：若存在下列情形时，下列情形作为付款条件之一，同时适用，若涉及进度款则不包括下列情形第3种：</w:t>
      </w:r>
    </w:p>
    <w:p w14:paraId="10C9DA3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（1）每次付款前，监理单位须向委托人提供有效等额增值税专用发票。在付款前监理人应当提供等额增值税发票，未足额提供的发票的，委托人有权拒绝付款；</w:t>
      </w:r>
    </w:p>
    <w:p w14:paraId="50FDC35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（2）若本合同涉及财政资金或专项资金支持，在委托人未收到财政资金或专项资金的情形下，委托人有权迟延付款且不承担违约责任，在符合其他付款条件且收到财政资金或专项资金后付款；</w:t>
      </w:r>
    </w:p>
    <w:p w14:paraId="63EF720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（3）若需对工程进行审计或财评，则在审计或财评结果未出之前，委托人有权迟延付款且不承担违约责任。</w:t>
      </w:r>
    </w:p>
    <w:p w14:paraId="558E897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的审计包括委托人委托第三方审计、重庆市南岸区财政局审计或重庆市南岸区审计局审计，若需重庆市南岸区财政局审计或重庆市南岸区审计局审计，则以重庆市南岸区财政局审计或重庆市南岸区审计局审计结果为准。</w:t>
      </w:r>
    </w:p>
    <w:p w14:paraId="5352161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
          <w:bCs/>
          <w:color w:val="auto"/>
          <w:sz w:val="24"/>
          <w:szCs w:val="24"/>
          <w:highlight w:val="none"/>
        </w:rPr>
        <w:t>. 合同生效、变更、暂停、解除与终止</w:t>
      </w:r>
    </w:p>
    <w:p w14:paraId="625C12B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生效</w:t>
      </w:r>
    </w:p>
    <w:p w14:paraId="029146C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本合同生效条件：</w:t>
      </w:r>
      <w:r>
        <w:rPr>
          <w:rFonts w:hint="eastAsia" w:ascii="宋体" w:hAnsi="宋体" w:eastAsia="宋体" w:cs="宋体"/>
          <w:color w:val="auto"/>
          <w:sz w:val="24"/>
          <w:szCs w:val="24"/>
          <w:highlight w:val="none"/>
          <w:u w:val="single"/>
        </w:rPr>
        <w:t xml:space="preserve"> 同合同协议书 </w:t>
      </w:r>
      <w:r>
        <w:rPr>
          <w:rFonts w:hint="eastAsia" w:ascii="宋体" w:hAnsi="宋体" w:eastAsia="宋体" w:cs="宋体"/>
          <w:color w:val="auto"/>
          <w:sz w:val="24"/>
          <w:szCs w:val="24"/>
          <w:highlight w:val="none"/>
        </w:rPr>
        <w:t>。</w:t>
      </w:r>
    </w:p>
    <w:p w14:paraId="2B55C38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变更</w:t>
      </w:r>
    </w:p>
    <w:p w14:paraId="1CE9F8E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6.2.2除不可抗力外，因非监理人原因导致本合同期限延长时，附加工作酬金按下列方法确定：</w:t>
      </w:r>
    </w:p>
    <w:p w14:paraId="2238EDF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（1）因征地拆迁、变更等非监理人原因导致工期延长在3个月内的，监理人报酬不调整，其费用已包含在合同费用中；</w:t>
      </w:r>
    </w:p>
    <w:p w14:paraId="2EFF2A6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（2）因征地拆迁、变更等非监理人原因导致工期延长期超过3个月的监理人报酬：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双方协商确定</w:t>
      </w:r>
      <w:r>
        <w:rPr>
          <w:rFonts w:hint="eastAsia" w:ascii="宋体" w:hAnsi="宋体" w:eastAsia="宋体" w:cs="宋体"/>
          <w:color w:val="auto"/>
          <w:sz w:val="24"/>
          <w:szCs w:val="24"/>
          <w:highlight w:val="none"/>
          <w:u w:val="single"/>
        </w:rPr>
        <w:t>）。</w:t>
      </w:r>
    </w:p>
    <w:p w14:paraId="54CBF6B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6.2.3除不可抗力和监理人责任导致实际情况发生变化监理人不能完成全部或部分工作时外，其善后工作以及恢复服务的准备工作应为附加工作。本条款附加工作不另行计费，监理人已在监理总费用自行考虑。</w:t>
      </w:r>
    </w:p>
    <w:p w14:paraId="65EB9E6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6.2.6委托人除按5.2计算监理报酬外，不因监理人正常工作量增加而另行增加费用。</w:t>
      </w:r>
    </w:p>
    <w:p w14:paraId="6D26B599">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7. 争议解决</w:t>
      </w:r>
    </w:p>
    <w:p w14:paraId="556059C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w:t>
      </w:r>
      <w:r>
        <w:rPr>
          <w:rFonts w:hint="eastAsia" w:ascii="宋体" w:hAnsi="宋体" w:eastAsia="宋体" w:cs="宋体"/>
          <w:bCs/>
          <w:color w:val="auto"/>
          <w:sz w:val="24"/>
          <w:szCs w:val="24"/>
          <w:highlight w:val="none"/>
        </w:rPr>
        <w:t>调解</w:t>
      </w:r>
    </w:p>
    <w:p w14:paraId="3034C26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本合同争议进行调解时，可提交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双</w:t>
      </w:r>
      <w:r>
        <w:rPr>
          <w:rFonts w:hint="eastAsia" w:ascii="宋体" w:hAnsi="宋体" w:eastAsia="宋体" w:cs="宋体"/>
          <w:color w:val="auto"/>
          <w:sz w:val="24"/>
          <w:szCs w:val="24"/>
          <w:highlight w:val="none"/>
          <w:u w:val="single"/>
        </w:rPr>
        <w:t xml:space="preserve">方协商 </w:t>
      </w:r>
      <w:r>
        <w:rPr>
          <w:rFonts w:hint="eastAsia" w:ascii="宋体" w:hAnsi="宋体" w:eastAsia="宋体" w:cs="宋体"/>
          <w:color w:val="auto"/>
          <w:sz w:val="24"/>
          <w:szCs w:val="24"/>
          <w:highlight w:val="none"/>
        </w:rPr>
        <w:t>进行调解。</w:t>
      </w:r>
    </w:p>
    <w:p w14:paraId="4FCB19E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 </w:t>
      </w:r>
      <w:r>
        <w:rPr>
          <w:rFonts w:hint="eastAsia" w:ascii="宋体" w:hAnsi="宋体" w:eastAsia="宋体" w:cs="宋体"/>
          <w:bCs/>
          <w:color w:val="auto"/>
          <w:sz w:val="24"/>
          <w:szCs w:val="24"/>
          <w:highlight w:val="none"/>
        </w:rPr>
        <w:t>仲裁或诉讼</w:t>
      </w:r>
    </w:p>
    <w:p w14:paraId="34BAAAC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p>
    <w:p w14:paraId="5125762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 xml:space="preserve"> 重庆</w:t>
      </w:r>
      <w:r>
        <w:rPr>
          <w:rFonts w:hint="eastAsia" w:ascii="宋体" w:hAnsi="宋体" w:eastAsia="宋体" w:cs="宋体"/>
          <w:color w:val="auto"/>
          <w:sz w:val="24"/>
          <w:szCs w:val="24"/>
          <w:highlight w:val="none"/>
        </w:rPr>
        <w:t>仲裁委员会进行仲裁。</w:t>
      </w:r>
    </w:p>
    <w:p w14:paraId="5E8BF24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工程所在地 </w:t>
      </w:r>
      <w:r>
        <w:rPr>
          <w:rFonts w:hint="eastAsia" w:ascii="宋体" w:hAnsi="宋体" w:eastAsia="宋体" w:cs="宋体"/>
          <w:color w:val="auto"/>
          <w:sz w:val="24"/>
          <w:szCs w:val="24"/>
          <w:highlight w:val="none"/>
        </w:rPr>
        <w:t>人民法院提起诉讼。</w:t>
      </w:r>
    </w:p>
    <w:p w14:paraId="3F94E4D3">
      <w:pPr>
        <w:keepNext w:val="0"/>
        <w:keepLines w:val="0"/>
        <w:pageBreakBefore w:val="0"/>
        <w:kinsoku/>
        <w:wordWrap/>
        <w:overflowPunct w:val="0"/>
        <w:topLinePunct w:val="0"/>
        <w:autoSpaceDE w:val="0"/>
        <w:autoSpaceDN w:val="0"/>
        <w:bidi w:val="0"/>
        <w:adjustRightInd w:val="0"/>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其他</w:t>
      </w:r>
    </w:p>
    <w:p w14:paraId="1384455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8.2 检测费用</w:t>
      </w:r>
    </w:p>
    <w:p w14:paraId="28CA0D8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监理业务范围内的平行检测、抽检等正常服务，检测费用由监理人自理。属于委托人额外要求增加的监理人进行的材料和设备检测所发生的检测费用，若检测结果合格，其费用由委托人承担，若检测结果不合格检测费用由责任方承担。委托人应支付的检测费用在检测报告取得后15天内支付。</w:t>
      </w:r>
    </w:p>
    <w:p w14:paraId="2F57621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8.3 咨询费用</w:t>
      </w:r>
    </w:p>
    <w:p w14:paraId="774B398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在监理业务范围内，如需聘用专家咨询或协助，其费用由监理人承担；由委托人聘用的，其费用由委托人承担。</w:t>
      </w:r>
    </w:p>
    <w:p w14:paraId="159D092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奖励</w:t>
      </w:r>
    </w:p>
    <w:p w14:paraId="739D3E9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合理化建议的奖励金额按下列方法确定为：</w:t>
      </w:r>
    </w:p>
    <w:p w14:paraId="7FA7E05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奖励金额＝工程投资节省额×奖励金额的比率；</w:t>
      </w:r>
    </w:p>
    <w:p w14:paraId="31D6453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奖励金额的比率为</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519BB36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通知</w:t>
      </w:r>
    </w:p>
    <w:p w14:paraId="02F330E4">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8.5.1双方确认如下方式为通知（包括诉讼文书）送达地址</w:t>
      </w:r>
    </w:p>
    <w:p w14:paraId="691CE47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8.5.1.1 委托人通讯地址：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；联系人（收件人）：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2B690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8.5.1.2 监理人通讯地址：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；联系人（收件人）：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AFF20">
      <w:pPr>
        <w:keepNext w:val="0"/>
        <w:keepLines w:val="0"/>
        <w:pageBreakBefore w:val="0"/>
        <w:widowControl/>
        <w:kinsoku/>
        <w:wordWrap/>
        <w:topLinePunct w:val="0"/>
        <w:bidi w:val="0"/>
        <w:spacing w:line="440" w:lineRule="exact"/>
        <w:ind w:right="-656" w:firstLine="4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若一方送达地址、联系人、联系电话发生变更，应书面告知另一方。变更通知送达前，另一方按前述方式送达的文书均视为有效送达，并产生相应法律效力。若当面送达拒绝签收，一方选择邮寄时，自寄出三日起，则视为有效送达。在因本合同及本合同相关事宜发生诉讼/仲裁的情形下，上述约定的各方通信地址，同时作为各方的诉讼/仲裁文书送达地址，该通信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4834FA5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保密</w:t>
      </w:r>
    </w:p>
    <w:p w14:paraId="16792BB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委托人申明的保密事项和期限：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5D1C8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监理人申明的保密事项和期限：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E3D00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第三方申明的保密事项和期限：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2ECAC4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8.8</w:t>
      </w:r>
      <w:r>
        <w:rPr>
          <w:rFonts w:hint="eastAsia" w:ascii="宋体" w:hAnsi="宋体" w:eastAsia="宋体" w:cs="宋体"/>
          <w:bCs/>
          <w:color w:val="auto"/>
          <w:sz w:val="24"/>
          <w:szCs w:val="24"/>
          <w:highlight w:val="none"/>
        </w:rPr>
        <w:t>著作权</w:t>
      </w:r>
    </w:p>
    <w:p w14:paraId="3AA40A7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s="宋体"/>
          <w:color w:val="auto"/>
          <w:sz w:val="24"/>
          <w:szCs w:val="24"/>
          <w:highlight w:val="none"/>
          <w:u w:val="single"/>
        </w:rPr>
        <w:t xml:space="preserve">  经委托人同意 </w:t>
      </w:r>
      <w:r>
        <w:rPr>
          <w:rFonts w:hint="eastAsia" w:ascii="宋体" w:hAnsi="宋体" w:eastAsia="宋体" w:cs="宋体"/>
          <w:color w:val="auto"/>
          <w:sz w:val="24"/>
          <w:szCs w:val="24"/>
          <w:highlight w:val="none"/>
        </w:rPr>
        <w:t>。</w:t>
      </w:r>
    </w:p>
    <w:p w14:paraId="3CCBE1E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 补充条款</w:t>
      </w:r>
    </w:p>
    <w:p w14:paraId="2FDE3C9E">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缺陷责任期： 24 个月。</w:t>
      </w:r>
    </w:p>
    <w:p w14:paraId="5744D96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监理人从事项目监理一切工作必须服从委托人协调管理，对委托人负责。施工现场的变更签证等应得到委托人意后方可生效。监理人处理承包人文件时限为7天。</w:t>
      </w:r>
    </w:p>
    <w:p w14:paraId="4E16245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于工程所用的重要原材料、构配件、设备的规格、型号、性能、质量等发生疑问时，监理人有权要求责任者在征得委托人同意后送指定的检测单位复试，并通知承包人。若复试合格，费用由委托人负责，否则由承包人负责。但这种复试应得到委托人认可并通知承包人。</w:t>
      </w:r>
    </w:p>
    <w:p w14:paraId="0219F79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理人员工资、加班费、福利费、工会经费、教育经费、养老保险、住房公积金、办公费、差旅费、通讯费、现场补贴、公司管理费、现场必备的检测设备和交通工具的购置及使用费用以及住宿费、电话费、水电费、交通费、安全措施费、保险费、办公场所费、智慧平台建设费（合同金额万分之二）等为完成本工程监理服务所需的全部费用均含在监理人正常工作酬金内。</w:t>
      </w:r>
    </w:p>
    <w:p w14:paraId="12CBED4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属于合同范围内的正常服务，差旅费由监理人自理。根据委托人特殊要求对某些关键、重要的原材料、构配件、设备生产厂家进行考察或对主要设备进行工厂验收，并征得委托人同意，所发生的差旅费（重庆市外）由委托人负责报销。</w:t>
      </w:r>
    </w:p>
    <w:p w14:paraId="71721B4C">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监理人应按国家规定办理必要的保险，费用自行解决。</w:t>
      </w:r>
    </w:p>
    <w:p w14:paraId="35B5CF1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监理人利用本项目监理中形成的技术成果（或无实质性修改后）进行商业性服务得到的利润与委托人分成。</w:t>
      </w:r>
    </w:p>
    <w:p w14:paraId="12C153A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本合同到期日，监理人应在合同完成日起一个月内向城建档案管理部门和委托人提交管理期内监理全部管理资料各一套。</w:t>
      </w:r>
    </w:p>
    <w:p w14:paraId="16D702A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因政策调整等原因终止工程的，监理费用按实际工程量结算。</w:t>
      </w:r>
    </w:p>
    <w:p w14:paraId="7FEC5D8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监理单位应当遵守并执行附件3《工程建设项目监理管理要求》的规定，并承当相应违约责任，监理单位违反该规定所产生的违约金、罚款、赔偿金等，发包单位有权在应付监理单位的任何一笔款项中或履约保证金直接扣除。本合同约定与《工程建设项目监理管理要求》规定内容不一致的，以本合同约定为准。</w:t>
      </w:r>
    </w:p>
    <w:p w14:paraId="393C6C2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按委托人</w:t>
      </w: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管部门要求完成监理合同备案，因监理人原因未能在合同签订后30天内完成备案手续的，按500元/天计算监理人违约金。</w:t>
      </w:r>
    </w:p>
    <w:p w14:paraId="554025B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监理人必须遵守发包人单位的管理规章制度。</w:t>
      </w:r>
    </w:p>
    <w:p w14:paraId="15770FD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符合重庆市住房和城乡建设委员会《关于实施房屋市政工程监理工作“十不准”规定》。</w:t>
      </w:r>
    </w:p>
    <w:p w14:paraId="1B56F3BF">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41EA3AC5">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p>
    <w:p w14:paraId="7A21FDF7">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1E548BC5">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附录1  </w:t>
      </w:r>
    </w:p>
    <w:p w14:paraId="0C0ABAAA">
      <w:pPr>
        <w:overflowPunct w:val="0"/>
        <w:autoSpaceDE w:val="0"/>
        <w:autoSpaceDN w:val="0"/>
        <w:adjustRightInd w:val="0"/>
        <w:snapToGrid w:val="0"/>
        <w:spacing w:line="4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相关服务的范围和内容</w:t>
      </w:r>
    </w:p>
    <w:p w14:paraId="318F38D4">
      <w:pPr>
        <w:numPr>
          <w:ilvl w:val="1"/>
          <w:numId w:val="4"/>
        </w:numPr>
        <w:overflowPunct w:val="0"/>
        <w:autoSpaceDE w:val="0"/>
        <w:autoSpaceDN w:val="0"/>
        <w:adjustRightInd w:val="0"/>
        <w:snapToGrid w:val="0"/>
        <w:spacing w:line="360" w:lineRule="auto"/>
        <w:jc w:val="left"/>
        <w:textAlignment w:val="baseline"/>
        <w:rPr>
          <w:rFonts w:hint="eastAsia" w:ascii="宋体" w:hAnsi="宋体" w:eastAsia="宋体" w:cs="宋体"/>
          <w:color w:val="auto"/>
          <w:szCs w:val="21"/>
          <w:highlight w:val="none"/>
        </w:rPr>
      </w:pPr>
      <w:r>
        <w:rPr>
          <w:rFonts w:hint="eastAsia" w:ascii="宋体" w:hAnsi="宋体" w:eastAsia="宋体" w:cs="宋体"/>
          <w:bCs/>
          <w:color w:val="auto"/>
          <w:sz w:val="24"/>
          <w:highlight w:val="none"/>
        </w:rPr>
        <w:t>保修阶段：</w:t>
      </w:r>
    </w:p>
    <w:p w14:paraId="2CD4A5C5">
      <w:pPr>
        <w:overflowPunct w:val="0"/>
        <w:autoSpaceDE w:val="0"/>
        <w:autoSpaceDN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须督促施工单位在保修期限及缺陷责任期内履行相关义务，其中绿化植物存要求活率应达到100%，在养护期内死亡的植物，应立刻更换（因季节性气温影响除外），更换后的植物养护期及保修期按照更换日期重新计算；督促施工单位按《城市绿化养护质量标准》（DBJ50/T-098-2019）中规定的养护质量一级等级要求进行养护管理。</w:t>
      </w:r>
    </w:p>
    <w:p w14:paraId="69152C55">
      <w:pPr>
        <w:overflowPunct w:val="0"/>
        <w:autoSpaceDE w:val="0"/>
        <w:autoSpaceDN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限内，监理单位每周至少对项目现场巡视一次，巡视内容包括但不限工程质量缺陷、市容市貌（项目外观、绿化养护、杂草等所有影响市容市貌的问题），并将巡视情况形成整改台账报委托人，督促施工单位整改到位。</w:t>
      </w:r>
    </w:p>
    <w:p w14:paraId="7A38D458">
      <w:pPr>
        <w:overflowPunct w:val="0"/>
        <w:autoSpaceDE w:val="0"/>
        <w:autoSpaceDN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监理人在缺陷责任期及保修期内，未履行相关义务或者履行义务不到位的，按照500元-1000元/次支付违约金。</w:t>
      </w:r>
    </w:p>
    <w:p w14:paraId="6FF3E49E">
      <w:pPr>
        <w:overflowPunct w:val="0"/>
        <w:autoSpaceDE w:val="0"/>
        <w:autoSpaceDN w:val="0"/>
        <w:adjustRightInd w:val="0"/>
        <w:snapToGrid w:val="0"/>
        <w:spacing w:line="42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1-2 其他（专业技术咨询、外部协调工作等）。</w:t>
      </w:r>
      <w:r>
        <w:rPr>
          <w:rFonts w:hint="eastAsia" w:ascii="宋体" w:hAnsi="宋体" w:eastAsia="宋体" w:cs="宋体"/>
          <w:b/>
          <w:bCs/>
          <w:color w:val="auto"/>
          <w:sz w:val="24"/>
          <w:szCs w:val="24"/>
          <w:highlight w:val="none"/>
        </w:rPr>
        <w:t xml:space="preserve"> </w:t>
      </w:r>
    </w:p>
    <w:p w14:paraId="03D3CE09">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593B0EFC">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00DB3809">
      <w:pPr>
        <w:pStyle w:val="14"/>
        <w:rPr>
          <w:rFonts w:hint="eastAsia" w:ascii="宋体" w:hAnsi="宋体" w:eastAsia="宋体" w:cs="宋体"/>
          <w:bCs/>
          <w:color w:val="auto"/>
          <w:sz w:val="24"/>
          <w:highlight w:val="none"/>
        </w:rPr>
      </w:pPr>
    </w:p>
    <w:p w14:paraId="1E01D802">
      <w:pPr>
        <w:rPr>
          <w:rFonts w:hint="eastAsia" w:ascii="宋体" w:hAnsi="宋体" w:eastAsia="宋体" w:cs="宋体"/>
          <w:bCs/>
          <w:color w:val="auto"/>
          <w:sz w:val="24"/>
          <w:highlight w:val="none"/>
        </w:rPr>
      </w:pPr>
    </w:p>
    <w:p w14:paraId="490E9DBC">
      <w:pPr>
        <w:pStyle w:val="14"/>
        <w:rPr>
          <w:rFonts w:hint="eastAsia" w:ascii="宋体" w:hAnsi="宋体" w:eastAsia="宋体" w:cs="宋体"/>
          <w:bCs/>
          <w:color w:val="auto"/>
          <w:sz w:val="24"/>
          <w:highlight w:val="none"/>
        </w:rPr>
      </w:pPr>
    </w:p>
    <w:p w14:paraId="2580EF53">
      <w:pPr>
        <w:rPr>
          <w:rFonts w:hint="eastAsia" w:ascii="宋体" w:hAnsi="宋体" w:eastAsia="宋体" w:cs="宋体"/>
          <w:bCs/>
          <w:color w:val="auto"/>
          <w:sz w:val="24"/>
          <w:highlight w:val="none"/>
        </w:rPr>
      </w:pPr>
    </w:p>
    <w:p w14:paraId="31F18CC7">
      <w:pPr>
        <w:pStyle w:val="14"/>
        <w:rPr>
          <w:rFonts w:hint="eastAsia" w:ascii="宋体" w:hAnsi="宋体" w:eastAsia="宋体" w:cs="宋体"/>
          <w:bCs/>
          <w:color w:val="auto"/>
          <w:sz w:val="24"/>
          <w:highlight w:val="none"/>
        </w:rPr>
      </w:pPr>
    </w:p>
    <w:p w14:paraId="173A5267">
      <w:pPr>
        <w:rPr>
          <w:rFonts w:hint="eastAsia" w:ascii="宋体" w:hAnsi="宋体" w:eastAsia="宋体" w:cs="宋体"/>
          <w:bCs/>
          <w:color w:val="auto"/>
          <w:sz w:val="24"/>
          <w:highlight w:val="none"/>
        </w:rPr>
      </w:pPr>
    </w:p>
    <w:p w14:paraId="53CA1ECC">
      <w:pPr>
        <w:pStyle w:val="14"/>
        <w:rPr>
          <w:rFonts w:hint="eastAsia" w:ascii="宋体" w:hAnsi="宋体" w:eastAsia="宋体" w:cs="宋体"/>
          <w:bCs/>
          <w:color w:val="auto"/>
          <w:sz w:val="24"/>
          <w:highlight w:val="none"/>
        </w:rPr>
      </w:pPr>
    </w:p>
    <w:p w14:paraId="491E6052">
      <w:pPr>
        <w:rPr>
          <w:rFonts w:hint="eastAsia" w:ascii="宋体" w:hAnsi="宋体" w:eastAsia="宋体" w:cs="宋体"/>
          <w:bCs/>
          <w:color w:val="auto"/>
          <w:sz w:val="24"/>
          <w:highlight w:val="none"/>
        </w:rPr>
      </w:pPr>
    </w:p>
    <w:p w14:paraId="14537959">
      <w:pPr>
        <w:pStyle w:val="14"/>
        <w:rPr>
          <w:rFonts w:hint="eastAsia" w:ascii="宋体" w:hAnsi="宋体" w:eastAsia="宋体" w:cs="宋体"/>
          <w:bCs/>
          <w:color w:val="auto"/>
          <w:sz w:val="24"/>
          <w:highlight w:val="none"/>
        </w:rPr>
      </w:pPr>
    </w:p>
    <w:p w14:paraId="7E8C7BAC">
      <w:pPr>
        <w:rPr>
          <w:rFonts w:hint="eastAsia" w:ascii="宋体" w:hAnsi="宋体" w:eastAsia="宋体" w:cs="宋体"/>
          <w:bCs/>
          <w:color w:val="auto"/>
          <w:sz w:val="24"/>
          <w:highlight w:val="none"/>
        </w:rPr>
      </w:pPr>
    </w:p>
    <w:p w14:paraId="3700241C">
      <w:pPr>
        <w:pStyle w:val="14"/>
        <w:rPr>
          <w:rFonts w:hint="eastAsia" w:ascii="宋体" w:hAnsi="宋体" w:eastAsia="宋体" w:cs="宋体"/>
          <w:bCs/>
          <w:color w:val="auto"/>
          <w:sz w:val="24"/>
          <w:highlight w:val="none"/>
        </w:rPr>
      </w:pPr>
    </w:p>
    <w:p w14:paraId="7B32B383">
      <w:pPr>
        <w:rPr>
          <w:rFonts w:hint="eastAsia" w:ascii="宋体" w:hAnsi="宋体" w:eastAsia="宋体" w:cs="宋体"/>
          <w:bCs/>
          <w:color w:val="auto"/>
          <w:sz w:val="24"/>
          <w:highlight w:val="none"/>
        </w:rPr>
      </w:pPr>
    </w:p>
    <w:p w14:paraId="3C9C03C1">
      <w:pPr>
        <w:pStyle w:val="14"/>
        <w:rPr>
          <w:rFonts w:hint="eastAsia" w:ascii="宋体" w:hAnsi="宋体" w:eastAsia="宋体" w:cs="宋体"/>
          <w:bCs/>
          <w:color w:val="auto"/>
          <w:sz w:val="24"/>
          <w:highlight w:val="none"/>
        </w:rPr>
      </w:pPr>
    </w:p>
    <w:p w14:paraId="3662AFED">
      <w:pPr>
        <w:rPr>
          <w:rFonts w:hint="eastAsia" w:ascii="宋体" w:hAnsi="宋体" w:eastAsia="宋体" w:cs="宋体"/>
          <w:bCs/>
          <w:color w:val="auto"/>
          <w:sz w:val="24"/>
          <w:highlight w:val="none"/>
        </w:rPr>
      </w:pPr>
    </w:p>
    <w:p w14:paraId="7EC4FA95">
      <w:pPr>
        <w:pStyle w:val="14"/>
        <w:rPr>
          <w:rFonts w:hint="eastAsia" w:ascii="宋体" w:hAnsi="宋体" w:eastAsia="宋体" w:cs="宋体"/>
          <w:bCs/>
          <w:color w:val="auto"/>
          <w:sz w:val="24"/>
          <w:highlight w:val="none"/>
        </w:rPr>
      </w:pPr>
    </w:p>
    <w:p w14:paraId="56A7646D">
      <w:pPr>
        <w:rPr>
          <w:rFonts w:hint="eastAsia" w:ascii="宋体" w:hAnsi="宋体" w:eastAsia="宋体" w:cs="宋体"/>
          <w:bCs/>
          <w:color w:val="auto"/>
          <w:sz w:val="24"/>
          <w:highlight w:val="none"/>
        </w:rPr>
      </w:pPr>
    </w:p>
    <w:p w14:paraId="4F9B7532">
      <w:pPr>
        <w:rPr>
          <w:rFonts w:hint="eastAsia" w:ascii="宋体" w:hAnsi="宋体" w:eastAsia="宋体" w:cs="宋体"/>
          <w:bCs/>
          <w:color w:val="auto"/>
          <w:sz w:val="24"/>
          <w:highlight w:val="none"/>
        </w:rPr>
      </w:pPr>
    </w:p>
    <w:p w14:paraId="187F1A87">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附录2  </w:t>
      </w:r>
    </w:p>
    <w:p w14:paraId="722C0DEB">
      <w:pPr>
        <w:overflowPunct w:val="0"/>
        <w:autoSpaceDE w:val="0"/>
        <w:autoSpaceDN w:val="0"/>
        <w:adjustRightInd w:val="0"/>
        <w:snapToGrid w:val="0"/>
        <w:spacing w:line="4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委托人派遣的人员和资料</w:t>
      </w:r>
    </w:p>
    <w:p w14:paraId="1DC6CBAD">
      <w:pPr>
        <w:overflowPunct w:val="0"/>
        <w:autoSpaceDE w:val="0"/>
        <w:autoSpaceDN w:val="0"/>
        <w:adjustRightInd w:val="0"/>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委托人派遣的人员</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C20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14147BE7">
            <w:pPr>
              <w:overflowPunct w:val="0"/>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770" w:type="dxa"/>
            <w:noWrap w:val="0"/>
            <w:vAlign w:val="top"/>
          </w:tcPr>
          <w:p w14:paraId="65632F3B">
            <w:pPr>
              <w:overflowPunct w:val="0"/>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30" w:type="dxa"/>
            <w:noWrap w:val="0"/>
            <w:vAlign w:val="top"/>
          </w:tcPr>
          <w:p w14:paraId="00C9DBF9">
            <w:pPr>
              <w:overflowPunct w:val="0"/>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工作要求</w:t>
            </w:r>
          </w:p>
        </w:tc>
        <w:tc>
          <w:tcPr>
            <w:tcW w:w="1860" w:type="dxa"/>
            <w:noWrap w:val="0"/>
            <w:vAlign w:val="top"/>
          </w:tcPr>
          <w:p w14:paraId="22FE2C76">
            <w:pPr>
              <w:overflowPunct w:val="0"/>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788F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4ADA8FED">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工程技术人员 </w:t>
            </w:r>
          </w:p>
        </w:tc>
        <w:tc>
          <w:tcPr>
            <w:tcW w:w="1770" w:type="dxa"/>
            <w:noWrap w:val="0"/>
            <w:vAlign w:val="top"/>
          </w:tcPr>
          <w:p w14:paraId="136F57F8">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2130" w:type="dxa"/>
            <w:noWrap w:val="0"/>
            <w:vAlign w:val="top"/>
          </w:tcPr>
          <w:p w14:paraId="6ABB0359">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1860" w:type="dxa"/>
            <w:noWrap w:val="0"/>
            <w:vAlign w:val="top"/>
          </w:tcPr>
          <w:p w14:paraId="7C992466">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r>
      <w:tr w14:paraId="7FC0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702D9ED7">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辅助工作人员</w:t>
            </w:r>
          </w:p>
        </w:tc>
        <w:tc>
          <w:tcPr>
            <w:tcW w:w="1770" w:type="dxa"/>
            <w:noWrap w:val="0"/>
            <w:vAlign w:val="top"/>
          </w:tcPr>
          <w:p w14:paraId="5EC8365B">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2130" w:type="dxa"/>
            <w:noWrap w:val="0"/>
            <w:vAlign w:val="top"/>
          </w:tcPr>
          <w:p w14:paraId="2900AE5C">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1860" w:type="dxa"/>
            <w:noWrap w:val="0"/>
            <w:vAlign w:val="top"/>
          </w:tcPr>
          <w:p w14:paraId="0730D243">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r>
      <w:tr w14:paraId="397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14:paraId="3119B2F3">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其他人员</w:t>
            </w:r>
          </w:p>
        </w:tc>
        <w:tc>
          <w:tcPr>
            <w:tcW w:w="1770" w:type="dxa"/>
            <w:noWrap w:val="0"/>
            <w:vAlign w:val="top"/>
          </w:tcPr>
          <w:p w14:paraId="538D4436">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2130" w:type="dxa"/>
            <w:noWrap w:val="0"/>
            <w:vAlign w:val="top"/>
          </w:tcPr>
          <w:p w14:paraId="46AD7A1D">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1860" w:type="dxa"/>
            <w:noWrap w:val="0"/>
            <w:vAlign w:val="top"/>
          </w:tcPr>
          <w:p w14:paraId="71CF1307">
            <w:pPr>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p>
        </w:tc>
      </w:tr>
    </w:tbl>
    <w:p w14:paraId="5CF8C2DB">
      <w:pPr>
        <w:overflowPunct w:val="0"/>
        <w:autoSpaceDE w:val="0"/>
        <w:autoSpaceDN w:val="0"/>
        <w:adjustRightInd w:val="0"/>
        <w:snapToGrid w:val="0"/>
        <w:spacing w:line="360" w:lineRule="auto"/>
        <w:ind w:firstLine="482" w:firstLineChars="200"/>
        <w:rPr>
          <w:rFonts w:hint="eastAsia" w:ascii="宋体" w:hAnsi="宋体" w:eastAsia="宋体" w:cs="宋体"/>
          <w:b/>
          <w:color w:val="auto"/>
          <w:kern w:val="0"/>
          <w:sz w:val="24"/>
          <w:szCs w:val="24"/>
          <w:highlight w:val="none"/>
        </w:rPr>
      </w:pPr>
    </w:p>
    <w:p w14:paraId="2E62392E">
      <w:pPr>
        <w:overflowPunct w:val="0"/>
        <w:autoSpaceDE w:val="0"/>
        <w:autoSpaceDN w:val="0"/>
        <w:adjustRightInd w:val="0"/>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委托人提供的资料</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1426"/>
        <w:gridCol w:w="1620"/>
        <w:gridCol w:w="1080"/>
      </w:tblGrid>
      <w:tr w14:paraId="50AD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3EE81D30">
            <w:pPr>
              <w:overflowPunct w:val="0"/>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426" w:type="dxa"/>
            <w:noWrap w:val="0"/>
            <w:vAlign w:val="top"/>
          </w:tcPr>
          <w:p w14:paraId="7BFBF6B5">
            <w:pPr>
              <w:overflowPunct w:val="0"/>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份数</w:t>
            </w:r>
          </w:p>
        </w:tc>
        <w:tc>
          <w:tcPr>
            <w:tcW w:w="1620" w:type="dxa"/>
            <w:noWrap w:val="0"/>
            <w:vAlign w:val="top"/>
          </w:tcPr>
          <w:p w14:paraId="32892AFE">
            <w:pPr>
              <w:overflowPunct w:val="0"/>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提供时间</w:t>
            </w:r>
          </w:p>
        </w:tc>
        <w:tc>
          <w:tcPr>
            <w:tcW w:w="1080" w:type="dxa"/>
            <w:noWrap w:val="0"/>
            <w:vAlign w:val="top"/>
          </w:tcPr>
          <w:p w14:paraId="1EEB078C">
            <w:pPr>
              <w:overflowPunct w:val="0"/>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5CE7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6096B88D">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工程立项文件</w:t>
            </w:r>
          </w:p>
        </w:tc>
        <w:tc>
          <w:tcPr>
            <w:tcW w:w="1426" w:type="dxa"/>
            <w:noWrap w:val="0"/>
            <w:vAlign w:val="top"/>
          </w:tcPr>
          <w:p w14:paraId="43070FA9">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27F4CBDD">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35C10761">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r w14:paraId="050B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57454712">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工程勘察文件</w:t>
            </w:r>
          </w:p>
        </w:tc>
        <w:tc>
          <w:tcPr>
            <w:tcW w:w="1426" w:type="dxa"/>
            <w:noWrap w:val="0"/>
            <w:vAlign w:val="top"/>
          </w:tcPr>
          <w:p w14:paraId="43C44A53">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11B9C8EA">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48613943">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r w14:paraId="3722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2A2614C3">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工程设计及施工图纸</w:t>
            </w:r>
          </w:p>
        </w:tc>
        <w:tc>
          <w:tcPr>
            <w:tcW w:w="1426" w:type="dxa"/>
            <w:noWrap w:val="0"/>
            <w:vAlign w:val="top"/>
          </w:tcPr>
          <w:p w14:paraId="424BCCB0">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7A500A8C">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17F89806">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r w14:paraId="7258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1C84FB21">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工程承包合同及其他相关合同</w:t>
            </w:r>
          </w:p>
        </w:tc>
        <w:tc>
          <w:tcPr>
            <w:tcW w:w="1426" w:type="dxa"/>
            <w:noWrap w:val="0"/>
            <w:vAlign w:val="top"/>
          </w:tcPr>
          <w:p w14:paraId="20634396">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7CFDF74C">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333A5829">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r w14:paraId="6DC3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29044976">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施工许可文件</w:t>
            </w:r>
          </w:p>
        </w:tc>
        <w:tc>
          <w:tcPr>
            <w:tcW w:w="1426" w:type="dxa"/>
            <w:noWrap w:val="0"/>
            <w:vAlign w:val="top"/>
          </w:tcPr>
          <w:p w14:paraId="76320C0A">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2BE7CB36">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4ED91902">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r w14:paraId="271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8" w:type="dxa"/>
            <w:noWrap w:val="0"/>
            <w:vAlign w:val="top"/>
          </w:tcPr>
          <w:p w14:paraId="6B35D0FE">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其他文件</w:t>
            </w:r>
          </w:p>
        </w:tc>
        <w:tc>
          <w:tcPr>
            <w:tcW w:w="1426" w:type="dxa"/>
            <w:noWrap w:val="0"/>
            <w:vAlign w:val="top"/>
          </w:tcPr>
          <w:p w14:paraId="35067327">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620" w:type="dxa"/>
            <w:noWrap w:val="0"/>
            <w:vAlign w:val="top"/>
          </w:tcPr>
          <w:p w14:paraId="264A5360">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c>
          <w:tcPr>
            <w:tcW w:w="1080" w:type="dxa"/>
            <w:noWrap w:val="0"/>
            <w:vAlign w:val="top"/>
          </w:tcPr>
          <w:p w14:paraId="23D1D8D6">
            <w:pPr>
              <w:overflowPunct w:val="0"/>
              <w:autoSpaceDE w:val="0"/>
              <w:autoSpaceDN w:val="0"/>
              <w:adjustRightInd w:val="0"/>
              <w:snapToGrid w:val="0"/>
              <w:spacing w:line="360" w:lineRule="auto"/>
              <w:rPr>
                <w:rFonts w:hint="eastAsia" w:ascii="宋体" w:hAnsi="宋体" w:eastAsia="宋体" w:cs="宋体"/>
                <w:color w:val="auto"/>
                <w:kern w:val="0"/>
                <w:sz w:val="24"/>
                <w:szCs w:val="24"/>
                <w:highlight w:val="none"/>
              </w:rPr>
            </w:pPr>
          </w:p>
        </w:tc>
      </w:tr>
    </w:tbl>
    <w:p w14:paraId="3E4FEBF9">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p>
    <w:p w14:paraId="036D2581">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p>
    <w:p w14:paraId="12E4305A">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p>
    <w:p w14:paraId="474EF28B">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p>
    <w:p w14:paraId="4B984970">
      <w:pPr>
        <w:overflowPunct w:val="0"/>
        <w:autoSpaceDE w:val="0"/>
        <w:autoSpaceDN w:val="0"/>
        <w:adjustRightInd w:val="0"/>
        <w:snapToGrid w:val="0"/>
        <w:spacing w:line="420" w:lineRule="exact"/>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6D2AC6EA">
      <w:pPr>
        <w:keepNext w:val="0"/>
        <w:keepLines w:val="0"/>
        <w:pageBreakBefore w:val="0"/>
        <w:widowControl w:val="0"/>
        <w:kinsoku/>
        <w:wordWrap/>
        <w:overflowPunct w:val="0"/>
        <w:topLinePunct w:val="0"/>
        <w:autoSpaceDE w:val="0"/>
        <w:autoSpaceDN w:val="0"/>
        <w:bidi w:val="0"/>
        <w:adjustRightInd w:val="0"/>
        <w:snapToGrid w:val="0"/>
        <w:spacing w:line="440" w:lineRule="exact"/>
        <w:textAlignment w:val="auto"/>
        <w:outlineLvl w:val="2"/>
        <w:rPr>
          <w:rFonts w:hint="eastAsia" w:ascii="宋体" w:hAnsi="宋体" w:eastAsia="宋体" w:cs="宋体"/>
          <w:color w:val="auto"/>
          <w:sz w:val="24"/>
          <w:highlight w:val="none"/>
        </w:rPr>
      </w:pPr>
      <w:r>
        <w:rPr>
          <w:rFonts w:hint="eastAsia" w:ascii="宋体" w:hAnsi="宋体" w:eastAsia="宋体" w:cs="宋体"/>
          <w:bCs/>
          <w:color w:val="auto"/>
          <w:sz w:val="24"/>
          <w:highlight w:val="none"/>
        </w:rPr>
        <w:t>附录3</w:t>
      </w:r>
    </w:p>
    <w:p w14:paraId="23ACAC0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64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工程建设项目监理管理要求</w:t>
      </w:r>
    </w:p>
    <w:p w14:paraId="1CF873C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p>
    <w:p w14:paraId="7C018B6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为更好地发挥监理在工程建设中的监督、管理作用，确保工程的质量、安全、进度、造价可控，满足</w:t>
      </w:r>
      <w:r>
        <w:rPr>
          <w:rFonts w:hint="eastAsia" w:ascii="宋体"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、施工合同、设计文件及相关法律法规的要求，根据工程建设需要特规定如下：</w:t>
      </w:r>
    </w:p>
    <w:p w14:paraId="69931CCB">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一、组织管理</w:t>
      </w:r>
    </w:p>
    <w:p w14:paraId="2401DE7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（一）项目监理人员配备要求</w:t>
      </w:r>
    </w:p>
    <w:p w14:paraId="20A6513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（1）现场监理人员须与合同（</w:t>
      </w:r>
      <w:r>
        <w:rPr>
          <w:rFonts w:hint="eastAsia" w:ascii="宋体" w:hAnsi="宋体" w:eastAsia="宋体" w:cs="宋体"/>
          <w:color w:val="auto"/>
          <w:sz w:val="24"/>
          <w:szCs w:val="20"/>
          <w:highlight w:val="none"/>
          <w:lang w:eastAsia="zh-CN"/>
        </w:rPr>
        <w:t>投标文件</w:t>
      </w:r>
      <w:r>
        <w:rPr>
          <w:rFonts w:hint="eastAsia" w:ascii="宋体" w:hAnsi="宋体" w:eastAsia="宋体" w:cs="宋体"/>
          <w:color w:val="auto"/>
          <w:sz w:val="24"/>
          <w:szCs w:val="20"/>
          <w:highlight w:val="none"/>
        </w:rPr>
        <w:t>）人员相符，从委托人发出监理进场通知之日起，三日内组织监理人员进场，未按合同（</w:t>
      </w:r>
      <w:r>
        <w:rPr>
          <w:rFonts w:hint="eastAsia" w:ascii="宋体" w:hAnsi="宋体" w:eastAsia="宋体" w:cs="宋体"/>
          <w:color w:val="auto"/>
          <w:sz w:val="24"/>
          <w:szCs w:val="20"/>
          <w:highlight w:val="none"/>
          <w:lang w:eastAsia="zh-CN"/>
        </w:rPr>
        <w:t>投标文件</w:t>
      </w:r>
      <w:r>
        <w:rPr>
          <w:rFonts w:hint="eastAsia" w:ascii="宋体" w:hAnsi="宋体" w:eastAsia="宋体" w:cs="宋体"/>
          <w:color w:val="auto"/>
          <w:sz w:val="24"/>
          <w:szCs w:val="20"/>
          <w:highlight w:val="none"/>
        </w:rPr>
        <w:t xml:space="preserve">）配备进场的，总监、副总监或总监代表按1500元/天·人收取违约金，其他监理人员按1000元/天·人收取违约金，超过10天仍未按要求配置的，委托人有权解除合同。 </w:t>
      </w:r>
    </w:p>
    <w:p w14:paraId="5E914B5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不得擅自更换现场监理人员，如有特殊原因不能履职的，需附书面证明材料提交委托人，由工程配套部应会同合同预算部、监察审计部对监理人员变更申请材料进行审查，经分管领导、主要领导批准后方可同意人员变更，并视情况报相关行政主管部门审批；委托人要求更换的监理人员15日内未到场视为监理未进场，按上述标准收取违约金。变更后监理人员资质和业绩不得低于原</w:t>
      </w:r>
      <w:r>
        <w:rPr>
          <w:rFonts w:hint="eastAsia" w:ascii="宋体" w:hAnsi="宋体" w:eastAsia="宋体" w:cs="宋体"/>
          <w:color w:val="auto"/>
          <w:sz w:val="24"/>
          <w:szCs w:val="20"/>
          <w:highlight w:val="none"/>
          <w:lang w:eastAsia="zh-CN"/>
        </w:rPr>
        <w:t>投标文件</w:t>
      </w:r>
      <w:r>
        <w:rPr>
          <w:rFonts w:hint="eastAsia" w:ascii="宋体" w:hAnsi="宋体" w:eastAsia="宋体" w:cs="宋体"/>
          <w:color w:val="auto"/>
          <w:sz w:val="24"/>
          <w:szCs w:val="20"/>
          <w:highlight w:val="none"/>
        </w:rPr>
        <w:t>中提交的人员资质和业绩，且变更后监理人员未到场交接之前，原监理人员须正常履职。</w:t>
      </w:r>
    </w:p>
    <w:p w14:paraId="700D757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（3）擅自变更监理人员的（原监理人员10天未按要求到现场履职的，视为擅自变更监理人员），变更项目总监、副总监或总监代表需交纳合同金额3%·人的违约金（最高不超20万且不低于1万）。</w:t>
      </w:r>
    </w:p>
    <w:p w14:paraId="54CBFD6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（二）项目监理人员考勤</w:t>
      </w:r>
    </w:p>
    <w:p w14:paraId="20E2D00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常驻监理人员平常每天上班时间早上8点半至下午6点半，若现场有工人施工现场就有监理人员旁站，如有事提前1天向委托人现场负责人请假，经同意后监理单位派相对应的监理人员替换，不能连续请假3次，若现场检查未在现场一次罚款500元，每天下午5点碰头会现场监理人员需按时参加，缺席一次罚款1000元，连续3次缺席约谈监理单位法人。值班时间严格遵守合同以及本管理办法要求，委托人代表进行不定期检查；</w:t>
      </w:r>
    </w:p>
    <w:p w14:paraId="1A8452C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特殊情况须向委托人书面请假，所有监理人员每月原则上请假离开工地不超过5天（周一至周五总监、副总监或总监代表须常驻现场，周末可轮流请假），请假期间监理部须做好工作交接，不得影响监理工作；</w:t>
      </w:r>
    </w:p>
    <w:p w14:paraId="7C1FE84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（3）发现缺勤的总监、副总监或总监代表按1500元/次·人收取违约金；无特殊原因，月累计缺勤3天以上，按上述标准加倍收取违约金且委托人有权直接要求更换总监、副总监或总监代表。</w:t>
      </w:r>
    </w:p>
    <w:p w14:paraId="65DE291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（4）发现缺勤的其他监理人员按1000元/次·人收取违约金；无特殊原因，月累计缺勤3天以上，按上述标准加倍收取违约金且委托人有权直接要求更换监理人员。</w:t>
      </w:r>
    </w:p>
    <w:p w14:paraId="1118C6E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（5）事假要提前1天向委托人申请，填写请假条，一天以内委托人现场代表批准，两天以上委托人项目负责人批准。获准假后方可休息，同时、监理单位应另外相派对应的监理工程师接替其监理工作。</w:t>
      </w:r>
    </w:p>
    <w:p w14:paraId="1EB910B0">
      <w:pPr>
        <w:pStyle w:val="14"/>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（6）现场收方：需收方施工单位提前6小时向监理单位申报，若因监理单位自身原因未及时通知委托人、跟审单位或延迟收方时间超过半小时，一次向监理单位罚款500元，连续三次罚款2000元。</w:t>
      </w:r>
    </w:p>
    <w:p w14:paraId="6DE9192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（7）、现场施工作业：若现场有安全施工作业，监理人员必须全程旁站，直到安全操作结束，若经检查发现监理未在现场安全旁站一次向监理单位罚款1000元，连续三次罚款6000元。</w:t>
      </w:r>
    </w:p>
    <w:p w14:paraId="55BC377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（8）监理单位在审核施工单位提供的所有资料，审核通过上报委托人，如审核的资料存在明显不符合常理，脱离市场规律，发现一次罚款1000元，连续三次约谈监理单位法人。</w:t>
      </w:r>
    </w:p>
    <w:p w14:paraId="498EF20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根据工程进度安排需要加班时，所有监理人员必须服从。</w:t>
      </w:r>
    </w:p>
    <w:p w14:paraId="4F1707C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（三）项目监理人员廉政、职业操守</w:t>
      </w:r>
    </w:p>
    <w:p w14:paraId="7069A22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员不得与施工单位勾结、弄虚作假、串通一气，故意隐瞒工程质量安全问题，虚报工程计量支付、变更等，对项目造成损失的，由监理单位承担赔偿责任，并视情况收取违约金，扣减监理费用，情节严重者追究法律责任；</w:t>
      </w:r>
    </w:p>
    <w:p w14:paraId="4081761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（2）不以任何形式收受建设项目施工关联单位、个人的礼物、有价证券、支付凭证、门票等。</w:t>
      </w:r>
    </w:p>
    <w:p w14:paraId="1456C3B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（3）不以任何形式参与建设项目施工关联单位、个人的宴请、娱乐、旅游等。</w:t>
      </w:r>
    </w:p>
    <w:p w14:paraId="3FADD4C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（4）不以任何理由、任何方式（明示、暗示）推荐或介绍材料、机械设备供应商、租赁商；各类服务单位；工程承包、区域、劳务承包单位等。</w:t>
      </w:r>
    </w:p>
    <w:p w14:paraId="496C8AA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（5）家人、亲属、同学等不得直接参与本项目施工关联工作，确有的，应主动报告，并申请回避。</w:t>
      </w:r>
    </w:p>
    <w:p w14:paraId="7EAAE11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二、进度管理</w:t>
      </w:r>
    </w:p>
    <w:p w14:paraId="6A3CB6E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（一）监理单位根据项目工期要求及总进度计划，审查各分部分项工程的年、季、月度计划可行性并提出可行性意见，督促施工单位严格执行。</w:t>
      </w:r>
    </w:p>
    <w:p w14:paraId="7F1C7BB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（二）监理人员须经常深入工地，了解施工单位的工、料、机的投入情况，对进度滞后的工程提出分析意见，采取有效控制措施，督促施工单位按进度计划完成。</w:t>
      </w:r>
    </w:p>
    <w:p w14:paraId="647CD38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（三）项目合同工期分为准备期、建设期两个阶段，监理单位在各阶段须完成但不限于下列内容：</w:t>
      </w:r>
    </w:p>
    <w:p w14:paraId="5BDCD66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1.准备期：</w:t>
      </w:r>
    </w:p>
    <w:p w14:paraId="696B15A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（1）完成监理规划、细则等技术资料报审，做好现场各种检验、试验监理准备工作；</w:t>
      </w:r>
    </w:p>
    <w:p w14:paraId="564CF98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（2）完成监理单位驻地建设；</w:t>
      </w:r>
    </w:p>
    <w:p w14:paraId="66EA4D1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（3）督促施工单位完成各种临设搭建、方案报审及其各种检验、试验施工准备工作。</w:t>
      </w:r>
    </w:p>
    <w:p w14:paraId="1CEC80F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（4）完成对施工单位进场人员、机械设备、材料的检查与审核工作。</w:t>
      </w:r>
    </w:p>
    <w:p w14:paraId="44ADB84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2.建设期：</w:t>
      </w:r>
    </w:p>
    <w:p w14:paraId="4E6368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、设计文件及工程量清单要求督促施工单位完成工程建设，各项过程验收手续及相关资料齐全；</w:t>
      </w:r>
    </w:p>
    <w:p w14:paraId="2B133FB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（2）组织完成项目涉及的规划、环保、消防、节能、景观绿化、防雷、档案等相应的专项验收；</w:t>
      </w:r>
    </w:p>
    <w:p w14:paraId="73BB037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（3）组织完成预验收及移交投运等。 </w:t>
      </w:r>
    </w:p>
    <w:p w14:paraId="6F9A05A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（四）合同工期结束，项目进入竣工备案等相关服务期，监理单位在各阶段须完成但不限于下列内容：</w:t>
      </w:r>
    </w:p>
    <w:p w14:paraId="7156741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1.根据项目具体情况，现场留守专业人员，制定相应的缺陷、维护工作方案，报委托人审批，监理并督促施工单位完成投运初期的缺陷整改和维护工作。</w:t>
      </w:r>
    </w:p>
    <w:p w14:paraId="248242A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2.完成监理单位竣工资料移交，督促施工单位完成竣工资料移交；</w:t>
      </w:r>
    </w:p>
    <w:p w14:paraId="7F3C634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3.积极配合委托人并督促施工单位完成竣工验收及备案工作（若委托人原因无法竣工备案的，须完成除备案手续之外的所有相关资料，达到竣工备案条件）；</w:t>
      </w:r>
    </w:p>
    <w:p w14:paraId="383A5CF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4.完成竣工备案之后（委托人原因无法备案的须满足本条款3中约定），项目进入缺陷责任期。</w:t>
      </w:r>
    </w:p>
    <w:p w14:paraId="767614F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三、造价管理</w:t>
      </w:r>
    </w:p>
    <w:p w14:paraId="7DA9BEF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监理工作范围包括但不限于下列内容：</w:t>
      </w:r>
    </w:p>
    <w:p w14:paraId="5FCABCD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（一）设计文件方面</w:t>
      </w:r>
    </w:p>
    <w:p w14:paraId="2ED6819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（1）严把图纸会审关，在保证工程质量及满足相关功能要求的同时，提出合理化建议减少投资；</w:t>
      </w:r>
    </w:p>
    <w:p w14:paraId="03AF80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（2）结合现场情况审核变更、洽商，审核工程造价，同时建立变更、洽商管理台账，及时清晰的掌握变更、洽商对整个项目的投资影响情况。</w:t>
      </w:r>
    </w:p>
    <w:p w14:paraId="75704BC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（二）过程控制方面</w:t>
      </w:r>
    </w:p>
    <w:p w14:paraId="6041669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（1）熟悉合同文件、设计文件、工程量清单及相关法律法规，严格现场签证、准确计量、准确审核相关资料；</w:t>
      </w:r>
    </w:p>
    <w:p w14:paraId="364066D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（2）应配备相应的测量监理工程师、监理员及相关的仪器设备，对完成工程项目进行收方确认。</w:t>
      </w:r>
    </w:p>
    <w:p w14:paraId="06FFBCC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（3）严格工程款审批，如实审核已完工程数量及相关质量、试验资料等；</w:t>
      </w:r>
    </w:p>
    <w:p w14:paraId="5657AF7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（4）正确处理和防范施工索赔，并协助委托人做好反索赔工作，做好相关记录。</w:t>
      </w:r>
    </w:p>
    <w:p w14:paraId="3242A98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（5）若监理单位原因造成施工索赔，追究监理单位相关违约责任并视情况处以违约金；</w:t>
      </w:r>
    </w:p>
    <w:p w14:paraId="5000DF0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（三）竣工、结算、审计方面</w:t>
      </w:r>
    </w:p>
    <w:p w14:paraId="607AF08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（1）监理单位应根据竣工图结合隐蔽工程资料、现场签证和变更等，审查施工单位是否按设计、规范及合同要求完成所有施工内容；</w:t>
      </w:r>
    </w:p>
    <w:p w14:paraId="124AF88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（2）监理费按费率计算的，若工程结算、审计出现工程费用调整情况，按相应调整比例调整监理费用。</w:t>
      </w:r>
    </w:p>
    <w:p w14:paraId="17EDD6E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四、计量支付</w:t>
      </w:r>
    </w:p>
    <w:p w14:paraId="632D70A3">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（一）监理费支付（扣减各类处罚后），除按照合同约定外，须满足下列要求：</w:t>
      </w:r>
    </w:p>
    <w:p w14:paraId="4F52A70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1.完成同期监理日报、周报、月报；</w:t>
      </w:r>
    </w:p>
    <w:p w14:paraId="150BE93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2.完成同期《监理日志》、《工地例会纪要》等相关资料；</w:t>
      </w:r>
    </w:p>
    <w:p w14:paraId="38889B8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3.完成同期《监理指令》及回复等相关资料；</w:t>
      </w:r>
    </w:p>
    <w:p w14:paraId="0EF90D0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4.完成同期平行检验资料；</w:t>
      </w:r>
    </w:p>
    <w:p w14:paraId="44F89F5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5.完成同期监理工作相关资料。</w:t>
      </w:r>
    </w:p>
    <w:p w14:paraId="2819E6F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（二）监理单位未按照委托人下发文件、会议纪要以及通知的具体要求进行落实或未落实到位的，多次处罚未整改到位的，暂缓或分次支付当期监理费，直至相关事项得到落实。</w:t>
      </w:r>
    </w:p>
    <w:p w14:paraId="4918D57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五、质量管理</w:t>
      </w:r>
    </w:p>
    <w:p w14:paraId="608F451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监理工作范围包括但不限于下列内容：</w:t>
      </w:r>
    </w:p>
    <w:p w14:paraId="7977652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（一）质量事前控制</w:t>
      </w:r>
    </w:p>
    <w:p w14:paraId="07BB56F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1.组织设计图纸会审会议，严把图纸会审关，减少施工过程中的设计变更、洽商；</w:t>
      </w:r>
    </w:p>
    <w:p w14:paraId="3D0B587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2.严格审核各项施工方案，使之符合项目建设需求以及法律法规、强制性条文标准，采取有效措施督促施工单位按批准的方案实施；</w:t>
      </w:r>
    </w:p>
    <w:p w14:paraId="2A4FF34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3.审查并复核测量控制网点以及所有测量成果；</w:t>
      </w:r>
    </w:p>
    <w:p w14:paraId="3B7DEFB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4.审查单位工程、分部分项工程和检验批的划分并根据监理规划进行分析和调整，确定质量控制重点并在监理过程中监督实施、组织验收；</w:t>
      </w:r>
    </w:p>
    <w:p w14:paraId="2B017F3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5.审核总包、区域、检测、试验等施工关联单位资质及人员资质；</w:t>
      </w:r>
    </w:p>
    <w:p w14:paraId="45837A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6.检查特种人员（如测量工、电工、焊工、检测、预应力张拉工、起重工、脚手架工、防水工、司机等）持证上岗情况，并监督实施；</w:t>
      </w:r>
    </w:p>
    <w:p w14:paraId="202E685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7.督促落实施工现场试验室、养护室规范建立，查验其检验、试验设备以及各种工器具的有效合格证件；</w:t>
      </w:r>
    </w:p>
    <w:p w14:paraId="5B5A161D">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bCs/>
          <w:color w:val="auto"/>
          <w:sz w:val="24"/>
          <w:szCs w:val="24"/>
          <w:highlight w:val="none"/>
        </w:rPr>
        <w:t>原材料、机械设备进场验收手续齐全，质量证明资料与实物核验符合设计及规范要求，监理应采取有效措施防止使用未经批准的材料、机械设备；</w:t>
      </w:r>
    </w:p>
    <w:p w14:paraId="4ACF974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9.见证取样：配备相应见证取样监理人员，对涉及结构安全的试块、试件及工程材料现场取样、封样、送检工作进行监督管理。</w:t>
      </w:r>
    </w:p>
    <w:p w14:paraId="440EEB4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10.平行检验：</w:t>
      </w:r>
    </w:p>
    <w:p w14:paraId="0CEA7C4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（1）配备相应试验、测量监理工程师、监理员，设备及各种工器具，按监理规范和相关质量验收及评定标准、规范等，对施工单位的测量、试验、验收工作进行检查、测量、试验、验证。</w:t>
      </w:r>
      <w:r>
        <w:rPr>
          <w:rFonts w:hint="eastAsia" w:ascii="宋体" w:hAnsi="宋体" w:eastAsia="宋体" w:cs="宋体"/>
          <w:color w:val="auto"/>
          <w:sz w:val="24"/>
          <w:szCs w:val="24"/>
          <w:highlight w:val="none"/>
        </w:rPr>
        <w:t>平行检验结果作为进入下道工序和工程验收的依据；</w:t>
      </w:r>
    </w:p>
    <w:p w14:paraId="44D3226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（2）监理应根据项目具体情况编制平行检验方案，包含工程概况及特点；检验依据；检验人员；检验项目及内容、频率；检验方法；数据处理、相关表格等，</w:t>
      </w:r>
      <w:r>
        <w:rPr>
          <w:rFonts w:hint="eastAsia" w:ascii="宋体" w:hAnsi="宋体" w:eastAsia="宋体" w:cs="宋体"/>
          <w:color w:val="auto"/>
          <w:sz w:val="24"/>
          <w:szCs w:val="24"/>
          <w:highlight w:val="none"/>
        </w:rPr>
        <w:t>报委托人审批后实施，简单项目或1000万以下工程项目可简化平行检验工作。</w:t>
      </w:r>
    </w:p>
    <w:p w14:paraId="4FE1E03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（3）测量平行检验：导线测量平行检验、施工放线平行检验等。</w:t>
      </w:r>
    </w:p>
    <w:p w14:paraId="6054193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试验平行检验：对工程，对施工单位所有试验项目（主要原材料、半成品、构配件的技术性能；施工过程中的主要施工工序、施工成果）进行平行检验，监理单位有试验资质的可自行检验；需外委托的，需提交试验单位资质报委托人</w:t>
      </w:r>
      <w:r>
        <w:rPr>
          <w:rFonts w:hint="eastAsia" w:ascii="宋体" w:hAnsi="宋体" w:eastAsia="宋体" w:cs="宋体"/>
          <w:color w:val="auto"/>
          <w:sz w:val="24"/>
          <w:szCs w:val="24"/>
          <w:highlight w:val="none"/>
        </w:rPr>
        <w:t>审批，对于专业检测、试验机构出具的检验、试验报告，监理机构应收集查看检测试验报告是否合格。</w:t>
      </w:r>
    </w:p>
    <w:p w14:paraId="6AC4A85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平行检验：监理人员应对全部分部、分项工程以及每个分部分项工程包括的全部检验批进行独立检查、测量、验收，分部分项工程外观验收频率100%的进行验收，全部检验项目100%的进行验收，实测实量检验项目，检验频率按不低于工程质量验收评定标准规定的施工单位质量自检频率的30%进行。</w:t>
      </w:r>
    </w:p>
    <w:p w14:paraId="3089817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（6）平行检验活动必须由监理机构组织，应按公正、独立、自主的原则进行，以确保平行检验所获得的数据和质量评估结论准确。</w:t>
      </w:r>
    </w:p>
    <w:p w14:paraId="082A5C9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（7）平行检验及相关费用纳入合同总价，委托人不单独支付费用。</w:t>
      </w:r>
    </w:p>
    <w:p w14:paraId="17FCC3C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委托人现场代表可对平行检验工作进行监督、抽检，若抽检结果合格，抽检费用由委托人承担（按国家相关费用标准）；若抽检不合格，抽检费用由监理单位承担，委托人有权视情况收取违约金，扣减监理费用。</w:t>
      </w:r>
    </w:p>
    <w:p w14:paraId="1537595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（二）质量事中控制</w:t>
      </w:r>
    </w:p>
    <w:p w14:paraId="2E1BFA0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1.负责对</w:t>
      </w:r>
      <w:r>
        <w:rPr>
          <w:rFonts w:hint="eastAsia" w:ascii="宋体" w:hAnsi="宋体" w:eastAsia="宋体" w:cs="宋体"/>
          <w:color w:val="auto"/>
          <w:sz w:val="24"/>
          <w:szCs w:val="24"/>
          <w:highlight w:val="none"/>
        </w:rPr>
        <w:t>施工</w:t>
      </w:r>
      <w:r>
        <w:rPr>
          <w:rFonts w:hint="eastAsia" w:ascii="宋体" w:hAnsi="宋体" w:eastAsia="宋体" w:cs="宋体"/>
          <w:bCs/>
          <w:color w:val="auto"/>
          <w:sz w:val="24"/>
          <w:szCs w:val="24"/>
          <w:highlight w:val="none"/>
        </w:rPr>
        <w:t>质量进行全过程监理，使之满足合同文件、设计文件及相关技术规范要求</w:t>
      </w:r>
      <w:r>
        <w:rPr>
          <w:rFonts w:hint="eastAsia" w:ascii="宋体" w:hAnsi="宋体" w:eastAsia="宋体" w:cs="宋体"/>
          <w:color w:val="auto"/>
          <w:sz w:val="24"/>
          <w:szCs w:val="24"/>
          <w:highlight w:val="none"/>
        </w:rPr>
        <w:t>；</w:t>
      </w:r>
    </w:p>
    <w:p w14:paraId="542AC4F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2.严禁擅自修改设计内容施工，若出现变更，应及时完善相关手续，同时建立变更管理台账，</w:t>
      </w:r>
      <w:r>
        <w:rPr>
          <w:rFonts w:hint="eastAsia" w:ascii="宋体" w:hAnsi="宋体" w:eastAsia="宋体" w:cs="宋体"/>
          <w:bCs/>
          <w:color w:val="auto"/>
          <w:sz w:val="24"/>
          <w:szCs w:val="24"/>
          <w:highlight w:val="none"/>
        </w:rPr>
        <w:t>并督促施工单位按批准的变更文件进行施工；</w:t>
      </w:r>
    </w:p>
    <w:p w14:paraId="1EAC238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3.负责对施工现场实行监理旁站：即只要施工现场在施工，监理人员就必须坚守现场，尤其是重要部位、重要工序及隐蔽工程的施工必须实行监理旁站；</w:t>
      </w:r>
    </w:p>
    <w:p w14:paraId="21F95B0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过程中，监理人员应加强过程检查、主动发现并敢于指出问题，对施工过程中明显违反施工规范、与图纸不符、有严重错误的问题，应及时指出并要求施工单位限期整改，必要时签发监理通知单，以减少工序验收时不必要的返工；</w:t>
      </w:r>
    </w:p>
    <w:p w14:paraId="4078322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5.若发现已经或可能形成质量事故的重大隐患，应立即告知委托人，</w:t>
      </w:r>
      <w:r>
        <w:rPr>
          <w:rFonts w:hint="eastAsia" w:ascii="宋体" w:hAnsi="宋体" w:eastAsia="宋体" w:cs="宋体"/>
          <w:color w:val="auto"/>
          <w:sz w:val="24"/>
          <w:szCs w:val="24"/>
          <w:highlight w:val="none"/>
        </w:rPr>
        <w:t>并且</w:t>
      </w:r>
      <w:r>
        <w:rPr>
          <w:rFonts w:hint="eastAsia" w:ascii="宋体" w:hAnsi="宋体" w:eastAsia="宋体" w:cs="宋体"/>
          <w:bCs/>
          <w:color w:val="auto"/>
          <w:sz w:val="24"/>
          <w:szCs w:val="24"/>
          <w:highlight w:val="none"/>
        </w:rPr>
        <w:t>停工整改，整改完毕并通过验收后方可复工；</w:t>
      </w:r>
    </w:p>
    <w:p w14:paraId="46C7327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6.工序检查：坚持上道工序不经检查验收不准进行下道工序的原则，必须经监理工程师</w:t>
      </w:r>
      <w:r>
        <w:rPr>
          <w:rFonts w:hint="eastAsia" w:ascii="宋体" w:hAnsi="宋体" w:eastAsia="宋体" w:cs="宋体"/>
          <w:color w:val="auto"/>
          <w:sz w:val="24"/>
          <w:szCs w:val="24"/>
          <w:highlight w:val="none"/>
        </w:rPr>
        <w:t>亲手量测各项详细数据资料</w:t>
      </w:r>
      <w:r>
        <w:rPr>
          <w:rFonts w:hint="eastAsia" w:ascii="宋体" w:hAnsi="宋体" w:eastAsia="宋体" w:cs="宋体"/>
          <w:bCs/>
          <w:color w:val="auto"/>
          <w:sz w:val="24"/>
          <w:szCs w:val="24"/>
          <w:highlight w:val="none"/>
        </w:rPr>
        <w:t>并验收合格后才能进入下一道工序；</w:t>
      </w:r>
    </w:p>
    <w:p w14:paraId="557C2BEA">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7.定期</w:t>
      </w:r>
      <w:r>
        <w:rPr>
          <w:rFonts w:hint="eastAsia" w:ascii="宋体" w:hAnsi="宋体" w:eastAsia="宋体" w:cs="宋体"/>
          <w:color w:val="auto"/>
          <w:sz w:val="24"/>
          <w:szCs w:val="24"/>
          <w:highlight w:val="none"/>
        </w:rPr>
        <w:t>召开</w:t>
      </w:r>
      <w:r>
        <w:rPr>
          <w:rFonts w:hint="eastAsia" w:ascii="宋体" w:hAnsi="宋体" w:eastAsia="宋体" w:cs="宋体"/>
          <w:bCs/>
          <w:color w:val="auto"/>
          <w:sz w:val="24"/>
          <w:szCs w:val="24"/>
          <w:highlight w:val="none"/>
        </w:rPr>
        <w:t>质量分析会，通报质量状况，分析质量趋势，提出改进措施并监督实施；</w:t>
      </w:r>
    </w:p>
    <w:p w14:paraId="4BEE7F18">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8.组织各分部分项工程、关键工序和隐蔽工程的质量验收，</w:t>
      </w:r>
      <w:r>
        <w:rPr>
          <w:rFonts w:hint="eastAsia" w:ascii="宋体" w:hAnsi="宋体" w:eastAsia="宋体" w:cs="宋体"/>
          <w:color w:val="auto"/>
          <w:sz w:val="24"/>
          <w:szCs w:val="24"/>
          <w:highlight w:val="none"/>
        </w:rPr>
        <w:t>各项验收须满足合同文件、设计文件、工程量清单以及相应规范要求并一次验收合格。</w:t>
      </w:r>
    </w:p>
    <w:p w14:paraId="16F7EA3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（三）质量事后控制</w:t>
      </w:r>
    </w:p>
    <w:p w14:paraId="1A95D77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1.参与工程分部试运行及项目试运行；</w:t>
      </w:r>
    </w:p>
    <w:p w14:paraId="0D9A18A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2.负责对工程项目进行质量评定，如实提交质量评估报告；</w:t>
      </w:r>
    </w:p>
    <w:p w14:paraId="317F063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3.协助委托人准备竣工验收资料与达标投产工作；</w:t>
      </w:r>
    </w:p>
    <w:p w14:paraId="6341631B">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4.审核施工单位的《质量保修证书》；</w:t>
      </w:r>
    </w:p>
    <w:p w14:paraId="365D0B8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5.缺陷责任期满，组织各参建单位及使用单位进行验收，按验收意见督促施工单位进行整改，整改完毕后重新组织验收，直至验收通过方可终止缺陷责任期。</w:t>
      </w:r>
    </w:p>
    <w:p w14:paraId="208D4DC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六、档案、资料管理</w:t>
      </w:r>
    </w:p>
    <w:p w14:paraId="16AA397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（一）《监理日志》、《监理周报》和《监理月报》</w:t>
      </w:r>
    </w:p>
    <w:p w14:paraId="31AB82D0">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1.《监理日志》总监每周审查签名，副总监或总监代表每天审查签名，委托人代表不定期检查，记录情况须准确、详细，且能真实反映现场施工情况；</w:t>
      </w:r>
    </w:p>
    <w:p w14:paraId="611E17B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2.《监理周报》必须真实反应现场施工质量安全情况、本周进展及下周计划、实际进展与月进度计划匹配情况以及需要委托人协调解决的问题；</w:t>
      </w:r>
    </w:p>
    <w:p w14:paraId="0FDAF83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3.《监理月报》必须真实反应现场施工质量安全情况、本月进展及下月计划、实际进展与总进度计划匹配情况、进度滞后的工期保证方案（根据项目需要）以及需要委托人协调解决的问题等。</w:t>
      </w:r>
    </w:p>
    <w:p w14:paraId="1F72F00C">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（二）会议纪要、工程资料</w:t>
      </w:r>
    </w:p>
    <w:p w14:paraId="50EC8EC4">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1.现场会议后24小时内下发会议纪要；</w:t>
      </w:r>
    </w:p>
    <w:p w14:paraId="4B435F2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2.审查工程资料，督促施工单位及时递交，并及时、真实、准确签证，杜绝漏签、错签，严禁代签；</w:t>
      </w:r>
    </w:p>
    <w:p w14:paraId="4CDCA38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3.工程资料审查：自接到施工单位递交之日起，7天内完成审核及签认，不能按时完成时须向施工单位和委托人说明原因。</w:t>
      </w:r>
    </w:p>
    <w:p w14:paraId="280D0C5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（三）按照监理规范及相关规定，除档案馆要求的资料外，监理工作相关的其他资料，如《监理日志》、《工作联系单》等文字、语音、影像资料等均需完整的提交一份给委托人。</w:t>
      </w:r>
    </w:p>
    <w:p w14:paraId="1BF4CCF2">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七、安全文明管理</w:t>
      </w:r>
    </w:p>
    <w:p w14:paraId="31A2DE27">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监理工作范围包括但不限于下列内容：</w:t>
      </w:r>
    </w:p>
    <w:p w14:paraId="1F11A7B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（一）配备专职安全监理工程师，做好日常安全文明监理工作以及作业前安全交底工作，自觉遵守并严格执行安全文明管理制度。</w:t>
      </w:r>
    </w:p>
    <w:p w14:paraId="01C4034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审核施工安全专项方案，督促施工单位落实安全保证体系。</w:t>
      </w:r>
    </w:p>
    <w:p w14:paraId="32888F6F">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（三）督促施工单位建立健全安全生产责任制，人员到位、责任到人。</w:t>
      </w:r>
    </w:p>
    <w:p w14:paraId="6E9BD94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（四）督促施工单位履行安全文明生产制度，项目监理部应定期组织现场安全文明生产的检查，对检查发现的问题应及时要求施工单位整改，并将整改结果上报委托人。</w:t>
      </w:r>
    </w:p>
    <w:p w14:paraId="795DD41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八、备注</w:t>
      </w:r>
    </w:p>
    <w:p w14:paraId="445E92AE">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按设计、相关规范、合同、本要求规定等进行监理的视为违约，委托人有权视情况追究违约责任，并收取违约金，扣减监理费用，若监理单位对违约事项拒签的，按双倍收取违约金，委托人可直接扣减监理费用，无需监理单位签认。</w:t>
      </w:r>
    </w:p>
    <w:p w14:paraId="19E0247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（二）1000万以下工程项目监理，委托人可根据工程项目具体情况简化管理。</w:t>
      </w:r>
    </w:p>
    <w:p w14:paraId="2758BA3C">
      <w:pPr>
        <w:pStyle w:val="49"/>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（三）以上违约金在当期进度产值实际支付款项中予以扣除，纳入工程结算。</w:t>
      </w:r>
    </w:p>
    <w:p w14:paraId="54CD6DC4">
      <w:pPr>
        <w:pStyle w:val="49"/>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级管理人员对监理单位不良行为处罚权限：工程配套部现场代表权限为单次处罚金1000元以内；工程配套部部长为单次处罚金5000元以内；分管领导为单次处罚金30000元以内；主要领导为单次处罚金50000元内；超过时应由委托人相关会议决定。</w:t>
      </w:r>
    </w:p>
    <w:p w14:paraId="7D94B786">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（五）本要求由委托人负责解释，并有权根据项目建设情况进行修订，若有修订按修订后的执行。</w:t>
      </w:r>
    </w:p>
    <w:p w14:paraId="6DAD25C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（六）其他要求：</w:t>
      </w:r>
    </w:p>
    <w:p w14:paraId="2A7A2375">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工程开工之日起至竣工之日止，每天（下午5点至6点）向委托人报当天施工日报(施工日报按委托人要求的模板)，并附施工照片，照片要有日期、时间，如发现一次未按时向委托人报施工日报，向监理单位罚款1000元/次，连续3次未报，请监理单位法人到委托人单位谈话。</w:t>
      </w:r>
    </w:p>
    <w:p w14:paraId="51C10341">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2、每周例会由总监召集， 现场施工例会规定参加人员：监理单位驻工地代表；施工单位项目经理、技术及经济负责人、施工员；委托人现场代表等；</w:t>
      </w:r>
    </w:p>
    <w:p w14:paraId="1C131999">
      <w:pPr>
        <w:keepNext w:val="0"/>
        <w:keepLines w:val="0"/>
        <w:pageBreakBefore w:val="0"/>
        <w:widowControl w:val="0"/>
        <w:kinsoku/>
        <w:wordWrap/>
        <w:overflowPunct w:val="0"/>
        <w:topLinePunct w:val="0"/>
        <w:autoSpaceDE w:val="0"/>
        <w:autoSpaceDN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现场施工工程例会内容：听取各施工单位关于本阶段工程项目的施工进度、施工质量等完成情况、下一步工作安排计划及施工存在问题的汇报；监理工程师总结评价，指出施工单位施工中的不足和问题，提出下一步工程项目的工作要点和要求；委托人提出意见和要求，并对各单位提出的问题做答复；</w:t>
      </w:r>
    </w:p>
    <w:p w14:paraId="1B636989">
      <w:pPr>
        <w:keepNext w:val="0"/>
        <w:keepLines w:val="0"/>
        <w:pageBreakBefore w:val="0"/>
        <w:widowControl w:val="0"/>
        <w:kinsoku/>
        <w:wordWrap/>
        <w:overflowPunct w:val="0"/>
        <w:topLinePunct w:val="0"/>
        <w:autoSpaceDE w:val="0"/>
        <w:autoSpaceDN w:val="0"/>
        <w:bidi w:val="0"/>
        <w:adjustRightInd w:val="0"/>
        <w:snapToGrid w:val="0"/>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现场施工工程例会在完成后的24小时内，监理工程师必须编写会议纪要，会议纪要要有各施工单位负责人、总监理工程师、委托人现场代表签字认可。</w:t>
      </w:r>
    </w:p>
    <w:p w14:paraId="2FEF7DF4">
      <w:pPr>
        <w:spacing w:after="120"/>
        <w:rPr>
          <w:rFonts w:hint="eastAsia" w:ascii="宋体" w:hAnsi="宋体" w:eastAsia="宋体" w:cs="宋体"/>
          <w:color w:val="auto"/>
          <w:szCs w:val="21"/>
          <w:highlight w:val="none"/>
        </w:rPr>
      </w:pPr>
    </w:p>
    <w:p w14:paraId="18BD6854">
      <w:pPr>
        <w:rPr>
          <w:rFonts w:hint="eastAsia" w:ascii="宋体" w:hAnsi="宋体" w:eastAsia="宋体" w:cs="宋体"/>
          <w:color w:val="auto"/>
          <w:szCs w:val="21"/>
          <w:highlight w:val="none"/>
        </w:rPr>
      </w:pPr>
    </w:p>
    <w:p w14:paraId="0E770C4F">
      <w:pPr>
        <w:spacing w:after="120"/>
        <w:rPr>
          <w:rFonts w:hint="eastAsia" w:ascii="宋体" w:hAnsi="宋体" w:eastAsia="宋体" w:cs="宋体"/>
          <w:color w:val="auto"/>
          <w:szCs w:val="21"/>
          <w:highlight w:val="none"/>
        </w:rPr>
      </w:pPr>
    </w:p>
    <w:p w14:paraId="6D0E2F95">
      <w:pPr>
        <w:rPr>
          <w:rFonts w:hint="eastAsia" w:ascii="宋体" w:hAnsi="宋体" w:eastAsia="宋体" w:cs="宋体"/>
          <w:color w:val="auto"/>
          <w:szCs w:val="21"/>
          <w:highlight w:val="none"/>
        </w:rPr>
      </w:pPr>
    </w:p>
    <w:p w14:paraId="26BCC654">
      <w:pPr>
        <w:spacing w:after="120"/>
        <w:rPr>
          <w:rFonts w:hint="eastAsia" w:ascii="宋体" w:hAnsi="宋体" w:eastAsia="宋体" w:cs="宋体"/>
          <w:color w:val="auto"/>
          <w:szCs w:val="21"/>
          <w:highlight w:val="none"/>
        </w:rPr>
      </w:pPr>
    </w:p>
    <w:p w14:paraId="5E0EA8D8">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24503251">
      <w:pPr>
        <w:overflowPunct w:val="0"/>
        <w:autoSpaceDE w:val="0"/>
        <w:autoSpaceDN w:val="0"/>
        <w:adjustRightInd w:val="0"/>
        <w:snapToGrid w:val="0"/>
        <w:spacing w:line="420" w:lineRule="exact"/>
        <w:outlineLvl w:val="2"/>
        <w:rPr>
          <w:rFonts w:hint="eastAsia" w:ascii="宋体" w:hAnsi="宋体" w:eastAsia="宋体" w:cs="宋体"/>
          <w:bCs/>
          <w:snapToGrid w:val="0"/>
          <w:color w:val="auto"/>
          <w:spacing w:val="-2"/>
          <w:sz w:val="24"/>
          <w:highlight w:val="none"/>
        </w:rPr>
      </w:pPr>
      <w:r>
        <w:rPr>
          <w:rFonts w:hint="eastAsia" w:ascii="宋体" w:hAnsi="宋体" w:eastAsia="宋体" w:cs="宋体"/>
          <w:bCs/>
          <w:color w:val="auto"/>
          <w:sz w:val="24"/>
          <w:highlight w:val="none"/>
        </w:rPr>
        <w:t>附录4</w:t>
      </w:r>
    </w:p>
    <w:p w14:paraId="404056CA">
      <w:pPr>
        <w:widowControl/>
        <w:snapToGrid w:val="0"/>
        <w:spacing w:line="594" w:lineRule="exac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监理人员配置表</w:t>
      </w:r>
    </w:p>
    <w:p w14:paraId="46921568">
      <w:pPr>
        <w:rPr>
          <w:rFonts w:hint="eastAsia" w:ascii="宋体" w:hAnsi="宋体" w:eastAsia="宋体" w:cs="宋体"/>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1"/>
        <w:gridCol w:w="1871"/>
        <w:gridCol w:w="1871"/>
      </w:tblGrid>
      <w:tr w14:paraId="3466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71" w:type="dxa"/>
            <w:noWrap w:val="0"/>
            <w:vAlign w:val="top"/>
          </w:tcPr>
          <w:p w14:paraId="5584EA87">
            <w:pPr>
              <w:widowControl/>
              <w:snapToGrid w:val="0"/>
              <w:spacing w:line="594"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 名</w:t>
            </w:r>
          </w:p>
        </w:tc>
        <w:tc>
          <w:tcPr>
            <w:tcW w:w="1871" w:type="dxa"/>
            <w:noWrap w:val="0"/>
            <w:vAlign w:val="top"/>
          </w:tcPr>
          <w:p w14:paraId="7754680B">
            <w:pPr>
              <w:widowControl/>
              <w:snapToGrid w:val="0"/>
              <w:spacing w:line="594"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职务/职称</w:t>
            </w:r>
          </w:p>
        </w:tc>
        <w:tc>
          <w:tcPr>
            <w:tcW w:w="1871" w:type="dxa"/>
            <w:noWrap w:val="0"/>
            <w:vAlign w:val="top"/>
          </w:tcPr>
          <w:p w14:paraId="3EC52A92">
            <w:pPr>
              <w:widowControl/>
              <w:snapToGrid w:val="0"/>
              <w:spacing w:line="594"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担任职责</w:t>
            </w:r>
          </w:p>
        </w:tc>
        <w:tc>
          <w:tcPr>
            <w:tcW w:w="1871" w:type="dxa"/>
            <w:noWrap w:val="0"/>
            <w:vAlign w:val="top"/>
          </w:tcPr>
          <w:p w14:paraId="1450C83C">
            <w:pPr>
              <w:widowControl/>
              <w:snapToGrid w:val="0"/>
              <w:spacing w:line="594"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871" w:type="dxa"/>
            <w:noWrap w:val="0"/>
            <w:vAlign w:val="top"/>
          </w:tcPr>
          <w:p w14:paraId="25974E45">
            <w:pPr>
              <w:widowControl/>
              <w:snapToGrid w:val="0"/>
              <w:spacing w:line="594"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4409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71" w:type="dxa"/>
            <w:noWrap w:val="0"/>
            <w:vAlign w:val="center"/>
          </w:tcPr>
          <w:p w14:paraId="65649FF1">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48B086EF">
            <w:pPr>
              <w:spacing w:line="400" w:lineRule="exact"/>
              <w:jc w:val="center"/>
              <w:rPr>
                <w:rFonts w:hint="eastAsia" w:ascii="宋体" w:hAnsi="宋体" w:eastAsia="宋体" w:cs="宋体"/>
                <w:bCs/>
                <w:color w:val="auto"/>
                <w:sz w:val="24"/>
                <w:highlight w:val="none"/>
              </w:rPr>
            </w:pPr>
          </w:p>
        </w:tc>
        <w:tc>
          <w:tcPr>
            <w:tcW w:w="1871" w:type="dxa"/>
            <w:noWrap w:val="0"/>
            <w:vAlign w:val="center"/>
          </w:tcPr>
          <w:p w14:paraId="3C535A7B">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066C845F">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2060B92C">
            <w:pPr>
              <w:spacing w:line="594" w:lineRule="exact"/>
              <w:jc w:val="center"/>
              <w:rPr>
                <w:rFonts w:hint="eastAsia" w:ascii="宋体" w:hAnsi="宋体" w:eastAsia="宋体" w:cs="宋体"/>
                <w:bCs/>
                <w:color w:val="auto"/>
                <w:sz w:val="24"/>
                <w:highlight w:val="none"/>
              </w:rPr>
            </w:pPr>
          </w:p>
        </w:tc>
      </w:tr>
      <w:tr w14:paraId="3D68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71" w:type="dxa"/>
            <w:noWrap w:val="0"/>
            <w:vAlign w:val="center"/>
          </w:tcPr>
          <w:p w14:paraId="3513A13F">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716B0D9A">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138CA6B0">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35A32999">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2D254D3C">
            <w:pPr>
              <w:spacing w:line="594" w:lineRule="exact"/>
              <w:jc w:val="center"/>
              <w:rPr>
                <w:rFonts w:hint="eastAsia" w:ascii="宋体" w:hAnsi="宋体" w:eastAsia="宋体" w:cs="宋体"/>
                <w:bCs/>
                <w:color w:val="auto"/>
                <w:sz w:val="24"/>
                <w:highlight w:val="none"/>
              </w:rPr>
            </w:pPr>
          </w:p>
        </w:tc>
      </w:tr>
      <w:tr w14:paraId="3B9E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71" w:type="dxa"/>
            <w:noWrap w:val="0"/>
            <w:vAlign w:val="center"/>
          </w:tcPr>
          <w:p w14:paraId="364A7DB1">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3DA3C209">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56DC9274">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48D005E7">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3EFEF531">
            <w:pPr>
              <w:spacing w:line="594" w:lineRule="exact"/>
              <w:jc w:val="center"/>
              <w:rPr>
                <w:rFonts w:hint="eastAsia" w:ascii="宋体" w:hAnsi="宋体" w:eastAsia="宋体" w:cs="宋体"/>
                <w:bCs/>
                <w:color w:val="auto"/>
                <w:sz w:val="24"/>
                <w:highlight w:val="none"/>
              </w:rPr>
            </w:pPr>
          </w:p>
        </w:tc>
      </w:tr>
      <w:tr w14:paraId="4B2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71" w:type="dxa"/>
            <w:noWrap w:val="0"/>
            <w:vAlign w:val="center"/>
          </w:tcPr>
          <w:p w14:paraId="337B93EB">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1C4B52AA">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04FC0458">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5591EFCE">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36AFCA7D">
            <w:pPr>
              <w:spacing w:line="594" w:lineRule="exact"/>
              <w:jc w:val="center"/>
              <w:rPr>
                <w:rFonts w:hint="eastAsia" w:ascii="宋体" w:hAnsi="宋体" w:eastAsia="宋体" w:cs="宋体"/>
                <w:bCs/>
                <w:color w:val="auto"/>
                <w:sz w:val="24"/>
                <w:highlight w:val="none"/>
              </w:rPr>
            </w:pPr>
          </w:p>
        </w:tc>
      </w:tr>
      <w:tr w14:paraId="6F3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71" w:type="dxa"/>
            <w:noWrap w:val="0"/>
            <w:vAlign w:val="center"/>
          </w:tcPr>
          <w:p w14:paraId="1A89D05B">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7087CDFD">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17DE195E">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52D93FA3">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443870EF">
            <w:pPr>
              <w:spacing w:line="594" w:lineRule="exact"/>
              <w:jc w:val="center"/>
              <w:rPr>
                <w:rFonts w:hint="eastAsia" w:ascii="宋体" w:hAnsi="宋体" w:eastAsia="宋体" w:cs="宋体"/>
                <w:bCs/>
                <w:color w:val="auto"/>
                <w:sz w:val="24"/>
                <w:highlight w:val="none"/>
              </w:rPr>
            </w:pPr>
          </w:p>
        </w:tc>
      </w:tr>
      <w:tr w14:paraId="12EE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71" w:type="dxa"/>
            <w:noWrap w:val="0"/>
            <w:vAlign w:val="center"/>
          </w:tcPr>
          <w:p w14:paraId="33602851">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201840DB">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15BB355C">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196C10C4">
            <w:pPr>
              <w:spacing w:line="594" w:lineRule="exact"/>
              <w:jc w:val="center"/>
              <w:rPr>
                <w:rFonts w:hint="eastAsia" w:ascii="宋体" w:hAnsi="宋体" w:eastAsia="宋体" w:cs="宋体"/>
                <w:bCs/>
                <w:color w:val="auto"/>
                <w:sz w:val="24"/>
                <w:highlight w:val="none"/>
              </w:rPr>
            </w:pPr>
          </w:p>
        </w:tc>
        <w:tc>
          <w:tcPr>
            <w:tcW w:w="1871" w:type="dxa"/>
            <w:noWrap w:val="0"/>
            <w:vAlign w:val="center"/>
          </w:tcPr>
          <w:p w14:paraId="4DF9E78C">
            <w:pPr>
              <w:spacing w:line="594" w:lineRule="exact"/>
              <w:jc w:val="center"/>
              <w:rPr>
                <w:rFonts w:hint="eastAsia" w:ascii="宋体" w:hAnsi="宋体" w:eastAsia="宋体" w:cs="宋体"/>
                <w:bCs/>
                <w:color w:val="auto"/>
                <w:sz w:val="24"/>
                <w:highlight w:val="none"/>
              </w:rPr>
            </w:pPr>
          </w:p>
        </w:tc>
      </w:tr>
    </w:tbl>
    <w:p w14:paraId="60515D29">
      <w:pPr>
        <w:overflowPunct w:val="0"/>
        <w:autoSpaceDE w:val="0"/>
        <w:autoSpaceDN w:val="0"/>
        <w:adjustRightInd w:val="0"/>
        <w:snapToGrid w:val="0"/>
        <w:spacing w:line="420" w:lineRule="exact"/>
        <w:ind w:firstLine="472" w:firstLineChars="200"/>
        <w:rPr>
          <w:rFonts w:hint="eastAsia" w:ascii="宋体" w:hAnsi="宋体" w:eastAsia="宋体" w:cs="宋体"/>
          <w:snapToGrid w:val="0"/>
          <w:color w:val="auto"/>
          <w:spacing w:val="-2"/>
          <w:sz w:val="24"/>
          <w:highlight w:val="none"/>
        </w:rPr>
      </w:pPr>
    </w:p>
    <w:p w14:paraId="1323C12D">
      <w:pPr>
        <w:overflowPunct w:val="0"/>
        <w:autoSpaceDE w:val="0"/>
        <w:autoSpaceDN w:val="0"/>
        <w:adjustRightInd w:val="0"/>
        <w:snapToGrid w:val="0"/>
        <w:spacing w:line="4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p w14:paraId="21581423">
      <w:pPr>
        <w:overflowPunct w:val="0"/>
        <w:autoSpaceDE w:val="0"/>
        <w:autoSpaceDN w:val="0"/>
        <w:adjustRightInd w:val="0"/>
        <w:snapToGrid w:val="0"/>
        <w:spacing w:line="420" w:lineRule="exact"/>
        <w:ind w:firstLine="480" w:firstLineChars="200"/>
        <w:rPr>
          <w:rFonts w:hint="eastAsia" w:ascii="宋体" w:hAnsi="宋体" w:eastAsia="宋体" w:cs="宋体"/>
          <w:snapToGrid w:val="0"/>
          <w:color w:val="auto"/>
          <w:spacing w:val="-2"/>
          <w:sz w:val="22"/>
          <w:szCs w:val="18"/>
          <w:highlight w:val="none"/>
        </w:rPr>
      </w:pPr>
      <w:r>
        <w:rPr>
          <w:rFonts w:hint="eastAsia" w:ascii="宋体" w:hAnsi="宋体" w:eastAsia="宋体" w:cs="宋体"/>
          <w:color w:val="auto"/>
          <w:sz w:val="24"/>
          <w:szCs w:val="20"/>
          <w:highlight w:val="none"/>
        </w:rPr>
        <w:t>1、监理人须按照渝建发〔2014〕35号、渝建发〔2014〕101号、渝建〔2016〕373号文件要求配置监理人员；有要求时，确保中标备案完成。</w:t>
      </w:r>
    </w:p>
    <w:p w14:paraId="312655F3">
      <w:pPr>
        <w:overflowPunct w:val="0"/>
        <w:autoSpaceDE w:val="0"/>
        <w:autoSpaceDN w:val="0"/>
        <w:adjustRightInd w:val="0"/>
        <w:snapToGrid w:val="0"/>
        <w:spacing w:line="4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2、签订合同时提交以上人员任命书，并附身份证、职称证书、职业资格证及社保附件加盖公章（三套）。</w:t>
      </w:r>
    </w:p>
    <w:p w14:paraId="0E3F2901">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05127701">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1C002BC6">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12F66EDE">
      <w:pPr>
        <w:overflowPunct w:val="0"/>
        <w:autoSpaceDE w:val="0"/>
        <w:autoSpaceDN w:val="0"/>
        <w:adjustRightInd w:val="0"/>
        <w:snapToGrid w:val="0"/>
        <w:spacing w:line="420" w:lineRule="exact"/>
        <w:rPr>
          <w:rFonts w:hint="eastAsia" w:ascii="宋体" w:hAnsi="宋体" w:eastAsia="宋体" w:cs="宋体"/>
          <w:bCs/>
          <w:color w:val="auto"/>
          <w:sz w:val="24"/>
          <w:highlight w:val="none"/>
        </w:rPr>
      </w:pPr>
    </w:p>
    <w:p w14:paraId="4270565A">
      <w:pPr>
        <w:keepNext w:val="0"/>
        <w:keepLines w:val="0"/>
        <w:pageBreakBefore w:val="0"/>
        <w:kinsoku/>
        <w:wordWrap/>
        <w:topLinePunct w:val="0"/>
        <w:bidi w:val="0"/>
        <w:spacing w:line="440" w:lineRule="exact"/>
        <w:textAlignment w:val="auto"/>
        <w:rPr>
          <w:rFonts w:hint="eastAsia" w:ascii="宋体" w:hAnsi="宋体" w:eastAsia="宋体" w:cs="宋体"/>
          <w:bCs/>
          <w:snapToGrid w:val="0"/>
          <w:color w:val="auto"/>
          <w:spacing w:val="-2"/>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附录5</w:t>
      </w:r>
    </w:p>
    <w:p w14:paraId="2260D67C">
      <w:pPr>
        <w:keepNext w:val="0"/>
        <w:keepLines w:val="0"/>
        <w:pageBreakBefore w:val="0"/>
        <w:kinsoku/>
        <w:wordWrap/>
        <w:overflowPunct w:val="0"/>
        <w:topLinePunct w:val="0"/>
        <w:autoSpaceDE w:val="0"/>
        <w:autoSpaceDN w:val="0"/>
        <w:bidi w:val="0"/>
        <w:adjustRightInd w:val="0"/>
        <w:snapToGrid w:val="0"/>
        <w:spacing w:line="440" w:lineRule="exact"/>
        <w:ind w:firstLine="632" w:firstLineChars="200"/>
        <w:jc w:val="center"/>
        <w:textAlignment w:val="auto"/>
        <w:rPr>
          <w:rFonts w:hint="eastAsia" w:ascii="宋体" w:hAnsi="宋体" w:eastAsia="宋体" w:cs="宋体"/>
          <w:snapToGrid w:val="0"/>
          <w:color w:val="auto"/>
          <w:spacing w:val="-2"/>
          <w:sz w:val="32"/>
          <w:szCs w:val="32"/>
          <w:highlight w:val="none"/>
        </w:rPr>
      </w:pPr>
      <w:r>
        <w:rPr>
          <w:rFonts w:hint="eastAsia" w:ascii="宋体" w:hAnsi="宋体" w:eastAsia="宋体" w:cs="宋体"/>
          <w:snapToGrid w:val="0"/>
          <w:color w:val="auto"/>
          <w:spacing w:val="-2"/>
          <w:sz w:val="32"/>
          <w:szCs w:val="32"/>
          <w:highlight w:val="none"/>
        </w:rPr>
        <w:t>廉政责任书</w:t>
      </w:r>
    </w:p>
    <w:p w14:paraId="7A37AF6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p>
    <w:p w14:paraId="4B23364A">
      <w:pPr>
        <w:keepNext w:val="0"/>
        <w:keepLines w:val="0"/>
        <w:pageBreakBefore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 xml:space="preserve"> </w:t>
      </w:r>
    </w:p>
    <w:p w14:paraId="52610EA3">
      <w:pPr>
        <w:keepNext w:val="0"/>
        <w:keepLines w:val="0"/>
        <w:pageBreakBefore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监理人：</w:t>
      </w:r>
      <w:r>
        <w:rPr>
          <w:rFonts w:hint="eastAsia" w:ascii="宋体" w:hAnsi="宋体" w:eastAsia="宋体" w:cs="宋体"/>
          <w:color w:val="auto"/>
          <w:sz w:val="24"/>
          <w:szCs w:val="24"/>
          <w:highlight w:val="none"/>
          <w:u w:val="single"/>
        </w:rPr>
        <w:t xml:space="preserve">             </w:t>
      </w:r>
    </w:p>
    <w:p w14:paraId="199A98E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建设工程廉政建设，规范建设工程各项活动中委托人监理人双方的行为，防止谋取不正当利益的违法违纪现象的发生，保护国家、集体和当事人的合法权益，根据国家有关工程建设的法律法规和廉政建设的有关规定，订立本廉政责任书。</w:t>
      </w:r>
    </w:p>
    <w:p w14:paraId="625565A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一、双方的责任</w:t>
      </w:r>
    </w:p>
    <w:p w14:paraId="511666A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1.1应严格遵守国家关于建设工程的有关法律、法规，相关政策，以及廉政建设的各项规定。</w:t>
      </w:r>
    </w:p>
    <w:p w14:paraId="072BD68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1.2严格执行建设工程合同文件，自觉按合同办事。</w:t>
      </w:r>
    </w:p>
    <w:p w14:paraId="0C54BE2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1E036F25">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1.4发现对方在业务活动中有违规、违纪、违法行为的，应及时提醒对方，情节严重的，应向其上级主管部门或纪检监察、司法等有关机关举报。</w:t>
      </w:r>
    </w:p>
    <w:p w14:paraId="0539C3D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二、委托人责任</w:t>
      </w:r>
    </w:p>
    <w:p w14:paraId="77F2A30D">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委托人的领导和从事该建设工程项目的工作人员，在工程建设的事前、事中、事后应遵守以下规定：</w:t>
      </w:r>
    </w:p>
    <w:p w14:paraId="797EEA06">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2.1不得向监理人和相关单位索要或接受回扣、礼金、有价证券、贵重物品和好处费、感谢费等。</w:t>
      </w:r>
    </w:p>
    <w:p w14:paraId="0D5A8BD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2.2不得在监理人和相关单位报销任何应由委托人或个人支付的费用。</w:t>
      </w:r>
    </w:p>
    <w:p w14:paraId="4794D8D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2.3不得要求、暗示或接受监理人和相关单位为个人装修住房、婚丧嫁娶、配偶子女的工作安排以及出国(境)、旅游等提供方便。</w:t>
      </w:r>
    </w:p>
    <w:p w14:paraId="517CABB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2.4不得参加有可能影响公正执行公务的监理人和相关单位的宴请、健身、娱乐等活动。</w:t>
      </w:r>
    </w:p>
    <w:p w14:paraId="6F4CE38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2.5不得向监理人和相关单位介绍或为配偶、子女、亲属参与同委托人工程建设管理合同有关的业务活动；不得以任何理由要求监理人和相关单位使用某种产品、材料和设备。</w:t>
      </w:r>
    </w:p>
    <w:p w14:paraId="3FF46E5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三、监理人责任</w:t>
      </w:r>
    </w:p>
    <w:p w14:paraId="5E61E3E9">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应与委托人保持正常的业务交往，按照有关法律法规和程序开展业务工作，严格执行工程建设的有关方针、政策，执行工程建设强制性标准，并遵守以下规定：</w:t>
      </w:r>
    </w:p>
    <w:p w14:paraId="352E9D7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3.1不得以任何理由向委托人及其工作人员索要、接受或赠送礼金、有价证券、贵重物品及回扣、好处费、感谢费等。</w:t>
      </w:r>
    </w:p>
    <w:p w14:paraId="5E3783EF">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3.2不得以任何理由为委托人和相关单位报销应由对方或个人支付的费用。</w:t>
      </w:r>
    </w:p>
    <w:p w14:paraId="3C71FF1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3.3不得接受或暗示为委托人、相关单位或个人装修住房、婚丧嫁娶、配偶子女的工作安排以及出国(境)、旅游等提供方便。</w:t>
      </w:r>
    </w:p>
    <w:p w14:paraId="1D7D06C7">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3.4不得以任何理由为委托人、相关单位或个人组织有可能影响公正执行公务的宴请、健身、娱乐等活动。</w:t>
      </w:r>
    </w:p>
    <w:p w14:paraId="6EEC4FF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190323CA">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4.1委托人工作人员有违反本责任书第一、二条责任行为的，依据有关法律、法规给予处理；涉嫌犯罪的，移交司法机关追究刑事责任；给监理人单位造成经济损失的，应予以赔偿。</w:t>
      </w:r>
    </w:p>
    <w:p w14:paraId="2B2DCAD0">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4.2监理人工作人员有违反本责任书第一、三条责任行为的，依据有关法律法规处理；涉嫌犯罪的，移交司法机关追究刑事责任；给委托人单位造成经济损失的，应予以赔偿。</w:t>
      </w:r>
    </w:p>
    <w:p w14:paraId="1CC293E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4.3本责任书作为建设工程监理合同的组成部分，与建设工程监理合同具有同等法律效力。经双方签署后立即生效。</w:t>
      </w:r>
    </w:p>
    <w:p w14:paraId="6AB03728">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五、责任书有效期</w:t>
      </w:r>
    </w:p>
    <w:p w14:paraId="65AC420B">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本责任书的有效期为双方签署之日起至该工程项目竣工验收合格时止。</w:t>
      </w:r>
    </w:p>
    <w:p w14:paraId="0E06B873">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六、责任书份数</w:t>
      </w:r>
    </w:p>
    <w:p w14:paraId="51487361">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本责任书份数同合同协议书。</w:t>
      </w:r>
    </w:p>
    <w:p w14:paraId="36CFF722">
      <w:pPr>
        <w:keepNext w:val="0"/>
        <w:keepLines w:val="0"/>
        <w:pageBreakBefore w:val="0"/>
        <w:kinsoku/>
        <w:wordWrap/>
        <w:overflowPunct w:val="0"/>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p>
    <w:p w14:paraId="54AA053B">
      <w:pPr>
        <w:keepNext w:val="0"/>
        <w:keepLines w:val="0"/>
        <w:pageBreakBefore w:val="0"/>
        <w:kinsoku/>
        <w:wordWrap/>
        <w:overflowPunct w:val="0"/>
        <w:topLinePunct w:val="0"/>
        <w:autoSpaceDE w:val="0"/>
        <w:autoSpaceDN w:val="0"/>
        <w:bidi w:val="0"/>
        <w:adjustRightInd w:val="0"/>
        <w:snapToGrid w:val="0"/>
        <w:spacing w:line="440" w:lineRule="exact"/>
        <w:ind w:right="-227" w:rightChars="-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 (盖章)                           监理人： (盖章)</w:t>
      </w:r>
    </w:p>
    <w:p w14:paraId="1C9DCDF6">
      <w:pPr>
        <w:keepNext w:val="0"/>
        <w:keepLines w:val="0"/>
        <w:pageBreakBefore w:val="0"/>
        <w:widowControl/>
        <w:kinsoku/>
        <w:wordWrap/>
        <w:topLinePunct w:val="0"/>
        <w:bidi w:val="0"/>
        <w:spacing w:line="440" w:lineRule="exact"/>
        <w:ind w:right="-656" w:firstLine="1922" w:firstLineChars="80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50A4D8">
      <w:pPr>
        <w:keepNext w:val="0"/>
        <w:keepLines w:val="0"/>
        <w:pageBreakBefore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6B6E204F">
      <w:pPr>
        <w:keepNext w:val="0"/>
        <w:keepLines w:val="0"/>
        <w:pageBreakBefore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电话：   </w:t>
      </w:r>
    </w:p>
    <w:p w14:paraId="4E4976A3">
      <w:pPr>
        <w:keepNext w:val="0"/>
        <w:keepLines w:val="0"/>
        <w:pageBreakBefore w:val="0"/>
        <w:kinsoku/>
        <w:wordWrap/>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2EF3D1CE">
      <w:pPr>
        <w:overflowPunct w:val="0"/>
        <w:autoSpaceDE w:val="0"/>
        <w:autoSpaceDN w:val="0"/>
        <w:adjustRightInd w:val="0"/>
        <w:snapToGrid w:val="0"/>
        <w:spacing w:line="560" w:lineRule="exact"/>
        <w:ind w:firstLine="480" w:firstLineChars="200"/>
        <w:rPr>
          <w:rFonts w:hint="eastAsia" w:ascii="宋体" w:hAnsi="宋体" w:eastAsia="宋体" w:cs="宋体"/>
          <w:color w:val="auto"/>
          <w:sz w:val="24"/>
          <w:highlight w:val="none"/>
        </w:rPr>
      </w:pPr>
    </w:p>
    <w:p w14:paraId="7B80BA10">
      <w:pPr>
        <w:overflowPunct w:val="0"/>
        <w:autoSpaceDE w:val="0"/>
        <w:autoSpaceDN w:val="0"/>
        <w:adjustRightInd w:val="0"/>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C2EFB7D">
      <w:pPr>
        <w:overflowPunct w:val="0"/>
        <w:autoSpaceDE w:val="0"/>
        <w:autoSpaceDN w:val="0"/>
        <w:adjustRightInd w:val="0"/>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95BEF2C">
      <w:pPr>
        <w:pStyle w:val="14"/>
        <w:rPr>
          <w:rFonts w:hint="eastAsia" w:ascii="宋体" w:hAnsi="宋体" w:eastAsia="宋体" w:cs="宋体"/>
          <w:color w:val="auto"/>
          <w:sz w:val="24"/>
          <w:highlight w:val="none"/>
        </w:rPr>
      </w:pPr>
    </w:p>
    <w:p w14:paraId="30AD8EF3">
      <w:pPr>
        <w:rPr>
          <w:rFonts w:hint="eastAsia" w:ascii="宋体" w:hAnsi="宋体" w:eastAsia="宋体" w:cs="宋体"/>
          <w:color w:val="auto"/>
          <w:sz w:val="24"/>
          <w:highlight w:val="none"/>
        </w:rPr>
      </w:pPr>
    </w:p>
    <w:p w14:paraId="0B8B6027">
      <w:pPr>
        <w:pStyle w:val="14"/>
        <w:rPr>
          <w:rFonts w:hint="eastAsia" w:ascii="宋体" w:hAnsi="宋体" w:eastAsia="宋体" w:cs="宋体"/>
          <w:color w:val="auto"/>
          <w:highlight w:val="none"/>
        </w:rPr>
      </w:pPr>
    </w:p>
    <w:p w14:paraId="7B8DB4C4">
      <w:pPr>
        <w:rPr>
          <w:rFonts w:hint="eastAsia" w:ascii="宋体" w:hAnsi="宋体" w:eastAsia="宋体" w:cs="宋体"/>
          <w:color w:val="auto"/>
          <w:highlight w:val="none"/>
        </w:rPr>
      </w:pPr>
    </w:p>
    <w:p w14:paraId="476BE2DB">
      <w:pPr>
        <w:keepNext w:val="0"/>
        <w:keepLines w:val="0"/>
        <w:pageBreakBefore w:val="0"/>
        <w:widowControl w:val="0"/>
        <w:kinsoku/>
        <w:wordWrap/>
        <w:overflowPunct w:val="0"/>
        <w:topLinePunct w:val="0"/>
        <w:autoSpaceDE w:val="0"/>
        <w:autoSpaceDN w:val="0"/>
        <w:bidi w:val="0"/>
        <w:adjustRightInd w:val="0"/>
        <w:snapToGrid w:val="0"/>
        <w:spacing w:line="420" w:lineRule="exact"/>
        <w:textAlignment w:val="auto"/>
        <w:outlineLvl w:val="2"/>
        <w:rPr>
          <w:rFonts w:hint="eastAsia" w:ascii="宋体" w:hAnsi="宋体" w:eastAsia="宋体" w:cs="宋体"/>
          <w:bCs/>
          <w:snapToGrid w:val="0"/>
          <w:color w:val="auto"/>
          <w:spacing w:val="-2"/>
          <w:sz w:val="24"/>
          <w:highlight w:val="none"/>
        </w:rPr>
      </w:pPr>
      <w:r>
        <w:rPr>
          <w:rFonts w:hint="eastAsia" w:ascii="宋体" w:hAnsi="宋体" w:eastAsia="宋体" w:cs="宋体"/>
          <w:bCs/>
          <w:color w:val="auto"/>
          <w:sz w:val="24"/>
          <w:highlight w:val="none"/>
        </w:rPr>
        <w:t>附录6</w:t>
      </w:r>
    </w:p>
    <w:p w14:paraId="76F64A87">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602" w:firstLineChars="20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建设项目安全生产管理办法</w:t>
      </w:r>
    </w:p>
    <w:p w14:paraId="16DCCC7F">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center"/>
        <w:textAlignment w:val="auto"/>
        <w:rPr>
          <w:rFonts w:hint="eastAsia" w:ascii="宋体" w:hAnsi="宋体" w:eastAsia="宋体" w:cs="宋体"/>
          <w:color w:val="auto"/>
          <w:sz w:val="24"/>
          <w:highlight w:val="none"/>
        </w:rPr>
      </w:pPr>
    </w:p>
    <w:p w14:paraId="39EAEBAD">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总  则</w:t>
      </w:r>
    </w:p>
    <w:p w14:paraId="31EE6385">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  为规范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（以下简称“公司”）的建设项目安全生产管理，根据国家《安全生产法》、《建筑工程安全生产管理条例》、《建筑施工安全检查标准》、《重庆市建设工程安全生产管理办法》等规定，制定本办法。</w:t>
      </w:r>
    </w:p>
    <w:p w14:paraId="27FA906A">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第二条  公司所有建设项目须遵循“安全生产，人人有责”、“管项目必须管安全”的原则，实行公司统一领导，专门机构具体组织、监督的管理体制。</w:t>
      </w:r>
    </w:p>
    <w:p w14:paraId="32AF4322">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第三条  安全管理以责任死亡事故为零，人身重伤责任事故为零，重大机械设备责任事故为零，重大火灾责任事故为零，重大坍塌责任事故为零，重大职业卫生伤害责任事故为零，重大环境污染责任事故为零为目标。</w:t>
      </w:r>
    </w:p>
    <w:p w14:paraId="261A89DA">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第二章  机构与人员配备</w:t>
      </w:r>
    </w:p>
    <w:p w14:paraId="0E314614">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  公司成立以总经理为组长、分管安全副总经理为常务副组长、其他领导班子成员为副组长，各内设机构负责人为成员的安全生产领导小组（以下简称“安全领导小组”），在公司负责安全的部门设立安全办，安全办在安全领导小组领导下，对施工生产安全进行综合管理。安全办配备专职安全员，专职安全员须经应急管理部门培训合格后方可上岗。</w:t>
      </w:r>
    </w:p>
    <w:p w14:paraId="6D5F6E4C">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  公司负责安全工作的部门是安全生产监督机构。</w:t>
      </w:r>
    </w:p>
    <w:p w14:paraId="24400E3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第六条  安全领导小组应当督促公司各建设项目的相关作业单位成立安全生产领导机构，按规定设置安全生产管理部门，配备相对稳定的专职安全管理人员，并负责检查、督促各项施工安全措施的落实。</w:t>
      </w:r>
    </w:p>
    <w:p w14:paraId="430A9302">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第三章  安全生产管理职责</w:t>
      </w:r>
    </w:p>
    <w:p w14:paraId="5519F4FC">
      <w:pPr>
        <w:keepNext w:val="0"/>
        <w:keepLines w:val="0"/>
        <w:pageBreakBefore w:val="0"/>
        <w:widowControl w:val="0"/>
        <w:tabs>
          <w:tab w:val="left" w:pos="662"/>
        </w:tabs>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  安全领导小组的职责：</w:t>
      </w:r>
    </w:p>
    <w:p w14:paraId="4205259D">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（一）负责公司安全生产工作的组织协调和管理，负责监督安全生产相关法律法规的执行，负责贯彻落实安全生产工作的相关政策和行委托人管部门以及公司领导的工作部署；</w:t>
      </w:r>
    </w:p>
    <w:p w14:paraId="78002C36">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（二）加强对安全生产工作的领导，将安全生产工作纳入公司发展规划，及时协调解决安全生产工作中的重大问题；</w:t>
      </w:r>
    </w:p>
    <w:p w14:paraId="26F42E45">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（三）配备与安全生产工作相适应的人员，并保障必要的办公设施和工作经费；</w:t>
      </w:r>
    </w:p>
    <w:p w14:paraId="0821C3DB">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（四）负责发布公司的安全生产信息；</w:t>
      </w:r>
    </w:p>
    <w:p w14:paraId="7022032A">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（五）制定或者审批公司各项安全生产管理制度、安全生产的考核目标和责任追究制度。</w:t>
      </w:r>
    </w:p>
    <w:p w14:paraId="583D0E24">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  安全办职责：</w:t>
      </w:r>
    </w:p>
    <w:p w14:paraId="44F16EE9">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（一）拟订和实施公司各项安全生产管理制度，建立公司安全生产台账；</w:t>
      </w:r>
    </w:p>
    <w:p w14:paraId="6856F2A1">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（二）对公司各建设项目进行安全生产巡查，督促监理、施工单位对安全隐患事项及时进行整改；</w:t>
      </w:r>
    </w:p>
    <w:p w14:paraId="1E1D3176">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（三）对公司区域内的重大危险源登记建档，制定监控、消除危险源的方案并负责监督实施；</w:t>
      </w:r>
    </w:p>
    <w:p w14:paraId="369FB457">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（四）编制安全生产应急救援综合预案，定期组织演练；</w:t>
      </w:r>
    </w:p>
    <w:p w14:paraId="56F5219B">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（五）加强安全生产宣传教育，提高员工和参建单位的安全意识，营造良好的安全生产氛围；</w:t>
      </w:r>
    </w:p>
    <w:p w14:paraId="7CC824A8">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（六）按规定上报安全事故，有效开展救援，督促事故责任单位做好善后工作。积极配合上级部门开展事故调查，并协助将事故责任追究落实到位；</w:t>
      </w:r>
    </w:p>
    <w:p w14:paraId="291F4492">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（七）承办公司召开的安全生产工作会议及各类安全生产活动，并对主管部门作出的安全生产决定、事项进行贯彻落实；</w:t>
      </w:r>
    </w:p>
    <w:p w14:paraId="2544EB42">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（八）其它安全生产工作。</w:t>
      </w:r>
    </w:p>
    <w:p w14:paraId="517B1519">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第九条  公司负责安全部门的职责：</w:t>
      </w:r>
    </w:p>
    <w:p w14:paraId="60206614">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（一）负责定期或不定期对各建设项目的安全生产工作进行督查，督促相关部门和人员依法履行安全生产和监督管理职责；</w:t>
      </w:r>
    </w:p>
    <w:p w14:paraId="2C60535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（二）对各个工程项目的整改落实情况进行监督和复查，对整改不到位或未及时整改的项目，督促公司规划建设部门对监理、施工等相关责任单位和责任人进行责任追究；</w:t>
      </w:r>
    </w:p>
    <w:p w14:paraId="229A1FF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（三）参与调查公司区域内发生的生产安全事故，查处事故涉及的以权谋私、权钱交易等违法违纪行为，构成犯罪的，依法移送司法机关处理；</w:t>
      </w:r>
    </w:p>
    <w:p w14:paraId="0AEB684B">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（四）督促落实对生产安全事故责任人员的责任追究；</w:t>
      </w:r>
    </w:p>
    <w:p w14:paraId="239F3A33">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（五）其它安全生产职责。</w:t>
      </w:r>
    </w:p>
    <w:p w14:paraId="08F8D520">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第十条  公司现场代表职责：</w:t>
      </w:r>
    </w:p>
    <w:p w14:paraId="15737F4F">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（一）严格履行“管项目必须管安全”的职责，坚持每天巡查，做好检查记录，督促监理、施工等工程委托人对存在的安全隐患及时进行整改，确保隐患彻底整改；</w:t>
      </w:r>
    </w:p>
    <w:p w14:paraId="007DE80F">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（二）其它安全生产职责。</w:t>
      </w:r>
    </w:p>
    <w:p w14:paraId="3A3ADD54">
      <w:pPr>
        <w:keepNext w:val="0"/>
        <w:keepLines w:val="0"/>
        <w:pageBreakBefore w:val="0"/>
        <w:widowControl w:val="0"/>
        <w:tabs>
          <w:tab w:val="left" w:pos="7560"/>
        </w:tabs>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第十一条  公司安全办安全员的职责：</w:t>
      </w:r>
    </w:p>
    <w:p w14:paraId="70490207">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（一）负责综合管理，监督、指导和协调各工程委托人的安全生产工作；</w:t>
      </w:r>
    </w:p>
    <w:p w14:paraId="61CDFE98">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（二）拟订安全生产工作规划和计划，调查研究并提出安全生产的措施和建议；</w:t>
      </w:r>
    </w:p>
    <w:p w14:paraId="366438A7">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（三）编制安全生产应急救援综合预案；</w:t>
      </w:r>
    </w:p>
    <w:p w14:paraId="73DF46AB">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（四）对公司各建设项目进行安全生产巡查，做好检查记录，督促监理、施工等工程委托人对存在的安全隐患及时进行整改，确保隐患彻底整改；</w:t>
      </w:r>
    </w:p>
    <w:p w14:paraId="29512B73">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（五）督促工程参建单位落实专人，做好对重大危险源的监控管理工作；</w:t>
      </w:r>
    </w:p>
    <w:p w14:paraId="30B6C803">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（六）负责采写公司的安全生产信息；</w:t>
      </w:r>
    </w:p>
    <w:p w14:paraId="3F44D2C9">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（七）协助领导开展安全事故应急救援和调查处理工作；</w:t>
      </w:r>
    </w:p>
    <w:p w14:paraId="786AF5C2">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（八）组织安全生产大检查和开展专项督查；</w:t>
      </w:r>
    </w:p>
    <w:p w14:paraId="6520C8EC">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（九）其它安全生产职责。</w:t>
      </w:r>
    </w:p>
    <w:p w14:paraId="3831C6A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安全生产检查监督机制</w:t>
      </w:r>
    </w:p>
    <w:p w14:paraId="2A822D71">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第十二条</w:t>
      </w:r>
      <w:r>
        <w:rPr>
          <w:rFonts w:hint="eastAsia" w:ascii="宋体" w:hAnsi="宋体" w:eastAsia="宋体" w:cs="宋体"/>
          <w:color w:val="auto"/>
          <w:sz w:val="24"/>
          <w:szCs w:val="24"/>
          <w:highlight w:val="none"/>
        </w:rPr>
        <w:t xml:space="preserve">  公司所有与建设项目有关的合同，如涉及安全生产责任的，应在合同中明确约定监理单位、施工单位按照本办法规定及本办法附件7-1中的标准承担违约责任，并签署承诺书（附件7-2）。</w:t>
      </w:r>
    </w:p>
    <w:p w14:paraId="2E75A451">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第十三条  </w:t>
      </w:r>
      <w:r>
        <w:rPr>
          <w:rFonts w:hint="eastAsia" w:ascii="宋体" w:hAnsi="宋体" w:eastAsia="宋体" w:cs="宋体"/>
          <w:color w:val="auto"/>
          <w:sz w:val="24"/>
          <w:szCs w:val="24"/>
          <w:highlight w:val="none"/>
        </w:rPr>
        <w:t>安全生产管理必须横向到边、纵向到底，坚持时时、月月、年年管理。公司安全办和现场代表每天进行安全巡查；公司安全办每月组织一次拉网式检查；每季度由分管领导带队，进行一次安全大检查；</w:t>
      </w:r>
      <w:r>
        <w:rPr>
          <w:rFonts w:hint="eastAsia" w:ascii="宋体" w:hAnsi="宋体" w:eastAsia="宋体" w:cs="宋体"/>
          <w:color w:val="auto"/>
          <w:kern w:val="0"/>
          <w:sz w:val="24"/>
          <w:szCs w:val="24"/>
          <w:highlight w:val="none"/>
        </w:rPr>
        <w:t>公司每季度召开一次安全生产工作会，年底召开安全生产工作总结大会。</w:t>
      </w:r>
    </w:p>
    <w:p w14:paraId="0792C7C3">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第十四条  公司安全办应加强与区安全生产、建设主管部门的沟通联系，不定期地开展安全联合大检查。</w:t>
      </w:r>
    </w:p>
    <w:p w14:paraId="7C769DDD">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第十五条  公司负责安全工作的部门</w:t>
      </w:r>
      <w:r>
        <w:rPr>
          <w:rFonts w:hint="eastAsia" w:ascii="宋体" w:hAnsi="宋体" w:eastAsia="宋体" w:cs="宋体"/>
          <w:color w:val="auto"/>
          <w:sz w:val="24"/>
          <w:szCs w:val="24"/>
          <w:highlight w:val="none"/>
        </w:rPr>
        <w:t>应不定期地对各个工地进行明察暗访，及时了解各项目安全生产情况，并对存在的安全隐患和管理问题进行督促整改。</w:t>
      </w:r>
    </w:p>
    <w:p w14:paraId="2E84D46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安全生产的责任追究</w:t>
      </w:r>
    </w:p>
    <w:p w14:paraId="4643C3C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第十六条</w:t>
      </w:r>
      <w:r>
        <w:rPr>
          <w:rFonts w:hint="eastAsia" w:ascii="宋体" w:hAnsi="宋体" w:eastAsia="宋体" w:cs="宋体"/>
          <w:color w:val="auto"/>
          <w:sz w:val="24"/>
          <w:szCs w:val="24"/>
          <w:highlight w:val="none"/>
        </w:rPr>
        <w:t xml:space="preserve">  若承包单位和监理单位未按照合同履行好安全生产职责，公司应按照本办法附件7-1的规定和合同约定追究违约责任。其中，在主管部门或区级其他相关部门组织的大检查中被通报批评的项目，处以施工单位违约金20000元，监理单位违约金10000元；在区级大检查中被通报批评的项目，处以施工单位违约金10000元，监理单位违约金5000元；在公司拉网式大检查中被通报批评的项目，处以施工单位违约金5000元，监理单位违约金3000元。</w:t>
      </w:r>
    </w:p>
    <w:p w14:paraId="14A390E9">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第十七条</w:t>
      </w:r>
      <w:r>
        <w:rPr>
          <w:rFonts w:hint="eastAsia" w:ascii="宋体" w:hAnsi="宋体" w:eastAsia="宋体" w:cs="宋体"/>
          <w:color w:val="auto"/>
          <w:sz w:val="24"/>
          <w:szCs w:val="24"/>
          <w:highlight w:val="none"/>
        </w:rPr>
        <w:t xml:space="preserve">  施工现场存在重大安全隐患，必须停工限期整改。对拒不整改的，上报建设行政主管部门予以处理。</w:t>
      </w:r>
    </w:p>
    <w:p w14:paraId="4C032809">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第十八条</w:t>
      </w:r>
      <w:r>
        <w:rPr>
          <w:rFonts w:hint="eastAsia" w:ascii="宋体" w:hAnsi="宋体" w:eastAsia="宋体" w:cs="宋体"/>
          <w:color w:val="auto"/>
          <w:sz w:val="24"/>
          <w:szCs w:val="24"/>
          <w:highlight w:val="none"/>
        </w:rPr>
        <w:t xml:space="preserve">  承担违约责任的单位，在接到违约责任通知单后7日内将违约金缴至公司财务部门。如超过期限未缴纳违约金，公司将从工程计量支付款或监理服务费中扣除，或暂缓支付进度款。</w:t>
      </w:r>
    </w:p>
    <w:p w14:paraId="64AE211E">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第十九条</w:t>
      </w:r>
      <w:r>
        <w:rPr>
          <w:rFonts w:hint="eastAsia" w:ascii="宋体" w:hAnsi="宋体" w:eastAsia="宋体" w:cs="宋体"/>
          <w:color w:val="auto"/>
          <w:sz w:val="24"/>
          <w:szCs w:val="24"/>
          <w:highlight w:val="none"/>
        </w:rPr>
        <w:t xml:space="preserve">  对公司安全办、安全管理人员、现场代表和其它相关部门、人员在安全生产监督管理工作中涉及的失职渎职、徇私舞弊等行为，</w:t>
      </w:r>
      <w:r>
        <w:rPr>
          <w:rFonts w:hint="eastAsia" w:ascii="宋体" w:hAnsi="宋体" w:eastAsia="宋体" w:cs="宋体"/>
          <w:color w:val="auto"/>
          <w:kern w:val="0"/>
          <w:sz w:val="24"/>
          <w:szCs w:val="24"/>
          <w:highlight w:val="none"/>
        </w:rPr>
        <w:t>公司综合部门</w:t>
      </w:r>
      <w:r>
        <w:rPr>
          <w:rFonts w:hint="eastAsia" w:ascii="宋体" w:hAnsi="宋体" w:eastAsia="宋体" w:cs="宋体"/>
          <w:color w:val="auto"/>
          <w:sz w:val="24"/>
          <w:szCs w:val="24"/>
          <w:highlight w:val="none"/>
        </w:rPr>
        <w:t>应严格进行责任追究，对责任人予以组织处理、经济处罚和纪律处分，涉嫌犯罪的，移交司法机关依法处理。</w:t>
      </w:r>
    </w:p>
    <w:p w14:paraId="3A3D1CFB">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  附  则</w:t>
      </w:r>
    </w:p>
    <w:p w14:paraId="019C0085">
      <w:pPr>
        <w:keepNext w:val="0"/>
        <w:keepLines w:val="0"/>
        <w:pageBreakBefore w:val="0"/>
        <w:widowControl w:val="0"/>
        <w:kinsoku/>
        <w:wordWrap/>
        <w:overflowPunct w:val="0"/>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第二十条</w:t>
      </w:r>
      <w:r>
        <w:rPr>
          <w:rFonts w:hint="eastAsia" w:ascii="宋体" w:hAnsi="宋体" w:eastAsia="宋体" w:cs="宋体"/>
          <w:color w:val="auto"/>
          <w:sz w:val="24"/>
          <w:szCs w:val="24"/>
          <w:highlight w:val="none"/>
        </w:rPr>
        <w:t xml:space="preserve">  本办法自发布之日起实施。</w:t>
      </w:r>
    </w:p>
    <w:p w14:paraId="149FE8D6">
      <w:pPr>
        <w:overflowPunct w:val="0"/>
        <w:autoSpaceDE w:val="0"/>
        <w:autoSpaceDN w:val="0"/>
        <w:adjustRightInd w:val="0"/>
        <w:snapToGrid w:val="0"/>
        <w:spacing w:line="420" w:lineRule="exact"/>
        <w:ind w:firstLine="420" w:firstLineChars="200"/>
        <w:rPr>
          <w:rFonts w:hint="eastAsia" w:ascii="宋体" w:hAnsi="宋体" w:eastAsia="宋体" w:cs="宋体"/>
          <w:color w:val="auto"/>
          <w:szCs w:val="21"/>
          <w:highlight w:val="none"/>
        </w:rPr>
      </w:pPr>
    </w:p>
    <w:p w14:paraId="07A9B6BD">
      <w:pPr>
        <w:overflowPunct w:val="0"/>
        <w:autoSpaceDE w:val="0"/>
        <w:autoSpaceDN w:val="0"/>
        <w:adjustRightInd w:val="0"/>
        <w:snapToGrid w:val="0"/>
        <w:spacing w:line="420" w:lineRule="exact"/>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附录7-1   公司安全生产违约处罚标准</w:t>
      </w:r>
    </w:p>
    <w:p w14:paraId="4341A5B1">
      <w:pPr>
        <w:overflowPunct w:val="0"/>
        <w:autoSpaceDE w:val="0"/>
        <w:autoSpaceDN w:val="0"/>
        <w:adjustRightInd w:val="0"/>
        <w:snapToGrid w:val="0"/>
        <w:spacing w:line="320" w:lineRule="exact"/>
        <w:rPr>
          <w:rFonts w:hint="eastAsia" w:ascii="宋体" w:hAnsi="宋体" w:eastAsia="宋体" w:cs="宋体"/>
          <w:color w:val="auto"/>
          <w:szCs w:val="21"/>
          <w:highlight w:val="none"/>
        </w:rPr>
      </w:pPr>
    </w:p>
    <w:p w14:paraId="3C1556F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监理人质量安全履责行为违约金处罚标准</w:t>
      </w:r>
    </w:p>
    <w:tbl>
      <w:tblPr>
        <w:tblStyle w:val="21"/>
        <w:tblW w:w="9679" w:type="dxa"/>
        <w:jc w:val="center"/>
        <w:tblLayout w:type="fixed"/>
        <w:tblCellMar>
          <w:top w:w="0" w:type="dxa"/>
          <w:left w:w="108" w:type="dxa"/>
          <w:bottom w:w="0" w:type="dxa"/>
          <w:right w:w="108" w:type="dxa"/>
        </w:tblCellMar>
      </w:tblPr>
      <w:tblGrid>
        <w:gridCol w:w="589"/>
        <w:gridCol w:w="1374"/>
        <w:gridCol w:w="4395"/>
        <w:gridCol w:w="2471"/>
        <w:gridCol w:w="850"/>
      </w:tblGrid>
      <w:tr w14:paraId="52247197">
        <w:tblPrEx>
          <w:tblCellMar>
            <w:top w:w="0" w:type="dxa"/>
            <w:left w:w="108" w:type="dxa"/>
            <w:bottom w:w="0" w:type="dxa"/>
            <w:right w:w="108" w:type="dxa"/>
          </w:tblCellMar>
        </w:tblPrEx>
        <w:trPr>
          <w:tblHeader/>
          <w:jc w:val="center"/>
        </w:trPr>
        <w:tc>
          <w:tcPr>
            <w:tcW w:w="1963" w:type="dxa"/>
            <w:gridSpan w:val="2"/>
            <w:tcBorders>
              <w:top w:val="single" w:color="auto" w:sz="4" w:space="0"/>
              <w:left w:val="single" w:color="auto" w:sz="4" w:space="0"/>
              <w:bottom w:val="single" w:color="auto" w:sz="4" w:space="0"/>
              <w:right w:val="single" w:color="000000" w:sz="4" w:space="0"/>
            </w:tcBorders>
            <w:noWrap w:val="0"/>
            <w:vAlign w:val="center"/>
          </w:tcPr>
          <w:p w14:paraId="2954C10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事项</w:t>
            </w:r>
          </w:p>
        </w:tc>
        <w:tc>
          <w:tcPr>
            <w:tcW w:w="4395" w:type="dxa"/>
            <w:tcBorders>
              <w:top w:val="single" w:color="auto" w:sz="4" w:space="0"/>
              <w:left w:val="nil"/>
              <w:bottom w:val="single" w:color="auto" w:sz="4" w:space="0"/>
              <w:right w:val="single" w:color="auto" w:sz="4" w:space="0"/>
            </w:tcBorders>
            <w:noWrap w:val="0"/>
            <w:vAlign w:val="center"/>
          </w:tcPr>
          <w:p w14:paraId="32D4440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违约情形</w:t>
            </w:r>
          </w:p>
        </w:tc>
        <w:tc>
          <w:tcPr>
            <w:tcW w:w="2471" w:type="dxa"/>
            <w:tcBorders>
              <w:top w:val="single" w:color="auto" w:sz="4" w:space="0"/>
              <w:left w:val="nil"/>
              <w:bottom w:val="single" w:color="auto" w:sz="4" w:space="0"/>
              <w:right w:val="single" w:color="auto" w:sz="4" w:space="0"/>
            </w:tcBorders>
            <w:noWrap w:val="0"/>
            <w:vAlign w:val="center"/>
          </w:tcPr>
          <w:p w14:paraId="42419514">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每次违约处罚标准（以签约合同价为基数计算）</w:t>
            </w:r>
          </w:p>
        </w:tc>
        <w:tc>
          <w:tcPr>
            <w:tcW w:w="850" w:type="dxa"/>
            <w:tcBorders>
              <w:top w:val="single" w:color="auto" w:sz="4" w:space="0"/>
              <w:left w:val="nil"/>
              <w:bottom w:val="single" w:color="auto" w:sz="4" w:space="0"/>
              <w:right w:val="single" w:color="auto" w:sz="4" w:space="0"/>
            </w:tcBorders>
            <w:noWrap w:val="0"/>
            <w:vAlign w:val="center"/>
          </w:tcPr>
          <w:p w14:paraId="10C3D13B">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3DDB9ABE">
        <w:tblPrEx>
          <w:tblCellMar>
            <w:top w:w="0" w:type="dxa"/>
            <w:left w:w="108" w:type="dxa"/>
            <w:bottom w:w="0" w:type="dxa"/>
            <w:right w:w="108" w:type="dxa"/>
          </w:tblCellMar>
        </w:tblPrEx>
        <w:trPr>
          <w:jc w:val="center"/>
        </w:trPr>
        <w:tc>
          <w:tcPr>
            <w:tcW w:w="589" w:type="dxa"/>
            <w:vMerge w:val="restart"/>
            <w:tcBorders>
              <w:top w:val="nil"/>
              <w:left w:val="single" w:color="auto" w:sz="4" w:space="0"/>
              <w:bottom w:val="single" w:color="000000" w:sz="4" w:space="0"/>
              <w:right w:val="single" w:color="auto" w:sz="4" w:space="0"/>
            </w:tcBorders>
            <w:noWrap w:val="0"/>
            <w:vAlign w:val="center"/>
          </w:tcPr>
          <w:p w14:paraId="60F05F88">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质量控制履责</w:t>
            </w:r>
          </w:p>
        </w:tc>
        <w:tc>
          <w:tcPr>
            <w:tcW w:w="1374" w:type="dxa"/>
            <w:vMerge w:val="restart"/>
            <w:tcBorders>
              <w:top w:val="nil"/>
              <w:left w:val="single" w:color="auto" w:sz="4" w:space="0"/>
              <w:bottom w:val="single" w:color="000000" w:sz="4" w:space="0"/>
              <w:right w:val="single" w:color="auto" w:sz="4" w:space="0"/>
            </w:tcBorders>
            <w:noWrap w:val="0"/>
            <w:vAlign w:val="center"/>
          </w:tcPr>
          <w:p w14:paraId="3E06B775">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开工审批</w:t>
            </w:r>
          </w:p>
        </w:tc>
        <w:tc>
          <w:tcPr>
            <w:tcW w:w="4395" w:type="dxa"/>
            <w:tcBorders>
              <w:top w:val="nil"/>
              <w:left w:val="nil"/>
              <w:bottom w:val="single" w:color="auto" w:sz="4" w:space="0"/>
              <w:right w:val="single" w:color="auto" w:sz="4" w:space="0"/>
            </w:tcBorders>
            <w:noWrap w:val="0"/>
            <w:vAlign w:val="center"/>
          </w:tcPr>
          <w:p w14:paraId="57E51091">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未审查开工报审资料</w:t>
            </w:r>
          </w:p>
        </w:tc>
        <w:tc>
          <w:tcPr>
            <w:tcW w:w="2471" w:type="dxa"/>
            <w:tcBorders>
              <w:top w:val="nil"/>
              <w:left w:val="nil"/>
              <w:bottom w:val="single" w:color="auto" w:sz="4" w:space="0"/>
              <w:right w:val="single" w:color="auto" w:sz="4" w:space="0"/>
            </w:tcBorders>
            <w:noWrap w:val="0"/>
            <w:vAlign w:val="center"/>
          </w:tcPr>
          <w:p w14:paraId="022E570A">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621A1A41">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72EDC02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6E875275">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4B407DB9">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496D3398">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未留存开工报审资料和无明确审查意见</w:t>
            </w:r>
          </w:p>
        </w:tc>
        <w:tc>
          <w:tcPr>
            <w:tcW w:w="2471" w:type="dxa"/>
            <w:tcBorders>
              <w:top w:val="nil"/>
              <w:left w:val="nil"/>
              <w:bottom w:val="single" w:color="auto" w:sz="4" w:space="0"/>
              <w:right w:val="single" w:color="auto" w:sz="4" w:space="0"/>
            </w:tcBorders>
            <w:noWrap w:val="0"/>
            <w:vAlign w:val="center"/>
          </w:tcPr>
          <w:p w14:paraId="1EE85CBA">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0.25‰-0.5‰</w:t>
            </w:r>
          </w:p>
        </w:tc>
        <w:tc>
          <w:tcPr>
            <w:tcW w:w="850" w:type="dxa"/>
            <w:tcBorders>
              <w:top w:val="nil"/>
              <w:left w:val="nil"/>
              <w:bottom w:val="single" w:color="auto" w:sz="4" w:space="0"/>
              <w:right w:val="single" w:color="auto" w:sz="4" w:space="0"/>
            </w:tcBorders>
            <w:noWrap w:val="0"/>
            <w:vAlign w:val="center"/>
          </w:tcPr>
          <w:p w14:paraId="151FCC58">
            <w:pPr>
              <w:widowControl/>
              <w:spacing w:line="400" w:lineRule="exact"/>
              <w:jc w:val="center"/>
              <w:rPr>
                <w:rFonts w:hint="eastAsia" w:ascii="宋体" w:hAnsi="宋体" w:eastAsia="宋体" w:cs="宋体"/>
                <w:color w:val="auto"/>
                <w:kern w:val="0"/>
                <w:sz w:val="21"/>
                <w:szCs w:val="21"/>
                <w:highlight w:val="none"/>
              </w:rPr>
            </w:pPr>
          </w:p>
        </w:tc>
      </w:tr>
      <w:tr w14:paraId="043352F6">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A3F92C5">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nil"/>
              <w:left w:val="single" w:color="auto" w:sz="4" w:space="0"/>
              <w:bottom w:val="nil"/>
              <w:right w:val="single" w:color="auto" w:sz="4" w:space="0"/>
            </w:tcBorders>
            <w:noWrap w:val="0"/>
            <w:vAlign w:val="center"/>
          </w:tcPr>
          <w:p w14:paraId="076CD49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审查施工组织设计和施工方案</w:t>
            </w:r>
          </w:p>
        </w:tc>
        <w:tc>
          <w:tcPr>
            <w:tcW w:w="4395" w:type="dxa"/>
            <w:tcBorders>
              <w:top w:val="nil"/>
              <w:left w:val="nil"/>
              <w:bottom w:val="single" w:color="auto" w:sz="4" w:space="0"/>
              <w:right w:val="single" w:color="auto" w:sz="4" w:space="0"/>
            </w:tcBorders>
            <w:noWrap w:val="0"/>
            <w:vAlign w:val="center"/>
          </w:tcPr>
          <w:p w14:paraId="520D2B4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未审查施工组织设计及专项方案</w:t>
            </w:r>
          </w:p>
        </w:tc>
        <w:tc>
          <w:tcPr>
            <w:tcW w:w="2471" w:type="dxa"/>
            <w:tcBorders>
              <w:top w:val="nil"/>
              <w:left w:val="nil"/>
              <w:bottom w:val="single" w:color="auto" w:sz="4" w:space="0"/>
              <w:right w:val="single" w:color="auto" w:sz="4" w:space="0"/>
            </w:tcBorders>
            <w:noWrap w:val="0"/>
            <w:vAlign w:val="center"/>
          </w:tcPr>
          <w:p w14:paraId="211FC99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13F6487E">
            <w:pPr>
              <w:widowControl/>
              <w:spacing w:line="400" w:lineRule="exact"/>
              <w:jc w:val="center"/>
              <w:rPr>
                <w:rFonts w:hint="eastAsia" w:ascii="宋体" w:hAnsi="宋体" w:eastAsia="宋体" w:cs="宋体"/>
                <w:color w:val="auto"/>
                <w:kern w:val="0"/>
                <w:sz w:val="21"/>
                <w:szCs w:val="21"/>
                <w:highlight w:val="none"/>
              </w:rPr>
            </w:pPr>
          </w:p>
        </w:tc>
      </w:tr>
      <w:tr w14:paraId="3AF762D4">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78CE1D83">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nil"/>
              <w:right w:val="single" w:color="auto" w:sz="4" w:space="0"/>
            </w:tcBorders>
            <w:noWrap w:val="0"/>
            <w:vAlign w:val="center"/>
          </w:tcPr>
          <w:p w14:paraId="5241885A">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278D8FC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未识别是否符合强制性标准</w:t>
            </w:r>
          </w:p>
        </w:tc>
        <w:tc>
          <w:tcPr>
            <w:tcW w:w="2471" w:type="dxa"/>
            <w:tcBorders>
              <w:top w:val="nil"/>
              <w:left w:val="nil"/>
              <w:bottom w:val="single" w:color="auto" w:sz="4" w:space="0"/>
              <w:right w:val="single" w:color="auto" w:sz="4" w:space="0"/>
            </w:tcBorders>
            <w:noWrap w:val="0"/>
            <w:vAlign w:val="center"/>
          </w:tcPr>
          <w:p w14:paraId="1929A53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7665FC1D">
            <w:pPr>
              <w:widowControl/>
              <w:spacing w:line="400" w:lineRule="exact"/>
              <w:jc w:val="center"/>
              <w:rPr>
                <w:rFonts w:hint="eastAsia" w:ascii="宋体" w:hAnsi="宋体" w:eastAsia="宋体" w:cs="宋体"/>
                <w:color w:val="auto"/>
                <w:kern w:val="0"/>
                <w:sz w:val="21"/>
                <w:szCs w:val="21"/>
                <w:highlight w:val="none"/>
              </w:rPr>
            </w:pPr>
          </w:p>
        </w:tc>
      </w:tr>
      <w:tr w14:paraId="1D3D04F7">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6B731ADF">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single" w:color="auto" w:sz="4" w:space="0"/>
              <w:left w:val="nil"/>
              <w:bottom w:val="single" w:color="auto" w:sz="4" w:space="0"/>
              <w:right w:val="single" w:color="auto" w:sz="4" w:space="0"/>
            </w:tcBorders>
            <w:noWrap w:val="0"/>
            <w:vAlign w:val="center"/>
          </w:tcPr>
          <w:p w14:paraId="5BFDD565">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审核区域单位</w:t>
            </w:r>
          </w:p>
        </w:tc>
        <w:tc>
          <w:tcPr>
            <w:tcW w:w="4395" w:type="dxa"/>
            <w:tcBorders>
              <w:top w:val="nil"/>
              <w:left w:val="nil"/>
              <w:bottom w:val="single" w:color="auto" w:sz="4" w:space="0"/>
              <w:right w:val="single" w:color="auto" w:sz="4" w:space="0"/>
            </w:tcBorders>
            <w:noWrap w:val="0"/>
            <w:vAlign w:val="center"/>
          </w:tcPr>
          <w:p w14:paraId="65F01C47">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未审核施工单位报送的区域单位资格</w:t>
            </w:r>
          </w:p>
        </w:tc>
        <w:tc>
          <w:tcPr>
            <w:tcW w:w="2471" w:type="dxa"/>
            <w:tcBorders>
              <w:top w:val="nil"/>
              <w:left w:val="nil"/>
              <w:bottom w:val="single" w:color="auto" w:sz="4" w:space="0"/>
              <w:right w:val="single" w:color="auto" w:sz="4" w:space="0"/>
            </w:tcBorders>
            <w:noWrap w:val="0"/>
            <w:vAlign w:val="center"/>
          </w:tcPr>
          <w:p w14:paraId="468941C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751AE4B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42659ACF">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0E22B9AA">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nil"/>
              <w:left w:val="single" w:color="auto" w:sz="4" w:space="0"/>
              <w:bottom w:val="single" w:color="000000" w:sz="4" w:space="0"/>
              <w:right w:val="single" w:color="auto" w:sz="4" w:space="0"/>
            </w:tcBorders>
            <w:noWrap w:val="0"/>
            <w:vAlign w:val="center"/>
          </w:tcPr>
          <w:p w14:paraId="0EA8DF19">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检查复核施工测量成果</w:t>
            </w:r>
          </w:p>
        </w:tc>
        <w:tc>
          <w:tcPr>
            <w:tcW w:w="4395" w:type="dxa"/>
            <w:tcBorders>
              <w:top w:val="nil"/>
              <w:left w:val="nil"/>
              <w:bottom w:val="single" w:color="auto" w:sz="4" w:space="0"/>
              <w:right w:val="single" w:color="auto" w:sz="4" w:space="0"/>
            </w:tcBorders>
            <w:noWrap w:val="0"/>
            <w:vAlign w:val="center"/>
          </w:tcPr>
          <w:p w14:paraId="0BFF3B0A">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未检查、复核施工单位报审的测量人员资格或测量设备检定证书</w:t>
            </w:r>
          </w:p>
        </w:tc>
        <w:tc>
          <w:tcPr>
            <w:tcW w:w="2471" w:type="dxa"/>
            <w:tcBorders>
              <w:top w:val="nil"/>
              <w:left w:val="nil"/>
              <w:bottom w:val="single" w:color="auto" w:sz="4" w:space="0"/>
              <w:right w:val="single" w:color="auto" w:sz="4" w:space="0"/>
            </w:tcBorders>
            <w:noWrap w:val="0"/>
            <w:vAlign w:val="center"/>
          </w:tcPr>
          <w:p w14:paraId="4045469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6994E9AE">
            <w:pPr>
              <w:widowControl/>
              <w:spacing w:line="400" w:lineRule="exact"/>
              <w:jc w:val="center"/>
              <w:rPr>
                <w:rFonts w:hint="eastAsia" w:ascii="宋体" w:hAnsi="宋体" w:eastAsia="宋体" w:cs="宋体"/>
                <w:color w:val="auto"/>
                <w:kern w:val="0"/>
                <w:sz w:val="21"/>
                <w:szCs w:val="21"/>
                <w:highlight w:val="none"/>
              </w:rPr>
            </w:pPr>
          </w:p>
        </w:tc>
      </w:tr>
      <w:tr w14:paraId="0C68D925">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4155FB8">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07455551">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2D3C6CA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未检查、复核测量成果、交桩记录及控制桩保护措施</w:t>
            </w:r>
          </w:p>
        </w:tc>
        <w:tc>
          <w:tcPr>
            <w:tcW w:w="2471" w:type="dxa"/>
            <w:tcBorders>
              <w:top w:val="nil"/>
              <w:left w:val="nil"/>
              <w:bottom w:val="single" w:color="auto" w:sz="4" w:space="0"/>
              <w:right w:val="single" w:color="auto" w:sz="4" w:space="0"/>
            </w:tcBorders>
            <w:noWrap w:val="0"/>
            <w:vAlign w:val="center"/>
          </w:tcPr>
          <w:p w14:paraId="5C9A365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5FF18715">
            <w:pPr>
              <w:widowControl/>
              <w:spacing w:line="400" w:lineRule="exact"/>
              <w:jc w:val="center"/>
              <w:rPr>
                <w:rFonts w:hint="eastAsia" w:ascii="宋体" w:hAnsi="宋体" w:eastAsia="宋体" w:cs="宋体"/>
                <w:color w:val="auto"/>
                <w:kern w:val="0"/>
                <w:sz w:val="21"/>
                <w:szCs w:val="21"/>
                <w:highlight w:val="none"/>
              </w:rPr>
            </w:pPr>
          </w:p>
        </w:tc>
      </w:tr>
      <w:tr w14:paraId="3996228C">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726D806B">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0B1E672C">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1200ED79">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未对复核测量成果进行签认</w:t>
            </w:r>
          </w:p>
        </w:tc>
        <w:tc>
          <w:tcPr>
            <w:tcW w:w="2471" w:type="dxa"/>
            <w:tcBorders>
              <w:top w:val="nil"/>
              <w:left w:val="nil"/>
              <w:bottom w:val="single" w:color="auto" w:sz="4" w:space="0"/>
              <w:right w:val="single" w:color="auto" w:sz="4" w:space="0"/>
            </w:tcBorders>
            <w:noWrap w:val="0"/>
            <w:vAlign w:val="center"/>
          </w:tcPr>
          <w:p w14:paraId="71B489C7">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0.25‰-0.5‰</w:t>
            </w:r>
          </w:p>
        </w:tc>
        <w:tc>
          <w:tcPr>
            <w:tcW w:w="850" w:type="dxa"/>
            <w:tcBorders>
              <w:top w:val="nil"/>
              <w:left w:val="nil"/>
              <w:bottom w:val="single" w:color="auto" w:sz="4" w:space="0"/>
              <w:right w:val="single" w:color="auto" w:sz="4" w:space="0"/>
            </w:tcBorders>
            <w:noWrap w:val="0"/>
            <w:vAlign w:val="center"/>
          </w:tcPr>
          <w:p w14:paraId="6F0DEF41">
            <w:pPr>
              <w:widowControl/>
              <w:spacing w:line="400" w:lineRule="exact"/>
              <w:jc w:val="center"/>
              <w:rPr>
                <w:rFonts w:hint="eastAsia" w:ascii="宋体" w:hAnsi="宋体" w:eastAsia="宋体" w:cs="宋体"/>
                <w:color w:val="auto"/>
                <w:kern w:val="0"/>
                <w:sz w:val="21"/>
                <w:szCs w:val="21"/>
                <w:highlight w:val="none"/>
              </w:rPr>
            </w:pPr>
          </w:p>
        </w:tc>
      </w:tr>
      <w:tr w14:paraId="15AC97E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475AD0A0">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nil"/>
              <w:left w:val="single" w:color="auto" w:sz="4" w:space="0"/>
              <w:bottom w:val="nil"/>
              <w:right w:val="single" w:color="auto" w:sz="4" w:space="0"/>
            </w:tcBorders>
            <w:noWrap w:val="0"/>
            <w:vAlign w:val="center"/>
          </w:tcPr>
          <w:p w14:paraId="0101A3C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材料/构配件/设备审查</w:t>
            </w:r>
          </w:p>
        </w:tc>
        <w:tc>
          <w:tcPr>
            <w:tcW w:w="4395" w:type="dxa"/>
            <w:tcBorders>
              <w:top w:val="nil"/>
              <w:left w:val="nil"/>
              <w:bottom w:val="single" w:color="auto" w:sz="4" w:space="0"/>
              <w:right w:val="single" w:color="auto" w:sz="4" w:space="0"/>
            </w:tcBorders>
            <w:noWrap w:val="0"/>
            <w:vAlign w:val="center"/>
          </w:tcPr>
          <w:p w14:paraId="20515810">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未审查质量证明文件，未对实物进行检查、验收，将不合格的签认为合格</w:t>
            </w:r>
          </w:p>
        </w:tc>
        <w:tc>
          <w:tcPr>
            <w:tcW w:w="2471" w:type="dxa"/>
            <w:tcBorders>
              <w:top w:val="nil"/>
              <w:left w:val="nil"/>
              <w:bottom w:val="single" w:color="auto" w:sz="4" w:space="0"/>
              <w:right w:val="single" w:color="auto" w:sz="4" w:space="0"/>
            </w:tcBorders>
            <w:noWrap w:val="0"/>
            <w:vAlign w:val="center"/>
          </w:tcPr>
          <w:p w14:paraId="6A5D3B0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6DAC22F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00613069">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428743F1">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nil"/>
              <w:right w:val="single" w:color="auto" w:sz="4" w:space="0"/>
            </w:tcBorders>
            <w:noWrap w:val="0"/>
            <w:vAlign w:val="center"/>
          </w:tcPr>
          <w:p w14:paraId="399B2CC0">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454A591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对进场不合格的材料、构配件、设备未要求施工单位将其撤出施工现场</w:t>
            </w:r>
          </w:p>
        </w:tc>
        <w:tc>
          <w:tcPr>
            <w:tcW w:w="2471" w:type="dxa"/>
            <w:tcBorders>
              <w:top w:val="nil"/>
              <w:left w:val="nil"/>
              <w:bottom w:val="single" w:color="auto" w:sz="4" w:space="0"/>
              <w:right w:val="single" w:color="auto" w:sz="4" w:space="0"/>
            </w:tcBorders>
            <w:noWrap w:val="0"/>
            <w:vAlign w:val="center"/>
          </w:tcPr>
          <w:p w14:paraId="5D58D25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695DDFB7">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2DA13945">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696FAC6F">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nil"/>
              <w:right w:val="single" w:color="auto" w:sz="4" w:space="0"/>
            </w:tcBorders>
            <w:noWrap w:val="0"/>
            <w:vAlign w:val="center"/>
          </w:tcPr>
          <w:p w14:paraId="45A1ABD7">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477CC1B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未对用于工程的材料按有关规定进行见证取样</w:t>
            </w:r>
          </w:p>
        </w:tc>
        <w:tc>
          <w:tcPr>
            <w:tcW w:w="2471" w:type="dxa"/>
            <w:tcBorders>
              <w:top w:val="nil"/>
              <w:left w:val="nil"/>
              <w:bottom w:val="single" w:color="auto" w:sz="4" w:space="0"/>
              <w:right w:val="single" w:color="auto" w:sz="4" w:space="0"/>
            </w:tcBorders>
            <w:noWrap w:val="0"/>
            <w:vAlign w:val="center"/>
          </w:tcPr>
          <w:p w14:paraId="165163BF">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592F2132">
            <w:pPr>
              <w:widowControl/>
              <w:spacing w:line="400" w:lineRule="exact"/>
              <w:jc w:val="center"/>
              <w:rPr>
                <w:rFonts w:hint="eastAsia" w:ascii="宋体" w:hAnsi="宋体" w:eastAsia="宋体" w:cs="宋体"/>
                <w:color w:val="auto"/>
                <w:kern w:val="0"/>
                <w:sz w:val="21"/>
                <w:szCs w:val="21"/>
                <w:highlight w:val="none"/>
              </w:rPr>
            </w:pPr>
          </w:p>
        </w:tc>
      </w:tr>
      <w:tr w14:paraId="3D7C85D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7C0E9BD8">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nil"/>
              <w:right w:val="single" w:color="auto" w:sz="4" w:space="0"/>
            </w:tcBorders>
            <w:noWrap w:val="0"/>
            <w:vAlign w:val="center"/>
          </w:tcPr>
          <w:p w14:paraId="7259BC72">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3D215E75">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未按监理合同约定进行平行检验</w:t>
            </w:r>
          </w:p>
        </w:tc>
        <w:tc>
          <w:tcPr>
            <w:tcW w:w="2471" w:type="dxa"/>
            <w:tcBorders>
              <w:top w:val="nil"/>
              <w:left w:val="nil"/>
              <w:bottom w:val="single" w:color="auto" w:sz="4" w:space="0"/>
              <w:right w:val="single" w:color="auto" w:sz="4" w:space="0"/>
            </w:tcBorders>
            <w:noWrap w:val="0"/>
            <w:vAlign w:val="center"/>
          </w:tcPr>
          <w:p w14:paraId="552EFA0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7B9963B8">
            <w:pPr>
              <w:widowControl/>
              <w:spacing w:line="400" w:lineRule="exact"/>
              <w:jc w:val="center"/>
              <w:rPr>
                <w:rFonts w:hint="eastAsia" w:ascii="宋体" w:hAnsi="宋体" w:eastAsia="宋体" w:cs="宋体"/>
                <w:color w:val="auto"/>
                <w:kern w:val="0"/>
                <w:sz w:val="21"/>
                <w:szCs w:val="21"/>
                <w:highlight w:val="none"/>
              </w:rPr>
            </w:pPr>
          </w:p>
        </w:tc>
      </w:tr>
      <w:tr w14:paraId="726FB5A9">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49A28728">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single" w:color="auto" w:sz="4" w:space="0"/>
              <w:left w:val="nil"/>
              <w:bottom w:val="nil"/>
              <w:right w:val="single" w:color="auto" w:sz="4" w:space="0"/>
            </w:tcBorders>
            <w:noWrap w:val="0"/>
            <w:vAlign w:val="center"/>
          </w:tcPr>
          <w:p w14:paraId="183B4D1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旁站</w:t>
            </w:r>
          </w:p>
        </w:tc>
        <w:tc>
          <w:tcPr>
            <w:tcW w:w="4395" w:type="dxa"/>
            <w:tcBorders>
              <w:top w:val="nil"/>
              <w:left w:val="nil"/>
              <w:bottom w:val="single" w:color="auto" w:sz="4" w:space="0"/>
              <w:right w:val="single" w:color="auto" w:sz="4" w:space="0"/>
            </w:tcBorders>
            <w:noWrap w:val="0"/>
            <w:vAlign w:val="center"/>
          </w:tcPr>
          <w:p w14:paraId="3D29DD04">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未按旁站方案确定的关键部位、关键工序的施工质量进行旁站</w:t>
            </w:r>
          </w:p>
        </w:tc>
        <w:tc>
          <w:tcPr>
            <w:tcW w:w="2471" w:type="dxa"/>
            <w:tcBorders>
              <w:top w:val="nil"/>
              <w:left w:val="nil"/>
              <w:bottom w:val="single" w:color="auto" w:sz="4" w:space="0"/>
              <w:right w:val="single" w:color="auto" w:sz="4" w:space="0"/>
            </w:tcBorders>
            <w:noWrap w:val="0"/>
            <w:vAlign w:val="center"/>
          </w:tcPr>
          <w:p w14:paraId="240F5E80">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144AC463">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27432AD8">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1B3EB9AB">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single" w:color="auto" w:sz="4" w:space="0"/>
              <w:left w:val="nil"/>
              <w:bottom w:val="nil"/>
              <w:right w:val="single" w:color="auto" w:sz="4" w:space="0"/>
            </w:tcBorders>
            <w:noWrap w:val="0"/>
            <w:vAlign w:val="center"/>
          </w:tcPr>
          <w:p w14:paraId="53CF7F8D">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工程质量巡视</w:t>
            </w:r>
          </w:p>
        </w:tc>
        <w:tc>
          <w:tcPr>
            <w:tcW w:w="4395" w:type="dxa"/>
            <w:tcBorders>
              <w:top w:val="nil"/>
              <w:left w:val="nil"/>
              <w:bottom w:val="single" w:color="auto" w:sz="4" w:space="0"/>
              <w:right w:val="single" w:color="auto" w:sz="4" w:space="0"/>
            </w:tcBorders>
            <w:noWrap w:val="0"/>
            <w:vAlign w:val="center"/>
          </w:tcPr>
          <w:p w14:paraId="1535A811">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发现质量隐患未及时处理，对质量隐患无处理记录或整改结果</w:t>
            </w:r>
          </w:p>
        </w:tc>
        <w:tc>
          <w:tcPr>
            <w:tcW w:w="2471" w:type="dxa"/>
            <w:tcBorders>
              <w:top w:val="nil"/>
              <w:left w:val="nil"/>
              <w:bottom w:val="single" w:color="auto" w:sz="4" w:space="0"/>
              <w:right w:val="single" w:color="auto" w:sz="4" w:space="0"/>
            </w:tcBorders>
            <w:noWrap w:val="0"/>
            <w:vAlign w:val="center"/>
          </w:tcPr>
          <w:p w14:paraId="4CB77A10">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30185CBB">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23CF8980">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0D1EDFB9">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single" w:color="auto" w:sz="4" w:space="0"/>
              <w:left w:val="single" w:color="auto" w:sz="4" w:space="0"/>
              <w:bottom w:val="single" w:color="000000" w:sz="4" w:space="0"/>
              <w:right w:val="single" w:color="auto" w:sz="4" w:space="0"/>
            </w:tcBorders>
            <w:noWrap w:val="0"/>
            <w:vAlign w:val="center"/>
          </w:tcPr>
          <w:p w14:paraId="0FC7F41D">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隐检、检验批、分项分部验收</w:t>
            </w:r>
          </w:p>
        </w:tc>
        <w:tc>
          <w:tcPr>
            <w:tcW w:w="4395" w:type="dxa"/>
            <w:tcBorders>
              <w:top w:val="nil"/>
              <w:left w:val="nil"/>
              <w:bottom w:val="single" w:color="auto" w:sz="4" w:space="0"/>
              <w:right w:val="single" w:color="auto" w:sz="4" w:space="0"/>
            </w:tcBorders>
            <w:noWrap w:val="0"/>
            <w:vAlign w:val="center"/>
          </w:tcPr>
          <w:p w14:paraId="4B590F55">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未对实体进行检查、验收，将不合格的签认为合格</w:t>
            </w:r>
          </w:p>
        </w:tc>
        <w:tc>
          <w:tcPr>
            <w:tcW w:w="2471" w:type="dxa"/>
            <w:tcBorders>
              <w:top w:val="nil"/>
              <w:left w:val="nil"/>
              <w:bottom w:val="single" w:color="auto" w:sz="4" w:space="0"/>
              <w:right w:val="single" w:color="auto" w:sz="4" w:space="0"/>
            </w:tcBorders>
            <w:noWrap w:val="0"/>
            <w:vAlign w:val="center"/>
          </w:tcPr>
          <w:p w14:paraId="471490A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3B412748">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5902618D">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06D8F991">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single" w:color="auto" w:sz="4" w:space="0"/>
              <w:left w:val="single" w:color="auto" w:sz="4" w:space="0"/>
              <w:bottom w:val="single" w:color="000000" w:sz="4" w:space="0"/>
              <w:right w:val="single" w:color="auto" w:sz="4" w:space="0"/>
            </w:tcBorders>
            <w:noWrap w:val="0"/>
            <w:vAlign w:val="center"/>
          </w:tcPr>
          <w:p w14:paraId="23C39A56">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704DD9D4">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无分部、分项及检验批划分方案</w:t>
            </w:r>
          </w:p>
        </w:tc>
        <w:tc>
          <w:tcPr>
            <w:tcW w:w="2471" w:type="dxa"/>
            <w:tcBorders>
              <w:top w:val="nil"/>
              <w:left w:val="nil"/>
              <w:bottom w:val="single" w:color="auto" w:sz="4" w:space="0"/>
              <w:right w:val="single" w:color="auto" w:sz="4" w:space="0"/>
            </w:tcBorders>
            <w:noWrap w:val="0"/>
            <w:vAlign w:val="center"/>
          </w:tcPr>
          <w:p w14:paraId="468B87C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01BE9473">
            <w:pPr>
              <w:widowControl/>
              <w:spacing w:line="400" w:lineRule="exact"/>
              <w:jc w:val="center"/>
              <w:rPr>
                <w:rFonts w:hint="eastAsia" w:ascii="宋体" w:hAnsi="宋体" w:eastAsia="宋体" w:cs="宋体"/>
                <w:color w:val="auto"/>
                <w:kern w:val="0"/>
                <w:sz w:val="21"/>
                <w:szCs w:val="21"/>
                <w:highlight w:val="none"/>
              </w:rPr>
            </w:pPr>
          </w:p>
        </w:tc>
      </w:tr>
      <w:tr w14:paraId="117EAB05">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4075D38">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single" w:color="auto" w:sz="4" w:space="0"/>
              <w:left w:val="single" w:color="auto" w:sz="4" w:space="0"/>
              <w:bottom w:val="single" w:color="000000" w:sz="4" w:space="0"/>
              <w:right w:val="single" w:color="auto" w:sz="4" w:space="0"/>
            </w:tcBorders>
            <w:noWrap w:val="0"/>
            <w:vAlign w:val="center"/>
          </w:tcPr>
          <w:p w14:paraId="1BA68A95">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1655957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承包人报验后未及时进行验收</w:t>
            </w:r>
          </w:p>
        </w:tc>
        <w:tc>
          <w:tcPr>
            <w:tcW w:w="2471" w:type="dxa"/>
            <w:tcBorders>
              <w:top w:val="nil"/>
              <w:left w:val="nil"/>
              <w:bottom w:val="single" w:color="auto" w:sz="4" w:space="0"/>
              <w:right w:val="single" w:color="auto" w:sz="4" w:space="0"/>
            </w:tcBorders>
            <w:noWrap w:val="0"/>
            <w:vAlign w:val="center"/>
          </w:tcPr>
          <w:p w14:paraId="6D76CDED">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3A53D3C6">
            <w:pPr>
              <w:widowControl/>
              <w:spacing w:line="400" w:lineRule="exact"/>
              <w:jc w:val="center"/>
              <w:rPr>
                <w:rFonts w:hint="eastAsia" w:ascii="宋体" w:hAnsi="宋体" w:eastAsia="宋体" w:cs="宋体"/>
                <w:color w:val="auto"/>
                <w:kern w:val="0"/>
                <w:sz w:val="21"/>
                <w:szCs w:val="21"/>
                <w:highlight w:val="none"/>
              </w:rPr>
            </w:pPr>
          </w:p>
        </w:tc>
      </w:tr>
      <w:tr w14:paraId="73061757">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D5044FC">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single" w:color="auto" w:sz="4" w:space="0"/>
              <w:left w:val="single" w:color="auto" w:sz="4" w:space="0"/>
              <w:bottom w:val="single" w:color="000000" w:sz="4" w:space="0"/>
              <w:right w:val="single" w:color="auto" w:sz="4" w:space="0"/>
            </w:tcBorders>
            <w:noWrap w:val="0"/>
            <w:vAlign w:val="center"/>
          </w:tcPr>
          <w:p w14:paraId="0077DE4A">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0935FD39">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验收资料不完整或签批不规范</w:t>
            </w:r>
          </w:p>
        </w:tc>
        <w:tc>
          <w:tcPr>
            <w:tcW w:w="2471" w:type="dxa"/>
            <w:tcBorders>
              <w:top w:val="nil"/>
              <w:left w:val="nil"/>
              <w:bottom w:val="single" w:color="auto" w:sz="4" w:space="0"/>
              <w:right w:val="single" w:color="auto" w:sz="4" w:space="0"/>
            </w:tcBorders>
            <w:noWrap w:val="0"/>
            <w:vAlign w:val="center"/>
          </w:tcPr>
          <w:p w14:paraId="602E9DB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0.25‰-0.5‰</w:t>
            </w:r>
          </w:p>
        </w:tc>
        <w:tc>
          <w:tcPr>
            <w:tcW w:w="850" w:type="dxa"/>
            <w:tcBorders>
              <w:top w:val="nil"/>
              <w:left w:val="nil"/>
              <w:bottom w:val="single" w:color="auto" w:sz="4" w:space="0"/>
              <w:right w:val="single" w:color="auto" w:sz="4" w:space="0"/>
            </w:tcBorders>
            <w:noWrap w:val="0"/>
            <w:vAlign w:val="center"/>
          </w:tcPr>
          <w:p w14:paraId="13ACA197">
            <w:pPr>
              <w:widowControl/>
              <w:spacing w:line="400" w:lineRule="exact"/>
              <w:jc w:val="center"/>
              <w:rPr>
                <w:rFonts w:hint="eastAsia" w:ascii="宋体" w:hAnsi="宋体" w:eastAsia="宋体" w:cs="宋体"/>
                <w:color w:val="auto"/>
                <w:kern w:val="0"/>
                <w:sz w:val="21"/>
                <w:szCs w:val="21"/>
                <w:highlight w:val="none"/>
              </w:rPr>
            </w:pPr>
          </w:p>
        </w:tc>
      </w:tr>
      <w:tr w14:paraId="56708B2E">
        <w:tblPrEx>
          <w:tblCellMar>
            <w:top w:w="0" w:type="dxa"/>
            <w:left w:w="108" w:type="dxa"/>
            <w:bottom w:w="0" w:type="dxa"/>
            <w:right w:w="108" w:type="dxa"/>
          </w:tblCellMar>
        </w:tblPrEx>
        <w:trPr>
          <w:jc w:val="center"/>
        </w:trPr>
        <w:tc>
          <w:tcPr>
            <w:tcW w:w="589" w:type="dxa"/>
            <w:vMerge w:val="restart"/>
            <w:tcBorders>
              <w:top w:val="nil"/>
              <w:left w:val="single" w:color="auto" w:sz="4" w:space="0"/>
              <w:bottom w:val="single" w:color="000000" w:sz="4" w:space="0"/>
              <w:right w:val="single" w:color="auto" w:sz="4" w:space="0"/>
            </w:tcBorders>
            <w:noWrap w:val="0"/>
            <w:vAlign w:val="center"/>
          </w:tcPr>
          <w:p w14:paraId="63F4C581">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安全生产管理履责</w:t>
            </w:r>
          </w:p>
        </w:tc>
        <w:tc>
          <w:tcPr>
            <w:tcW w:w="1374" w:type="dxa"/>
            <w:vMerge w:val="restart"/>
            <w:tcBorders>
              <w:top w:val="nil"/>
              <w:left w:val="single" w:color="auto" w:sz="4" w:space="0"/>
              <w:bottom w:val="single" w:color="000000" w:sz="4" w:space="0"/>
              <w:right w:val="single" w:color="auto" w:sz="4" w:space="0"/>
            </w:tcBorders>
            <w:noWrap w:val="0"/>
            <w:vAlign w:val="center"/>
          </w:tcPr>
          <w:p w14:paraId="79D0C7C5">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安全生产管理的监理工作</w:t>
            </w:r>
          </w:p>
        </w:tc>
        <w:tc>
          <w:tcPr>
            <w:tcW w:w="4395" w:type="dxa"/>
            <w:tcBorders>
              <w:top w:val="nil"/>
              <w:left w:val="nil"/>
              <w:bottom w:val="single" w:color="auto" w:sz="4" w:space="0"/>
              <w:right w:val="single" w:color="auto" w:sz="4" w:space="0"/>
            </w:tcBorders>
            <w:noWrap w:val="0"/>
            <w:vAlign w:val="center"/>
          </w:tcPr>
          <w:p w14:paraId="3E33199F">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未核查施工单位安全生产许可证、规章制度、安全生产管理体系等</w:t>
            </w:r>
          </w:p>
        </w:tc>
        <w:tc>
          <w:tcPr>
            <w:tcW w:w="2471" w:type="dxa"/>
            <w:tcBorders>
              <w:top w:val="nil"/>
              <w:left w:val="nil"/>
              <w:bottom w:val="single" w:color="auto" w:sz="4" w:space="0"/>
              <w:right w:val="single" w:color="auto" w:sz="4" w:space="0"/>
            </w:tcBorders>
            <w:noWrap w:val="0"/>
            <w:vAlign w:val="center"/>
          </w:tcPr>
          <w:p w14:paraId="3926A44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5C62840A">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09DDA54A">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3EDF3B99">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7787D7A6">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76426DEA">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对施工单位项目经理、专职安全管理人员和特殊作业人员资格不合格未作识别</w:t>
            </w:r>
          </w:p>
        </w:tc>
        <w:tc>
          <w:tcPr>
            <w:tcW w:w="2471" w:type="dxa"/>
            <w:tcBorders>
              <w:top w:val="nil"/>
              <w:left w:val="nil"/>
              <w:bottom w:val="single" w:color="auto" w:sz="4" w:space="0"/>
              <w:right w:val="single" w:color="auto" w:sz="4" w:space="0"/>
            </w:tcBorders>
            <w:noWrap w:val="0"/>
            <w:vAlign w:val="center"/>
          </w:tcPr>
          <w:p w14:paraId="0635AA6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5F37A9F4">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5DAD3C06">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5C33F95F">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4C124F71">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3D06867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未核查施工机械和设施（大型起重吊装机械、自升式设备等）的安全许可验收手续</w:t>
            </w:r>
          </w:p>
        </w:tc>
        <w:tc>
          <w:tcPr>
            <w:tcW w:w="2471" w:type="dxa"/>
            <w:tcBorders>
              <w:top w:val="nil"/>
              <w:left w:val="nil"/>
              <w:bottom w:val="single" w:color="auto" w:sz="4" w:space="0"/>
              <w:right w:val="single" w:color="auto" w:sz="4" w:space="0"/>
            </w:tcBorders>
            <w:noWrap w:val="0"/>
            <w:vAlign w:val="center"/>
          </w:tcPr>
          <w:p w14:paraId="67EFB0C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18241CF7">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17620CC3">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0DB3066D">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nil"/>
              <w:left w:val="single" w:color="auto" w:sz="4" w:space="0"/>
              <w:bottom w:val="single" w:color="000000" w:sz="4" w:space="0"/>
              <w:right w:val="single" w:color="auto" w:sz="4" w:space="0"/>
            </w:tcBorders>
            <w:noWrap w:val="0"/>
            <w:vAlign w:val="center"/>
          </w:tcPr>
          <w:p w14:paraId="44FE557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审查安全专项施工方案</w:t>
            </w:r>
          </w:p>
        </w:tc>
        <w:tc>
          <w:tcPr>
            <w:tcW w:w="4395" w:type="dxa"/>
            <w:tcBorders>
              <w:top w:val="nil"/>
              <w:left w:val="nil"/>
              <w:bottom w:val="single" w:color="auto" w:sz="4" w:space="0"/>
              <w:right w:val="single" w:color="auto" w:sz="4" w:space="0"/>
            </w:tcBorders>
            <w:noWrap w:val="0"/>
            <w:vAlign w:val="center"/>
          </w:tcPr>
          <w:p w14:paraId="599860A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未审查</w:t>
            </w:r>
          </w:p>
        </w:tc>
        <w:tc>
          <w:tcPr>
            <w:tcW w:w="2471" w:type="dxa"/>
            <w:tcBorders>
              <w:top w:val="nil"/>
              <w:left w:val="nil"/>
              <w:bottom w:val="single" w:color="auto" w:sz="4" w:space="0"/>
              <w:right w:val="single" w:color="auto" w:sz="4" w:space="0"/>
            </w:tcBorders>
            <w:noWrap w:val="0"/>
            <w:vAlign w:val="center"/>
          </w:tcPr>
          <w:p w14:paraId="50C3DDD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50" w:type="dxa"/>
            <w:tcBorders>
              <w:top w:val="nil"/>
              <w:left w:val="nil"/>
              <w:bottom w:val="single" w:color="auto" w:sz="4" w:space="0"/>
              <w:right w:val="single" w:color="auto" w:sz="4" w:space="0"/>
            </w:tcBorders>
            <w:noWrap w:val="0"/>
            <w:vAlign w:val="center"/>
          </w:tcPr>
          <w:p w14:paraId="5D2EB8DB">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18C41860">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FEEBF4C">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5FC4281B">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5D435CC4">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未识别是否符合强制性标准</w:t>
            </w:r>
          </w:p>
        </w:tc>
        <w:tc>
          <w:tcPr>
            <w:tcW w:w="2471" w:type="dxa"/>
            <w:tcBorders>
              <w:top w:val="nil"/>
              <w:left w:val="nil"/>
              <w:bottom w:val="single" w:color="auto" w:sz="4" w:space="0"/>
              <w:right w:val="single" w:color="auto" w:sz="4" w:space="0"/>
            </w:tcBorders>
            <w:noWrap w:val="0"/>
            <w:vAlign w:val="center"/>
          </w:tcPr>
          <w:p w14:paraId="5005E68D">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025CFDEE">
            <w:pPr>
              <w:widowControl/>
              <w:spacing w:line="400" w:lineRule="exact"/>
              <w:jc w:val="center"/>
              <w:rPr>
                <w:rFonts w:hint="eastAsia" w:ascii="宋体" w:hAnsi="宋体" w:eastAsia="宋体" w:cs="宋体"/>
                <w:color w:val="auto"/>
                <w:kern w:val="0"/>
                <w:sz w:val="21"/>
                <w:szCs w:val="21"/>
                <w:highlight w:val="none"/>
              </w:rPr>
            </w:pPr>
          </w:p>
        </w:tc>
      </w:tr>
      <w:tr w14:paraId="638CCAC0">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6F41E29C">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296C29AC">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1884F97F">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未检查施工单位对超过一定规模的危险性较大的分部分项工程的专项施工方案是否组织专家论证、审查</w:t>
            </w:r>
          </w:p>
        </w:tc>
        <w:tc>
          <w:tcPr>
            <w:tcW w:w="2471" w:type="dxa"/>
            <w:tcBorders>
              <w:top w:val="nil"/>
              <w:left w:val="nil"/>
              <w:bottom w:val="single" w:color="auto" w:sz="4" w:space="0"/>
              <w:right w:val="single" w:color="auto" w:sz="4" w:space="0"/>
            </w:tcBorders>
            <w:noWrap w:val="0"/>
            <w:vAlign w:val="center"/>
          </w:tcPr>
          <w:p w14:paraId="358126AC">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506D5630">
            <w:pPr>
              <w:widowControl/>
              <w:spacing w:line="400" w:lineRule="exact"/>
              <w:jc w:val="center"/>
              <w:rPr>
                <w:rFonts w:hint="eastAsia" w:ascii="宋体" w:hAnsi="宋体" w:eastAsia="宋体" w:cs="宋体"/>
                <w:color w:val="auto"/>
                <w:kern w:val="0"/>
                <w:sz w:val="21"/>
                <w:szCs w:val="21"/>
                <w:highlight w:val="none"/>
              </w:rPr>
            </w:pPr>
          </w:p>
        </w:tc>
      </w:tr>
      <w:tr w14:paraId="5623DBC3">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13FABD70">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nil"/>
              <w:left w:val="nil"/>
              <w:bottom w:val="single" w:color="auto" w:sz="4" w:space="0"/>
              <w:right w:val="single" w:color="auto" w:sz="4" w:space="0"/>
            </w:tcBorders>
            <w:noWrap w:val="0"/>
            <w:vAlign w:val="center"/>
          </w:tcPr>
          <w:p w14:paraId="7F8C7EA9">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安全费用</w:t>
            </w:r>
          </w:p>
        </w:tc>
        <w:tc>
          <w:tcPr>
            <w:tcW w:w="4395" w:type="dxa"/>
            <w:tcBorders>
              <w:top w:val="nil"/>
              <w:left w:val="nil"/>
              <w:bottom w:val="single" w:color="auto" w:sz="4" w:space="0"/>
              <w:right w:val="single" w:color="auto" w:sz="4" w:space="0"/>
            </w:tcBorders>
            <w:noWrap w:val="0"/>
            <w:vAlign w:val="center"/>
          </w:tcPr>
          <w:p w14:paraId="66FA7816">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未对施工单位安全费用使用情况、安全投入落实情况进行监督</w:t>
            </w:r>
          </w:p>
        </w:tc>
        <w:tc>
          <w:tcPr>
            <w:tcW w:w="2471" w:type="dxa"/>
            <w:tcBorders>
              <w:top w:val="nil"/>
              <w:left w:val="nil"/>
              <w:bottom w:val="single" w:color="auto" w:sz="4" w:space="0"/>
              <w:right w:val="single" w:color="auto" w:sz="4" w:space="0"/>
            </w:tcBorders>
            <w:noWrap w:val="0"/>
            <w:vAlign w:val="center"/>
          </w:tcPr>
          <w:p w14:paraId="5F7C621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58BE23F4">
            <w:pPr>
              <w:widowControl/>
              <w:spacing w:line="400" w:lineRule="exact"/>
              <w:jc w:val="center"/>
              <w:rPr>
                <w:rFonts w:hint="eastAsia" w:ascii="宋体" w:hAnsi="宋体" w:eastAsia="宋体" w:cs="宋体"/>
                <w:color w:val="auto"/>
                <w:kern w:val="0"/>
                <w:sz w:val="21"/>
                <w:szCs w:val="21"/>
                <w:highlight w:val="none"/>
              </w:rPr>
            </w:pPr>
          </w:p>
        </w:tc>
      </w:tr>
      <w:tr w14:paraId="4DB4C30E">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7BBE4BC2">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nil"/>
              <w:left w:val="nil"/>
              <w:bottom w:val="single" w:color="auto" w:sz="4" w:space="0"/>
              <w:right w:val="single" w:color="auto" w:sz="4" w:space="0"/>
            </w:tcBorders>
            <w:noWrap w:val="0"/>
            <w:vAlign w:val="center"/>
          </w:tcPr>
          <w:p w14:paraId="2CC09416">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应急管理</w:t>
            </w:r>
          </w:p>
        </w:tc>
        <w:tc>
          <w:tcPr>
            <w:tcW w:w="4395" w:type="dxa"/>
            <w:tcBorders>
              <w:top w:val="nil"/>
              <w:left w:val="nil"/>
              <w:bottom w:val="single" w:color="auto" w:sz="4" w:space="0"/>
              <w:right w:val="single" w:color="auto" w:sz="4" w:space="0"/>
            </w:tcBorders>
            <w:noWrap w:val="0"/>
            <w:vAlign w:val="center"/>
          </w:tcPr>
          <w:p w14:paraId="778E791A">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未对施工单位应急救援预案进行审查或未督促开展演练</w:t>
            </w:r>
          </w:p>
        </w:tc>
        <w:tc>
          <w:tcPr>
            <w:tcW w:w="2471" w:type="dxa"/>
            <w:tcBorders>
              <w:top w:val="nil"/>
              <w:left w:val="nil"/>
              <w:bottom w:val="single" w:color="auto" w:sz="4" w:space="0"/>
              <w:right w:val="single" w:color="auto" w:sz="4" w:space="0"/>
            </w:tcBorders>
            <w:noWrap w:val="0"/>
            <w:vAlign w:val="center"/>
          </w:tcPr>
          <w:p w14:paraId="3D161310">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780028B2">
            <w:pPr>
              <w:widowControl/>
              <w:spacing w:line="400" w:lineRule="exact"/>
              <w:jc w:val="center"/>
              <w:rPr>
                <w:rFonts w:hint="eastAsia" w:ascii="宋体" w:hAnsi="宋体" w:eastAsia="宋体" w:cs="宋体"/>
                <w:color w:val="auto"/>
                <w:kern w:val="0"/>
                <w:sz w:val="21"/>
                <w:szCs w:val="21"/>
                <w:highlight w:val="none"/>
              </w:rPr>
            </w:pPr>
          </w:p>
        </w:tc>
      </w:tr>
      <w:tr w14:paraId="47F0123A">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0BC4D0E4">
            <w:pPr>
              <w:widowControl/>
              <w:spacing w:line="400" w:lineRule="exact"/>
              <w:jc w:val="left"/>
              <w:rPr>
                <w:rFonts w:hint="eastAsia" w:ascii="宋体" w:hAnsi="宋体" w:eastAsia="宋体" w:cs="宋体"/>
                <w:color w:val="auto"/>
                <w:kern w:val="0"/>
                <w:sz w:val="21"/>
                <w:szCs w:val="21"/>
                <w:highlight w:val="none"/>
              </w:rPr>
            </w:pPr>
          </w:p>
        </w:tc>
        <w:tc>
          <w:tcPr>
            <w:tcW w:w="1374" w:type="dxa"/>
            <w:vMerge w:val="restart"/>
            <w:tcBorders>
              <w:top w:val="nil"/>
              <w:left w:val="single" w:color="auto" w:sz="4" w:space="0"/>
              <w:bottom w:val="single" w:color="000000" w:sz="4" w:space="0"/>
              <w:right w:val="single" w:color="auto" w:sz="4" w:space="0"/>
            </w:tcBorders>
            <w:noWrap w:val="0"/>
            <w:vAlign w:val="center"/>
          </w:tcPr>
          <w:p w14:paraId="3617D36F">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工程安全巡视</w:t>
            </w:r>
          </w:p>
        </w:tc>
        <w:tc>
          <w:tcPr>
            <w:tcW w:w="4395" w:type="dxa"/>
            <w:tcBorders>
              <w:top w:val="nil"/>
              <w:left w:val="nil"/>
              <w:bottom w:val="single" w:color="auto" w:sz="4" w:space="0"/>
              <w:right w:val="single" w:color="auto" w:sz="4" w:space="0"/>
            </w:tcBorders>
            <w:noWrap w:val="0"/>
            <w:vAlign w:val="center"/>
          </w:tcPr>
          <w:p w14:paraId="3102AF8E">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未按监理规划或实施细则进行巡查</w:t>
            </w:r>
          </w:p>
        </w:tc>
        <w:tc>
          <w:tcPr>
            <w:tcW w:w="2471" w:type="dxa"/>
            <w:tcBorders>
              <w:top w:val="nil"/>
              <w:left w:val="nil"/>
              <w:bottom w:val="single" w:color="auto" w:sz="4" w:space="0"/>
              <w:right w:val="single" w:color="auto" w:sz="4" w:space="0"/>
            </w:tcBorders>
            <w:noWrap w:val="0"/>
            <w:vAlign w:val="center"/>
          </w:tcPr>
          <w:p w14:paraId="546FF555">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216F516D">
            <w:pPr>
              <w:widowControl/>
              <w:spacing w:line="400" w:lineRule="exact"/>
              <w:jc w:val="center"/>
              <w:rPr>
                <w:rFonts w:hint="eastAsia" w:ascii="宋体" w:hAnsi="宋体" w:eastAsia="宋体" w:cs="宋体"/>
                <w:color w:val="auto"/>
                <w:kern w:val="0"/>
                <w:sz w:val="21"/>
                <w:szCs w:val="21"/>
                <w:highlight w:val="none"/>
              </w:rPr>
            </w:pPr>
          </w:p>
        </w:tc>
      </w:tr>
      <w:tr w14:paraId="629B349C">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205D8DD9">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48AE67D5">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5D099F8B">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发现安全隐患未及时处理</w:t>
            </w:r>
          </w:p>
        </w:tc>
        <w:tc>
          <w:tcPr>
            <w:tcW w:w="2471" w:type="dxa"/>
            <w:tcBorders>
              <w:top w:val="nil"/>
              <w:left w:val="nil"/>
              <w:bottom w:val="single" w:color="auto" w:sz="4" w:space="0"/>
              <w:right w:val="single" w:color="auto" w:sz="4" w:space="0"/>
            </w:tcBorders>
            <w:noWrap w:val="0"/>
            <w:vAlign w:val="center"/>
          </w:tcPr>
          <w:p w14:paraId="06A7B01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0210837A">
            <w:pPr>
              <w:widowControl/>
              <w:spacing w:line="400" w:lineRule="exact"/>
              <w:jc w:val="center"/>
              <w:rPr>
                <w:rFonts w:hint="eastAsia" w:ascii="宋体" w:hAnsi="宋体" w:eastAsia="宋体" w:cs="宋体"/>
                <w:color w:val="auto"/>
                <w:kern w:val="0"/>
                <w:sz w:val="21"/>
                <w:szCs w:val="21"/>
                <w:highlight w:val="none"/>
              </w:rPr>
            </w:pPr>
          </w:p>
        </w:tc>
      </w:tr>
      <w:tr w14:paraId="19F0CF70">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79D489DD">
            <w:pPr>
              <w:widowControl/>
              <w:spacing w:line="400" w:lineRule="exact"/>
              <w:jc w:val="left"/>
              <w:rPr>
                <w:rFonts w:hint="eastAsia" w:ascii="宋体" w:hAnsi="宋体" w:eastAsia="宋体" w:cs="宋体"/>
                <w:color w:val="auto"/>
                <w:kern w:val="0"/>
                <w:sz w:val="21"/>
                <w:szCs w:val="21"/>
                <w:highlight w:val="none"/>
              </w:rPr>
            </w:pPr>
          </w:p>
        </w:tc>
        <w:tc>
          <w:tcPr>
            <w:tcW w:w="1374" w:type="dxa"/>
            <w:vMerge w:val="continue"/>
            <w:tcBorders>
              <w:top w:val="nil"/>
              <w:left w:val="single" w:color="auto" w:sz="4" w:space="0"/>
              <w:bottom w:val="single" w:color="000000" w:sz="4" w:space="0"/>
              <w:right w:val="single" w:color="auto" w:sz="4" w:space="0"/>
            </w:tcBorders>
            <w:noWrap w:val="0"/>
            <w:vAlign w:val="center"/>
          </w:tcPr>
          <w:p w14:paraId="1B577FAF">
            <w:pPr>
              <w:widowControl/>
              <w:spacing w:line="400" w:lineRule="exact"/>
              <w:jc w:val="left"/>
              <w:rPr>
                <w:rFonts w:hint="eastAsia" w:ascii="宋体" w:hAnsi="宋体" w:eastAsia="宋体" w:cs="宋体"/>
                <w:color w:val="auto"/>
                <w:kern w:val="0"/>
                <w:sz w:val="21"/>
                <w:szCs w:val="21"/>
                <w:highlight w:val="none"/>
              </w:rPr>
            </w:pPr>
          </w:p>
        </w:tc>
        <w:tc>
          <w:tcPr>
            <w:tcW w:w="4395" w:type="dxa"/>
            <w:tcBorders>
              <w:top w:val="nil"/>
              <w:left w:val="nil"/>
              <w:bottom w:val="single" w:color="auto" w:sz="4" w:space="0"/>
              <w:right w:val="single" w:color="auto" w:sz="4" w:space="0"/>
            </w:tcBorders>
            <w:noWrap w:val="0"/>
            <w:vAlign w:val="center"/>
          </w:tcPr>
          <w:p w14:paraId="74489A20">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对安全隐患处理意见或整改结果无记录</w:t>
            </w:r>
          </w:p>
        </w:tc>
        <w:tc>
          <w:tcPr>
            <w:tcW w:w="2471" w:type="dxa"/>
            <w:tcBorders>
              <w:top w:val="nil"/>
              <w:left w:val="nil"/>
              <w:bottom w:val="single" w:color="auto" w:sz="4" w:space="0"/>
              <w:right w:val="single" w:color="auto" w:sz="4" w:space="0"/>
            </w:tcBorders>
            <w:noWrap w:val="0"/>
            <w:vAlign w:val="center"/>
          </w:tcPr>
          <w:p w14:paraId="32D53E54">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0.25‰-0.5‰</w:t>
            </w:r>
          </w:p>
        </w:tc>
        <w:tc>
          <w:tcPr>
            <w:tcW w:w="850" w:type="dxa"/>
            <w:tcBorders>
              <w:top w:val="nil"/>
              <w:left w:val="nil"/>
              <w:bottom w:val="single" w:color="auto" w:sz="4" w:space="0"/>
              <w:right w:val="single" w:color="auto" w:sz="4" w:space="0"/>
            </w:tcBorders>
            <w:noWrap w:val="0"/>
            <w:vAlign w:val="center"/>
          </w:tcPr>
          <w:p w14:paraId="3FE0CC80">
            <w:pPr>
              <w:widowControl/>
              <w:spacing w:line="400" w:lineRule="exact"/>
              <w:jc w:val="center"/>
              <w:rPr>
                <w:rFonts w:hint="eastAsia" w:ascii="宋体" w:hAnsi="宋体" w:eastAsia="宋体" w:cs="宋体"/>
                <w:color w:val="auto"/>
                <w:kern w:val="0"/>
                <w:sz w:val="21"/>
                <w:szCs w:val="21"/>
                <w:highlight w:val="none"/>
              </w:rPr>
            </w:pPr>
          </w:p>
        </w:tc>
      </w:tr>
      <w:tr w14:paraId="1E82883B">
        <w:tblPrEx>
          <w:tblCellMar>
            <w:top w:w="0" w:type="dxa"/>
            <w:left w:w="108" w:type="dxa"/>
            <w:bottom w:w="0" w:type="dxa"/>
            <w:right w:w="108" w:type="dxa"/>
          </w:tblCellMar>
        </w:tblPrEx>
        <w:trPr>
          <w:jc w:val="center"/>
        </w:trPr>
        <w:tc>
          <w:tcPr>
            <w:tcW w:w="589" w:type="dxa"/>
            <w:vMerge w:val="continue"/>
            <w:tcBorders>
              <w:top w:val="nil"/>
              <w:left w:val="single" w:color="auto" w:sz="4" w:space="0"/>
              <w:bottom w:val="single" w:color="000000" w:sz="4" w:space="0"/>
              <w:right w:val="single" w:color="auto" w:sz="4" w:space="0"/>
            </w:tcBorders>
            <w:noWrap w:val="0"/>
            <w:vAlign w:val="center"/>
          </w:tcPr>
          <w:p w14:paraId="4D03BCC9">
            <w:pPr>
              <w:widowControl/>
              <w:spacing w:line="400" w:lineRule="exact"/>
              <w:jc w:val="left"/>
              <w:rPr>
                <w:rFonts w:hint="eastAsia" w:ascii="宋体" w:hAnsi="宋体" w:eastAsia="宋体" w:cs="宋体"/>
                <w:color w:val="auto"/>
                <w:kern w:val="0"/>
                <w:sz w:val="21"/>
                <w:szCs w:val="21"/>
                <w:highlight w:val="none"/>
              </w:rPr>
            </w:pPr>
          </w:p>
        </w:tc>
        <w:tc>
          <w:tcPr>
            <w:tcW w:w="1374" w:type="dxa"/>
            <w:tcBorders>
              <w:top w:val="nil"/>
              <w:left w:val="nil"/>
              <w:bottom w:val="single" w:color="auto" w:sz="4" w:space="0"/>
              <w:right w:val="single" w:color="auto" w:sz="4" w:space="0"/>
            </w:tcBorders>
            <w:noWrap w:val="0"/>
            <w:vAlign w:val="center"/>
          </w:tcPr>
          <w:p w14:paraId="23B0E44A">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报告制度</w:t>
            </w:r>
          </w:p>
        </w:tc>
        <w:tc>
          <w:tcPr>
            <w:tcW w:w="4395" w:type="dxa"/>
            <w:tcBorders>
              <w:top w:val="nil"/>
              <w:left w:val="nil"/>
              <w:bottom w:val="single" w:color="auto" w:sz="4" w:space="0"/>
              <w:right w:val="single" w:color="auto" w:sz="4" w:space="0"/>
            </w:tcBorders>
            <w:noWrap w:val="0"/>
            <w:vAlign w:val="center"/>
          </w:tcPr>
          <w:p w14:paraId="2A634CF9">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对发现安全事故隐患已经发出监理通知但施工单位拒不整改或不停止施工，监理未及时向委托人和行政管理部门报告</w:t>
            </w:r>
          </w:p>
        </w:tc>
        <w:tc>
          <w:tcPr>
            <w:tcW w:w="2471" w:type="dxa"/>
            <w:tcBorders>
              <w:top w:val="nil"/>
              <w:left w:val="nil"/>
              <w:bottom w:val="single" w:color="auto" w:sz="4" w:space="0"/>
              <w:right w:val="single" w:color="auto" w:sz="4" w:space="0"/>
            </w:tcBorders>
            <w:noWrap w:val="0"/>
            <w:vAlign w:val="center"/>
          </w:tcPr>
          <w:p w14:paraId="19795D49">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0.5‰-1‰</w:t>
            </w:r>
          </w:p>
        </w:tc>
        <w:tc>
          <w:tcPr>
            <w:tcW w:w="850" w:type="dxa"/>
            <w:tcBorders>
              <w:top w:val="nil"/>
              <w:left w:val="nil"/>
              <w:bottom w:val="single" w:color="auto" w:sz="4" w:space="0"/>
              <w:right w:val="single" w:color="auto" w:sz="4" w:space="0"/>
            </w:tcBorders>
            <w:noWrap w:val="0"/>
            <w:vAlign w:val="center"/>
          </w:tcPr>
          <w:p w14:paraId="0D907CD0">
            <w:pPr>
              <w:widowControl/>
              <w:spacing w:line="400" w:lineRule="exact"/>
              <w:jc w:val="center"/>
              <w:rPr>
                <w:rFonts w:hint="eastAsia" w:ascii="宋体" w:hAnsi="宋体" w:eastAsia="宋体" w:cs="宋体"/>
                <w:color w:val="auto"/>
                <w:kern w:val="0"/>
                <w:sz w:val="21"/>
                <w:szCs w:val="21"/>
                <w:highlight w:val="none"/>
              </w:rPr>
            </w:pPr>
          </w:p>
        </w:tc>
      </w:tr>
      <w:tr w14:paraId="7CF8A7CB">
        <w:tblPrEx>
          <w:tblCellMar>
            <w:top w:w="0" w:type="dxa"/>
            <w:left w:w="108" w:type="dxa"/>
            <w:bottom w:w="0" w:type="dxa"/>
            <w:right w:w="108" w:type="dxa"/>
          </w:tblCellMar>
        </w:tblPrEx>
        <w:trPr>
          <w:jc w:val="center"/>
        </w:trPr>
        <w:tc>
          <w:tcPr>
            <w:tcW w:w="9679" w:type="dxa"/>
            <w:gridSpan w:val="5"/>
            <w:tcBorders>
              <w:top w:val="single" w:color="auto" w:sz="4" w:space="0"/>
              <w:left w:val="single" w:color="auto" w:sz="4" w:space="0"/>
              <w:bottom w:val="single" w:color="auto" w:sz="4" w:space="0"/>
              <w:right w:val="single" w:color="000000" w:sz="4" w:space="0"/>
            </w:tcBorders>
            <w:noWrap w:val="0"/>
            <w:vAlign w:val="center"/>
          </w:tcPr>
          <w:p w14:paraId="4EEC34E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注：1、上表所列违约事项具体处罚标准由委托人及监理人在签订合同时在上表规定范围内自行约定。</w:t>
            </w:r>
          </w:p>
          <w:p w14:paraId="392B9953">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2、监理人发生以上★号违约情况时，委托人有权直接根据上表签订合同时约定的标准进行处罚。</w:t>
            </w:r>
          </w:p>
          <w:p w14:paraId="3D02CC42">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3、监理人发生以上非★号违约情况时，委托人可向监理人发出整改通知，要求其在限定期限内纠正。监理人收到整改通知后在限定期限内仍未纠正的，委托人有权根据上表签订合同时约定的标准进行处罚。</w:t>
            </w:r>
          </w:p>
        </w:tc>
      </w:tr>
    </w:tbl>
    <w:p w14:paraId="042005C7">
      <w:pPr>
        <w:widowControl/>
        <w:spacing w:line="360" w:lineRule="auto"/>
        <w:jc w:val="left"/>
        <w:rPr>
          <w:rFonts w:hint="eastAsia" w:ascii="宋体" w:hAnsi="宋体" w:eastAsia="宋体" w:cs="宋体"/>
          <w:color w:val="auto"/>
          <w:szCs w:val="21"/>
          <w:highlight w:val="none"/>
        </w:rPr>
      </w:pPr>
    </w:p>
    <w:p w14:paraId="50C0611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4E556C0">
      <w:pPr>
        <w:overflowPunct w:val="0"/>
        <w:autoSpaceDE w:val="0"/>
        <w:autoSpaceDN w:val="0"/>
        <w:adjustRightInd w:val="0"/>
        <w:snapToGrid w:val="0"/>
        <w:spacing w:line="3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公司安全生产违约处罚标准</w:t>
      </w:r>
    </w:p>
    <w:tbl>
      <w:tblPr>
        <w:tblStyle w:val="21"/>
        <w:tblpPr w:leftFromText="180" w:rightFromText="180" w:vertAnchor="text" w:horzAnchor="page" w:tblpX="1452" w:tblpY="317"/>
        <w:tblOverlap w:val="never"/>
        <w:tblW w:w="9565" w:type="dxa"/>
        <w:tblInd w:w="0" w:type="dxa"/>
        <w:tblLayout w:type="fixed"/>
        <w:tblCellMar>
          <w:top w:w="0" w:type="dxa"/>
          <w:left w:w="108" w:type="dxa"/>
          <w:bottom w:w="0" w:type="dxa"/>
          <w:right w:w="108" w:type="dxa"/>
        </w:tblCellMar>
      </w:tblPr>
      <w:tblGrid>
        <w:gridCol w:w="710"/>
        <w:gridCol w:w="708"/>
        <w:gridCol w:w="3800"/>
        <w:gridCol w:w="3587"/>
        <w:gridCol w:w="760"/>
      </w:tblGrid>
      <w:tr w14:paraId="1E1DEDF8">
        <w:tblPrEx>
          <w:tblCellMar>
            <w:top w:w="0" w:type="dxa"/>
            <w:left w:w="108" w:type="dxa"/>
            <w:bottom w:w="0" w:type="dxa"/>
            <w:right w:w="108" w:type="dxa"/>
          </w:tblCellMar>
        </w:tblPrEx>
        <w:trPr>
          <w:cantSplit/>
          <w:trHeight w:val="854"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BB5CBC3">
            <w:pPr>
              <w:overflowPunct w:val="0"/>
              <w:autoSpaceDE w:val="0"/>
              <w:autoSpaceDN w:val="0"/>
              <w:adjustRightInd w:val="0"/>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分类</w:t>
            </w:r>
          </w:p>
        </w:tc>
        <w:tc>
          <w:tcPr>
            <w:tcW w:w="708" w:type="dxa"/>
            <w:tcBorders>
              <w:top w:val="single" w:color="auto" w:sz="4" w:space="0"/>
              <w:left w:val="nil"/>
              <w:bottom w:val="single" w:color="auto" w:sz="4" w:space="0"/>
              <w:right w:val="single" w:color="auto" w:sz="4" w:space="0"/>
            </w:tcBorders>
            <w:noWrap w:val="0"/>
            <w:vAlign w:val="center"/>
          </w:tcPr>
          <w:p w14:paraId="63EDBE1A">
            <w:pPr>
              <w:overflowPunct w:val="0"/>
              <w:autoSpaceDE w:val="0"/>
              <w:autoSpaceDN w:val="0"/>
              <w:adjustRightInd w:val="0"/>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编号</w:t>
            </w:r>
          </w:p>
        </w:tc>
        <w:tc>
          <w:tcPr>
            <w:tcW w:w="3800" w:type="dxa"/>
            <w:tcBorders>
              <w:top w:val="single" w:color="auto" w:sz="4" w:space="0"/>
              <w:left w:val="nil"/>
              <w:bottom w:val="single" w:color="auto" w:sz="4" w:space="0"/>
              <w:right w:val="single" w:color="auto" w:sz="4" w:space="0"/>
            </w:tcBorders>
            <w:noWrap w:val="0"/>
            <w:vAlign w:val="center"/>
          </w:tcPr>
          <w:p w14:paraId="2CE272B7">
            <w:pPr>
              <w:overflowPunct w:val="0"/>
              <w:autoSpaceDE w:val="0"/>
              <w:autoSpaceDN w:val="0"/>
              <w:adjustRightInd w:val="0"/>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处罚事由</w:t>
            </w:r>
          </w:p>
        </w:tc>
        <w:tc>
          <w:tcPr>
            <w:tcW w:w="3587" w:type="dxa"/>
            <w:tcBorders>
              <w:top w:val="single" w:color="auto" w:sz="4" w:space="0"/>
              <w:left w:val="nil"/>
              <w:bottom w:val="single" w:color="auto" w:sz="4" w:space="0"/>
              <w:right w:val="single" w:color="auto" w:sz="4" w:space="0"/>
            </w:tcBorders>
            <w:noWrap w:val="0"/>
            <w:vAlign w:val="center"/>
          </w:tcPr>
          <w:p w14:paraId="644EBF59">
            <w:pPr>
              <w:overflowPunct w:val="0"/>
              <w:autoSpaceDE w:val="0"/>
              <w:autoSpaceDN w:val="0"/>
              <w:adjustRightInd w:val="0"/>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处罚标准</w:t>
            </w:r>
          </w:p>
        </w:tc>
        <w:tc>
          <w:tcPr>
            <w:tcW w:w="760" w:type="dxa"/>
            <w:tcBorders>
              <w:top w:val="single" w:color="auto" w:sz="4" w:space="0"/>
              <w:left w:val="nil"/>
              <w:bottom w:val="single" w:color="auto" w:sz="4" w:space="0"/>
              <w:right w:val="single" w:color="auto" w:sz="4" w:space="0"/>
            </w:tcBorders>
            <w:noWrap w:val="0"/>
            <w:vAlign w:val="center"/>
          </w:tcPr>
          <w:p w14:paraId="6D509F5F">
            <w:pPr>
              <w:overflowPunct w:val="0"/>
              <w:autoSpaceDE w:val="0"/>
              <w:autoSpaceDN w:val="0"/>
              <w:adjustRightInd w:val="0"/>
              <w:snapToGrid w:val="0"/>
              <w:spacing w:line="3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BEDE0F1">
        <w:tblPrEx>
          <w:tblCellMar>
            <w:top w:w="0" w:type="dxa"/>
            <w:left w:w="108" w:type="dxa"/>
            <w:bottom w:w="0" w:type="dxa"/>
            <w:right w:w="108" w:type="dxa"/>
          </w:tblCellMar>
        </w:tblPrEx>
        <w:trPr>
          <w:cantSplit/>
          <w:trHeight w:val="897" w:hRule="exact"/>
        </w:trPr>
        <w:tc>
          <w:tcPr>
            <w:tcW w:w="710" w:type="dxa"/>
            <w:vMerge w:val="restart"/>
            <w:tcBorders>
              <w:top w:val="nil"/>
              <w:left w:val="single" w:color="auto" w:sz="4" w:space="0"/>
              <w:right w:val="single" w:color="auto" w:sz="4" w:space="0"/>
            </w:tcBorders>
            <w:noWrap w:val="0"/>
            <w:vAlign w:val="center"/>
          </w:tcPr>
          <w:p w14:paraId="10A62E8C">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事故处罚办法</w:t>
            </w:r>
          </w:p>
        </w:tc>
        <w:tc>
          <w:tcPr>
            <w:tcW w:w="708" w:type="dxa"/>
            <w:tcBorders>
              <w:top w:val="nil"/>
              <w:left w:val="nil"/>
              <w:bottom w:val="single" w:color="auto" w:sz="4" w:space="0"/>
              <w:right w:val="single" w:color="auto" w:sz="4" w:space="0"/>
            </w:tcBorders>
            <w:noWrap w:val="0"/>
            <w:vAlign w:val="center"/>
          </w:tcPr>
          <w:p w14:paraId="1BCC672C">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800" w:type="dxa"/>
            <w:tcBorders>
              <w:top w:val="nil"/>
              <w:left w:val="nil"/>
              <w:bottom w:val="single" w:color="auto" w:sz="4" w:space="0"/>
              <w:right w:val="single" w:color="auto" w:sz="4" w:space="0"/>
            </w:tcBorders>
            <w:noWrap w:val="0"/>
            <w:vAlign w:val="center"/>
          </w:tcPr>
          <w:p w14:paraId="10EC6E8D">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凡发生安全生产责任事故，未实现本工程安全管理目标的单位。</w:t>
            </w:r>
          </w:p>
        </w:tc>
        <w:tc>
          <w:tcPr>
            <w:tcW w:w="3587" w:type="dxa"/>
            <w:tcBorders>
              <w:top w:val="nil"/>
              <w:left w:val="nil"/>
              <w:bottom w:val="single" w:color="auto" w:sz="4" w:space="0"/>
              <w:right w:val="single" w:color="auto" w:sz="4" w:space="0"/>
            </w:tcBorders>
            <w:noWrap w:val="0"/>
            <w:vAlign w:val="center"/>
          </w:tcPr>
          <w:p w14:paraId="46F9D15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取消年终“安全生产先进单位”、“安全生产先进工作者”参评资格。</w:t>
            </w:r>
          </w:p>
        </w:tc>
        <w:tc>
          <w:tcPr>
            <w:tcW w:w="760" w:type="dxa"/>
            <w:tcBorders>
              <w:top w:val="nil"/>
              <w:left w:val="nil"/>
              <w:bottom w:val="single" w:color="auto" w:sz="4" w:space="0"/>
              <w:right w:val="single" w:color="auto" w:sz="4" w:space="0"/>
            </w:tcBorders>
            <w:noWrap w:val="0"/>
            <w:vAlign w:val="center"/>
          </w:tcPr>
          <w:p w14:paraId="0B99E52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67759382">
        <w:tblPrEx>
          <w:tblCellMar>
            <w:top w:w="0" w:type="dxa"/>
            <w:left w:w="108" w:type="dxa"/>
            <w:bottom w:w="0" w:type="dxa"/>
            <w:right w:w="108" w:type="dxa"/>
          </w:tblCellMar>
        </w:tblPrEx>
        <w:trPr>
          <w:cantSplit/>
          <w:trHeight w:val="897" w:hRule="exact"/>
        </w:trPr>
        <w:tc>
          <w:tcPr>
            <w:tcW w:w="710" w:type="dxa"/>
            <w:vMerge w:val="continue"/>
            <w:tcBorders>
              <w:left w:val="single" w:color="auto" w:sz="4" w:space="0"/>
              <w:right w:val="single" w:color="auto" w:sz="4" w:space="0"/>
            </w:tcBorders>
            <w:noWrap w:val="0"/>
            <w:vAlign w:val="center"/>
          </w:tcPr>
          <w:p w14:paraId="228FEBCF">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2CE079A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800" w:type="dxa"/>
            <w:tcBorders>
              <w:top w:val="nil"/>
              <w:left w:val="nil"/>
              <w:bottom w:val="single" w:color="auto" w:sz="4" w:space="0"/>
              <w:right w:val="single" w:color="auto" w:sz="4" w:space="0"/>
            </w:tcBorders>
            <w:noWrap w:val="0"/>
            <w:vAlign w:val="center"/>
          </w:tcPr>
          <w:p w14:paraId="5E51BD6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施工单位发生3人以上人身死亡责任事故。</w:t>
            </w:r>
          </w:p>
        </w:tc>
        <w:tc>
          <w:tcPr>
            <w:tcW w:w="3587" w:type="dxa"/>
            <w:tcBorders>
              <w:top w:val="nil"/>
              <w:left w:val="nil"/>
              <w:bottom w:val="single" w:color="auto" w:sz="4" w:space="0"/>
              <w:right w:val="single" w:color="auto" w:sz="4" w:space="0"/>
            </w:tcBorders>
            <w:noWrap w:val="0"/>
            <w:vAlign w:val="center"/>
          </w:tcPr>
          <w:p w14:paraId="40E218FF">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处以施工单位30万元以上违约金；处以监理单位10万元以上违约金。</w:t>
            </w:r>
          </w:p>
        </w:tc>
        <w:tc>
          <w:tcPr>
            <w:tcW w:w="760" w:type="dxa"/>
            <w:tcBorders>
              <w:top w:val="nil"/>
              <w:left w:val="nil"/>
              <w:bottom w:val="single" w:color="auto" w:sz="4" w:space="0"/>
              <w:right w:val="single" w:color="auto" w:sz="4" w:space="0"/>
            </w:tcBorders>
            <w:noWrap w:val="0"/>
            <w:vAlign w:val="center"/>
          </w:tcPr>
          <w:p w14:paraId="26F87AD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0E8102D">
        <w:tblPrEx>
          <w:tblCellMar>
            <w:top w:w="0" w:type="dxa"/>
            <w:left w:w="108" w:type="dxa"/>
            <w:bottom w:w="0" w:type="dxa"/>
            <w:right w:w="108" w:type="dxa"/>
          </w:tblCellMar>
        </w:tblPrEx>
        <w:trPr>
          <w:cantSplit/>
          <w:trHeight w:val="887" w:hRule="exact"/>
        </w:trPr>
        <w:tc>
          <w:tcPr>
            <w:tcW w:w="710" w:type="dxa"/>
            <w:vMerge w:val="continue"/>
            <w:tcBorders>
              <w:left w:val="single" w:color="auto" w:sz="4" w:space="0"/>
              <w:right w:val="single" w:color="auto" w:sz="4" w:space="0"/>
            </w:tcBorders>
            <w:noWrap w:val="0"/>
            <w:vAlign w:val="center"/>
          </w:tcPr>
          <w:p w14:paraId="29D25730">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7E5AACE0">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800" w:type="dxa"/>
            <w:tcBorders>
              <w:top w:val="nil"/>
              <w:left w:val="nil"/>
              <w:bottom w:val="single" w:color="auto" w:sz="4" w:space="0"/>
              <w:right w:val="single" w:color="auto" w:sz="4" w:space="0"/>
            </w:tcBorders>
            <w:noWrap w:val="0"/>
            <w:vAlign w:val="center"/>
          </w:tcPr>
          <w:p w14:paraId="6127D731">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施工单位发生1-3人人身死亡责任事故。</w:t>
            </w:r>
          </w:p>
        </w:tc>
        <w:tc>
          <w:tcPr>
            <w:tcW w:w="3587" w:type="dxa"/>
            <w:tcBorders>
              <w:top w:val="nil"/>
              <w:left w:val="nil"/>
              <w:bottom w:val="single" w:color="auto" w:sz="4" w:space="0"/>
              <w:right w:val="single" w:color="auto" w:sz="4" w:space="0"/>
            </w:tcBorders>
            <w:noWrap w:val="0"/>
            <w:vAlign w:val="center"/>
          </w:tcPr>
          <w:p w14:paraId="54EAFB5E">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处以施工单位10-30万元的违约金；处以监理单位5-10万元违约金。</w:t>
            </w:r>
          </w:p>
        </w:tc>
        <w:tc>
          <w:tcPr>
            <w:tcW w:w="760" w:type="dxa"/>
            <w:tcBorders>
              <w:top w:val="nil"/>
              <w:left w:val="nil"/>
              <w:bottom w:val="single" w:color="auto" w:sz="4" w:space="0"/>
              <w:right w:val="single" w:color="auto" w:sz="4" w:space="0"/>
            </w:tcBorders>
            <w:noWrap w:val="0"/>
            <w:vAlign w:val="center"/>
          </w:tcPr>
          <w:p w14:paraId="4F8C370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8097945">
        <w:tblPrEx>
          <w:tblCellMar>
            <w:top w:w="0" w:type="dxa"/>
            <w:left w:w="108" w:type="dxa"/>
            <w:bottom w:w="0" w:type="dxa"/>
            <w:right w:w="108" w:type="dxa"/>
          </w:tblCellMar>
        </w:tblPrEx>
        <w:trPr>
          <w:cantSplit/>
          <w:trHeight w:val="647" w:hRule="exact"/>
        </w:trPr>
        <w:tc>
          <w:tcPr>
            <w:tcW w:w="710" w:type="dxa"/>
            <w:vMerge w:val="continue"/>
            <w:tcBorders>
              <w:left w:val="single" w:color="auto" w:sz="4" w:space="0"/>
              <w:right w:val="single" w:color="auto" w:sz="4" w:space="0"/>
            </w:tcBorders>
            <w:noWrap w:val="0"/>
            <w:vAlign w:val="center"/>
          </w:tcPr>
          <w:p w14:paraId="1D2E6B43">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03AE70F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800" w:type="dxa"/>
            <w:tcBorders>
              <w:top w:val="nil"/>
              <w:left w:val="nil"/>
              <w:bottom w:val="single" w:color="auto" w:sz="4" w:space="0"/>
              <w:right w:val="single" w:color="auto" w:sz="4" w:space="0"/>
            </w:tcBorders>
            <w:noWrap w:val="0"/>
            <w:vAlign w:val="center"/>
          </w:tcPr>
          <w:p w14:paraId="5D305AD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施工单位发生重伤事故或3人(含3人)以上群伤事故。</w:t>
            </w:r>
          </w:p>
        </w:tc>
        <w:tc>
          <w:tcPr>
            <w:tcW w:w="3587" w:type="dxa"/>
            <w:tcBorders>
              <w:top w:val="nil"/>
              <w:left w:val="nil"/>
              <w:bottom w:val="single" w:color="auto" w:sz="4" w:space="0"/>
              <w:right w:val="single" w:color="auto" w:sz="4" w:space="0"/>
            </w:tcBorders>
            <w:noWrap w:val="0"/>
            <w:vAlign w:val="center"/>
          </w:tcPr>
          <w:p w14:paraId="129BD83F">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对施工单位处以5-10万元的违约金。</w:t>
            </w:r>
          </w:p>
        </w:tc>
        <w:tc>
          <w:tcPr>
            <w:tcW w:w="760" w:type="dxa"/>
            <w:tcBorders>
              <w:top w:val="nil"/>
              <w:left w:val="nil"/>
              <w:bottom w:val="single" w:color="auto" w:sz="4" w:space="0"/>
              <w:right w:val="single" w:color="auto" w:sz="4" w:space="0"/>
            </w:tcBorders>
            <w:noWrap w:val="0"/>
            <w:vAlign w:val="center"/>
          </w:tcPr>
          <w:p w14:paraId="44C444A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2078253">
        <w:tblPrEx>
          <w:tblCellMar>
            <w:top w:w="0" w:type="dxa"/>
            <w:left w:w="108" w:type="dxa"/>
            <w:bottom w:w="0" w:type="dxa"/>
            <w:right w:w="108" w:type="dxa"/>
          </w:tblCellMar>
        </w:tblPrEx>
        <w:trPr>
          <w:cantSplit/>
          <w:trHeight w:val="797" w:hRule="exact"/>
        </w:trPr>
        <w:tc>
          <w:tcPr>
            <w:tcW w:w="710" w:type="dxa"/>
            <w:vMerge w:val="continue"/>
            <w:tcBorders>
              <w:left w:val="single" w:color="auto" w:sz="4" w:space="0"/>
              <w:right w:val="single" w:color="auto" w:sz="4" w:space="0"/>
            </w:tcBorders>
            <w:noWrap w:val="0"/>
            <w:vAlign w:val="center"/>
          </w:tcPr>
          <w:p w14:paraId="7E275E18">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19F25B61">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3800" w:type="dxa"/>
            <w:tcBorders>
              <w:top w:val="nil"/>
              <w:left w:val="nil"/>
              <w:bottom w:val="single" w:color="auto" w:sz="4" w:space="0"/>
              <w:right w:val="single" w:color="auto" w:sz="4" w:space="0"/>
            </w:tcBorders>
            <w:noWrap w:val="0"/>
            <w:vAlign w:val="center"/>
          </w:tcPr>
          <w:p w14:paraId="2790802F">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发生爆炸物品丢失或者被盗事件。</w:t>
            </w:r>
          </w:p>
        </w:tc>
        <w:tc>
          <w:tcPr>
            <w:tcW w:w="3587" w:type="dxa"/>
            <w:tcBorders>
              <w:top w:val="nil"/>
              <w:left w:val="nil"/>
              <w:bottom w:val="single" w:color="auto" w:sz="4" w:space="0"/>
              <w:right w:val="single" w:color="auto" w:sz="4" w:space="0"/>
            </w:tcBorders>
            <w:noWrap w:val="0"/>
            <w:vAlign w:val="center"/>
          </w:tcPr>
          <w:p w14:paraId="2F23D3F0">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对施工单位处以5-10万元的违约金。</w:t>
            </w:r>
          </w:p>
        </w:tc>
        <w:tc>
          <w:tcPr>
            <w:tcW w:w="760" w:type="dxa"/>
            <w:tcBorders>
              <w:top w:val="nil"/>
              <w:left w:val="nil"/>
              <w:bottom w:val="single" w:color="auto" w:sz="4" w:space="0"/>
              <w:right w:val="single" w:color="auto" w:sz="4" w:space="0"/>
            </w:tcBorders>
            <w:noWrap w:val="0"/>
            <w:vAlign w:val="center"/>
          </w:tcPr>
          <w:p w14:paraId="6CE74D6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0450659">
        <w:tblPrEx>
          <w:tblCellMar>
            <w:top w:w="0" w:type="dxa"/>
            <w:left w:w="108" w:type="dxa"/>
            <w:bottom w:w="0" w:type="dxa"/>
            <w:right w:w="108" w:type="dxa"/>
          </w:tblCellMar>
        </w:tblPrEx>
        <w:trPr>
          <w:cantSplit/>
          <w:trHeight w:val="737" w:hRule="exact"/>
        </w:trPr>
        <w:tc>
          <w:tcPr>
            <w:tcW w:w="710" w:type="dxa"/>
            <w:vMerge w:val="continue"/>
            <w:tcBorders>
              <w:left w:val="single" w:color="auto" w:sz="4" w:space="0"/>
              <w:right w:val="single" w:color="auto" w:sz="4" w:space="0"/>
            </w:tcBorders>
            <w:noWrap w:val="0"/>
            <w:vAlign w:val="center"/>
          </w:tcPr>
          <w:p w14:paraId="04FE321C">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2E196421">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3800" w:type="dxa"/>
            <w:tcBorders>
              <w:top w:val="nil"/>
              <w:left w:val="nil"/>
              <w:bottom w:val="single" w:color="auto" w:sz="4" w:space="0"/>
              <w:right w:val="single" w:color="auto" w:sz="4" w:space="0"/>
            </w:tcBorders>
            <w:noWrap w:val="0"/>
            <w:vAlign w:val="center"/>
          </w:tcPr>
          <w:p w14:paraId="1C1CCCF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发生机械设备、火灾、环境污染、职业卫生伤害(含中毒)事故。</w:t>
            </w:r>
          </w:p>
        </w:tc>
        <w:tc>
          <w:tcPr>
            <w:tcW w:w="3587" w:type="dxa"/>
            <w:tcBorders>
              <w:top w:val="nil"/>
              <w:left w:val="nil"/>
              <w:bottom w:val="single" w:color="auto" w:sz="4" w:space="0"/>
              <w:right w:val="single" w:color="auto" w:sz="4" w:space="0"/>
            </w:tcBorders>
            <w:noWrap w:val="0"/>
            <w:vAlign w:val="center"/>
          </w:tcPr>
          <w:p w14:paraId="4B2380DA">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对施工单位处以3-5万元的违约金。</w:t>
            </w:r>
          </w:p>
        </w:tc>
        <w:tc>
          <w:tcPr>
            <w:tcW w:w="760" w:type="dxa"/>
            <w:tcBorders>
              <w:top w:val="nil"/>
              <w:left w:val="nil"/>
              <w:bottom w:val="single" w:color="auto" w:sz="4" w:space="0"/>
              <w:right w:val="single" w:color="auto" w:sz="4" w:space="0"/>
            </w:tcBorders>
            <w:noWrap w:val="0"/>
            <w:vAlign w:val="center"/>
          </w:tcPr>
          <w:p w14:paraId="1EEE37A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5AEC29DF">
        <w:tblPrEx>
          <w:tblCellMar>
            <w:top w:w="0" w:type="dxa"/>
            <w:left w:w="108" w:type="dxa"/>
            <w:bottom w:w="0" w:type="dxa"/>
            <w:right w:w="108" w:type="dxa"/>
          </w:tblCellMar>
        </w:tblPrEx>
        <w:trPr>
          <w:cantSplit/>
          <w:trHeight w:val="654" w:hRule="exact"/>
        </w:trPr>
        <w:tc>
          <w:tcPr>
            <w:tcW w:w="710" w:type="dxa"/>
            <w:vMerge w:val="continue"/>
            <w:tcBorders>
              <w:left w:val="single" w:color="auto" w:sz="4" w:space="0"/>
              <w:right w:val="single" w:color="auto" w:sz="4" w:space="0"/>
            </w:tcBorders>
            <w:noWrap w:val="0"/>
            <w:vAlign w:val="center"/>
          </w:tcPr>
          <w:p w14:paraId="1406FF56">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3D30E33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3800" w:type="dxa"/>
            <w:tcBorders>
              <w:top w:val="nil"/>
              <w:left w:val="nil"/>
              <w:bottom w:val="single" w:color="auto" w:sz="4" w:space="0"/>
              <w:right w:val="single" w:color="auto" w:sz="4" w:space="0"/>
            </w:tcBorders>
            <w:noWrap w:val="0"/>
            <w:vAlign w:val="center"/>
          </w:tcPr>
          <w:p w14:paraId="488E38EA">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施工现场发生高空坠物现象。</w:t>
            </w:r>
          </w:p>
        </w:tc>
        <w:tc>
          <w:tcPr>
            <w:tcW w:w="3587" w:type="dxa"/>
            <w:tcBorders>
              <w:top w:val="nil"/>
              <w:left w:val="nil"/>
              <w:bottom w:val="single" w:color="auto" w:sz="4" w:space="0"/>
              <w:right w:val="single" w:color="auto" w:sz="4" w:space="0"/>
            </w:tcBorders>
            <w:noWrap w:val="0"/>
            <w:vAlign w:val="center"/>
          </w:tcPr>
          <w:p w14:paraId="5434567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对施工单位处以l-2万元的违约金。</w:t>
            </w:r>
          </w:p>
        </w:tc>
        <w:tc>
          <w:tcPr>
            <w:tcW w:w="760" w:type="dxa"/>
            <w:tcBorders>
              <w:top w:val="nil"/>
              <w:left w:val="nil"/>
              <w:bottom w:val="single" w:color="auto" w:sz="4" w:space="0"/>
              <w:right w:val="single" w:color="auto" w:sz="4" w:space="0"/>
            </w:tcBorders>
            <w:noWrap w:val="0"/>
            <w:vAlign w:val="center"/>
          </w:tcPr>
          <w:p w14:paraId="2E9E2AB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5DFD89E2">
        <w:tblPrEx>
          <w:tblCellMar>
            <w:top w:w="0" w:type="dxa"/>
            <w:left w:w="108" w:type="dxa"/>
            <w:bottom w:w="0" w:type="dxa"/>
            <w:right w:w="108" w:type="dxa"/>
          </w:tblCellMar>
        </w:tblPrEx>
        <w:trPr>
          <w:cantSplit/>
          <w:trHeight w:val="737" w:hRule="exact"/>
        </w:trPr>
        <w:tc>
          <w:tcPr>
            <w:tcW w:w="710" w:type="dxa"/>
            <w:vMerge w:val="continue"/>
            <w:tcBorders>
              <w:left w:val="single" w:color="auto" w:sz="4" w:space="0"/>
              <w:right w:val="single" w:color="auto" w:sz="4" w:space="0"/>
            </w:tcBorders>
            <w:noWrap w:val="0"/>
            <w:vAlign w:val="center"/>
          </w:tcPr>
          <w:p w14:paraId="6B8776D2">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368FC9CB">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3800" w:type="dxa"/>
            <w:tcBorders>
              <w:top w:val="nil"/>
              <w:left w:val="nil"/>
              <w:bottom w:val="single" w:color="auto" w:sz="4" w:space="0"/>
              <w:right w:val="single" w:color="auto" w:sz="4" w:space="0"/>
            </w:tcBorders>
            <w:noWrap w:val="0"/>
            <w:vAlign w:val="center"/>
          </w:tcPr>
          <w:p w14:paraId="00F4480A">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施工单位因拖欠农民工工资引发影响恶劣的群体性事件。</w:t>
            </w:r>
          </w:p>
        </w:tc>
        <w:tc>
          <w:tcPr>
            <w:tcW w:w="3587" w:type="dxa"/>
            <w:tcBorders>
              <w:top w:val="nil"/>
              <w:left w:val="nil"/>
              <w:bottom w:val="single" w:color="auto" w:sz="4" w:space="0"/>
              <w:right w:val="single" w:color="auto" w:sz="4" w:space="0"/>
            </w:tcBorders>
            <w:noWrap w:val="0"/>
            <w:vAlign w:val="center"/>
          </w:tcPr>
          <w:p w14:paraId="324C6E31">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对施工单位处以3-5万元的违约金。</w:t>
            </w:r>
          </w:p>
        </w:tc>
        <w:tc>
          <w:tcPr>
            <w:tcW w:w="760" w:type="dxa"/>
            <w:tcBorders>
              <w:top w:val="nil"/>
              <w:left w:val="nil"/>
              <w:bottom w:val="single" w:color="auto" w:sz="4" w:space="0"/>
              <w:right w:val="single" w:color="auto" w:sz="4" w:space="0"/>
            </w:tcBorders>
            <w:noWrap w:val="0"/>
            <w:vAlign w:val="center"/>
          </w:tcPr>
          <w:p w14:paraId="72380494">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3AFFFA5">
        <w:tblPrEx>
          <w:tblCellMar>
            <w:top w:w="0" w:type="dxa"/>
            <w:left w:w="108" w:type="dxa"/>
            <w:bottom w:w="0" w:type="dxa"/>
            <w:right w:w="108" w:type="dxa"/>
          </w:tblCellMar>
        </w:tblPrEx>
        <w:trPr>
          <w:cantSplit/>
          <w:trHeight w:val="737" w:hRule="exact"/>
        </w:trPr>
        <w:tc>
          <w:tcPr>
            <w:tcW w:w="710" w:type="dxa"/>
            <w:vMerge w:val="continue"/>
            <w:tcBorders>
              <w:left w:val="single" w:color="auto" w:sz="4" w:space="0"/>
              <w:bottom w:val="single" w:color="auto" w:sz="4" w:space="0"/>
              <w:right w:val="single" w:color="auto" w:sz="4" w:space="0"/>
            </w:tcBorders>
            <w:noWrap w:val="0"/>
            <w:vAlign w:val="center"/>
          </w:tcPr>
          <w:p w14:paraId="2D6C93AF">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051795A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3800" w:type="dxa"/>
            <w:tcBorders>
              <w:top w:val="nil"/>
              <w:left w:val="nil"/>
              <w:bottom w:val="single" w:color="auto" w:sz="4" w:space="0"/>
              <w:right w:val="single" w:color="auto" w:sz="4" w:space="0"/>
            </w:tcBorders>
            <w:noWrap w:val="0"/>
            <w:vAlign w:val="center"/>
          </w:tcPr>
          <w:p w14:paraId="7C4A6C0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发生事故后隐瞒不报、谎报或拖延不报的单位。</w:t>
            </w:r>
          </w:p>
        </w:tc>
        <w:tc>
          <w:tcPr>
            <w:tcW w:w="3587" w:type="dxa"/>
            <w:tcBorders>
              <w:top w:val="nil"/>
              <w:left w:val="nil"/>
              <w:bottom w:val="single" w:color="auto" w:sz="4" w:space="0"/>
              <w:right w:val="single" w:color="auto" w:sz="4" w:space="0"/>
            </w:tcBorders>
            <w:noWrap w:val="0"/>
            <w:vAlign w:val="center"/>
          </w:tcPr>
          <w:p w14:paraId="00E5FB4C">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处以该单位3-5万元的违约金。</w:t>
            </w:r>
          </w:p>
        </w:tc>
        <w:tc>
          <w:tcPr>
            <w:tcW w:w="760" w:type="dxa"/>
            <w:tcBorders>
              <w:top w:val="nil"/>
              <w:left w:val="nil"/>
              <w:bottom w:val="single" w:color="auto" w:sz="4" w:space="0"/>
              <w:right w:val="single" w:color="auto" w:sz="4" w:space="0"/>
            </w:tcBorders>
            <w:noWrap w:val="0"/>
            <w:vAlign w:val="center"/>
          </w:tcPr>
          <w:p w14:paraId="1F5D701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D8D0CFF">
        <w:tblPrEx>
          <w:tblCellMar>
            <w:top w:w="0" w:type="dxa"/>
            <w:left w:w="108" w:type="dxa"/>
            <w:bottom w:w="0" w:type="dxa"/>
            <w:right w:w="108" w:type="dxa"/>
          </w:tblCellMar>
        </w:tblPrEx>
        <w:trPr>
          <w:cantSplit/>
          <w:trHeight w:val="1701" w:hRule="exact"/>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43739A4A">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违规违章处罚办法</w:t>
            </w:r>
          </w:p>
        </w:tc>
        <w:tc>
          <w:tcPr>
            <w:tcW w:w="708" w:type="dxa"/>
            <w:tcBorders>
              <w:top w:val="single" w:color="auto" w:sz="4" w:space="0"/>
              <w:left w:val="nil"/>
              <w:bottom w:val="single" w:color="auto" w:sz="4" w:space="0"/>
              <w:right w:val="single" w:color="auto" w:sz="4" w:space="0"/>
            </w:tcBorders>
            <w:noWrap w:val="0"/>
            <w:vAlign w:val="center"/>
          </w:tcPr>
          <w:p w14:paraId="55EDC1C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3800" w:type="dxa"/>
            <w:tcBorders>
              <w:top w:val="single" w:color="auto" w:sz="4" w:space="0"/>
              <w:left w:val="nil"/>
              <w:bottom w:val="single" w:color="auto" w:sz="4" w:space="0"/>
              <w:right w:val="single" w:color="auto" w:sz="4" w:space="0"/>
            </w:tcBorders>
            <w:noWrap w:val="0"/>
            <w:vAlign w:val="center"/>
          </w:tcPr>
          <w:p w14:paraId="074142A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未建立健全安全生产责任制度(含消防)和安全生产教育培训制度，未制定安全生产规章制度和操作规程(含消防)或经检查发现制度、规程流于形式而未严格执行。</w:t>
            </w:r>
          </w:p>
        </w:tc>
        <w:tc>
          <w:tcPr>
            <w:tcW w:w="3587" w:type="dxa"/>
            <w:tcBorders>
              <w:top w:val="nil"/>
              <w:left w:val="nil"/>
              <w:bottom w:val="single" w:color="auto" w:sz="4" w:space="0"/>
              <w:right w:val="single" w:color="auto" w:sz="4" w:space="0"/>
            </w:tcBorders>
            <w:noWrap w:val="0"/>
            <w:vAlign w:val="center"/>
          </w:tcPr>
          <w:p w14:paraId="510EF53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2A86601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C3B608E">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766010FD">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F14F722">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3800" w:type="dxa"/>
            <w:tcBorders>
              <w:top w:val="single" w:color="auto" w:sz="4" w:space="0"/>
              <w:left w:val="nil"/>
              <w:bottom w:val="single" w:color="auto" w:sz="4" w:space="0"/>
              <w:right w:val="single" w:color="auto" w:sz="4" w:space="0"/>
            </w:tcBorders>
            <w:noWrap w:val="0"/>
            <w:vAlign w:val="center"/>
          </w:tcPr>
          <w:p w14:paraId="763A0561">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在施工组织设计中未编制安全技术措施和施工现场临时用电方案。</w:t>
            </w:r>
          </w:p>
        </w:tc>
        <w:tc>
          <w:tcPr>
            <w:tcW w:w="3587" w:type="dxa"/>
            <w:tcBorders>
              <w:top w:val="nil"/>
              <w:left w:val="nil"/>
              <w:bottom w:val="single" w:color="auto" w:sz="4" w:space="0"/>
              <w:right w:val="single" w:color="auto" w:sz="4" w:space="0"/>
            </w:tcBorders>
            <w:noWrap w:val="0"/>
            <w:vAlign w:val="center"/>
          </w:tcPr>
          <w:p w14:paraId="35F05B1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05562AD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46CFAD6">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099D3EEA">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4B551D3">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3800" w:type="dxa"/>
            <w:tcBorders>
              <w:top w:val="single" w:color="auto" w:sz="4" w:space="0"/>
              <w:left w:val="nil"/>
              <w:bottom w:val="single" w:color="auto" w:sz="4" w:space="0"/>
              <w:right w:val="single" w:color="auto" w:sz="4" w:space="0"/>
            </w:tcBorders>
            <w:noWrap w:val="0"/>
            <w:vAlign w:val="center"/>
          </w:tcPr>
          <w:p w14:paraId="5FAE150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对所承担的工程项目未进行定期和专项安全检查，无安全检查记录或记录不全。</w:t>
            </w:r>
          </w:p>
        </w:tc>
        <w:tc>
          <w:tcPr>
            <w:tcW w:w="3587" w:type="dxa"/>
            <w:tcBorders>
              <w:top w:val="single" w:color="auto" w:sz="4" w:space="0"/>
              <w:left w:val="nil"/>
              <w:bottom w:val="single" w:color="auto" w:sz="4" w:space="0"/>
              <w:right w:val="single" w:color="auto" w:sz="4" w:space="0"/>
            </w:tcBorders>
            <w:noWrap w:val="0"/>
            <w:vAlign w:val="center"/>
          </w:tcPr>
          <w:p w14:paraId="4FCD50ED">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nil"/>
              <w:bottom w:val="single" w:color="auto" w:sz="4" w:space="0"/>
              <w:right w:val="single" w:color="auto" w:sz="4" w:space="0"/>
            </w:tcBorders>
            <w:noWrap w:val="0"/>
            <w:vAlign w:val="center"/>
          </w:tcPr>
          <w:p w14:paraId="6590F66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BA35DA0">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1C98B5DD">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051E1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3800" w:type="dxa"/>
            <w:tcBorders>
              <w:top w:val="single" w:color="auto" w:sz="4" w:space="0"/>
              <w:left w:val="nil"/>
              <w:bottom w:val="single" w:color="auto" w:sz="4" w:space="0"/>
              <w:right w:val="single" w:color="auto" w:sz="4" w:space="0"/>
            </w:tcBorders>
            <w:noWrap w:val="0"/>
            <w:vAlign w:val="center"/>
          </w:tcPr>
          <w:p w14:paraId="07635DA3">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未按规定组织全体施工人员进行年度安全工作规程考试。</w:t>
            </w:r>
          </w:p>
        </w:tc>
        <w:tc>
          <w:tcPr>
            <w:tcW w:w="3587" w:type="dxa"/>
            <w:tcBorders>
              <w:top w:val="single" w:color="auto" w:sz="4" w:space="0"/>
              <w:left w:val="nil"/>
              <w:bottom w:val="single" w:color="auto" w:sz="4" w:space="0"/>
              <w:right w:val="single" w:color="auto" w:sz="4" w:space="0"/>
            </w:tcBorders>
            <w:noWrap w:val="0"/>
            <w:vAlign w:val="center"/>
          </w:tcPr>
          <w:p w14:paraId="45C634D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nil"/>
              <w:bottom w:val="single" w:color="auto" w:sz="4" w:space="0"/>
              <w:right w:val="single" w:color="auto" w:sz="4" w:space="0"/>
            </w:tcBorders>
            <w:noWrap w:val="0"/>
            <w:vAlign w:val="center"/>
          </w:tcPr>
          <w:p w14:paraId="48675BFF">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A777EAD">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1AF52CC4">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D7636B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3800" w:type="dxa"/>
            <w:tcBorders>
              <w:top w:val="single" w:color="auto" w:sz="4" w:space="0"/>
              <w:left w:val="nil"/>
              <w:bottom w:val="single" w:color="auto" w:sz="4" w:space="0"/>
              <w:right w:val="single" w:color="auto" w:sz="4" w:space="0"/>
            </w:tcBorders>
            <w:noWrap w:val="0"/>
            <w:vAlign w:val="center"/>
          </w:tcPr>
          <w:p w14:paraId="004FF3B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未按有关规定设置安全监督机构并配备满足施工要求的安监人员。</w:t>
            </w:r>
          </w:p>
        </w:tc>
        <w:tc>
          <w:tcPr>
            <w:tcW w:w="3587" w:type="dxa"/>
            <w:tcBorders>
              <w:top w:val="single" w:color="auto" w:sz="4" w:space="0"/>
              <w:left w:val="nil"/>
              <w:bottom w:val="single" w:color="auto" w:sz="4" w:space="0"/>
              <w:right w:val="single" w:color="auto" w:sz="4" w:space="0"/>
            </w:tcBorders>
            <w:noWrap w:val="0"/>
            <w:vAlign w:val="center"/>
          </w:tcPr>
          <w:p w14:paraId="7792293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nil"/>
              <w:bottom w:val="single" w:color="auto" w:sz="4" w:space="0"/>
              <w:right w:val="single" w:color="auto" w:sz="4" w:space="0"/>
            </w:tcBorders>
            <w:noWrap w:val="0"/>
            <w:vAlign w:val="center"/>
          </w:tcPr>
          <w:p w14:paraId="0DEA1C6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D85DC25">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C30D223">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FF5050B">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3800" w:type="dxa"/>
            <w:tcBorders>
              <w:top w:val="single" w:color="auto" w:sz="4" w:space="0"/>
              <w:left w:val="nil"/>
              <w:bottom w:val="single" w:color="auto" w:sz="4" w:space="0"/>
              <w:right w:val="single" w:color="auto" w:sz="4" w:space="0"/>
            </w:tcBorders>
            <w:noWrap w:val="0"/>
            <w:vAlign w:val="center"/>
          </w:tcPr>
          <w:p w14:paraId="4F81FE58">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对新招入的施工人员未按规定进行三级安全教育（含没有三级安全教育记录）而安排上岗作业。</w:t>
            </w:r>
          </w:p>
        </w:tc>
        <w:tc>
          <w:tcPr>
            <w:tcW w:w="3587" w:type="dxa"/>
            <w:tcBorders>
              <w:top w:val="single" w:color="auto" w:sz="4" w:space="0"/>
              <w:left w:val="nil"/>
              <w:bottom w:val="single" w:color="auto" w:sz="4" w:space="0"/>
              <w:right w:val="single" w:color="auto" w:sz="4" w:space="0"/>
            </w:tcBorders>
            <w:noWrap w:val="0"/>
            <w:vAlign w:val="center"/>
          </w:tcPr>
          <w:p w14:paraId="3759DD3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nil"/>
              <w:bottom w:val="single" w:color="auto" w:sz="4" w:space="0"/>
              <w:right w:val="single" w:color="auto" w:sz="4" w:space="0"/>
            </w:tcBorders>
            <w:noWrap w:val="0"/>
            <w:vAlign w:val="center"/>
          </w:tcPr>
          <w:p w14:paraId="7C0D34E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B9D8BBE">
        <w:tblPrEx>
          <w:tblCellMar>
            <w:top w:w="0" w:type="dxa"/>
            <w:left w:w="108" w:type="dxa"/>
            <w:bottom w:w="0" w:type="dxa"/>
            <w:right w:w="108" w:type="dxa"/>
          </w:tblCellMar>
        </w:tblPrEx>
        <w:trPr>
          <w:cantSplit/>
          <w:trHeight w:val="2421" w:hRule="exact"/>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47EE4185">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违规违章处罚办法</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ED5771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5FCDCA83">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基坑支护与降水工程、土方开挖工程、模板工程、起重吊装工程、桥梁架设及安装工程、隧道挖掘通风和支护工程、脚手架工程、拆除、爆破工程等九种任何一项未编制专项施工方案，并未经施工单位技术负责人、总监理工程师签名确认后施工。</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35983AE3">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70D053F">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592F01C">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33F9903">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E30873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5E41DD6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各项施工方案实施过程中未由专职安全生产管理人员现场进行监督。</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23394DDD">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520630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89281E1">
        <w:tblPrEx>
          <w:tblCellMar>
            <w:top w:w="0" w:type="dxa"/>
            <w:left w:w="108" w:type="dxa"/>
            <w:bottom w:w="0" w:type="dxa"/>
            <w:right w:w="108" w:type="dxa"/>
          </w:tblCellMar>
        </w:tblPrEx>
        <w:trPr>
          <w:cantSplit/>
          <w:trHeight w:val="170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1E69278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4DCEC1E">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6D8A2F5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开工前未进行安全技术交底（以接受交底的全体技术人员签名为准）而进行施工作业，未按规定为施工人员提供符合国家标准或者行业标准的劳动保护用品。</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7EE500B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915169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83445F2">
        <w:tblPrEx>
          <w:tblCellMar>
            <w:top w:w="0" w:type="dxa"/>
            <w:left w:w="108" w:type="dxa"/>
            <w:bottom w:w="0" w:type="dxa"/>
            <w:right w:w="108" w:type="dxa"/>
          </w:tblCellMar>
        </w:tblPrEx>
        <w:trPr>
          <w:cantSplit/>
          <w:trHeight w:val="1544"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FC5A9C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7C35FC2">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7CD24B94">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起重机械（汽车起重机、塔式起重机、门式起重机、架桥机）未经具有专业资质的检验检测机构检验检测合格，缺少安全使用证或者安全标志而投入使用。</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7F8E31C7">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3C917B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A0F6172">
        <w:tblPrEx>
          <w:tblCellMar>
            <w:top w:w="0" w:type="dxa"/>
            <w:left w:w="108" w:type="dxa"/>
            <w:bottom w:w="0" w:type="dxa"/>
            <w:right w:w="108" w:type="dxa"/>
          </w:tblCellMar>
        </w:tblPrEx>
        <w:trPr>
          <w:cantSplit/>
          <w:trHeight w:val="118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0608FDE">
            <w:pPr>
              <w:overflowPunct w:val="0"/>
              <w:autoSpaceDE w:val="0"/>
              <w:autoSpaceDN w:val="0"/>
              <w:adjustRightInd w:val="0"/>
              <w:snapToGrid w:val="0"/>
              <w:spacing w:line="320" w:lineRule="exact"/>
              <w:rPr>
                <w:rFonts w:hint="eastAsia" w:ascii="宋体" w:hAnsi="宋体" w:eastAsia="宋体" w:cs="宋体"/>
                <w:b/>
                <w:bCs/>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4C27FA3">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6EF96111">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起重吊装、爆破作业不设指挥，无联系信号或信号不当，安全技术措施不落实。</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7028D7F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987C23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1B55F0AE">
        <w:tblPrEx>
          <w:tblCellMar>
            <w:top w:w="0" w:type="dxa"/>
            <w:left w:w="108" w:type="dxa"/>
            <w:bottom w:w="0" w:type="dxa"/>
            <w:right w:w="108" w:type="dxa"/>
          </w:tblCellMar>
        </w:tblPrEx>
        <w:trPr>
          <w:cantSplit/>
          <w:trHeight w:val="115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3C14D633">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F989137">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3A382F09">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雷管和炸药放置在同一容器或者同一辆车内运送。</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0E2581B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FF166D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CBFF611">
        <w:tblPrEx>
          <w:tblCellMar>
            <w:top w:w="0" w:type="dxa"/>
            <w:left w:w="108" w:type="dxa"/>
            <w:bottom w:w="0" w:type="dxa"/>
            <w:right w:w="108" w:type="dxa"/>
          </w:tblCellMar>
        </w:tblPrEx>
        <w:trPr>
          <w:cantSplit/>
          <w:trHeight w:val="124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CA485D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CAE42D">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09A250C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用翻斗车、自卸汽车、拖车、拖拉机、机动三轮车、人力三轮车、自行车、摩托车和皮带运输机运送爆破器材。</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57280DC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C573487">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100B5EF2">
        <w:tblPrEx>
          <w:tblCellMar>
            <w:top w:w="0" w:type="dxa"/>
            <w:left w:w="108" w:type="dxa"/>
            <w:bottom w:w="0" w:type="dxa"/>
            <w:right w:w="108" w:type="dxa"/>
          </w:tblCellMar>
        </w:tblPrEx>
        <w:trPr>
          <w:cantSplit/>
          <w:trHeight w:val="128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0EB701F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513584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3DEDB7A7">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爆炸物品出入库台账无记录或记录不全(含签名)、账实不符。</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7530B9D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4030C37">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9C21DD7">
        <w:tblPrEx>
          <w:tblCellMar>
            <w:top w:w="0" w:type="dxa"/>
            <w:left w:w="108" w:type="dxa"/>
            <w:bottom w:w="0" w:type="dxa"/>
            <w:right w:w="108" w:type="dxa"/>
          </w:tblCellMar>
        </w:tblPrEx>
        <w:trPr>
          <w:cantSplit/>
          <w:trHeight w:val="136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7529718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DB4469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3E80B62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通风机停止时，隧道洞内有人作业或逗留。</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0C27C42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10B57E7">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82AFECF">
        <w:tblPrEx>
          <w:tblCellMar>
            <w:top w:w="0" w:type="dxa"/>
            <w:left w:w="108" w:type="dxa"/>
            <w:bottom w:w="0" w:type="dxa"/>
            <w:right w:w="108" w:type="dxa"/>
          </w:tblCellMar>
        </w:tblPrEx>
        <w:trPr>
          <w:cantSplit/>
          <w:trHeight w:val="124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7CD9EF5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3E8497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3234D49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隧道洞内、油库区、炸药库区、氧气库、乙炔库、发(变)电房内明火作业或取暖或发现吸烟者</w:t>
            </w:r>
          </w:p>
        </w:tc>
        <w:tc>
          <w:tcPr>
            <w:tcW w:w="3587" w:type="dxa"/>
            <w:tcBorders>
              <w:top w:val="single" w:color="auto" w:sz="4" w:space="0"/>
              <w:left w:val="single" w:color="auto" w:sz="4" w:space="0"/>
              <w:bottom w:val="single" w:color="auto" w:sz="4" w:space="0"/>
              <w:right w:val="single" w:color="auto" w:sz="4" w:space="0"/>
            </w:tcBorders>
            <w:noWrap w:val="0"/>
            <w:vAlign w:val="center"/>
          </w:tcPr>
          <w:p w14:paraId="73544CE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3F9505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6A35855">
        <w:tblPrEx>
          <w:tblCellMar>
            <w:top w:w="0" w:type="dxa"/>
            <w:left w:w="108" w:type="dxa"/>
            <w:bottom w:w="0" w:type="dxa"/>
            <w:right w:w="108" w:type="dxa"/>
          </w:tblCellMar>
        </w:tblPrEx>
        <w:trPr>
          <w:cantSplit/>
          <w:trHeight w:val="1361" w:hRule="exact"/>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0D3D1B10">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违规违章处罚办法</w:t>
            </w:r>
          </w:p>
        </w:tc>
        <w:tc>
          <w:tcPr>
            <w:tcW w:w="708" w:type="dxa"/>
            <w:tcBorders>
              <w:top w:val="single" w:color="auto" w:sz="4" w:space="0"/>
              <w:left w:val="nil"/>
              <w:bottom w:val="single" w:color="auto" w:sz="4" w:space="0"/>
              <w:right w:val="single" w:color="auto" w:sz="4" w:space="0"/>
            </w:tcBorders>
            <w:noWrap w:val="0"/>
            <w:vAlign w:val="center"/>
          </w:tcPr>
          <w:p w14:paraId="15ED217D">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3800" w:type="dxa"/>
            <w:tcBorders>
              <w:top w:val="single" w:color="auto" w:sz="4" w:space="0"/>
              <w:left w:val="nil"/>
              <w:bottom w:val="single" w:color="auto" w:sz="4" w:space="0"/>
              <w:right w:val="single" w:color="auto" w:sz="4" w:space="0"/>
            </w:tcBorders>
            <w:noWrap w:val="0"/>
            <w:vAlign w:val="center"/>
          </w:tcPr>
          <w:p w14:paraId="354AF6D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随意排放废油、废水、废气、废物、泥浆，乱倒生活垃圾、建筑垃圾，对环境造成不良影响，不按指定位置取土、弃土。</w:t>
            </w:r>
          </w:p>
        </w:tc>
        <w:tc>
          <w:tcPr>
            <w:tcW w:w="3587" w:type="dxa"/>
            <w:tcBorders>
              <w:top w:val="single" w:color="auto" w:sz="4" w:space="0"/>
              <w:left w:val="nil"/>
              <w:bottom w:val="single" w:color="auto" w:sz="4" w:space="0"/>
              <w:right w:val="single" w:color="auto" w:sz="4" w:space="0"/>
            </w:tcBorders>
            <w:noWrap w:val="0"/>
            <w:vAlign w:val="center"/>
          </w:tcPr>
          <w:p w14:paraId="2332A75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nil"/>
              <w:bottom w:val="single" w:color="auto" w:sz="4" w:space="0"/>
              <w:right w:val="single" w:color="auto" w:sz="4" w:space="0"/>
            </w:tcBorders>
            <w:noWrap w:val="0"/>
            <w:vAlign w:val="center"/>
          </w:tcPr>
          <w:p w14:paraId="1A2ECF7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66BE24F">
        <w:tblPrEx>
          <w:tblCellMar>
            <w:top w:w="0" w:type="dxa"/>
            <w:left w:w="108" w:type="dxa"/>
            <w:bottom w:w="0" w:type="dxa"/>
            <w:right w:w="108" w:type="dxa"/>
          </w:tblCellMar>
        </w:tblPrEx>
        <w:trPr>
          <w:cantSplit/>
          <w:trHeight w:val="11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4C71F9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710355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3800" w:type="dxa"/>
            <w:tcBorders>
              <w:top w:val="single" w:color="auto" w:sz="4" w:space="0"/>
              <w:left w:val="nil"/>
              <w:bottom w:val="single" w:color="auto" w:sz="4" w:space="0"/>
              <w:right w:val="single" w:color="auto" w:sz="4" w:space="0"/>
            </w:tcBorders>
            <w:noWrap w:val="0"/>
            <w:vAlign w:val="center"/>
          </w:tcPr>
          <w:p w14:paraId="2B046D47">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施工区域内，因管理不善发生较严重的打架斗殴或食品卫生安全事件。</w:t>
            </w:r>
          </w:p>
        </w:tc>
        <w:tc>
          <w:tcPr>
            <w:tcW w:w="3587" w:type="dxa"/>
            <w:tcBorders>
              <w:top w:val="single" w:color="auto" w:sz="4" w:space="0"/>
              <w:left w:val="nil"/>
              <w:bottom w:val="single" w:color="auto" w:sz="4" w:space="0"/>
              <w:right w:val="single" w:color="auto" w:sz="4" w:space="0"/>
            </w:tcBorders>
            <w:noWrap w:val="0"/>
            <w:vAlign w:val="center"/>
          </w:tcPr>
          <w:p w14:paraId="260D6F1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nil"/>
              <w:bottom w:val="single" w:color="auto" w:sz="4" w:space="0"/>
              <w:right w:val="single" w:color="auto" w:sz="4" w:space="0"/>
            </w:tcBorders>
            <w:noWrap w:val="0"/>
            <w:vAlign w:val="center"/>
          </w:tcPr>
          <w:p w14:paraId="4D732C3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14EF0A06">
        <w:tblPrEx>
          <w:tblCellMar>
            <w:top w:w="0" w:type="dxa"/>
            <w:left w:w="108" w:type="dxa"/>
            <w:bottom w:w="0" w:type="dxa"/>
            <w:right w:w="108" w:type="dxa"/>
          </w:tblCellMar>
        </w:tblPrEx>
        <w:trPr>
          <w:cantSplit/>
          <w:trHeight w:val="120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9A714B4">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F8D539">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3800" w:type="dxa"/>
            <w:tcBorders>
              <w:top w:val="single" w:color="auto" w:sz="4" w:space="0"/>
              <w:left w:val="nil"/>
              <w:bottom w:val="single" w:color="auto" w:sz="4" w:space="0"/>
              <w:right w:val="single" w:color="auto" w:sz="4" w:space="0"/>
            </w:tcBorders>
            <w:noWrap w:val="0"/>
            <w:vAlign w:val="center"/>
          </w:tcPr>
          <w:p w14:paraId="08E6B051">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施工车辆通行道路(含路基)未采取防止扬尘措施。</w:t>
            </w:r>
          </w:p>
        </w:tc>
        <w:tc>
          <w:tcPr>
            <w:tcW w:w="3587" w:type="dxa"/>
            <w:tcBorders>
              <w:top w:val="single" w:color="auto" w:sz="4" w:space="0"/>
              <w:left w:val="nil"/>
              <w:bottom w:val="single" w:color="auto" w:sz="4" w:space="0"/>
              <w:right w:val="single" w:color="auto" w:sz="4" w:space="0"/>
            </w:tcBorders>
            <w:noWrap w:val="0"/>
            <w:vAlign w:val="center"/>
          </w:tcPr>
          <w:p w14:paraId="6CB81BD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nil"/>
              <w:bottom w:val="single" w:color="auto" w:sz="4" w:space="0"/>
              <w:right w:val="single" w:color="auto" w:sz="4" w:space="0"/>
            </w:tcBorders>
            <w:noWrap w:val="0"/>
            <w:vAlign w:val="center"/>
          </w:tcPr>
          <w:p w14:paraId="43D4FE7D">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16B67E28">
        <w:tblPrEx>
          <w:tblCellMar>
            <w:top w:w="0" w:type="dxa"/>
            <w:left w:w="108" w:type="dxa"/>
            <w:bottom w:w="0" w:type="dxa"/>
            <w:right w:w="108" w:type="dxa"/>
          </w:tblCellMar>
        </w:tblPrEx>
        <w:trPr>
          <w:cantSplit/>
          <w:trHeight w:val="114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9DFC386">
            <w:pPr>
              <w:overflowPunct w:val="0"/>
              <w:autoSpaceDE w:val="0"/>
              <w:autoSpaceDN w:val="0"/>
              <w:adjustRightInd w:val="0"/>
              <w:snapToGrid w:val="0"/>
              <w:spacing w:line="320" w:lineRule="exac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2FA63B0">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3800" w:type="dxa"/>
            <w:tcBorders>
              <w:top w:val="single" w:color="auto" w:sz="4" w:space="0"/>
              <w:left w:val="nil"/>
              <w:bottom w:val="single" w:color="auto" w:sz="4" w:space="0"/>
              <w:right w:val="single" w:color="auto" w:sz="4" w:space="0"/>
            </w:tcBorders>
            <w:noWrap w:val="0"/>
            <w:vAlign w:val="center"/>
          </w:tcPr>
          <w:p w14:paraId="5454CCB9">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发生因工程施工造成对当地村民生产生活产生不良影响的举报事件(含口头举报)，经警告不改的。</w:t>
            </w:r>
          </w:p>
        </w:tc>
        <w:tc>
          <w:tcPr>
            <w:tcW w:w="3587" w:type="dxa"/>
            <w:tcBorders>
              <w:top w:val="single" w:color="auto" w:sz="4" w:space="0"/>
              <w:left w:val="nil"/>
              <w:bottom w:val="single" w:color="auto" w:sz="4" w:space="0"/>
              <w:right w:val="single" w:color="auto" w:sz="4" w:space="0"/>
            </w:tcBorders>
            <w:noWrap w:val="0"/>
            <w:vAlign w:val="center"/>
          </w:tcPr>
          <w:p w14:paraId="1B43B65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视情节对施工单位处以1000-5000元违约金；对监理单位监管不力的，处以1000-3000元违约金。</w:t>
            </w:r>
          </w:p>
        </w:tc>
        <w:tc>
          <w:tcPr>
            <w:tcW w:w="760" w:type="dxa"/>
            <w:tcBorders>
              <w:top w:val="single" w:color="auto" w:sz="4" w:space="0"/>
              <w:left w:val="nil"/>
              <w:bottom w:val="single" w:color="auto" w:sz="4" w:space="0"/>
              <w:right w:val="single" w:color="auto" w:sz="4" w:space="0"/>
            </w:tcBorders>
            <w:noWrap w:val="0"/>
            <w:vAlign w:val="center"/>
          </w:tcPr>
          <w:p w14:paraId="1369017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5B4AABE">
        <w:tblPrEx>
          <w:tblCellMar>
            <w:top w:w="0" w:type="dxa"/>
            <w:left w:w="108" w:type="dxa"/>
            <w:bottom w:w="0" w:type="dxa"/>
            <w:right w:w="108" w:type="dxa"/>
          </w:tblCellMar>
        </w:tblPrEx>
        <w:trPr>
          <w:cantSplit/>
          <w:trHeight w:val="120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B3F02F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EFAB413">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3800" w:type="dxa"/>
            <w:tcBorders>
              <w:top w:val="single" w:color="auto" w:sz="4" w:space="0"/>
              <w:left w:val="nil"/>
              <w:bottom w:val="single" w:color="auto" w:sz="4" w:space="0"/>
              <w:right w:val="single" w:color="auto" w:sz="4" w:space="0"/>
            </w:tcBorders>
            <w:noWrap w:val="0"/>
            <w:vAlign w:val="center"/>
          </w:tcPr>
          <w:p w14:paraId="68C8373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对公司和主管部门下发的“安全整改通知单”，不按要求限期整改、借故拖延或不服从管理。</w:t>
            </w:r>
          </w:p>
        </w:tc>
        <w:tc>
          <w:tcPr>
            <w:tcW w:w="3587" w:type="dxa"/>
            <w:tcBorders>
              <w:top w:val="single" w:color="auto" w:sz="4" w:space="0"/>
              <w:left w:val="nil"/>
              <w:bottom w:val="single" w:color="auto" w:sz="4" w:space="0"/>
              <w:right w:val="single" w:color="auto" w:sz="4" w:space="0"/>
            </w:tcBorders>
            <w:noWrap w:val="0"/>
            <w:vAlign w:val="center"/>
          </w:tcPr>
          <w:p w14:paraId="0B96A4C8">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45364C2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4641157">
        <w:tblPrEx>
          <w:tblCellMar>
            <w:top w:w="0" w:type="dxa"/>
            <w:left w:w="108" w:type="dxa"/>
            <w:bottom w:w="0" w:type="dxa"/>
            <w:right w:w="108" w:type="dxa"/>
          </w:tblCellMar>
        </w:tblPrEx>
        <w:trPr>
          <w:cantSplit/>
          <w:trHeight w:val="136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2E98D17">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94CFDD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3800" w:type="dxa"/>
            <w:tcBorders>
              <w:top w:val="single" w:color="auto" w:sz="4" w:space="0"/>
              <w:left w:val="nil"/>
              <w:bottom w:val="single" w:color="auto" w:sz="4" w:space="0"/>
              <w:right w:val="single" w:color="auto" w:sz="4" w:space="0"/>
            </w:tcBorders>
            <w:noWrap w:val="0"/>
            <w:vAlign w:val="center"/>
          </w:tcPr>
          <w:p w14:paraId="2CEA738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人工挖孔桩无专项安全技术措施方案，孔内无通风装置、无低压照明、孔洞周边无有效防护措施、无作业人员上下通道。</w:t>
            </w:r>
          </w:p>
        </w:tc>
        <w:tc>
          <w:tcPr>
            <w:tcW w:w="3587" w:type="dxa"/>
            <w:tcBorders>
              <w:top w:val="single" w:color="auto" w:sz="4" w:space="0"/>
              <w:left w:val="nil"/>
              <w:bottom w:val="single" w:color="auto" w:sz="4" w:space="0"/>
              <w:right w:val="single" w:color="auto" w:sz="4" w:space="0"/>
            </w:tcBorders>
            <w:noWrap w:val="0"/>
            <w:vAlign w:val="center"/>
          </w:tcPr>
          <w:p w14:paraId="2E96C273">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1F835D4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4F33A2C">
        <w:tblPrEx>
          <w:tblCellMar>
            <w:top w:w="0" w:type="dxa"/>
            <w:left w:w="108" w:type="dxa"/>
            <w:bottom w:w="0" w:type="dxa"/>
            <w:right w:w="108" w:type="dxa"/>
          </w:tblCellMar>
        </w:tblPrEx>
        <w:trPr>
          <w:cantSplit/>
          <w:trHeight w:val="136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5077BE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C59588F">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3800" w:type="dxa"/>
            <w:tcBorders>
              <w:top w:val="single" w:color="auto" w:sz="4" w:space="0"/>
              <w:left w:val="nil"/>
              <w:bottom w:val="single" w:color="auto" w:sz="4" w:space="0"/>
              <w:right w:val="single" w:color="auto" w:sz="4" w:space="0"/>
            </w:tcBorders>
            <w:noWrap w:val="0"/>
            <w:vAlign w:val="center"/>
          </w:tcPr>
          <w:p w14:paraId="26C5F19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工地上较高的建(构)筑物(如水泥罐)、炸药库、油库、发(变)电房、塔式起重机、门式起重机未按规定装设有效避雷装置。</w:t>
            </w:r>
          </w:p>
        </w:tc>
        <w:tc>
          <w:tcPr>
            <w:tcW w:w="3587" w:type="dxa"/>
            <w:tcBorders>
              <w:top w:val="single" w:color="auto" w:sz="4" w:space="0"/>
              <w:left w:val="nil"/>
              <w:bottom w:val="single" w:color="auto" w:sz="4" w:space="0"/>
              <w:right w:val="single" w:color="auto" w:sz="4" w:space="0"/>
            </w:tcBorders>
            <w:noWrap w:val="0"/>
            <w:vAlign w:val="center"/>
          </w:tcPr>
          <w:p w14:paraId="1931A4F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1BE0B0F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A025887">
        <w:tblPrEx>
          <w:tblCellMar>
            <w:top w:w="0" w:type="dxa"/>
            <w:left w:w="108" w:type="dxa"/>
            <w:bottom w:w="0" w:type="dxa"/>
            <w:right w:w="108" w:type="dxa"/>
          </w:tblCellMar>
        </w:tblPrEx>
        <w:trPr>
          <w:cantSplit/>
          <w:trHeight w:val="117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2CA077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16F3E66">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3800" w:type="dxa"/>
            <w:tcBorders>
              <w:top w:val="single" w:color="auto" w:sz="4" w:space="0"/>
              <w:left w:val="nil"/>
              <w:bottom w:val="single" w:color="auto" w:sz="4" w:space="0"/>
              <w:right w:val="single" w:color="auto" w:sz="4" w:space="0"/>
            </w:tcBorders>
            <w:noWrap w:val="0"/>
            <w:vAlign w:val="center"/>
          </w:tcPr>
          <w:p w14:paraId="7D0DD2FB">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油库区、炸药库区、氧气库、乙炔库、发(变)电房、检修车间、仓库、生活区(职工宿舍)等未按规定配置有效消防器材。</w:t>
            </w:r>
          </w:p>
        </w:tc>
        <w:tc>
          <w:tcPr>
            <w:tcW w:w="3587" w:type="dxa"/>
            <w:tcBorders>
              <w:top w:val="single" w:color="auto" w:sz="4" w:space="0"/>
              <w:left w:val="nil"/>
              <w:bottom w:val="single" w:color="auto" w:sz="4" w:space="0"/>
              <w:right w:val="single" w:color="auto" w:sz="4" w:space="0"/>
            </w:tcBorders>
            <w:noWrap w:val="0"/>
            <w:vAlign w:val="center"/>
          </w:tcPr>
          <w:p w14:paraId="20E371C7">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1C05E93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1E38C09">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BFBA03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E8390D">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3800" w:type="dxa"/>
            <w:tcBorders>
              <w:top w:val="single" w:color="auto" w:sz="4" w:space="0"/>
              <w:left w:val="nil"/>
              <w:bottom w:val="single" w:color="auto" w:sz="4" w:space="0"/>
              <w:right w:val="single" w:color="auto" w:sz="4" w:space="0"/>
            </w:tcBorders>
            <w:noWrap w:val="0"/>
            <w:vAlign w:val="center"/>
          </w:tcPr>
          <w:p w14:paraId="34B0BA8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氧气和乙炔的运输、储存、使用或安全距离不符合规程要求。</w:t>
            </w:r>
          </w:p>
        </w:tc>
        <w:tc>
          <w:tcPr>
            <w:tcW w:w="3587" w:type="dxa"/>
            <w:tcBorders>
              <w:top w:val="single" w:color="auto" w:sz="4" w:space="0"/>
              <w:left w:val="nil"/>
              <w:bottom w:val="single" w:color="auto" w:sz="4" w:space="0"/>
              <w:right w:val="single" w:color="auto" w:sz="4" w:space="0"/>
            </w:tcBorders>
            <w:noWrap w:val="0"/>
            <w:vAlign w:val="center"/>
          </w:tcPr>
          <w:p w14:paraId="6ABDF9A0">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0C587C0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62FF99B">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16A48FF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CC50355">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3800" w:type="dxa"/>
            <w:tcBorders>
              <w:top w:val="single" w:color="auto" w:sz="4" w:space="0"/>
              <w:left w:val="nil"/>
              <w:bottom w:val="single" w:color="auto" w:sz="4" w:space="0"/>
              <w:right w:val="single" w:color="auto" w:sz="4" w:space="0"/>
            </w:tcBorders>
            <w:noWrap w:val="0"/>
            <w:vAlign w:val="center"/>
          </w:tcPr>
          <w:p w14:paraId="12277050">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未按经审批的施工方案施工，脚手架未按规程要求搭设并经监理组织验收便投入使用。</w:t>
            </w:r>
          </w:p>
        </w:tc>
        <w:tc>
          <w:tcPr>
            <w:tcW w:w="3587" w:type="dxa"/>
            <w:tcBorders>
              <w:top w:val="single" w:color="auto" w:sz="4" w:space="0"/>
              <w:left w:val="nil"/>
              <w:bottom w:val="single" w:color="auto" w:sz="4" w:space="0"/>
              <w:right w:val="single" w:color="auto" w:sz="4" w:space="0"/>
            </w:tcBorders>
            <w:noWrap w:val="0"/>
            <w:vAlign w:val="center"/>
          </w:tcPr>
          <w:p w14:paraId="66A3408E">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68BFA7F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5F9DBC4A">
        <w:tblPrEx>
          <w:tblCellMar>
            <w:top w:w="0" w:type="dxa"/>
            <w:left w:w="108" w:type="dxa"/>
            <w:bottom w:w="0" w:type="dxa"/>
            <w:right w:w="108" w:type="dxa"/>
          </w:tblCellMar>
        </w:tblPrEx>
        <w:trPr>
          <w:cantSplit/>
          <w:trHeight w:val="2466"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0D17547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1EEF387">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3800" w:type="dxa"/>
            <w:tcBorders>
              <w:top w:val="single" w:color="auto" w:sz="4" w:space="0"/>
              <w:left w:val="nil"/>
              <w:bottom w:val="single" w:color="auto" w:sz="4" w:space="0"/>
              <w:right w:val="single" w:color="auto" w:sz="4" w:space="0"/>
            </w:tcBorders>
            <w:noWrap w:val="0"/>
            <w:vAlign w:val="center"/>
          </w:tcPr>
          <w:p w14:paraId="36D42C95">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单位在施工现场入口处、施工起重机械、临时用电设施、脚手架、出入通道口、施工便道拐弯处、孔洞口、桥梁口、隧道口、基坑边沿、桩基础施工、爆破物及有害危险气体和液体存放处等危险部位未设置明显的安全警示标志或安全警示标志不符合国家标准。</w:t>
            </w:r>
          </w:p>
        </w:tc>
        <w:tc>
          <w:tcPr>
            <w:tcW w:w="3587" w:type="dxa"/>
            <w:tcBorders>
              <w:top w:val="single" w:color="auto" w:sz="4" w:space="0"/>
              <w:left w:val="nil"/>
              <w:bottom w:val="single" w:color="auto" w:sz="4" w:space="0"/>
              <w:right w:val="single" w:color="auto" w:sz="4" w:space="0"/>
            </w:tcBorders>
            <w:noWrap w:val="0"/>
            <w:vAlign w:val="center"/>
          </w:tcPr>
          <w:p w14:paraId="21A6B3A7">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3CD1383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6DC3316E">
        <w:tblPrEx>
          <w:tblCellMar>
            <w:top w:w="0" w:type="dxa"/>
            <w:left w:w="108" w:type="dxa"/>
            <w:bottom w:w="0" w:type="dxa"/>
            <w:right w:w="108" w:type="dxa"/>
          </w:tblCellMar>
        </w:tblPrEx>
        <w:trPr>
          <w:cantSplit/>
          <w:trHeight w:val="1601" w:hRule="exact"/>
        </w:trPr>
        <w:tc>
          <w:tcPr>
            <w:tcW w:w="710" w:type="dxa"/>
            <w:vMerge w:val="restart"/>
            <w:tcBorders>
              <w:top w:val="single" w:color="auto" w:sz="4" w:space="0"/>
              <w:left w:val="single" w:color="auto" w:sz="4" w:space="0"/>
              <w:right w:val="single" w:color="auto" w:sz="4" w:space="0"/>
            </w:tcBorders>
            <w:noWrap w:val="0"/>
            <w:vAlign w:val="center"/>
          </w:tcPr>
          <w:p w14:paraId="209B35A1">
            <w:pPr>
              <w:overflowPunct w:val="0"/>
              <w:autoSpaceDE w:val="0"/>
              <w:autoSpaceDN w:val="0"/>
              <w:adjustRightInd w:val="0"/>
              <w:snapToGrid w:val="0"/>
              <w:spacing w:line="32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违规违章处罚办法</w:t>
            </w:r>
          </w:p>
        </w:tc>
        <w:tc>
          <w:tcPr>
            <w:tcW w:w="708" w:type="dxa"/>
            <w:tcBorders>
              <w:top w:val="single" w:color="auto" w:sz="4" w:space="0"/>
              <w:left w:val="nil"/>
              <w:bottom w:val="single" w:color="auto" w:sz="4" w:space="0"/>
              <w:right w:val="single" w:color="auto" w:sz="4" w:space="0"/>
            </w:tcBorders>
            <w:noWrap w:val="0"/>
            <w:vAlign w:val="center"/>
          </w:tcPr>
          <w:p w14:paraId="0AF397F1">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w:t>
            </w:r>
          </w:p>
        </w:tc>
        <w:tc>
          <w:tcPr>
            <w:tcW w:w="3800" w:type="dxa"/>
            <w:tcBorders>
              <w:top w:val="single" w:color="auto" w:sz="4" w:space="0"/>
              <w:left w:val="nil"/>
              <w:bottom w:val="single" w:color="auto" w:sz="4" w:space="0"/>
              <w:right w:val="single" w:color="auto" w:sz="4" w:space="0"/>
            </w:tcBorders>
            <w:noWrap w:val="0"/>
            <w:vAlign w:val="center"/>
          </w:tcPr>
          <w:p w14:paraId="1A6CACFF">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特种作业人员（指从事电气、起重、驾驶、焊接、爆破、脚手架搭设、射线等作业人员）未经专门的安全作业培训并取得特种作业操作资格证书便安排上岗作业。</w:t>
            </w:r>
          </w:p>
        </w:tc>
        <w:tc>
          <w:tcPr>
            <w:tcW w:w="3587" w:type="dxa"/>
            <w:tcBorders>
              <w:top w:val="single" w:color="auto" w:sz="4" w:space="0"/>
              <w:left w:val="nil"/>
              <w:bottom w:val="single" w:color="auto" w:sz="4" w:space="0"/>
              <w:right w:val="single" w:color="auto" w:sz="4" w:space="0"/>
            </w:tcBorders>
            <w:noWrap w:val="0"/>
            <w:vAlign w:val="center"/>
          </w:tcPr>
          <w:p w14:paraId="4AAED32C">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凡出现的行为，对施工单位处以5000元以内违约金；对监理单位处以3000元以内违约金。</w:t>
            </w:r>
          </w:p>
        </w:tc>
        <w:tc>
          <w:tcPr>
            <w:tcW w:w="760" w:type="dxa"/>
            <w:tcBorders>
              <w:top w:val="single" w:color="auto" w:sz="4" w:space="0"/>
              <w:left w:val="nil"/>
              <w:bottom w:val="single" w:color="auto" w:sz="4" w:space="0"/>
              <w:right w:val="single" w:color="auto" w:sz="4" w:space="0"/>
            </w:tcBorders>
            <w:noWrap w:val="0"/>
            <w:vAlign w:val="center"/>
          </w:tcPr>
          <w:p w14:paraId="056D2603">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2B2A43E">
        <w:tblPrEx>
          <w:tblCellMar>
            <w:top w:w="0" w:type="dxa"/>
            <w:left w:w="108" w:type="dxa"/>
            <w:bottom w:w="0" w:type="dxa"/>
            <w:right w:w="108" w:type="dxa"/>
          </w:tblCellMar>
        </w:tblPrEx>
        <w:trPr>
          <w:cantSplit/>
          <w:trHeight w:val="1311" w:hRule="exact"/>
        </w:trPr>
        <w:tc>
          <w:tcPr>
            <w:tcW w:w="710" w:type="dxa"/>
            <w:vMerge w:val="continue"/>
            <w:tcBorders>
              <w:left w:val="single" w:color="auto" w:sz="4" w:space="0"/>
              <w:right w:val="single" w:color="auto" w:sz="4" w:space="0"/>
            </w:tcBorders>
            <w:noWrap w:val="0"/>
            <w:vAlign w:val="center"/>
          </w:tcPr>
          <w:p w14:paraId="5FAA0C00">
            <w:pPr>
              <w:overflowPunct w:val="0"/>
              <w:autoSpaceDE w:val="0"/>
              <w:autoSpaceDN w:val="0"/>
              <w:adjustRightInd w:val="0"/>
              <w:snapToGrid w:val="0"/>
              <w:spacing w:line="320" w:lineRule="exac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502E49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3800" w:type="dxa"/>
            <w:tcBorders>
              <w:top w:val="single" w:color="auto" w:sz="4" w:space="0"/>
              <w:left w:val="nil"/>
              <w:bottom w:val="single" w:color="auto" w:sz="4" w:space="0"/>
              <w:right w:val="single" w:color="auto" w:sz="4" w:space="0"/>
            </w:tcBorders>
            <w:noWrap w:val="0"/>
            <w:vAlign w:val="center"/>
          </w:tcPr>
          <w:p w14:paraId="63424F4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未执行一机、一闸、一漏、一箱用电原则。</w:t>
            </w:r>
          </w:p>
        </w:tc>
        <w:tc>
          <w:tcPr>
            <w:tcW w:w="3587" w:type="dxa"/>
            <w:tcBorders>
              <w:top w:val="single" w:color="auto" w:sz="4" w:space="0"/>
              <w:left w:val="nil"/>
              <w:bottom w:val="single" w:color="auto" w:sz="4" w:space="0"/>
              <w:right w:val="single" w:color="auto" w:sz="4" w:space="0"/>
            </w:tcBorders>
            <w:noWrap w:val="0"/>
            <w:vAlign w:val="center"/>
          </w:tcPr>
          <w:p w14:paraId="725F4D2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single" w:color="auto" w:sz="4" w:space="0"/>
              <w:left w:val="nil"/>
              <w:bottom w:val="single" w:color="auto" w:sz="4" w:space="0"/>
              <w:right w:val="single" w:color="auto" w:sz="4" w:space="0"/>
            </w:tcBorders>
            <w:noWrap w:val="0"/>
            <w:vAlign w:val="center"/>
          </w:tcPr>
          <w:p w14:paraId="3C68937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BDF73E8">
        <w:tblPrEx>
          <w:tblCellMar>
            <w:top w:w="0" w:type="dxa"/>
            <w:left w:w="108" w:type="dxa"/>
            <w:bottom w:w="0" w:type="dxa"/>
            <w:right w:w="108" w:type="dxa"/>
          </w:tblCellMar>
        </w:tblPrEx>
        <w:trPr>
          <w:cantSplit/>
          <w:trHeight w:val="1331" w:hRule="exact"/>
        </w:trPr>
        <w:tc>
          <w:tcPr>
            <w:tcW w:w="710" w:type="dxa"/>
            <w:vMerge w:val="continue"/>
            <w:tcBorders>
              <w:left w:val="single" w:color="auto" w:sz="4" w:space="0"/>
              <w:right w:val="single" w:color="auto" w:sz="4" w:space="0"/>
            </w:tcBorders>
            <w:noWrap w:val="0"/>
            <w:vAlign w:val="center"/>
          </w:tcPr>
          <w:p w14:paraId="49E13C6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2FAA091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39</w:t>
            </w:r>
          </w:p>
        </w:tc>
        <w:tc>
          <w:tcPr>
            <w:tcW w:w="3800" w:type="dxa"/>
            <w:tcBorders>
              <w:top w:val="nil"/>
              <w:left w:val="nil"/>
              <w:bottom w:val="single" w:color="auto" w:sz="4" w:space="0"/>
              <w:right w:val="single" w:color="auto" w:sz="4" w:space="0"/>
            </w:tcBorders>
            <w:noWrap w:val="0"/>
            <w:vAlign w:val="center"/>
          </w:tcPr>
          <w:p w14:paraId="22ADEBAC">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开关箱无盖、开关露天摆设、开关无盖或盖不全，电力线路乱拉乱接或席地铺设，保险丝、地线、零线违规使用。</w:t>
            </w:r>
          </w:p>
        </w:tc>
        <w:tc>
          <w:tcPr>
            <w:tcW w:w="3587" w:type="dxa"/>
            <w:tcBorders>
              <w:top w:val="nil"/>
              <w:left w:val="nil"/>
              <w:bottom w:val="single" w:color="auto" w:sz="4" w:space="0"/>
              <w:right w:val="single" w:color="auto" w:sz="4" w:space="0"/>
            </w:tcBorders>
            <w:noWrap w:val="0"/>
            <w:vAlign w:val="center"/>
          </w:tcPr>
          <w:p w14:paraId="7876EBF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160CF40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7950F0D">
        <w:tblPrEx>
          <w:tblCellMar>
            <w:top w:w="0" w:type="dxa"/>
            <w:left w:w="108" w:type="dxa"/>
            <w:bottom w:w="0" w:type="dxa"/>
            <w:right w:w="108" w:type="dxa"/>
          </w:tblCellMar>
        </w:tblPrEx>
        <w:trPr>
          <w:cantSplit/>
          <w:trHeight w:val="1151" w:hRule="exact"/>
        </w:trPr>
        <w:tc>
          <w:tcPr>
            <w:tcW w:w="710" w:type="dxa"/>
            <w:vMerge w:val="continue"/>
            <w:tcBorders>
              <w:left w:val="single" w:color="auto" w:sz="4" w:space="0"/>
              <w:right w:val="single" w:color="auto" w:sz="4" w:space="0"/>
            </w:tcBorders>
            <w:noWrap w:val="0"/>
            <w:vAlign w:val="center"/>
          </w:tcPr>
          <w:p w14:paraId="5ABE70F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4D75DC5E">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3800" w:type="dxa"/>
            <w:tcBorders>
              <w:top w:val="nil"/>
              <w:left w:val="nil"/>
              <w:bottom w:val="single" w:color="auto" w:sz="4" w:space="0"/>
              <w:right w:val="single" w:color="auto" w:sz="4" w:space="0"/>
            </w:tcBorders>
            <w:noWrap w:val="0"/>
            <w:vAlign w:val="center"/>
          </w:tcPr>
          <w:p w14:paraId="708CF54B">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施工现场每使用一辆“三无”车辆或证件不全车辆。</w:t>
            </w:r>
          </w:p>
        </w:tc>
        <w:tc>
          <w:tcPr>
            <w:tcW w:w="3587" w:type="dxa"/>
            <w:tcBorders>
              <w:top w:val="nil"/>
              <w:left w:val="nil"/>
              <w:bottom w:val="single" w:color="auto" w:sz="4" w:space="0"/>
              <w:right w:val="single" w:color="auto" w:sz="4" w:space="0"/>
            </w:tcBorders>
            <w:noWrap w:val="0"/>
            <w:vAlign w:val="center"/>
          </w:tcPr>
          <w:p w14:paraId="56F9FBB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268D3DB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74870419">
        <w:tblPrEx>
          <w:tblCellMar>
            <w:top w:w="0" w:type="dxa"/>
            <w:left w:w="108" w:type="dxa"/>
            <w:bottom w:w="0" w:type="dxa"/>
            <w:right w:w="108" w:type="dxa"/>
          </w:tblCellMar>
        </w:tblPrEx>
        <w:trPr>
          <w:cantSplit/>
          <w:trHeight w:val="1311" w:hRule="exact"/>
        </w:trPr>
        <w:tc>
          <w:tcPr>
            <w:tcW w:w="710" w:type="dxa"/>
            <w:vMerge w:val="continue"/>
            <w:tcBorders>
              <w:left w:val="single" w:color="auto" w:sz="4" w:space="0"/>
              <w:right w:val="single" w:color="auto" w:sz="4" w:space="0"/>
            </w:tcBorders>
            <w:noWrap w:val="0"/>
            <w:vAlign w:val="center"/>
          </w:tcPr>
          <w:p w14:paraId="296FE38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715F4967">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3800" w:type="dxa"/>
            <w:tcBorders>
              <w:top w:val="nil"/>
              <w:left w:val="nil"/>
              <w:bottom w:val="single" w:color="auto" w:sz="4" w:space="0"/>
              <w:right w:val="single" w:color="auto" w:sz="4" w:space="0"/>
            </w:tcBorders>
            <w:noWrap w:val="0"/>
            <w:vAlign w:val="center"/>
          </w:tcPr>
          <w:p w14:paraId="234C3B33">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转动机械无防护罩，电焊机及电气设备无接地保护、无防雨措施。</w:t>
            </w:r>
          </w:p>
        </w:tc>
        <w:tc>
          <w:tcPr>
            <w:tcW w:w="3587" w:type="dxa"/>
            <w:tcBorders>
              <w:top w:val="nil"/>
              <w:left w:val="nil"/>
              <w:bottom w:val="single" w:color="auto" w:sz="4" w:space="0"/>
              <w:right w:val="single" w:color="auto" w:sz="4" w:space="0"/>
            </w:tcBorders>
            <w:noWrap w:val="0"/>
            <w:vAlign w:val="center"/>
          </w:tcPr>
          <w:p w14:paraId="6CF89EB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1EB37A86">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1E44335">
        <w:tblPrEx>
          <w:tblCellMar>
            <w:top w:w="0" w:type="dxa"/>
            <w:left w:w="108" w:type="dxa"/>
            <w:bottom w:w="0" w:type="dxa"/>
            <w:right w:w="108" w:type="dxa"/>
          </w:tblCellMar>
        </w:tblPrEx>
        <w:trPr>
          <w:cantSplit/>
          <w:trHeight w:val="1351" w:hRule="exact"/>
        </w:trPr>
        <w:tc>
          <w:tcPr>
            <w:tcW w:w="710" w:type="dxa"/>
            <w:vMerge w:val="continue"/>
            <w:tcBorders>
              <w:left w:val="single" w:color="auto" w:sz="4" w:space="0"/>
              <w:right w:val="single" w:color="auto" w:sz="4" w:space="0"/>
            </w:tcBorders>
            <w:noWrap w:val="0"/>
            <w:vAlign w:val="center"/>
          </w:tcPr>
          <w:p w14:paraId="75C2FE0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0D80C2E5">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3800" w:type="dxa"/>
            <w:tcBorders>
              <w:top w:val="nil"/>
              <w:left w:val="nil"/>
              <w:bottom w:val="single" w:color="auto" w:sz="4" w:space="0"/>
              <w:right w:val="single" w:color="auto" w:sz="4" w:space="0"/>
            </w:tcBorders>
            <w:noWrap w:val="0"/>
            <w:vAlign w:val="center"/>
          </w:tcPr>
          <w:p w14:paraId="3586C4C3">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高处作业未设置平台或平台未满铺脚手板，高处作业临边无栏杆，该铺设而未铺设安全网。</w:t>
            </w:r>
          </w:p>
        </w:tc>
        <w:tc>
          <w:tcPr>
            <w:tcW w:w="3587" w:type="dxa"/>
            <w:tcBorders>
              <w:top w:val="nil"/>
              <w:left w:val="nil"/>
              <w:bottom w:val="single" w:color="auto" w:sz="4" w:space="0"/>
              <w:right w:val="single" w:color="auto" w:sz="4" w:space="0"/>
            </w:tcBorders>
            <w:noWrap w:val="0"/>
            <w:vAlign w:val="center"/>
          </w:tcPr>
          <w:p w14:paraId="6840188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7734C6DF">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51E948C1">
        <w:tblPrEx>
          <w:tblCellMar>
            <w:top w:w="0" w:type="dxa"/>
            <w:left w:w="108" w:type="dxa"/>
            <w:bottom w:w="0" w:type="dxa"/>
            <w:right w:w="108" w:type="dxa"/>
          </w:tblCellMar>
        </w:tblPrEx>
        <w:trPr>
          <w:cantSplit/>
          <w:trHeight w:val="1021" w:hRule="exact"/>
        </w:trPr>
        <w:tc>
          <w:tcPr>
            <w:tcW w:w="710" w:type="dxa"/>
            <w:vMerge w:val="continue"/>
            <w:tcBorders>
              <w:left w:val="single" w:color="auto" w:sz="4" w:space="0"/>
              <w:bottom w:val="single" w:color="auto" w:sz="4" w:space="0"/>
              <w:right w:val="single" w:color="auto" w:sz="4" w:space="0"/>
            </w:tcBorders>
            <w:noWrap w:val="0"/>
            <w:vAlign w:val="center"/>
          </w:tcPr>
          <w:p w14:paraId="003C5B8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787DD33E">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3800" w:type="dxa"/>
            <w:tcBorders>
              <w:top w:val="nil"/>
              <w:left w:val="nil"/>
              <w:bottom w:val="single" w:color="auto" w:sz="4" w:space="0"/>
              <w:right w:val="single" w:color="auto" w:sz="4" w:space="0"/>
            </w:tcBorders>
            <w:noWrap w:val="0"/>
            <w:vAlign w:val="center"/>
          </w:tcPr>
          <w:p w14:paraId="0A3C555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高处作业向上或向下抛掷工具、材料或垃圾。</w:t>
            </w:r>
          </w:p>
        </w:tc>
        <w:tc>
          <w:tcPr>
            <w:tcW w:w="3587" w:type="dxa"/>
            <w:tcBorders>
              <w:top w:val="nil"/>
              <w:left w:val="nil"/>
              <w:bottom w:val="single" w:color="auto" w:sz="4" w:space="0"/>
              <w:right w:val="single" w:color="auto" w:sz="4" w:space="0"/>
            </w:tcBorders>
            <w:noWrap w:val="0"/>
            <w:vAlign w:val="center"/>
          </w:tcPr>
          <w:p w14:paraId="1656329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视情节对施工单位处以1000-3000元违约金；对监理单位监管不力的，处以1000-2000元违约金。</w:t>
            </w:r>
          </w:p>
        </w:tc>
        <w:tc>
          <w:tcPr>
            <w:tcW w:w="760" w:type="dxa"/>
            <w:tcBorders>
              <w:top w:val="nil"/>
              <w:left w:val="nil"/>
              <w:bottom w:val="single" w:color="auto" w:sz="4" w:space="0"/>
              <w:right w:val="single" w:color="auto" w:sz="4" w:space="0"/>
            </w:tcBorders>
            <w:noWrap w:val="0"/>
            <w:vAlign w:val="center"/>
          </w:tcPr>
          <w:p w14:paraId="3DD9968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04D5BBA">
        <w:tblPrEx>
          <w:tblCellMar>
            <w:top w:w="0" w:type="dxa"/>
            <w:left w:w="108" w:type="dxa"/>
            <w:bottom w:w="0" w:type="dxa"/>
            <w:right w:w="108" w:type="dxa"/>
          </w:tblCellMar>
        </w:tblPrEx>
        <w:trPr>
          <w:cantSplit/>
          <w:trHeight w:val="1291" w:hRule="exact"/>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744F8E8F">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连带处罚办法</w:t>
            </w:r>
          </w:p>
        </w:tc>
        <w:tc>
          <w:tcPr>
            <w:tcW w:w="708" w:type="dxa"/>
            <w:tcBorders>
              <w:top w:val="single" w:color="auto" w:sz="4" w:space="0"/>
              <w:left w:val="nil"/>
              <w:bottom w:val="single" w:color="auto" w:sz="4" w:space="0"/>
              <w:right w:val="single" w:color="auto" w:sz="4" w:space="0"/>
            </w:tcBorders>
            <w:noWrap w:val="0"/>
            <w:vAlign w:val="center"/>
          </w:tcPr>
          <w:p w14:paraId="7D9EFF38">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w:t>
            </w:r>
          </w:p>
        </w:tc>
        <w:tc>
          <w:tcPr>
            <w:tcW w:w="3800" w:type="dxa"/>
            <w:tcBorders>
              <w:top w:val="single" w:color="auto" w:sz="4" w:space="0"/>
              <w:left w:val="nil"/>
              <w:bottom w:val="single" w:color="auto" w:sz="4" w:space="0"/>
              <w:right w:val="single" w:color="auto" w:sz="4" w:space="0"/>
            </w:tcBorders>
            <w:noWrap w:val="0"/>
            <w:vAlign w:val="center"/>
          </w:tcPr>
          <w:p w14:paraId="6C4396F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进入施工现场不戴安全帽或不扣好帽带，安全帽质量不符合国家标准或行业标准要求。</w:t>
            </w:r>
          </w:p>
        </w:tc>
        <w:tc>
          <w:tcPr>
            <w:tcW w:w="3587" w:type="dxa"/>
            <w:tcBorders>
              <w:top w:val="single" w:color="auto" w:sz="4" w:space="0"/>
              <w:left w:val="nil"/>
              <w:bottom w:val="single" w:color="auto" w:sz="4" w:space="0"/>
              <w:right w:val="single" w:color="auto" w:sz="4" w:space="0"/>
            </w:tcBorders>
            <w:noWrap w:val="0"/>
            <w:vAlign w:val="center"/>
          </w:tcPr>
          <w:p w14:paraId="1F0E1538">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single" w:color="auto" w:sz="4" w:space="0"/>
              <w:left w:val="nil"/>
              <w:bottom w:val="single" w:color="auto" w:sz="4" w:space="0"/>
              <w:right w:val="single" w:color="auto" w:sz="4" w:space="0"/>
            </w:tcBorders>
            <w:noWrap w:val="0"/>
            <w:vAlign w:val="center"/>
          </w:tcPr>
          <w:p w14:paraId="62705B0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3E684FA2">
        <w:tblPrEx>
          <w:tblCellMar>
            <w:top w:w="0" w:type="dxa"/>
            <w:left w:w="108" w:type="dxa"/>
            <w:bottom w:w="0" w:type="dxa"/>
            <w:right w:w="108" w:type="dxa"/>
          </w:tblCellMar>
        </w:tblPrEx>
        <w:trPr>
          <w:cantSplit/>
          <w:trHeight w:val="129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18096A2">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81CE4FE">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w:t>
            </w:r>
          </w:p>
        </w:tc>
        <w:tc>
          <w:tcPr>
            <w:tcW w:w="3800" w:type="dxa"/>
            <w:tcBorders>
              <w:top w:val="single" w:color="auto" w:sz="4" w:space="0"/>
              <w:left w:val="nil"/>
              <w:bottom w:val="single" w:color="auto" w:sz="4" w:space="0"/>
              <w:right w:val="single" w:color="auto" w:sz="4" w:space="0"/>
            </w:tcBorders>
            <w:noWrap w:val="0"/>
            <w:vAlign w:val="center"/>
          </w:tcPr>
          <w:p w14:paraId="6B3B252D">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高空作业不系安全带，安全带未挂在牢固物体上或低挂高用。</w:t>
            </w:r>
          </w:p>
        </w:tc>
        <w:tc>
          <w:tcPr>
            <w:tcW w:w="3587" w:type="dxa"/>
            <w:tcBorders>
              <w:top w:val="single" w:color="auto" w:sz="4" w:space="0"/>
              <w:left w:val="nil"/>
              <w:bottom w:val="single" w:color="auto" w:sz="4" w:space="0"/>
              <w:right w:val="single" w:color="auto" w:sz="4" w:space="0"/>
            </w:tcBorders>
            <w:noWrap w:val="0"/>
            <w:vAlign w:val="center"/>
          </w:tcPr>
          <w:p w14:paraId="2209FD5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single" w:color="auto" w:sz="4" w:space="0"/>
              <w:left w:val="nil"/>
              <w:bottom w:val="single" w:color="auto" w:sz="4" w:space="0"/>
              <w:right w:val="single" w:color="auto" w:sz="4" w:space="0"/>
            </w:tcBorders>
            <w:noWrap w:val="0"/>
            <w:vAlign w:val="center"/>
          </w:tcPr>
          <w:p w14:paraId="394B734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3D3E04D">
        <w:tblPrEx>
          <w:tblCellMar>
            <w:top w:w="0" w:type="dxa"/>
            <w:left w:w="108" w:type="dxa"/>
            <w:bottom w:w="0" w:type="dxa"/>
            <w:right w:w="108" w:type="dxa"/>
          </w:tblCellMar>
        </w:tblPrEx>
        <w:trPr>
          <w:cantSplit/>
          <w:trHeight w:val="131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456CD4EF">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49F0332">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3800" w:type="dxa"/>
            <w:tcBorders>
              <w:top w:val="single" w:color="auto" w:sz="4" w:space="0"/>
              <w:left w:val="nil"/>
              <w:bottom w:val="single" w:color="auto" w:sz="4" w:space="0"/>
              <w:right w:val="single" w:color="auto" w:sz="4" w:space="0"/>
            </w:tcBorders>
            <w:noWrap w:val="0"/>
            <w:vAlign w:val="center"/>
          </w:tcPr>
          <w:p w14:paraId="1E32F8A8">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施工作业过程中光膀子或者衣服不扣纽扣。</w:t>
            </w:r>
          </w:p>
        </w:tc>
        <w:tc>
          <w:tcPr>
            <w:tcW w:w="3587" w:type="dxa"/>
            <w:tcBorders>
              <w:top w:val="single" w:color="auto" w:sz="4" w:space="0"/>
              <w:left w:val="nil"/>
              <w:bottom w:val="single" w:color="auto" w:sz="4" w:space="0"/>
              <w:right w:val="single" w:color="auto" w:sz="4" w:space="0"/>
            </w:tcBorders>
            <w:noWrap w:val="0"/>
            <w:vAlign w:val="center"/>
          </w:tcPr>
          <w:p w14:paraId="57E80091">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single" w:color="auto" w:sz="4" w:space="0"/>
              <w:left w:val="nil"/>
              <w:bottom w:val="single" w:color="auto" w:sz="4" w:space="0"/>
              <w:right w:val="single" w:color="auto" w:sz="4" w:space="0"/>
            </w:tcBorders>
            <w:noWrap w:val="0"/>
            <w:vAlign w:val="center"/>
          </w:tcPr>
          <w:p w14:paraId="42AB2F1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8580B9F">
        <w:tblPrEx>
          <w:tblCellMar>
            <w:top w:w="0" w:type="dxa"/>
            <w:left w:w="108" w:type="dxa"/>
            <w:bottom w:w="0" w:type="dxa"/>
            <w:right w:w="108" w:type="dxa"/>
          </w:tblCellMar>
        </w:tblPrEx>
        <w:trPr>
          <w:cantSplit/>
          <w:trHeight w:val="128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BF25775">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5D74A4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w:t>
            </w:r>
          </w:p>
        </w:tc>
        <w:tc>
          <w:tcPr>
            <w:tcW w:w="3800" w:type="dxa"/>
            <w:tcBorders>
              <w:top w:val="single" w:color="auto" w:sz="4" w:space="0"/>
              <w:left w:val="nil"/>
              <w:bottom w:val="single" w:color="auto" w:sz="4" w:space="0"/>
              <w:right w:val="single" w:color="auto" w:sz="4" w:space="0"/>
            </w:tcBorders>
            <w:noWrap w:val="0"/>
            <w:vAlign w:val="center"/>
          </w:tcPr>
          <w:p w14:paraId="2E7EF7E2">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穿短裤、穿拖鞋或光脚进入施工现场。</w:t>
            </w:r>
          </w:p>
        </w:tc>
        <w:tc>
          <w:tcPr>
            <w:tcW w:w="3587" w:type="dxa"/>
            <w:tcBorders>
              <w:top w:val="single" w:color="auto" w:sz="4" w:space="0"/>
              <w:left w:val="nil"/>
              <w:bottom w:val="single" w:color="auto" w:sz="4" w:space="0"/>
              <w:right w:val="single" w:color="auto" w:sz="4" w:space="0"/>
            </w:tcBorders>
            <w:noWrap w:val="0"/>
            <w:vAlign w:val="center"/>
          </w:tcPr>
          <w:p w14:paraId="11D9986A">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single" w:color="auto" w:sz="4" w:space="0"/>
              <w:left w:val="nil"/>
              <w:bottom w:val="single" w:color="auto" w:sz="4" w:space="0"/>
              <w:right w:val="single" w:color="auto" w:sz="4" w:space="0"/>
            </w:tcBorders>
            <w:noWrap w:val="0"/>
            <w:vAlign w:val="center"/>
          </w:tcPr>
          <w:p w14:paraId="0FC0854C">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5FA8D277">
        <w:tblPrEx>
          <w:tblCellMar>
            <w:top w:w="0" w:type="dxa"/>
            <w:left w:w="108" w:type="dxa"/>
            <w:bottom w:w="0" w:type="dxa"/>
            <w:right w:w="108" w:type="dxa"/>
          </w:tblCellMar>
        </w:tblPrEx>
        <w:trPr>
          <w:cantSplit/>
          <w:trHeight w:val="1191" w:hRule="exact"/>
        </w:trPr>
        <w:tc>
          <w:tcPr>
            <w:tcW w:w="710" w:type="dxa"/>
            <w:vMerge w:val="continue"/>
            <w:tcBorders>
              <w:top w:val="nil"/>
              <w:left w:val="single" w:color="auto" w:sz="4" w:space="0"/>
              <w:bottom w:val="single" w:color="auto" w:sz="4" w:space="0"/>
              <w:right w:val="single" w:color="auto" w:sz="4" w:space="0"/>
            </w:tcBorders>
            <w:noWrap w:val="0"/>
            <w:vAlign w:val="center"/>
          </w:tcPr>
          <w:p w14:paraId="0E3D9DB4">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05F0CCD8">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3800" w:type="dxa"/>
            <w:tcBorders>
              <w:top w:val="nil"/>
              <w:left w:val="nil"/>
              <w:bottom w:val="single" w:color="auto" w:sz="4" w:space="0"/>
              <w:right w:val="single" w:color="auto" w:sz="4" w:space="0"/>
            </w:tcBorders>
            <w:noWrap w:val="0"/>
            <w:vAlign w:val="center"/>
          </w:tcPr>
          <w:p w14:paraId="4ACA48C4">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穿高跟鞋、裙子进入施工现场。</w:t>
            </w:r>
          </w:p>
        </w:tc>
        <w:tc>
          <w:tcPr>
            <w:tcW w:w="3587" w:type="dxa"/>
            <w:tcBorders>
              <w:top w:val="nil"/>
              <w:left w:val="nil"/>
              <w:bottom w:val="single" w:color="auto" w:sz="4" w:space="0"/>
              <w:right w:val="single" w:color="auto" w:sz="4" w:space="0"/>
            </w:tcBorders>
            <w:noWrap w:val="0"/>
            <w:vAlign w:val="center"/>
          </w:tcPr>
          <w:p w14:paraId="0AEBB0EE">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nil"/>
              <w:left w:val="nil"/>
              <w:bottom w:val="single" w:color="auto" w:sz="4" w:space="0"/>
              <w:right w:val="single" w:color="auto" w:sz="4" w:space="0"/>
            </w:tcBorders>
            <w:noWrap w:val="0"/>
            <w:vAlign w:val="center"/>
          </w:tcPr>
          <w:p w14:paraId="5E60E39B">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DD11C1E">
        <w:tblPrEx>
          <w:tblCellMar>
            <w:top w:w="0" w:type="dxa"/>
            <w:left w:w="108" w:type="dxa"/>
            <w:bottom w:w="0" w:type="dxa"/>
            <w:right w:w="108" w:type="dxa"/>
          </w:tblCellMar>
        </w:tblPrEx>
        <w:trPr>
          <w:cantSplit/>
          <w:trHeight w:val="1311" w:hRule="exact"/>
        </w:trPr>
        <w:tc>
          <w:tcPr>
            <w:tcW w:w="710" w:type="dxa"/>
            <w:vMerge w:val="continue"/>
            <w:tcBorders>
              <w:top w:val="nil"/>
              <w:left w:val="single" w:color="auto" w:sz="4" w:space="0"/>
              <w:bottom w:val="single" w:color="auto" w:sz="4" w:space="0"/>
              <w:right w:val="single" w:color="auto" w:sz="4" w:space="0"/>
            </w:tcBorders>
            <w:noWrap w:val="0"/>
            <w:vAlign w:val="center"/>
          </w:tcPr>
          <w:p w14:paraId="33A184E4">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nil"/>
              <w:left w:val="nil"/>
              <w:bottom w:val="single" w:color="auto" w:sz="4" w:space="0"/>
              <w:right w:val="single" w:color="auto" w:sz="4" w:space="0"/>
            </w:tcBorders>
            <w:noWrap w:val="0"/>
            <w:vAlign w:val="center"/>
          </w:tcPr>
          <w:p w14:paraId="31B8F3BA">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49</w:t>
            </w:r>
          </w:p>
        </w:tc>
        <w:tc>
          <w:tcPr>
            <w:tcW w:w="3800" w:type="dxa"/>
            <w:tcBorders>
              <w:top w:val="nil"/>
              <w:left w:val="nil"/>
              <w:bottom w:val="single" w:color="auto" w:sz="4" w:space="0"/>
              <w:right w:val="single" w:color="auto" w:sz="4" w:space="0"/>
            </w:tcBorders>
            <w:noWrap w:val="0"/>
            <w:vAlign w:val="center"/>
          </w:tcPr>
          <w:p w14:paraId="52D6B8F6">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酒后上岗作业，违章驾驶或无证驾驶。</w:t>
            </w:r>
          </w:p>
        </w:tc>
        <w:tc>
          <w:tcPr>
            <w:tcW w:w="3587" w:type="dxa"/>
            <w:tcBorders>
              <w:top w:val="nil"/>
              <w:left w:val="nil"/>
              <w:bottom w:val="single" w:color="auto" w:sz="4" w:space="0"/>
              <w:right w:val="single" w:color="auto" w:sz="4" w:space="0"/>
            </w:tcBorders>
            <w:noWrap w:val="0"/>
            <w:vAlign w:val="center"/>
          </w:tcPr>
          <w:p w14:paraId="1F1DFA4F">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视情节对施工单位处以200-1000元违约金；对监理单位监管不力的，处以200-500元违约金。</w:t>
            </w:r>
          </w:p>
        </w:tc>
        <w:tc>
          <w:tcPr>
            <w:tcW w:w="760" w:type="dxa"/>
            <w:tcBorders>
              <w:top w:val="nil"/>
              <w:left w:val="nil"/>
              <w:bottom w:val="single" w:color="auto" w:sz="4" w:space="0"/>
              <w:right w:val="single" w:color="auto" w:sz="4" w:space="0"/>
            </w:tcBorders>
            <w:noWrap w:val="0"/>
            <w:vAlign w:val="center"/>
          </w:tcPr>
          <w:p w14:paraId="733C4F92">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045ECE45">
        <w:tblPrEx>
          <w:tblCellMar>
            <w:top w:w="0" w:type="dxa"/>
            <w:left w:w="108" w:type="dxa"/>
            <w:bottom w:w="0" w:type="dxa"/>
            <w:right w:w="108" w:type="dxa"/>
          </w:tblCellMar>
        </w:tblPrEx>
        <w:trPr>
          <w:cantSplit/>
          <w:trHeight w:val="1072" w:hRule="exact"/>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519A0724">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其它</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71DD144">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7D96D695">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对公司人员、监理单位和施工单位进入施工现场不戴安全帽或不扣好帽带者。</w:t>
            </w:r>
          </w:p>
        </w:tc>
        <w:tc>
          <w:tcPr>
            <w:tcW w:w="3587" w:type="dxa"/>
            <w:tcBorders>
              <w:top w:val="nil"/>
              <w:left w:val="single" w:color="auto" w:sz="4" w:space="0"/>
              <w:bottom w:val="single" w:color="auto" w:sz="4" w:space="0"/>
              <w:right w:val="single" w:color="auto" w:sz="4" w:space="0"/>
            </w:tcBorders>
            <w:noWrap w:val="0"/>
            <w:vAlign w:val="center"/>
          </w:tcPr>
          <w:p w14:paraId="2A677A34">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每发现一人次，对监理单位、施工单位处以200元违约金。</w:t>
            </w:r>
          </w:p>
        </w:tc>
        <w:tc>
          <w:tcPr>
            <w:tcW w:w="760" w:type="dxa"/>
            <w:tcBorders>
              <w:top w:val="nil"/>
              <w:left w:val="nil"/>
              <w:bottom w:val="single" w:color="auto" w:sz="4" w:space="0"/>
              <w:right w:val="single" w:color="auto" w:sz="4" w:space="0"/>
            </w:tcBorders>
            <w:noWrap w:val="0"/>
            <w:vAlign w:val="center"/>
          </w:tcPr>
          <w:p w14:paraId="067FFD19">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26760E9D">
        <w:tblPrEx>
          <w:tblCellMar>
            <w:top w:w="0" w:type="dxa"/>
            <w:left w:w="108" w:type="dxa"/>
            <w:bottom w:w="0" w:type="dxa"/>
            <w:right w:w="108" w:type="dxa"/>
          </w:tblCellMar>
        </w:tblPrEx>
        <w:trPr>
          <w:cantSplit/>
          <w:trHeight w:val="1021"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827B127">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F938DE5">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65433EA0">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公司在工作检查中，发现现场监理人员对违规违章行为视而不见，未加以制止的。</w:t>
            </w:r>
          </w:p>
        </w:tc>
        <w:tc>
          <w:tcPr>
            <w:tcW w:w="3587" w:type="dxa"/>
            <w:tcBorders>
              <w:top w:val="nil"/>
              <w:left w:val="single" w:color="auto" w:sz="4" w:space="0"/>
              <w:bottom w:val="single" w:color="auto" w:sz="4" w:space="0"/>
              <w:right w:val="single" w:color="auto" w:sz="4" w:space="0"/>
            </w:tcBorders>
            <w:noWrap w:val="0"/>
            <w:vAlign w:val="center"/>
          </w:tcPr>
          <w:p w14:paraId="57378B9A">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对监理单位处以2000元违约金。</w:t>
            </w:r>
          </w:p>
        </w:tc>
        <w:tc>
          <w:tcPr>
            <w:tcW w:w="760" w:type="dxa"/>
            <w:tcBorders>
              <w:top w:val="nil"/>
              <w:left w:val="nil"/>
              <w:bottom w:val="single" w:color="auto" w:sz="4" w:space="0"/>
              <w:right w:val="single" w:color="auto" w:sz="4" w:space="0"/>
            </w:tcBorders>
            <w:noWrap w:val="0"/>
            <w:vAlign w:val="center"/>
          </w:tcPr>
          <w:p w14:paraId="20ACDCEF">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r w14:paraId="4C1E09C5">
        <w:tblPrEx>
          <w:tblCellMar>
            <w:top w:w="0" w:type="dxa"/>
            <w:left w:w="108" w:type="dxa"/>
            <w:bottom w:w="0" w:type="dxa"/>
            <w:right w:w="108" w:type="dxa"/>
          </w:tblCellMar>
        </w:tblPrEx>
        <w:trPr>
          <w:cantSplit/>
          <w:trHeight w:val="737" w:hRule="exact"/>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3E116CEA">
            <w:pPr>
              <w:overflowPunct w:val="0"/>
              <w:autoSpaceDE w:val="0"/>
              <w:autoSpaceDN w:val="0"/>
              <w:adjustRightInd w:val="0"/>
              <w:snapToGrid w:val="0"/>
              <w:spacing w:line="320" w:lineRule="exact"/>
              <w:jc w:val="left"/>
              <w:rPr>
                <w:rFonts w:hint="eastAsia" w:ascii="宋体" w:hAnsi="宋体" w:eastAsia="宋体" w:cs="宋体"/>
                <w:b/>
                <w:bCs/>
                <w:color w:val="auto"/>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4CBD22B">
            <w:pPr>
              <w:overflowPunct w:val="0"/>
              <w:autoSpaceDE w:val="0"/>
              <w:autoSpaceDN w:val="0"/>
              <w:adjustRightInd w:val="0"/>
              <w:snapToGrid w:val="0"/>
              <w:spacing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482640D3">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其它未尽事宜，根据法律法规和公司相关规定执行。</w:t>
            </w:r>
          </w:p>
        </w:tc>
        <w:tc>
          <w:tcPr>
            <w:tcW w:w="3587" w:type="dxa"/>
            <w:tcBorders>
              <w:top w:val="nil"/>
              <w:left w:val="single" w:color="auto" w:sz="4" w:space="0"/>
              <w:bottom w:val="single" w:color="auto" w:sz="4" w:space="0"/>
              <w:right w:val="single" w:color="auto" w:sz="4" w:space="0"/>
            </w:tcBorders>
            <w:noWrap w:val="0"/>
            <w:vAlign w:val="center"/>
          </w:tcPr>
          <w:p w14:paraId="2CD48A84">
            <w:pPr>
              <w:overflowPunct w:val="0"/>
              <w:autoSpaceDE w:val="0"/>
              <w:autoSpaceDN w:val="0"/>
              <w:adjustRightInd w:val="0"/>
              <w:snapToGrid w:val="0"/>
              <w:spacing w:line="320" w:lineRule="exact"/>
              <w:rPr>
                <w:rFonts w:hint="eastAsia" w:ascii="宋体" w:hAnsi="宋体" w:eastAsia="宋体" w:cs="宋体"/>
                <w:color w:val="auto"/>
                <w:kern w:val="0"/>
                <w:sz w:val="21"/>
                <w:szCs w:val="21"/>
                <w:highlight w:val="none"/>
              </w:rPr>
            </w:pPr>
          </w:p>
        </w:tc>
        <w:tc>
          <w:tcPr>
            <w:tcW w:w="760" w:type="dxa"/>
            <w:tcBorders>
              <w:top w:val="nil"/>
              <w:left w:val="nil"/>
              <w:bottom w:val="single" w:color="auto" w:sz="4" w:space="0"/>
              <w:right w:val="single" w:color="auto" w:sz="4" w:space="0"/>
            </w:tcBorders>
            <w:noWrap w:val="0"/>
            <w:vAlign w:val="center"/>
          </w:tcPr>
          <w:p w14:paraId="1DD915DD">
            <w:pPr>
              <w:overflowPunct w:val="0"/>
              <w:autoSpaceDE w:val="0"/>
              <w:autoSpaceDN w:val="0"/>
              <w:adjustRightInd w:val="0"/>
              <w:snapToGrid w:val="0"/>
              <w:spacing w:line="320" w:lineRule="exact"/>
              <w:jc w:val="left"/>
              <w:rPr>
                <w:rFonts w:hint="eastAsia" w:ascii="宋体" w:hAnsi="宋体" w:eastAsia="宋体" w:cs="宋体"/>
                <w:color w:val="auto"/>
                <w:kern w:val="0"/>
                <w:sz w:val="21"/>
                <w:szCs w:val="21"/>
                <w:highlight w:val="none"/>
              </w:rPr>
            </w:pPr>
          </w:p>
        </w:tc>
      </w:tr>
    </w:tbl>
    <w:p w14:paraId="11B72599">
      <w:pPr>
        <w:overflowPunct w:val="0"/>
        <w:autoSpaceDE w:val="0"/>
        <w:autoSpaceDN w:val="0"/>
        <w:adjustRightInd w:val="0"/>
        <w:snapToGrid w:val="0"/>
        <w:spacing w:line="320" w:lineRule="exact"/>
        <w:jc w:val="center"/>
        <w:rPr>
          <w:rFonts w:hint="eastAsia" w:ascii="宋体" w:hAnsi="宋体" w:eastAsia="宋体" w:cs="宋体"/>
          <w:bCs/>
          <w:color w:val="auto"/>
          <w:szCs w:val="21"/>
          <w:highlight w:val="none"/>
        </w:rPr>
      </w:pPr>
    </w:p>
    <w:p w14:paraId="067C5D86">
      <w:pPr>
        <w:adjustRightInd w:val="0"/>
        <w:snapToGrid w:val="0"/>
        <w:spacing w:line="420" w:lineRule="exact"/>
        <w:outlineLvl w:val="3"/>
        <w:rPr>
          <w:rFonts w:hint="eastAsia" w:ascii="宋体" w:hAnsi="宋体" w:eastAsia="宋体" w:cs="宋体"/>
          <w:color w:val="auto"/>
          <w:sz w:val="24"/>
          <w:highlight w:val="none"/>
        </w:rPr>
      </w:pPr>
    </w:p>
    <w:p w14:paraId="2D35455E">
      <w:pPr>
        <w:adjustRightInd w:val="0"/>
        <w:snapToGrid w:val="0"/>
        <w:spacing w:line="420" w:lineRule="exact"/>
        <w:outlineLvl w:val="3"/>
        <w:rPr>
          <w:rFonts w:hint="eastAsia" w:ascii="宋体" w:hAnsi="宋体" w:eastAsia="宋体" w:cs="宋体"/>
          <w:color w:val="auto"/>
          <w:sz w:val="24"/>
          <w:highlight w:val="none"/>
        </w:rPr>
      </w:pPr>
    </w:p>
    <w:p w14:paraId="7B861E2B">
      <w:pPr>
        <w:adjustRightInd w:val="0"/>
        <w:snapToGrid w:val="0"/>
        <w:spacing w:line="420" w:lineRule="exact"/>
        <w:outlineLvl w:val="3"/>
        <w:rPr>
          <w:rFonts w:hint="eastAsia" w:ascii="宋体" w:hAnsi="宋体" w:eastAsia="宋体" w:cs="宋体"/>
          <w:color w:val="auto"/>
          <w:sz w:val="24"/>
          <w:highlight w:val="none"/>
        </w:rPr>
      </w:pPr>
    </w:p>
    <w:p w14:paraId="22655270">
      <w:pPr>
        <w:adjustRightInd w:val="0"/>
        <w:snapToGrid w:val="0"/>
        <w:spacing w:line="420" w:lineRule="exact"/>
        <w:outlineLvl w:val="3"/>
        <w:rPr>
          <w:rFonts w:hint="eastAsia" w:ascii="宋体" w:hAnsi="宋体" w:eastAsia="宋体" w:cs="宋体"/>
          <w:color w:val="auto"/>
          <w:sz w:val="24"/>
          <w:highlight w:val="none"/>
        </w:rPr>
      </w:pPr>
    </w:p>
    <w:p w14:paraId="5A204248">
      <w:pPr>
        <w:adjustRightInd w:val="0"/>
        <w:snapToGrid w:val="0"/>
        <w:spacing w:line="420" w:lineRule="exact"/>
        <w:outlineLvl w:val="3"/>
        <w:rPr>
          <w:rFonts w:hint="eastAsia" w:ascii="宋体" w:hAnsi="宋体" w:eastAsia="宋体" w:cs="宋体"/>
          <w:color w:val="auto"/>
          <w:sz w:val="24"/>
          <w:highlight w:val="none"/>
        </w:rPr>
      </w:pPr>
    </w:p>
    <w:p w14:paraId="199A1AD5">
      <w:pPr>
        <w:adjustRightInd w:val="0"/>
        <w:snapToGrid w:val="0"/>
        <w:spacing w:line="420" w:lineRule="exact"/>
        <w:outlineLvl w:val="3"/>
        <w:rPr>
          <w:rFonts w:hint="eastAsia" w:ascii="宋体" w:hAnsi="宋体" w:eastAsia="宋体" w:cs="宋体"/>
          <w:color w:val="auto"/>
          <w:sz w:val="24"/>
          <w:highlight w:val="none"/>
        </w:rPr>
      </w:pPr>
    </w:p>
    <w:p w14:paraId="4939EA3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8998A2F">
      <w:pPr>
        <w:adjustRightInd w:val="0"/>
        <w:snapToGrid w:val="0"/>
        <w:spacing w:line="420" w:lineRule="exac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附录7-2   安全生产承诺书</w:t>
      </w:r>
    </w:p>
    <w:p w14:paraId="39D94AD5">
      <w:pPr>
        <w:adjustRightInd w:val="0"/>
        <w:snapToGrid w:val="0"/>
        <w:spacing w:line="420" w:lineRule="exact"/>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安全生产承诺书</w:t>
      </w:r>
    </w:p>
    <w:p w14:paraId="6F6A34E1">
      <w:pPr>
        <w:adjustRightInd w:val="0"/>
        <w:snapToGrid w:val="0"/>
        <w:spacing w:line="420" w:lineRule="exact"/>
        <w:ind w:firstLine="480" w:firstLineChars="200"/>
        <w:rPr>
          <w:rFonts w:hint="eastAsia" w:ascii="宋体" w:hAnsi="宋体" w:eastAsia="宋体" w:cs="宋体"/>
          <w:color w:val="auto"/>
          <w:sz w:val="24"/>
          <w:highlight w:val="none"/>
        </w:rPr>
      </w:pPr>
    </w:p>
    <w:p w14:paraId="2475E380">
      <w:pPr>
        <w:adjustRightInd w:val="0"/>
        <w:snapToGrid w:val="0"/>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委托人: </w:t>
      </w:r>
    </w:p>
    <w:p w14:paraId="39551E71">
      <w:pPr>
        <w:adjustRightInd w:val="0"/>
        <w:snapToGrid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已认真阅读《建设项目安全生产管理办法》，并承诺严格遵守《建设项目安全生产管理办法》中规定和合同约定的内容，若发生安全生产违约行为，自愿承担《建设项目安全生产管理办法》中规定和合同约定的违约责任。</w:t>
      </w:r>
    </w:p>
    <w:p w14:paraId="1DDD1846">
      <w:pPr>
        <w:adjustRightInd w:val="0"/>
        <w:snapToGrid w:val="0"/>
        <w:spacing w:line="420" w:lineRule="exact"/>
        <w:ind w:firstLine="480" w:firstLineChars="200"/>
        <w:rPr>
          <w:rFonts w:hint="eastAsia" w:ascii="宋体" w:hAnsi="宋体" w:eastAsia="宋体" w:cs="宋体"/>
          <w:color w:val="auto"/>
          <w:sz w:val="24"/>
          <w:highlight w:val="none"/>
        </w:rPr>
      </w:pPr>
    </w:p>
    <w:p w14:paraId="5BF49422">
      <w:pPr>
        <w:adjustRightInd w:val="0"/>
        <w:snapToGrid w:val="0"/>
        <w:spacing w:line="420" w:lineRule="exact"/>
        <w:ind w:firstLine="480" w:firstLineChars="200"/>
        <w:rPr>
          <w:rFonts w:hint="eastAsia" w:ascii="宋体" w:hAnsi="宋体" w:eastAsia="宋体" w:cs="宋体"/>
          <w:color w:val="auto"/>
          <w:sz w:val="24"/>
          <w:highlight w:val="none"/>
        </w:rPr>
      </w:pPr>
    </w:p>
    <w:p w14:paraId="40D96A45">
      <w:pPr>
        <w:adjustRightInd w:val="0"/>
        <w:snapToGrid w:val="0"/>
        <w:spacing w:line="420" w:lineRule="exact"/>
        <w:ind w:firstLine="480" w:firstLineChars="200"/>
        <w:jc w:val="right"/>
        <w:rPr>
          <w:rFonts w:hint="eastAsia" w:ascii="宋体" w:hAnsi="宋体" w:eastAsia="宋体" w:cs="宋体"/>
          <w:color w:val="auto"/>
          <w:sz w:val="24"/>
          <w:highlight w:val="none"/>
        </w:rPr>
      </w:pPr>
    </w:p>
    <w:p w14:paraId="232B55B3">
      <w:pPr>
        <w:wordWrap w:val="0"/>
        <w:adjustRightInd w:val="0"/>
        <w:snapToGrid w:val="0"/>
        <w:spacing w:line="420" w:lineRule="exact"/>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承诺单位: （法人公章） </w:t>
      </w:r>
    </w:p>
    <w:p w14:paraId="00E57BD8">
      <w:pPr>
        <w:adjustRightInd w:val="0"/>
        <w:snapToGrid w:val="0"/>
        <w:spacing w:line="420" w:lineRule="exact"/>
        <w:ind w:firstLine="480" w:firstLineChars="200"/>
        <w:jc w:val="right"/>
        <w:rPr>
          <w:rFonts w:hint="eastAsia" w:ascii="宋体" w:hAnsi="宋体" w:eastAsia="宋体" w:cs="宋体"/>
          <w:color w:val="auto"/>
          <w:sz w:val="24"/>
          <w:highlight w:val="none"/>
        </w:rPr>
      </w:pPr>
    </w:p>
    <w:p w14:paraId="38096CB6">
      <w:pPr>
        <w:wordWrap w:val="0"/>
        <w:adjustRightInd w:val="0"/>
        <w:snapToGrid w:val="0"/>
        <w:spacing w:line="42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项目负责人： </w:t>
      </w:r>
    </w:p>
    <w:p w14:paraId="7A95E43B">
      <w:pPr>
        <w:adjustRightInd w:val="0"/>
        <w:snapToGrid w:val="0"/>
        <w:spacing w:line="420" w:lineRule="exact"/>
        <w:ind w:firstLine="480" w:firstLineChars="200"/>
        <w:rPr>
          <w:rFonts w:hint="eastAsia" w:ascii="宋体" w:hAnsi="宋体" w:eastAsia="宋体" w:cs="宋体"/>
          <w:color w:val="auto"/>
          <w:sz w:val="24"/>
          <w:highlight w:val="none"/>
        </w:rPr>
      </w:pPr>
    </w:p>
    <w:p w14:paraId="29FE018A">
      <w:pPr>
        <w:overflowPunct w:val="0"/>
        <w:autoSpaceDE w:val="0"/>
        <w:autoSpaceDN w:val="0"/>
        <w:adjustRightInd w:val="0"/>
        <w:snapToGrid w:val="0"/>
        <w:spacing w:line="720" w:lineRule="exact"/>
        <w:jc w:val="center"/>
        <w:rPr>
          <w:rFonts w:hint="eastAsia" w:ascii="宋体" w:hAnsi="宋体" w:eastAsia="宋体" w:cs="宋体"/>
          <w:b/>
          <w:bCs/>
          <w:color w:val="auto"/>
          <w:sz w:val="72"/>
          <w:szCs w:val="72"/>
          <w:highlight w:val="none"/>
        </w:rPr>
      </w:pPr>
      <w:r>
        <w:rPr>
          <w:rFonts w:hint="eastAsia" w:ascii="宋体" w:hAnsi="宋体" w:eastAsia="宋体" w:cs="宋体"/>
          <w:color w:val="auto"/>
          <w:sz w:val="24"/>
          <w:highlight w:val="none"/>
        </w:rPr>
        <w:t xml:space="preserve">                               年   月   日</w:t>
      </w:r>
    </w:p>
    <w:p w14:paraId="5FC49B78">
      <w:pPr>
        <w:widowControl/>
        <w:jc w:val="left"/>
        <w:rPr>
          <w:rFonts w:asciiTheme="minorEastAsia" w:hAnsiTheme="minorEastAsia" w:eastAsiaTheme="minorEastAsia"/>
          <w:color w:val="auto"/>
          <w:szCs w:val="21"/>
          <w:highlight w:val="none"/>
        </w:rPr>
      </w:pPr>
    </w:p>
    <w:p w14:paraId="0E87F79C">
      <w:pPr>
        <w:rPr>
          <w:rFonts w:hint="eastAsia" w:ascii="宋体" w:hAnsi="宋体" w:eastAsia="宋体" w:cs="宋体"/>
          <w:color w:val="auto"/>
          <w:highlight w:val="none"/>
        </w:rPr>
      </w:pPr>
    </w:p>
    <w:bookmarkEnd w:id="684"/>
    <w:bookmarkEnd w:id="685"/>
    <w:bookmarkEnd w:id="687"/>
    <w:p w14:paraId="73840170">
      <w:pPr>
        <w:rPr>
          <w:rFonts w:hint="eastAsia" w:ascii="宋体" w:hAnsi="宋体" w:cs="宋体"/>
          <w:color w:val="auto"/>
          <w:highlight w:val="none"/>
        </w:rPr>
      </w:pPr>
      <w:bookmarkStart w:id="704" w:name="_Toc426028162"/>
      <w:bookmarkEnd w:id="704"/>
      <w:bookmarkStart w:id="705" w:name="_Toc426028160"/>
      <w:bookmarkEnd w:id="705"/>
      <w:bookmarkStart w:id="706" w:name="_Toc427308806"/>
      <w:bookmarkEnd w:id="706"/>
      <w:bookmarkStart w:id="707" w:name="招标文件08章投标文件格式"/>
      <w:bookmarkEnd w:id="707"/>
      <w:bookmarkStart w:id="708" w:name="_Toc427308802"/>
      <w:bookmarkEnd w:id="708"/>
      <w:bookmarkStart w:id="709" w:name="_bookmark94"/>
      <w:bookmarkEnd w:id="709"/>
      <w:bookmarkStart w:id="710" w:name="_Toc426028151"/>
      <w:bookmarkEnd w:id="710"/>
      <w:bookmarkStart w:id="711" w:name="_Toc426028155"/>
      <w:bookmarkEnd w:id="711"/>
      <w:bookmarkStart w:id="712" w:name="_Toc413659119"/>
      <w:bookmarkEnd w:id="712"/>
      <w:bookmarkStart w:id="713" w:name="_Toc427308796"/>
      <w:bookmarkEnd w:id="713"/>
      <w:bookmarkStart w:id="714" w:name="_Toc426028161"/>
      <w:bookmarkEnd w:id="714"/>
      <w:bookmarkStart w:id="715" w:name="_Toc426028152"/>
      <w:bookmarkEnd w:id="715"/>
      <w:bookmarkStart w:id="716" w:name="_Toc427308805"/>
      <w:bookmarkEnd w:id="716"/>
      <w:bookmarkStart w:id="717" w:name="_Toc413659123"/>
      <w:bookmarkEnd w:id="717"/>
      <w:bookmarkStart w:id="718" w:name="招标文件06章图纸"/>
      <w:bookmarkEnd w:id="718"/>
      <w:bookmarkStart w:id="719" w:name="招标文件07章技术标准和要求"/>
      <w:bookmarkEnd w:id="719"/>
      <w:bookmarkStart w:id="720" w:name="_Toc426028157"/>
      <w:bookmarkEnd w:id="720"/>
      <w:bookmarkStart w:id="721" w:name="_bookmark159"/>
      <w:bookmarkEnd w:id="721"/>
      <w:bookmarkStart w:id="722" w:name="_Toc413659132"/>
      <w:bookmarkEnd w:id="722"/>
      <w:bookmarkStart w:id="723" w:name="_Toc427308797"/>
      <w:bookmarkEnd w:id="723"/>
      <w:bookmarkStart w:id="724" w:name="_Toc427308800"/>
      <w:bookmarkEnd w:id="724"/>
      <w:bookmarkStart w:id="725" w:name="_Toc413659120"/>
      <w:bookmarkEnd w:id="725"/>
      <w:bookmarkStart w:id="726" w:name="_Toc427308803"/>
      <w:bookmarkEnd w:id="726"/>
      <w:bookmarkStart w:id="727" w:name="_Toc413659129"/>
      <w:bookmarkEnd w:id="727"/>
      <w:bookmarkStart w:id="728" w:name="_Toc427308798"/>
      <w:bookmarkEnd w:id="728"/>
      <w:bookmarkStart w:id="729" w:name="_bookmark158"/>
      <w:bookmarkEnd w:id="729"/>
      <w:bookmarkStart w:id="730" w:name="_Toc413659130"/>
      <w:bookmarkEnd w:id="730"/>
      <w:bookmarkStart w:id="731" w:name="_Toc426028153"/>
      <w:bookmarkEnd w:id="731"/>
      <w:bookmarkStart w:id="732" w:name="_Toc413659121"/>
      <w:bookmarkEnd w:id="732"/>
      <w:bookmarkStart w:id="733" w:name="_Toc413659131"/>
      <w:bookmarkEnd w:id="733"/>
      <w:bookmarkStart w:id="734" w:name="_Toc413659127"/>
      <w:bookmarkEnd w:id="734"/>
      <w:bookmarkStart w:id="735" w:name="_Toc427308804"/>
      <w:bookmarkEnd w:id="735"/>
      <w:bookmarkStart w:id="736" w:name="_Toc426028159"/>
      <w:bookmarkEnd w:id="736"/>
      <w:bookmarkStart w:id="737" w:name="_bookmark157"/>
      <w:bookmarkEnd w:id="737"/>
      <w:bookmarkStart w:id="738" w:name="招标文件06章图纸01"/>
      <w:bookmarkEnd w:id="738"/>
      <w:bookmarkStart w:id="739" w:name="_Toc509218852"/>
      <w:bookmarkStart w:id="740" w:name="_Toc430530528"/>
      <w:bookmarkStart w:id="741" w:name="_Toc287620812"/>
      <w:bookmarkStart w:id="742" w:name="_Toc8182"/>
      <w:bookmarkStart w:id="743" w:name="_Toc287607865"/>
      <w:bookmarkStart w:id="744" w:name="_Toc14772"/>
      <w:bookmarkStart w:id="745" w:name="_Toc5129"/>
      <w:bookmarkStart w:id="746" w:name="_Toc534185829"/>
      <w:bookmarkStart w:id="747" w:name="_Toc351203480"/>
      <w:bookmarkStart w:id="748" w:name="_Toc296890982"/>
      <w:bookmarkStart w:id="749" w:name="_Toc296503025"/>
      <w:r>
        <w:rPr>
          <w:rFonts w:hint="eastAsia" w:ascii="宋体" w:hAnsi="宋体" w:cs="宋体"/>
          <w:color w:val="auto"/>
          <w:highlight w:val="none"/>
        </w:rPr>
        <w:br w:type="page"/>
      </w:r>
    </w:p>
    <w:p w14:paraId="72CC61C5">
      <w:pPr>
        <w:pStyle w:val="2"/>
        <w:spacing w:line="360" w:lineRule="auto"/>
        <w:jc w:val="center"/>
        <w:rPr>
          <w:rFonts w:ascii="宋体" w:hAnsi="宋体" w:cs="宋体"/>
          <w:color w:val="auto"/>
          <w:highlight w:val="none"/>
        </w:rPr>
      </w:pPr>
      <w:r>
        <w:rPr>
          <w:rFonts w:hint="eastAsia" w:ascii="宋体" w:hAnsi="宋体" w:cs="宋体"/>
          <w:color w:val="auto"/>
          <w:highlight w:val="none"/>
        </w:rPr>
        <w:t>第五章  竞选文件格式</w:t>
      </w:r>
      <w:bookmarkEnd w:id="739"/>
      <w:bookmarkEnd w:id="740"/>
      <w:bookmarkEnd w:id="741"/>
      <w:bookmarkEnd w:id="742"/>
      <w:bookmarkEnd w:id="743"/>
      <w:bookmarkEnd w:id="744"/>
      <w:bookmarkEnd w:id="745"/>
      <w:bookmarkEnd w:id="746"/>
    </w:p>
    <w:p w14:paraId="4EEF0290">
      <w:pPr>
        <w:rPr>
          <w:color w:val="auto"/>
          <w:highlight w:val="none"/>
        </w:rPr>
      </w:pPr>
    </w:p>
    <w:p w14:paraId="200E8AC4">
      <w:pPr>
        <w:pStyle w:val="14"/>
        <w:rPr>
          <w:color w:val="auto"/>
          <w:highlight w:val="none"/>
        </w:rPr>
      </w:pPr>
    </w:p>
    <w:p w14:paraId="7E6C43EC">
      <w:pPr>
        <w:rPr>
          <w:color w:val="auto"/>
          <w:highlight w:val="none"/>
        </w:rPr>
      </w:pPr>
    </w:p>
    <w:p w14:paraId="0C5AC899">
      <w:pPr>
        <w:pStyle w:val="14"/>
        <w:rPr>
          <w:color w:val="auto"/>
          <w:highlight w:val="none"/>
        </w:rPr>
      </w:pPr>
    </w:p>
    <w:p w14:paraId="17B7864D">
      <w:pPr>
        <w:rPr>
          <w:color w:val="auto"/>
          <w:highlight w:val="none"/>
        </w:rPr>
      </w:pPr>
    </w:p>
    <w:p w14:paraId="1EA3E96A">
      <w:pPr>
        <w:pStyle w:val="14"/>
        <w:rPr>
          <w:color w:val="auto"/>
          <w:highlight w:val="none"/>
        </w:rPr>
      </w:pPr>
    </w:p>
    <w:p w14:paraId="1777A8F2">
      <w:pPr>
        <w:rPr>
          <w:color w:val="auto"/>
          <w:highlight w:val="none"/>
        </w:rPr>
      </w:pPr>
    </w:p>
    <w:p w14:paraId="165873C0">
      <w:pPr>
        <w:pStyle w:val="14"/>
        <w:rPr>
          <w:color w:val="auto"/>
          <w:highlight w:val="none"/>
        </w:rPr>
      </w:pPr>
    </w:p>
    <w:p w14:paraId="6CADA71A">
      <w:pPr>
        <w:rPr>
          <w:color w:val="auto"/>
          <w:highlight w:val="none"/>
        </w:rPr>
      </w:pPr>
    </w:p>
    <w:p w14:paraId="0AC148EF">
      <w:pPr>
        <w:pStyle w:val="14"/>
        <w:rPr>
          <w:color w:val="auto"/>
          <w:highlight w:val="none"/>
        </w:rPr>
      </w:pPr>
    </w:p>
    <w:p w14:paraId="482522F5">
      <w:pPr>
        <w:rPr>
          <w:color w:val="auto"/>
          <w:highlight w:val="none"/>
        </w:rPr>
      </w:pPr>
    </w:p>
    <w:p w14:paraId="6FA542CD">
      <w:pPr>
        <w:pStyle w:val="14"/>
        <w:rPr>
          <w:color w:val="auto"/>
          <w:highlight w:val="none"/>
        </w:rPr>
      </w:pPr>
    </w:p>
    <w:p w14:paraId="493FA23D">
      <w:pPr>
        <w:rPr>
          <w:color w:val="auto"/>
          <w:highlight w:val="none"/>
        </w:rPr>
      </w:pPr>
    </w:p>
    <w:p w14:paraId="247B49EC">
      <w:pPr>
        <w:pStyle w:val="14"/>
        <w:rPr>
          <w:color w:val="auto"/>
          <w:highlight w:val="none"/>
        </w:rPr>
      </w:pPr>
    </w:p>
    <w:p w14:paraId="378F7C73">
      <w:pPr>
        <w:rPr>
          <w:color w:val="auto"/>
          <w:highlight w:val="none"/>
        </w:rPr>
      </w:pPr>
    </w:p>
    <w:p w14:paraId="5C644BAB">
      <w:pPr>
        <w:pStyle w:val="14"/>
        <w:rPr>
          <w:color w:val="auto"/>
          <w:highlight w:val="none"/>
        </w:rPr>
      </w:pPr>
    </w:p>
    <w:p w14:paraId="53167628">
      <w:pPr>
        <w:rPr>
          <w:color w:val="auto"/>
          <w:highlight w:val="none"/>
        </w:rPr>
      </w:pPr>
    </w:p>
    <w:p w14:paraId="13DD38E2">
      <w:pPr>
        <w:pStyle w:val="14"/>
        <w:rPr>
          <w:color w:val="auto"/>
          <w:highlight w:val="none"/>
        </w:rPr>
      </w:pPr>
    </w:p>
    <w:p w14:paraId="0DC1C1D6">
      <w:pPr>
        <w:rPr>
          <w:color w:val="auto"/>
          <w:highlight w:val="none"/>
        </w:rPr>
      </w:pPr>
    </w:p>
    <w:p w14:paraId="4712C368">
      <w:pPr>
        <w:pStyle w:val="14"/>
        <w:rPr>
          <w:color w:val="auto"/>
          <w:highlight w:val="none"/>
        </w:rPr>
      </w:pPr>
    </w:p>
    <w:p w14:paraId="674BD103">
      <w:pPr>
        <w:rPr>
          <w:color w:val="auto"/>
          <w:highlight w:val="none"/>
        </w:rPr>
      </w:pPr>
    </w:p>
    <w:p w14:paraId="36F253D0">
      <w:pPr>
        <w:pStyle w:val="14"/>
        <w:rPr>
          <w:color w:val="auto"/>
          <w:highlight w:val="none"/>
        </w:rPr>
      </w:pPr>
    </w:p>
    <w:p w14:paraId="728EB722">
      <w:pPr>
        <w:rPr>
          <w:color w:val="auto"/>
          <w:highlight w:val="none"/>
        </w:rPr>
      </w:pPr>
    </w:p>
    <w:p w14:paraId="721D50A4">
      <w:pPr>
        <w:pStyle w:val="14"/>
        <w:rPr>
          <w:color w:val="auto"/>
          <w:highlight w:val="none"/>
        </w:rPr>
      </w:pPr>
    </w:p>
    <w:p w14:paraId="3ACB416C">
      <w:pPr>
        <w:rPr>
          <w:color w:val="auto"/>
          <w:highlight w:val="none"/>
        </w:rPr>
      </w:pPr>
    </w:p>
    <w:p w14:paraId="111F94D8">
      <w:pPr>
        <w:pStyle w:val="14"/>
        <w:rPr>
          <w:color w:val="auto"/>
          <w:highlight w:val="none"/>
        </w:rPr>
      </w:pPr>
    </w:p>
    <w:p w14:paraId="31AFB6CB">
      <w:pPr>
        <w:rPr>
          <w:color w:val="auto"/>
          <w:highlight w:val="none"/>
        </w:rPr>
      </w:pPr>
    </w:p>
    <w:p w14:paraId="1D8CAC9C">
      <w:pPr>
        <w:pStyle w:val="14"/>
        <w:rPr>
          <w:color w:val="auto"/>
          <w:highlight w:val="none"/>
        </w:rPr>
      </w:pPr>
    </w:p>
    <w:p w14:paraId="04F4652C">
      <w:pPr>
        <w:rPr>
          <w:color w:val="auto"/>
          <w:highlight w:val="none"/>
        </w:rPr>
      </w:pPr>
    </w:p>
    <w:p w14:paraId="5DD49B07">
      <w:pPr>
        <w:pStyle w:val="14"/>
        <w:rPr>
          <w:color w:val="auto"/>
          <w:highlight w:val="none"/>
        </w:rPr>
      </w:pPr>
    </w:p>
    <w:p w14:paraId="6D08CF31">
      <w:pPr>
        <w:spacing w:line="360" w:lineRule="auto"/>
        <w:jc w:val="center"/>
        <w:rPr>
          <w:rFonts w:ascii="宋体" w:hAnsi="宋体" w:cs="宋体"/>
          <w:color w:val="auto"/>
          <w:sz w:val="36"/>
          <w:szCs w:val="36"/>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1C013B7"/>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31C013B7"/>
                  </w:txbxContent>
                </v:textbox>
              </v:rect>
            </w:pict>
          </mc:Fallback>
        </mc:AlternateContent>
      </w:r>
      <w:bookmarkStart w:id="750" w:name="_Toc224103493"/>
      <w:r>
        <w:rPr>
          <w:rFonts w:hint="eastAsia" w:ascii="宋体" w:hAnsi="宋体" w:cs="宋体"/>
          <w:color w:val="auto"/>
          <w:sz w:val="36"/>
          <w:szCs w:val="36"/>
          <w:highlight w:val="none"/>
        </w:rPr>
        <w:t>目  录</w:t>
      </w:r>
      <w:bookmarkEnd w:id="750"/>
    </w:p>
    <w:p w14:paraId="7BB47903">
      <w:pPr>
        <w:spacing w:line="360" w:lineRule="auto"/>
        <w:rPr>
          <w:rFonts w:ascii="宋体" w:hAnsi="宋体" w:cs="宋体"/>
          <w:b/>
          <w:color w:val="auto"/>
          <w:highlight w:val="none"/>
        </w:rPr>
      </w:pPr>
      <w:r>
        <w:rPr>
          <w:rFonts w:hint="eastAsia" w:ascii="宋体" w:hAnsi="宋体"/>
          <w:b/>
          <w:color w:val="auto"/>
          <w:highlight w:val="none"/>
        </w:rPr>
        <w:t>一、竞选</w:t>
      </w:r>
      <w:r>
        <w:rPr>
          <w:rFonts w:hint="eastAsia" w:ascii="宋体" w:hAnsi="宋体" w:cs="宋体"/>
          <w:b/>
          <w:color w:val="auto"/>
          <w:highlight w:val="none"/>
        </w:rPr>
        <w:t>函部分</w:t>
      </w:r>
    </w:p>
    <w:p w14:paraId="4CC73B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（一）竞选函</w:t>
      </w:r>
    </w:p>
    <w:p w14:paraId="5943C4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（二）竞选函附录</w:t>
      </w:r>
    </w:p>
    <w:p w14:paraId="3FA058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（三）法定代表人身份证明及授权委托书</w:t>
      </w:r>
    </w:p>
    <w:p w14:paraId="031E370E">
      <w:pPr>
        <w:spacing w:line="360" w:lineRule="auto"/>
        <w:rPr>
          <w:rFonts w:ascii="宋体" w:hAnsi="宋体" w:cs="宋体"/>
          <w:b/>
          <w:color w:val="auto"/>
          <w:highlight w:val="none"/>
        </w:rPr>
      </w:pPr>
      <w:r>
        <w:rPr>
          <w:rFonts w:hint="eastAsia" w:ascii="宋体" w:hAnsi="宋体" w:cs="宋体"/>
          <w:b/>
          <w:color w:val="auto"/>
          <w:highlight w:val="none"/>
        </w:rPr>
        <w:t>二、技术部分</w:t>
      </w:r>
    </w:p>
    <w:p w14:paraId="71520735">
      <w:pPr>
        <w:spacing w:line="360" w:lineRule="auto"/>
        <w:rPr>
          <w:rFonts w:ascii="宋体" w:hAnsi="宋体" w:cs="宋体"/>
          <w:b/>
          <w:color w:val="auto"/>
          <w:highlight w:val="none"/>
        </w:rPr>
      </w:pPr>
      <w:r>
        <w:rPr>
          <w:rFonts w:hint="eastAsia" w:ascii="宋体" w:hAnsi="宋体" w:cs="宋体"/>
          <w:b/>
          <w:bCs/>
          <w:color w:val="auto"/>
          <w:highlight w:val="none"/>
        </w:rPr>
        <w:t>三</w:t>
      </w:r>
      <w:r>
        <w:rPr>
          <w:rFonts w:hint="eastAsia" w:ascii="宋体" w:hAnsi="宋体" w:cs="宋体"/>
          <w:b/>
          <w:color w:val="auto"/>
          <w:highlight w:val="none"/>
        </w:rPr>
        <w:t>、资格审查部分</w:t>
      </w:r>
    </w:p>
    <w:p w14:paraId="5514B6B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（一）法定代表人身份证明及授权委托书</w:t>
      </w:r>
    </w:p>
    <w:p w14:paraId="0E310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（二）竞选人基本情况表</w:t>
      </w:r>
    </w:p>
    <w:p w14:paraId="0AF92C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）主要人员简历表</w:t>
      </w:r>
    </w:p>
    <w:p w14:paraId="58049E2B">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）其他资料</w:t>
      </w:r>
    </w:p>
    <w:p w14:paraId="3D22F303">
      <w:pPr>
        <w:spacing w:line="360" w:lineRule="auto"/>
        <w:ind w:firstLine="420" w:firstLineChars="200"/>
        <w:rPr>
          <w:rFonts w:ascii="宋体" w:hAnsi="宋体" w:cs="宋体"/>
          <w:color w:val="auto"/>
          <w:highlight w:val="none"/>
        </w:rPr>
      </w:pPr>
    </w:p>
    <w:p w14:paraId="27C0B641">
      <w:pPr>
        <w:pStyle w:val="3"/>
        <w:spacing w:line="360" w:lineRule="auto"/>
        <w:jc w:val="center"/>
        <w:rPr>
          <w:rFonts w:ascii="宋体" w:hAnsi="宋体" w:cs="宋体"/>
          <w:color w:val="auto"/>
          <w:kern w:val="0"/>
          <w:sz w:val="24"/>
          <w:highlight w:val="none"/>
        </w:rPr>
      </w:pPr>
      <w:bookmarkStart w:id="751" w:name="_Toc6306"/>
      <w:bookmarkStart w:id="752" w:name="_Toc534185830"/>
      <w:bookmarkStart w:id="753" w:name="_Toc27983320"/>
      <w:bookmarkStart w:id="754" w:name="_Toc15801"/>
      <w:bookmarkStart w:id="755" w:name="_Toc509218853"/>
    </w:p>
    <w:p w14:paraId="468F40B6">
      <w:pPr>
        <w:spacing w:line="360" w:lineRule="auto"/>
        <w:jc w:val="center"/>
        <w:rPr>
          <w:rFonts w:ascii="宋体" w:hAnsi="宋体"/>
          <w:color w:val="auto"/>
          <w:sz w:val="44"/>
          <w:szCs w:val="44"/>
          <w:highlight w:val="none"/>
        </w:rPr>
      </w:pPr>
    </w:p>
    <w:p w14:paraId="08147BE1">
      <w:pPr>
        <w:spacing w:line="360" w:lineRule="auto"/>
        <w:jc w:val="center"/>
        <w:rPr>
          <w:rFonts w:ascii="宋体" w:hAnsi="宋体"/>
          <w:color w:val="auto"/>
          <w:sz w:val="44"/>
          <w:szCs w:val="44"/>
          <w:highlight w:val="none"/>
        </w:rPr>
      </w:pPr>
    </w:p>
    <w:p w14:paraId="0120EF8B">
      <w:pPr>
        <w:pStyle w:val="14"/>
        <w:rPr>
          <w:color w:val="auto"/>
          <w:highlight w:val="none"/>
        </w:rPr>
      </w:pPr>
    </w:p>
    <w:p w14:paraId="0A19947A">
      <w:pPr>
        <w:rPr>
          <w:color w:val="auto"/>
          <w:highlight w:val="none"/>
        </w:rPr>
      </w:pPr>
    </w:p>
    <w:p w14:paraId="284F084F">
      <w:pPr>
        <w:pStyle w:val="14"/>
        <w:rPr>
          <w:color w:val="auto"/>
          <w:highlight w:val="none"/>
        </w:rPr>
      </w:pPr>
    </w:p>
    <w:p w14:paraId="3D585AE2">
      <w:pPr>
        <w:rPr>
          <w:color w:val="auto"/>
          <w:highlight w:val="none"/>
        </w:rPr>
      </w:pPr>
    </w:p>
    <w:p w14:paraId="4A9E63FE">
      <w:pPr>
        <w:pStyle w:val="14"/>
        <w:rPr>
          <w:color w:val="auto"/>
          <w:highlight w:val="none"/>
        </w:rPr>
      </w:pPr>
    </w:p>
    <w:p w14:paraId="78B700F7">
      <w:pPr>
        <w:rPr>
          <w:color w:val="auto"/>
          <w:highlight w:val="none"/>
        </w:rPr>
      </w:pPr>
    </w:p>
    <w:p w14:paraId="46AC656B">
      <w:pPr>
        <w:spacing w:line="360" w:lineRule="auto"/>
        <w:jc w:val="center"/>
        <w:rPr>
          <w:rFonts w:ascii="宋体" w:hAnsi="宋体"/>
          <w:color w:val="auto"/>
          <w:sz w:val="44"/>
          <w:szCs w:val="44"/>
          <w:highlight w:val="none"/>
        </w:rPr>
      </w:pPr>
    </w:p>
    <w:p w14:paraId="0BF89958">
      <w:pPr>
        <w:spacing w:line="360" w:lineRule="auto"/>
        <w:jc w:val="center"/>
        <w:rPr>
          <w:rFonts w:ascii="宋体" w:hAnsi="宋体"/>
          <w:color w:val="auto"/>
          <w:sz w:val="44"/>
          <w:szCs w:val="44"/>
          <w:highlight w:val="none"/>
        </w:rPr>
      </w:pPr>
    </w:p>
    <w:p w14:paraId="56D99BB0">
      <w:pPr>
        <w:pStyle w:val="14"/>
        <w:rPr>
          <w:color w:val="auto"/>
          <w:highlight w:val="none"/>
        </w:rPr>
      </w:pPr>
    </w:p>
    <w:bookmarkEnd w:id="751"/>
    <w:bookmarkEnd w:id="752"/>
    <w:bookmarkEnd w:id="753"/>
    <w:bookmarkEnd w:id="754"/>
    <w:bookmarkEnd w:id="755"/>
    <w:p w14:paraId="487597B7">
      <w:pPr>
        <w:rPr>
          <w:rFonts w:hint="eastAsia" w:ascii="宋体" w:hAnsi="宋体"/>
          <w:b w:val="0"/>
          <w:bCs w:val="0"/>
          <w:color w:val="auto"/>
          <w:sz w:val="44"/>
          <w:szCs w:val="44"/>
          <w:highlight w:val="none"/>
        </w:rPr>
      </w:pPr>
      <w:bookmarkStart w:id="756" w:name="_Toc430530536"/>
      <w:bookmarkStart w:id="757" w:name="_Toc28457"/>
      <w:bookmarkStart w:id="758" w:name="_Toc224103502"/>
      <w:bookmarkStart w:id="759" w:name="_Toc15678"/>
      <w:bookmarkStart w:id="760" w:name="_Toc3391"/>
      <w:bookmarkStart w:id="761" w:name="_Toc287607874"/>
      <w:bookmarkStart w:id="762" w:name="_Toc287620821"/>
      <w:r>
        <w:rPr>
          <w:rFonts w:hint="eastAsia" w:ascii="宋体" w:hAnsi="宋体"/>
          <w:b w:val="0"/>
          <w:bCs w:val="0"/>
          <w:color w:val="auto"/>
          <w:sz w:val="44"/>
          <w:szCs w:val="44"/>
          <w:highlight w:val="none"/>
        </w:rPr>
        <w:br w:type="page"/>
      </w:r>
    </w:p>
    <w:p w14:paraId="41D2D3C6">
      <w:pPr>
        <w:pStyle w:val="3"/>
        <w:spacing w:line="360" w:lineRule="auto"/>
        <w:jc w:val="center"/>
        <w:rPr>
          <w:rFonts w:ascii="宋体" w:hAnsi="宋体" w:cs="宋体"/>
          <w:b w:val="0"/>
          <w:bCs w:val="0"/>
          <w:color w:val="auto"/>
          <w:sz w:val="44"/>
          <w:szCs w:val="44"/>
          <w:highlight w:val="none"/>
        </w:rPr>
      </w:pPr>
      <w:r>
        <w:rPr>
          <w:rFonts w:hint="eastAsia" w:ascii="宋体" w:hAnsi="宋体"/>
          <w:b w:val="0"/>
          <w:bCs w:val="0"/>
          <w:color w:val="auto"/>
          <w:sz w:val="44"/>
          <w:szCs w:val="44"/>
          <w:highlight w:val="none"/>
        </w:rPr>
        <w:t>一、</w:t>
      </w:r>
      <w:bookmarkStart w:id="763" w:name="_Toc287620813"/>
      <w:bookmarkStart w:id="764" w:name="_Toc430530529"/>
      <w:bookmarkStart w:id="765" w:name="_Toc277082642"/>
      <w:bookmarkStart w:id="766" w:name="_Toc224103494"/>
      <w:bookmarkStart w:id="767" w:name="_Toc2213"/>
      <w:bookmarkStart w:id="768" w:name="_Toc8975"/>
      <w:bookmarkStart w:id="769" w:name="_Toc26929"/>
      <w:bookmarkStart w:id="770" w:name="_Toc287607866"/>
      <w:r>
        <w:rPr>
          <w:rFonts w:hint="eastAsia" w:ascii="宋体" w:hAnsi="宋体" w:cs="宋体"/>
          <w:b w:val="0"/>
          <w:bCs w:val="0"/>
          <w:color w:val="auto"/>
          <w:sz w:val="44"/>
          <w:szCs w:val="44"/>
          <w:highlight w:val="none"/>
        </w:rPr>
        <w:t>竞选函部分</w:t>
      </w:r>
      <w:bookmarkEnd w:id="763"/>
      <w:bookmarkEnd w:id="764"/>
      <w:bookmarkEnd w:id="765"/>
      <w:bookmarkEnd w:id="766"/>
      <w:bookmarkEnd w:id="767"/>
      <w:bookmarkEnd w:id="768"/>
      <w:bookmarkEnd w:id="769"/>
      <w:bookmarkEnd w:id="770"/>
    </w:p>
    <w:p w14:paraId="386A423C">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71077A62">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4863FC4C">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728116A9">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438F9D52">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14A840BF">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7911CE45">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2BF61834">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115F8B5A">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6C8E16B2">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4668E186">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33088B97">
      <w:pPr>
        <w:tabs>
          <w:tab w:val="left" w:pos="2580"/>
          <w:tab w:val="left" w:pos="5940"/>
        </w:tabs>
        <w:autoSpaceDE w:val="0"/>
        <w:autoSpaceDN w:val="0"/>
        <w:adjustRightInd w:val="0"/>
        <w:snapToGrid w:val="0"/>
        <w:spacing w:line="360" w:lineRule="auto"/>
        <w:ind w:firstLine="2940"/>
        <w:jc w:val="left"/>
        <w:rPr>
          <w:rFonts w:ascii="宋体" w:hAnsi="宋体" w:cs="宋体"/>
          <w:color w:val="auto"/>
          <w:kern w:val="0"/>
          <w:sz w:val="28"/>
          <w:szCs w:val="28"/>
          <w:highlight w:val="none"/>
        </w:rPr>
      </w:pPr>
    </w:p>
    <w:p w14:paraId="62831341">
      <w:pPr>
        <w:pStyle w:val="7"/>
        <w:rPr>
          <w:color w:val="auto"/>
          <w:highlight w:val="none"/>
        </w:rPr>
      </w:pPr>
    </w:p>
    <w:p w14:paraId="51B31560">
      <w:pPr>
        <w:spacing w:line="360" w:lineRule="auto"/>
        <w:jc w:val="center"/>
        <w:rPr>
          <w:rFonts w:ascii="宋体" w:hAnsi="宋体" w:cs="宋体"/>
          <w:color w:val="auto"/>
          <w:kern w:val="0"/>
          <w:sz w:val="32"/>
          <w:szCs w:val="32"/>
          <w:highlight w:val="none"/>
          <w:u w:val="single"/>
        </w:rPr>
      </w:pPr>
    </w:p>
    <w:p w14:paraId="79493E95">
      <w:pPr>
        <w:spacing w:line="360" w:lineRule="auto"/>
        <w:jc w:val="center"/>
        <w:rPr>
          <w:rFonts w:ascii="宋体" w:hAnsi="宋体" w:cs="宋体"/>
          <w:color w:val="auto"/>
          <w:kern w:val="0"/>
          <w:sz w:val="32"/>
          <w:szCs w:val="32"/>
          <w:highlight w:val="none"/>
          <w:u w:val="single"/>
        </w:rPr>
      </w:pPr>
    </w:p>
    <w:p w14:paraId="703455B9">
      <w:pPr>
        <w:spacing w:line="360" w:lineRule="auto"/>
        <w:jc w:val="center"/>
        <w:rPr>
          <w:rFonts w:ascii="宋体" w:hAnsi="宋体" w:cs="宋体"/>
          <w:color w:val="auto"/>
          <w:kern w:val="0"/>
          <w:sz w:val="32"/>
          <w:szCs w:val="32"/>
          <w:highlight w:val="none"/>
          <w:u w:val="single"/>
        </w:rPr>
      </w:pPr>
    </w:p>
    <w:p w14:paraId="47F5DB81">
      <w:pPr>
        <w:spacing w:line="360" w:lineRule="auto"/>
        <w:jc w:val="center"/>
        <w:rPr>
          <w:rFonts w:ascii="宋体" w:hAnsi="宋体" w:cs="宋体"/>
          <w:color w:val="auto"/>
          <w:kern w:val="0"/>
          <w:sz w:val="32"/>
          <w:szCs w:val="32"/>
          <w:highlight w:val="none"/>
          <w:u w:val="single"/>
        </w:rPr>
      </w:pPr>
    </w:p>
    <w:p w14:paraId="5BDE5572">
      <w:pPr>
        <w:pStyle w:val="14"/>
        <w:rPr>
          <w:color w:val="auto"/>
          <w:highlight w:val="none"/>
        </w:rPr>
      </w:pPr>
    </w:p>
    <w:p w14:paraId="7411252A">
      <w:pPr>
        <w:rPr>
          <w:color w:val="auto"/>
          <w:highlight w:val="none"/>
        </w:rPr>
      </w:pPr>
    </w:p>
    <w:p w14:paraId="3F1E77D1">
      <w:pPr>
        <w:pStyle w:val="14"/>
        <w:rPr>
          <w:color w:val="auto"/>
          <w:highlight w:val="none"/>
        </w:rPr>
      </w:pPr>
    </w:p>
    <w:p w14:paraId="3A30B491">
      <w:pPr>
        <w:rPr>
          <w:color w:val="auto"/>
          <w:highlight w:val="none"/>
        </w:rPr>
      </w:pPr>
    </w:p>
    <w:p w14:paraId="6B687939">
      <w:pPr>
        <w:pStyle w:val="14"/>
        <w:rPr>
          <w:color w:val="auto"/>
          <w:highlight w:val="none"/>
        </w:rPr>
      </w:pPr>
    </w:p>
    <w:p w14:paraId="196FB6D5">
      <w:pPr>
        <w:spacing w:line="360" w:lineRule="auto"/>
        <w:jc w:val="center"/>
        <w:rPr>
          <w:rFonts w:ascii="宋体" w:hAnsi="宋体" w:cs="宋体"/>
          <w:color w:val="auto"/>
          <w:kern w:val="0"/>
          <w:sz w:val="32"/>
          <w:szCs w:val="32"/>
          <w:highlight w:val="none"/>
          <w:u w:val="single"/>
        </w:rPr>
      </w:pPr>
    </w:p>
    <w:p w14:paraId="0FB395F6">
      <w:pPr>
        <w:spacing w:line="360" w:lineRule="auto"/>
        <w:jc w:val="center"/>
        <w:rPr>
          <w:rFonts w:ascii="宋体" w:hAnsi="宋体" w:cs="宋体"/>
          <w:color w:val="auto"/>
          <w:kern w:val="0"/>
          <w:sz w:val="32"/>
          <w:szCs w:val="32"/>
          <w:highlight w:val="none"/>
          <w:u w:val="single"/>
        </w:rPr>
      </w:pPr>
    </w:p>
    <w:p w14:paraId="43B92C26">
      <w:pPr>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（项目名称）</w:t>
      </w:r>
    </w:p>
    <w:p w14:paraId="27B000BA">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7071D1F1">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291B8C87">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60B96E6C">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3FEC963B">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5DD7D0EF">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72"/>
          <w:szCs w:val="72"/>
          <w:highlight w:val="none"/>
        </w:rPr>
      </w:pPr>
      <w:r>
        <w:rPr>
          <w:rFonts w:hint="eastAsia" w:ascii="宋体" w:hAnsi="宋体" w:cs="宋体"/>
          <w:color w:val="auto"/>
          <w:kern w:val="0"/>
          <w:sz w:val="72"/>
          <w:szCs w:val="72"/>
          <w:highlight w:val="none"/>
        </w:rPr>
        <w:t>竞 选 文 件</w:t>
      </w:r>
    </w:p>
    <w:p w14:paraId="424139EC">
      <w:pPr>
        <w:autoSpaceDE w:val="0"/>
        <w:autoSpaceDN w:val="0"/>
        <w:adjustRightInd w:val="0"/>
        <w:snapToGrid w:val="0"/>
        <w:spacing w:line="360" w:lineRule="auto"/>
        <w:jc w:val="left"/>
        <w:rPr>
          <w:rFonts w:ascii="宋体" w:hAnsi="宋体" w:cs="宋体"/>
          <w:color w:val="auto"/>
          <w:kern w:val="0"/>
          <w:sz w:val="16"/>
          <w:szCs w:val="16"/>
          <w:highlight w:val="none"/>
        </w:rPr>
      </w:pPr>
    </w:p>
    <w:p w14:paraId="49E8E8F7">
      <w:pPr>
        <w:autoSpaceDE w:val="0"/>
        <w:autoSpaceDN w:val="0"/>
        <w:adjustRightInd w:val="0"/>
        <w:snapToGrid w:val="0"/>
        <w:spacing w:line="360" w:lineRule="auto"/>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竞选函部分</w:t>
      </w:r>
    </w:p>
    <w:p w14:paraId="517D365C">
      <w:pPr>
        <w:autoSpaceDE w:val="0"/>
        <w:autoSpaceDN w:val="0"/>
        <w:adjustRightInd w:val="0"/>
        <w:snapToGrid w:val="0"/>
        <w:spacing w:line="360" w:lineRule="auto"/>
        <w:jc w:val="left"/>
        <w:rPr>
          <w:rFonts w:ascii="宋体" w:hAnsi="宋体" w:cs="宋体"/>
          <w:b/>
          <w:color w:val="auto"/>
          <w:kern w:val="0"/>
          <w:sz w:val="20"/>
          <w:szCs w:val="20"/>
          <w:highlight w:val="none"/>
        </w:rPr>
      </w:pPr>
    </w:p>
    <w:p w14:paraId="6CDD11EE">
      <w:pPr>
        <w:autoSpaceDE w:val="0"/>
        <w:autoSpaceDN w:val="0"/>
        <w:adjustRightInd w:val="0"/>
        <w:snapToGrid w:val="0"/>
        <w:spacing w:line="360" w:lineRule="auto"/>
        <w:jc w:val="left"/>
        <w:rPr>
          <w:rFonts w:ascii="宋体" w:hAnsi="宋体" w:cs="宋体"/>
          <w:b/>
          <w:color w:val="auto"/>
          <w:kern w:val="0"/>
          <w:sz w:val="20"/>
          <w:szCs w:val="20"/>
          <w:highlight w:val="none"/>
        </w:rPr>
      </w:pPr>
    </w:p>
    <w:p w14:paraId="56E032C7">
      <w:pPr>
        <w:autoSpaceDE w:val="0"/>
        <w:autoSpaceDN w:val="0"/>
        <w:adjustRightInd w:val="0"/>
        <w:snapToGrid w:val="0"/>
        <w:spacing w:line="360" w:lineRule="auto"/>
        <w:jc w:val="left"/>
        <w:rPr>
          <w:rFonts w:ascii="宋体" w:hAnsi="宋体" w:cs="宋体"/>
          <w:b/>
          <w:color w:val="auto"/>
          <w:kern w:val="0"/>
          <w:sz w:val="20"/>
          <w:szCs w:val="20"/>
          <w:highlight w:val="none"/>
        </w:rPr>
      </w:pPr>
    </w:p>
    <w:p w14:paraId="1FAEBEC3">
      <w:pPr>
        <w:autoSpaceDE w:val="0"/>
        <w:autoSpaceDN w:val="0"/>
        <w:adjustRightInd w:val="0"/>
        <w:snapToGrid w:val="0"/>
        <w:spacing w:line="360" w:lineRule="auto"/>
        <w:jc w:val="left"/>
        <w:rPr>
          <w:rFonts w:ascii="宋体" w:hAnsi="宋体" w:cs="宋体"/>
          <w:b/>
          <w:color w:val="auto"/>
          <w:kern w:val="0"/>
          <w:sz w:val="20"/>
          <w:szCs w:val="20"/>
          <w:highlight w:val="none"/>
        </w:rPr>
      </w:pPr>
    </w:p>
    <w:p w14:paraId="54825C30">
      <w:pPr>
        <w:autoSpaceDE w:val="0"/>
        <w:autoSpaceDN w:val="0"/>
        <w:adjustRightInd w:val="0"/>
        <w:snapToGrid w:val="0"/>
        <w:spacing w:line="360" w:lineRule="auto"/>
        <w:jc w:val="left"/>
        <w:rPr>
          <w:rFonts w:ascii="宋体" w:hAnsi="宋体" w:cs="宋体"/>
          <w:b/>
          <w:color w:val="auto"/>
          <w:kern w:val="0"/>
          <w:sz w:val="20"/>
          <w:szCs w:val="20"/>
          <w:highlight w:val="none"/>
        </w:rPr>
      </w:pPr>
    </w:p>
    <w:p w14:paraId="72D166E3">
      <w:pPr>
        <w:autoSpaceDE w:val="0"/>
        <w:autoSpaceDN w:val="0"/>
        <w:adjustRightInd w:val="0"/>
        <w:snapToGrid w:val="0"/>
        <w:spacing w:line="360" w:lineRule="auto"/>
        <w:jc w:val="left"/>
        <w:rPr>
          <w:rFonts w:ascii="宋体" w:hAnsi="宋体" w:cs="宋体"/>
          <w:b/>
          <w:color w:val="auto"/>
          <w:kern w:val="0"/>
          <w:sz w:val="20"/>
          <w:szCs w:val="20"/>
          <w:highlight w:val="none"/>
        </w:rPr>
      </w:pPr>
    </w:p>
    <w:p w14:paraId="3F5C12B0">
      <w:pPr>
        <w:autoSpaceDE w:val="0"/>
        <w:autoSpaceDN w:val="0"/>
        <w:adjustRightInd w:val="0"/>
        <w:snapToGrid w:val="0"/>
        <w:spacing w:line="360" w:lineRule="auto"/>
        <w:jc w:val="left"/>
        <w:rPr>
          <w:rFonts w:ascii="宋体" w:hAnsi="宋体" w:cs="宋体"/>
          <w:b/>
          <w:color w:val="auto"/>
          <w:kern w:val="0"/>
          <w:sz w:val="20"/>
          <w:szCs w:val="20"/>
          <w:highlight w:val="none"/>
        </w:rPr>
      </w:pPr>
    </w:p>
    <w:p w14:paraId="0E3C7E72">
      <w:pPr>
        <w:autoSpaceDE w:val="0"/>
        <w:autoSpaceDN w:val="0"/>
        <w:adjustRightInd w:val="0"/>
        <w:snapToGrid w:val="0"/>
        <w:spacing w:line="360" w:lineRule="auto"/>
        <w:jc w:val="left"/>
        <w:rPr>
          <w:rFonts w:ascii="宋体" w:hAnsi="宋体" w:cs="宋体"/>
          <w:b/>
          <w:color w:val="auto"/>
          <w:kern w:val="0"/>
          <w:sz w:val="20"/>
          <w:szCs w:val="20"/>
          <w:highlight w:val="none"/>
        </w:rPr>
      </w:pPr>
    </w:p>
    <w:p w14:paraId="028BA999">
      <w:pPr>
        <w:autoSpaceDE w:val="0"/>
        <w:autoSpaceDN w:val="0"/>
        <w:adjustRightInd w:val="0"/>
        <w:snapToGrid w:val="0"/>
        <w:spacing w:line="360" w:lineRule="auto"/>
        <w:jc w:val="left"/>
        <w:rPr>
          <w:rFonts w:ascii="宋体" w:hAnsi="宋体" w:cs="宋体"/>
          <w:b/>
          <w:color w:val="auto"/>
          <w:kern w:val="0"/>
          <w:sz w:val="20"/>
          <w:szCs w:val="20"/>
          <w:highlight w:val="none"/>
        </w:rPr>
      </w:pPr>
    </w:p>
    <w:p w14:paraId="4F6542A4">
      <w:pPr>
        <w:autoSpaceDE w:val="0"/>
        <w:autoSpaceDN w:val="0"/>
        <w:adjustRightInd w:val="0"/>
        <w:snapToGrid w:val="0"/>
        <w:spacing w:line="360" w:lineRule="auto"/>
        <w:jc w:val="left"/>
        <w:rPr>
          <w:rFonts w:ascii="宋体" w:hAnsi="宋体" w:cs="宋体"/>
          <w:b/>
          <w:color w:val="auto"/>
          <w:kern w:val="0"/>
          <w:sz w:val="20"/>
          <w:szCs w:val="20"/>
          <w:highlight w:val="none"/>
        </w:rPr>
      </w:pPr>
    </w:p>
    <w:p w14:paraId="474AE543">
      <w:pPr>
        <w:autoSpaceDE w:val="0"/>
        <w:autoSpaceDN w:val="0"/>
        <w:adjustRightInd w:val="0"/>
        <w:snapToGrid w:val="0"/>
        <w:spacing w:line="360" w:lineRule="auto"/>
        <w:jc w:val="left"/>
        <w:rPr>
          <w:rFonts w:ascii="宋体" w:hAnsi="宋体" w:cs="宋体"/>
          <w:b/>
          <w:color w:val="auto"/>
          <w:kern w:val="0"/>
          <w:sz w:val="20"/>
          <w:szCs w:val="20"/>
          <w:highlight w:val="none"/>
        </w:rPr>
      </w:pPr>
    </w:p>
    <w:p w14:paraId="7CC43B8F">
      <w:pPr>
        <w:tabs>
          <w:tab w:val="left" w:pos="6080"/>
          <w:tab w:val="left" w:pos="6640"/>
        </w:tabs>
        <w:autoSpaceDE w:val="0"/>
        <w:autoSpaceDN w:val="0"/>
        <w:adjustRightInd w:val="0"/>
        <w:snapToGrid w:val="0"/>
        <w:spacing w:after="156" w:afterLines="50" w:line="360" w:lineRule="auto"/>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rPr>
        <w:t>竞选人</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（盖单位公章）</w:t>
      </w:r>
    </w:p>
    <w:p w14:paraId="09455F2B">
      <w:pPr>
        <w:tabs>
          <w:tab w:val="left" w:pos="6080"/>
          <w:tab w:val="left" w:pos="6640"/>
        </w:tabs>
        <w:autoSpaceDE w:val="0"/>
        <w:autoSpaceDN w:val="0"/>
        <w:adjustRightInd w:val="0"/>
        <w:snapToGrid w:val="0"/>
        <w:spacing w:after="156" w:afterLines="50" w:line="360" w:lineRule="auto"/>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（签字或盖章）</w:t>
      </w:r>
    </w:p>
    <w:p w14:paraId="509014CC">
      <w:pPr>
        <w:autoSpaceDE w:val="0"/>
        <w:autoSpaceDN w:val="0"/>
        <w:adjustRightInd w:val="0"/>
        <w:snapToGrid w:val="0"/>
        <w:spacing w:line="360" w:lineRule="auto"/>
        <w:ind w:firstLine="554"/>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u w:val="single"/>
        </w:rPr>
        <w:t xml:space="preserve">       </w:t>
      </w:r>
      <w:r>
        <w:rPr>
          <w:rFonts w:hint="eastAsia" w:ascii="宋体" w:hAnsi="宋体" w:cs="宋体"/>
          <w:color w:val="auto"/>
          <w:w w:val="99"/>
          <w:kern w:val="0"/>
          <w:sz w:val="28"/>
          <w:szCs w:val="28"/>
          <w:highlight w:val="none"/>
        </w:rPr>
        <w:t>年</w:t>
      </w:r>
      <w:r>
        <w:rPr>
          <w:rFonts w:hint="eastAsia" w:ascii="宋体" w:hAnsi="宋体" w:cs="宋体"/>
          <w:color w:val="auto"/>
          <w:w w:val="99"/>
          <w:kern w:val="0"/>
          <w:sz w:val="28"/>
          <w:szCs w:val="28"/>
          <w:highlight w:val="none"/>
          <w:u w:val="single"/>
        </w:rPr>
        <w:t xml:space="preserve">    </w:t>
      </w:r>
      <w:r>
        <w:rPr>
          <w:rFonts w:hint="eastAsia" w:ascii="宋体" w:hAnsi="宋体" w:cs="宋体"/>
          <w:color w:val="auto"/>
          <w:w w:val="99"/>
          <w:kern w:val="0"/>
          <w:sz w:val="28"/>
          <w:szCs w:val="28"/>
          <w:highlight w:val="none"/>
        </w:rPr>
        <w:t>月</w:t>
      </w:r>
      <w:r>
        <w:rPr>
          <w:rFonts w:hint="eastAsia" w:ascii="宋体" w:hAnsi="宋体" w:cs="宋体"/>
          <w:color w:val="auto"/>
          <w:w w:val="99"/>
          <w:kern w:val="0"/>
          <w:sz w:val="28"/>
          <w:szCs w:val="28"/>
          <w:highlight w:val="none"/>
          <w:u w:val="single"/>
        </w:rPr>
        <w:t xml:space="preserve">    </w:t>
      </w:r>
      <w:r>
        <w:rPr>
          <w:rFonts w:hint="eastAsia" w:ascii="宋体" w:hAnsi="宋体" w:cs="宋体"/>
          <w:color w:val="auto"/>
          <w:w w:val="99"/>
          <w:kern w:val="0"/>
          <w:sz w:val="28"/>
          <w:szCs w:val="28"/>
          <w:highlight w:val="none"/>
        </w:rPr>
        <w:t>日</w:t>
      </w:r>
    </w:p>
    <w:p w14:paraId="5EDD5FA8">
      <w:pPr>
        <w:autoSpaceDE w:val="0"/>
        <w:autoSpaceDN w:val="0"/>
        <w:adjustRightInd w:val="0"/>
        <w:snapToGrid w:val="0"/>
        <w:spacing w:line="360" w:lineRule="auto"/>
        <w:jc w:val="center"/>
        <w:rPr>
          <w:rFonts w:hint="eastAsia" w:ascii="宋体" w:hAnsi="宋体" w:cs="宋体"/>
          <w:color w:val="auto"/>
          <w:kern w:val="0"/>
          <w:sz w:val="36"/>
          <w:szCs w:val="36"/>
          <w:highlight w:val="none"/>
        </w:rPr>
      </w:pPr>
    </w:p>
    <w:p w14:paraId="66C9B160">
      <w:pPr>
        <w:autoSpaceDE w:val="0"/>
        <w:autoSpaceDN w:val="0"/>
        <w:adjustRightInd w:val="0"/>
        <w:snapToGrid w:val="0"/>
        <w:spacing w:line="360" w:lineRule="auto"/>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目  录</w:t>
      </w:r>
    </w:p>
    <w:p w14:paraId="212CC732">
      <w:pPr>
        <w:autoSpaceDE w:val="0"/>
        <w:autoSpaceDN w:val="0"/>
        <w:adjustRightInd w:val="0"/>
        <w:snapToGrid w:val="0"/>
        <w:spacing w:line="360" w:lineRule="auto"/>
        <w:jc w:val="left"/>
        <w:rPr>
          <w:rFonts w:ascii="宋体" w:hAnsi="宋体" w:cs="宋体"/>
          <w:color w:val="auto"/>
          <w:kern w:val="0"/>
          <w:sz w:val="24"/>
          <w:szCs w:val="21"/>
          <w:highlight w:val="none"/>
        </w:rPr>
      </w:pPr>
    </w:p>
    <w:p w14:paraId="554425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（一）竞选函</w:t>
      </w:r>
    </w:p>
    <w:p w14:paraId="229C97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（二）竞选函附录</w:t>
      </w:r>
    </w:p>
    <w:p w14:paraId="5AC72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（三）法定代表人身份证明及授权委托书</w:t>
      </w:r>
    </w:p>
    <w:p w14:paraId="3C5032C7">
      <w:pPr>
        <w:autoSpaceDE w:val="0"/>
        <w:autoSpaceDN w:val="0"/>
        <w:adjustRightInd w:val="0"/>
        <w:snapToGrid w:val="0"/>
        <w:spacing w:line="360" w:lineRule="auto"/>
        <w:jc w:val="left"/>
        <w:rPr>
          <w:rFonts w:ascii="宋体" w:hAnsi="宋体" w:cs="宋体"/>
          <w:color w:val="auto"/>
          <w:kern w:val="0"/>
          <w:szCs w:val="21"/>
          <w:highlight w:val="none"/>
        </w:rPr>
      </w:pPr>
    </w:p>
    <w:p w14:paraId="1E02B36E">
      <w:pPr>
        <w:autoSpaceDE w:val="0"/>
        <w:autoSpaceDN w:val="0"/>
        <w:adjustRightInd w:val="0"/>
        <w:snapToGrid w:val="0"/>
        <w:spacing w:line="360" w:lineRule="auto"/>
        <w:jc w:val="left"/>
        <w:rPr>
          <w:rFonts w:ascii="宋体" w:hAnsi="宋体" w:cs="宋体"/>
          <w:color w:val="auto"/>
          <w:kern w:val="0"/>
          <w:szCs w:val="21"/>
          <w:highlight w:val="none"/>
        </w:rPr>
      </w:pPr>
    </w:p>
    <w:p w14:paraId="7CD7CA77">
      <w:pPr>
        <w:autoSpaceDE w:val="0"/>
        <w:autoSpaceDN w:val="0"/>
        <w:adjustRightInd w:val="0"/>
        <w:snapToGrid w:val="0"/>
        <w:spacing w:line="360" w:lineRule="auto"/>
        <w:jc w:val="left"/>
        <w:rPr>
          <w:rFonts w:ascii="宋体" w:hAnsi="宋体" w:cs="宋体"/>
          <w:color w:val="auto"/>
          <w:kern w:val="0"/>
          <w:szCs w:val="21"/>
          <w:highlight w:val="none"/>
        </w:rPr>
      </w:pPr>
    </w:p>
    <w:p w14:paraId="41F117EB">
      <w:pPr>
        <w:autoSpaceDE w:val="0"/>
        <w:autoSpaceDN w:val="0"/>
        <w:adjustRightInd w:val="0"/>
        <w:snapToGrid w:val="0"/>
        <w:spacing w:line="360" w:lineRule="auto"/>
        <w:jc w:val="left"/>
        <w:rPr>
          <w:rFonts w:ascii="宋体" w:hAnsi="宋体" w:cs="宋体"/>
          <w:color w:val="auto"/>
          <w:kern w:val="0"/>
          <w:highlight w:val="none"/>
        </w:rPr>
      </w:pPr>
    </w:p>
    <w:p w14:paraId="5E3E799F">
      <w:pPr>
        <w:autoSpaceDE w:val="0"/>
        <w:autoSpaceDN w:val="0"/>
        <w:adjustRightInd w:val="0"/>
        <w:snapToGrid w:val="0"/>
        <w:spacing w:line="360" w:lineRule="auto"/>
        <w:jc w:val="left"/>
        <w:rPr>
          <w:rFonts w:ascii="宋体" w:hAnsi="宋体" w:cs="宋体"/>
          <w:color w:val="auto"/>
          <w:kern w:val="0"/>
          <w:highlight w:val="none"/>
        </w:rPr>
      </w:pPr>
    </w:p>
    <w:p w14:paraId="6E75EA34">
      <w:pPr>
        <w:autoSpaceDE w:val="0"/>
        <w:autoSpaceDN w:val="0"/>
        <w:adjustRightInd w:val="0"/>
        <w:snapToGrid w:val="0"/>
        <w:spacing w:line="360" w:lineRule="auto"/>
        <w:jc w:val="left"/>
        <w:rPr>
          <w:rFonts w:ascii="宋体" w:hAnsi="宋体" w:cs="宋体"/>
          <w:color w:val="auto"/>
          <w:kern w:val="0"/>
          <w:highlight w:val="none"/>
        </w:rPr>
      </w:pPr>
    </w:p>
    <w:p w14:paraId="1CEC6089">
      <w:pPr>
        <w:autoSpaceDE w:val="0"/>
        <w:autoSpaceDN w:val="0"/>
        <w:adjustRightInd w:val="0"/>
        <w:snapToGrid w:val="0"/>
        <w:spacing w:line="360" w:lineRule="auto"/>
        <w:jc w:val="left"/>
        <w:rPr>
          <w:rFonts w:ascii="宋体" w:hAnsi="宋体" w:cs="宋体"/>
          <w:color w:val="auto"/>
          <w:kern w:val="0"/>
          <w:highlight w:val="none"/>
        </w:rPr>
      </w:pPr>
    </w:p>
    <w:p w14:paraId="744C4374">
      <w:pPr>
        <w:pStyle w:val="14"/>
        <w:rPr>
          <w:rFonts w:ascii="宋体" w:hAnsi="宋体" w:cs="宋体"/>
          <w:color w:val="auto"/>
          <w:kern w:val="0"/>
          <w:highlight w:val="none"/>
        </w:rPr>
      </w:pPr>
    </w:p>
    <w:p w14:paraId="37D2E71E">
      <w:pPr>
        <w:rPr>
          <w:rFonts w:ascii="宋体" w:hAnsi="宋体" w:cs="宋体"/>
          <w:color w:val="auto"/>
          <w:kern w:val="0"/>
          <w:highlight w:val="none"/>
        </w:rPr>
      </w:pPr>
    </w:p>
    <w:p w14:paraId="3B4F9939">
      <w:pPr>
        <w:pStyle w:val="14"/>
        <w:rPr>
          <w:color w:val="auto"/>
          <w:highlight w:val="none"/>
        </w:rPr>
      </w:pPr>
    </w:p>
    <w:p w14:paraId="43A3F78F">
      <w:pPr>
        <w:autoSpaceDE w:val="0"/>
        <w:autoSpaceDN w:val="0"/>
        <w:adjustRightInd w:val="0"/>
        <w:snapToGrid w:val="0"/>
        <w:spacing w:line="360" w:lineRule="auto"/>
        <w:jc w:val="left"/>
        <w:rPr>
          <w:rFonts w:ascii="宋体" w:hAnsi="宋体" w:cs="宋体"/>
          <w:color w:val="auto"/>
          <w:kern w:val="0"/>
          <w:highlight w:val="none"/>
        </w:rPr>
      </w:pPr>
    </w:p>
    <w:p w14:paraId="121E502D">
      <w:pPr>
        <w:autoSpaceDE w:val="0"/>
        <w:autoSpaceDN w:val="0"/>
        <w:adjustRightInd w:val="0"/>
        <w:snapToGrid w:val="0"/>
        <w:spacing w:line="360" w:lineRule="auto"/>
        <w:jc w:val="left"/>
        <w:rPr>
          <w:rFonts w:ascii="宋体" w:hAnsi="宋体" w:cs="宋体"/>
          <w:color w:val="auto"/>
          <w:kern w:val="0"/>
          <w:highlight w:val="none"/>
        </w:rPr>
      </w:pPr>
    </w:p>
    <w:p w14:paraId="4347260F">
      <w:pPr>
        <w:autoSpaceDE w:val="0"/>
        <w:autoSpaceDN w:val="0"/>
        <w:adjustRightInd w:val="0"/>
        <w:snapToGrid w:val="0"/>
        <w:spacing w:line="360" w:lineRule="auto"/>
        <w:jc w:val="left"/>
        <w:rPr>
          <w:rFonts w:ascii="宋体" w:hAnsi="宋体" w:cs="宋体"/>
          <w:color w:val="auto"/>
          <w:kern w:val="0"/>
          <w:highlight w:val="none"/>
        </w:rPr>
      </w:pPr>
    </w:p>
    <w:p w14:paraId="1AD74832">
      <w:pPr>
        <w:autoSpaceDE w:val="0"/>
        <w:autoSpaceDN w:val="0"/>
        <w:adjustRightInd w:val="0"/>
        <w:snapToGrid w:val="0"/>
        <w:spacing w:line="360" w:lineRule="auto"/>
        <w:jc w:val="left"/>
        <w:rPr>
          <w:rFonts w:ascii="宋体" w:hAnsi="宋体" w:cs="宋体"/>
          <w:color w:val="auto"/>
          <w:kern w:val="0"/>
          <w:highlight w:val="none"/>
        </w:rPr>
      </w:pPr>
    </w:p>
    <w:p w14:paraId="1B2495A0">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370C670A">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333A09D5">
      <w:pPr>
        <w:autoSpaceDE w:val="0"/>
        <w:autoSpaceDN w:val="0"/>
        <w:adjustRightInd w:val="0"/>
        <w:snapToGrid w:val="0"/>
        <w:spacing w:line="360" w:lineRule="auto"/>
        <w:jc w:val="left"/>
        <w:rPr>
          <w:rFonts w:ascii="宋体" w:hAnsi="宋体" w:cs="宋体"/>
          <w:color w:val="auto"/>
          <w:w w:val="99"/>
          <w:kern w:val="0"/>
          <w:sz w:val="28"/>
          <w:szCs w:val="28"/>
          <w:highlight w:val="none"/>
        </w:rPr>
      </w:pPr>
    </w:p>
    <w:p w14:paraId="5E327135">
      <w:pPr>
        <w:pStyle w:val="7"/>
        <w:rPr>
          <w:rFonts w:ascii="宋体" w:hAnsi="宋体" w:cs="宋体"/>
          <w:color w:val="auto"/>
          <w:w w:val="99"/>
          <w:kern w:val="0"/>
          <w:sz w:val="28"/>
          <w:szCs w:val="28"/>
          <w:highlight w:val="none"/>
        </w:rPr>
      </w:pPr>
    </w:p>
    <w:p w14:paraId="399E5C89">
      <w:pPr>
        <w:rPr>
          <w:rFonts w:ascii="宋体" w:hAnsi="宋体" w:cs="宋体"/>
          <w:color w:val="auto"/>
          <w:w w:val="99"/>
          <w:kern w:val="0"/>
          <w:sz w:val="28"/>
          <w:szCs w:val="28"/>
          <w:highlight w:val="none"/>
        </w:rPr>
      </w:pPr>
    </w:p>
    <w:p w14:paraId="20789A5D">
      <w:pPr>
        <w:pStyle w:val="7"/>
        <w:rPr>
          <w:rFonts w:ascii="宋体" w:hAnsi="宋体" w:cs="宋体"/>
          <w:color w:val="auto"/>
          <w:w w:val="99"/>
          <w:kern w:val="0"/>
          <w:sz w:val="28"/>
          <w:szCs w:val="28"/>
          <w:highlight w:val="none"/>
        </w:rPr>
      </w:pPr>
    </w:p>
    <w:p w14:paraId="65994C17">
      <w:pPr>
        <w:rPr>
          <w:rFonts w:ascii="宋体" w:hAnsi="宋体" w:cs="宋体"/>
          <w:color w:val="auto"/>
          <w:w w:val="99"/>
          <w:kern w:val="0"/>
          <w:sz w:val="28"/>
          <w:szCs w:val="28"/>
          <w:highlight w:val="none"/>
        </w:rPr>
      </w:pPr>
    </w:p>
    <w:p w14:paraId="3E2C94E5">
      <w:pPr>
        <w:pStyle w:val="14"/>
        <w:rPr>
          <w:color w:val="auto"/>
          <w:highlight w:val="none"/>
        </w:rPr>
      </w:pPr>
    </w:p>
    <w:p w14:paraId="2F789488">
      <w:pPr>
        <w:rPr>
          <w:rFonts w:hint="eastAsia" w:ascii="宋体" w:hAnsi="宋体" w:cs="宋体"/>
          <w:snapToGrid w:val="0"/>
          <w:color w:val="auto"/>
          <w:kern w:val="0"/>
          <w:sz w:val="32"/>
          <w:szCs w:val="32"/>
          <w:highlight w:val="none"/>
        </w:rPr>
      </w:pPr>
      <w:bookmarkStart w:id="771" w:name="_Toc423713178"/>
      <w:bookmarkStart w:id="772" w:name="_Toc40569214"/>
      <w:bookmarkStart w:id="773" w:name="_Toc423714449"/>
      <w:bookmarkStart w:id="774" w:name="_Toc25344"/>
      <w:bookmarkStart w:id="775" w:name="_Toc423595219"/>
      <w:bookmarkStart w:id="776" w:name="_Toc26985"/>
      <w:bookmarkStart w:id="777" w:name="_Toc14970"/>
      <w:bookmarkStart w:id="778" w:name="_Toc2365"/>
      <w:bookmarkStart w:id="779" w:name="_Toc445480130"/>
      <w:r>
        <w:rPr>
          <w:rFonts w:hint="eastAsia" w:ascii="宋体" w:hAnsi="宋体" w:cs="宋体"/>
          <w:snapToGrid w:val="0"/>
          <w:color w:val="auto"/>
          <w:kern w:val="0"/>
          <w:sz w:val="32"/>
          <w:szCs w:val="32"/>
          <w:highlight w:val="none"/>
        </w:rPr>
        <w:br w:type="page"/>
      </w:r>
    </w:p>
    <w:p w14:paraId="7478721D">
      <w:pPr>
        <w:spacing w:after="260" w:line="360" w:lineRule="auto"/>
        <w:ind w:firstLine="3840" w:firstLineChars="1200"/>
        <w:outlineLvl w:val="2"/>
        <w:rPr>
          <w:rFonts w:ascii="宋体" w:hAnsi="宋体" w:cs="宋体"/>
          <w:snapToGrid w:val="0"/>
          <w:color w:val="auto"/>
          <w:kern w:val="0"/>
          <w:sz w:val="32"/>
          <w:szCs w:val="32"/>
          <w:highlight w:val="none"/>
        </w:rPr>
      </w:pPr>
      <w:r>
        <w:rPr>
          <w:rFonts w:hint="eastAsia" w:ascii="宋体" w:hAnsi="宋体" w:cs="宋体"/>
          <w:snapToGrid w:val="0"/>
          <w:color w:val="auto"/>
          <w:kern w:val="0"/>
          <w:sz w:val="32"/>
          <w:szCs w:val="32"/>
          <w:highlight w:val="none"/>
        </w:rPr>
        <w:t xml:space="preserve">（一） </w:t>
      </w:r>
      <w:bookmarkEnd w:id="771"/>
      <w:bookmarkEnd w:id="772"/>
      <w:bookmarkEnd w:id="773"/>
      <w:bookmarkEnd w:id="774"/>
      <w:bookmarkEnd w:id="775"/>
      <w:bookmarkEnd w:id="776"/>
      <w:bookmarkEnd w:id="777"/>
      <w:bookmarkEnd w:id="778"/>
      <w:bookmarkEnd w:id="779"/>
      <w:r>
        <w:rPr>
          <w:rFonts w:hint="eastAsia" w:ascii="宋体" w:hAnsi="宋体" w:cs="宋体"/>
          <w:snapToGrid w:val="0"/>
          <w:color w:val="auto"/>
          <w:kern w:val="0"/>
          <w:sz w:val="32"/>
          <w:szCs w:val="32"/>
          <w:highlight w:val="none"/>
        </w:rPr>
        <w:t>竞选函</w:t>
      </w:r>
    </w:p>
    <w:p w14:paraId="2218259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（比选人名称）：</w:t>
      </w:r>
    </w:p>
    <w:p w14:paraId="36B6FD82">
      <w:pPr>
        <w:spacing w:line="360" w:lineRule="auto"/>
        <w:ind w:firstLine="420" w:firstLineChars="200"/>
        <w:rPr>
          <w:rFonts w:asciiTheme="minorEastAsia" w:hAnsiTheme="minorEastAsia" w:eastAsiaTheme="minorEastAsia"/>
          <w:color w:val="auto"/>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rPr>
        <w:t>监理比选文件（含答疑补遗及比选人提供所有资料文件）的全部内容</w:t>
      </w:r>
      <w:r>
        <w:rPr>
          <w:rFonts w:asciiTheme="minorEastAsia" w:hAnsiTheme="minorEastAsia" w:eastAsiaTheme="minorEastAsia"/>
          <w:color w:val="auto"/>
          <w:szCs w:val="21"/>
          <w:highlight w:val="none"/>
        </w:rPr>
        <w:t>，愿意以</w:t>
      </w:r>
      <w:r>
        <w:rPr>
          <w:rFonts w:hint="eastAsia" w:asciiTheme="minorEastAsia" w:hAnsiTheme="minorEastAsia" w:eastAsiaTheme="minorEastAsia"/>
          <w:color w:val="auto"/>
          <w:szCs w:val="21"/>
          <w:highlight w:val="none"/>
        </w:rPr>
        <w:t>下列方式对监理费进行报价：</w:t>
      </w:r>
    </w:p>
    <w:p w14:paraId="1682A301">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监理服务费投标</w:t>
      </w:r>
      <w:r>
        <w:rPr>
          <w:rFonts w:asciiTheme="minorEastAsia" w:hAnsiTheme="minorEastAsia" w:eastAsiaTheme="minorEastAsia"/>
          <w:color w:val="auto"/>
          <w:szCs w:val="21"/>
          <w:highlight w:val="none"/>
        </w:rPr>
        <w:t>总报价</w:t>
      </w:r>
      <w:r>
        <w:rPr>
          <w:rFonts w:asciiTheme="minorEastAsia" w:hAnsiTheme="minorEastAsia" w:eastAsiaTheme="minorEastAsia"/>
          <w:color w:val="auto"/>
          <w:szCs w:val="21"/>
          <w:highlight w:val="none"/>
          <w:u w:val="none"/>
        </w:rPr>
        <w:t>人民币（大写）</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none"/>
          <w:lang w:val="en-US" w:eastAsia="zh-CN"/>
        </w:rPr>
        <w:t>元</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折扣比例</w:t>
      </w:r>
      <w:r>
        <w:rPr>
          <w:rFonts w:hint="eastAsia" w:asciiTheme="minorEastAsia" w:hAnsiTheme="minorEastAsia" w:eastAsiaTheme="minorEastAsia"/>
          <w:color w:val="auto"/>
          <w:szCs w:val="21"/>
          <w:highlight w:val="none"/>
        </w:rPr>
        <w:t>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asciiTheme="minorEastAsia" w:hAnsiTheme="minorEastAsia" w:eastAsiaTheme="minorEastAsia"/>
          <w:color w:val="auto"/>
          <w:szCs w:val="21"/>
          <w:highlight w:val="none"/>
        </w:rPr>
        <w:t>，该项目总监理工程师为</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监理服务期</w:t>
      </w:r>
      <w:r>
        <w:rPr>
          <w:rFonts w:hint="eastAsia" w:asciiTheme="minorEastAsia" w:hAnsiTheme="minorEastAsia" w:eastAsiaTheme="minorEastAsia"/>
          <w:color w:val="auto"/>
          <w:szCs w:val="21"/>
          <w:highlight w:val="none"/>
        </w:rPr>
        <w:t>限</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val="en-US" w:eastAsia="zh-CN"/>
        </w:rPr>
        <w:t>招标</w:t>
      </w:r>
      <w:r>
        <w:rPr>
          <w:rFonts w:hint="eastAsia" w:ascii="宋体" w:hAnsi="宋体"/>
          <w:snapToGrid w:val="0"/>
          <w:color w:val="auto"/>
          <w:kern w:val="0"/>
          <w:szCs w:val="21"/>
          <w:highlight w:val="none"/>
          <w:u w:val="single"/>
        </w:rPr>
        <w:t>文件的要求</w:t>
      </w:r>
      <w:r>
        <w:rPr>
          <w:rFonts w:hint="eastAsia" w:asciiTheme="minorEastAsia" w:hAnsiTheme="minorEastAsia" w:eastAsiaTheme="minorEastAsia"/>
          <w:color w:val="auto"/>
          <w:szCs w:val="21"/>
          <w:highlight w:val="none"/>
        </w:rPr>
        <w:t>，监理服务质量</w:t>
      </w:r>
      <w:r>
        <w:rPr>
          <w:rFonts w:hint="eastAsia" w:asciiTheme="minorEastAsia" w:hAnsiTheme="minorEastAsia" w:eastAsiaTheme="minorEastAsia"/>
          <w:color w:val="auto"/>
          <w:szCs w:val="21"/>
          <w:highlight w:val="none"/>
          <w:u w:val="single"/>
        </w:rPr>
        <w:t>达到</w:t>
      </w:r>
      <w:r>
        <w:rPr>
          <w:rFonts w:hint="eastAsia" w:asciiTheme="minorEastAsia" w:hAnsiTheme="minorEastAsia" w:eastAsiaTheme="minorEastAsia"/>
          <w:color w:val="auto"/>
          <w:szCs w:val="21"/>
          <w:highlight w:val="none"/>
          <w:u w:val="single"/>
          <w:lang w:val="en-US" w:eastAsia="zh-CN"/>
        </w:rPr>
        <w:t>招标</w:t>
      </w:r>
      <w:r>
        <w:rPr>
          <w:rFonts w:hint="eastAsia" w:asciiTheme="minorEastAsia" w:hAnsiTheme="minorEastAsia" w:eastAsiaTheme="minorEastAsia"/>
          <w:color w:val="auto"/>
          <w:szCs w:val="21"/>
          <w:highlight w:val="none"/>
          <w:u w:val="single"/>
        </w:rPr>
        <w:t>文件的要求</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按合同约定完成</w:t>
      </w:r>
      <w:r>
        <w:rPr>
          <w:rFonts w:hint="eastAsia" w:asciiTheme="minorEastAsia" w:hAnsiTheme="minorEastAsia" w:eastAsiaTheme="minorEastAsia"/>
          <w:color w:val="auto"/>
          <w:szCs w:val="21"/>
          <w:highlight w:val="none"/>
        </w:rPr>
        <w:t>全部</w:t>
      </w:r>
      <w:r>
        <w:rPr>
          <w:rFonts w:asciiTheme="minorEastAsia" w:hAnsiTheme="minorEastAsia" w:eastAsiaTheme="minorEastAsia"/>
          <w:color w:val="auto"/>
          <w:szCs w:val="21"/>
          <w:highlight w:val="none"/>
        </w:rPr>
        <w:t>监理工作</w:t>
      </w:r>
      <w:r>
        <w:rPr>
          <w:rFonts w:hint="eastAsia" w:asciiTheme="minorEastAsia" w:hAnsiTheme="minorEastAsia" w:eastAsiaTheme="minorEastAsia"/>
          <w:color w:val="auto"/>
          <w:szCs w:val="21"/>
          <w:highlight w:val="none"/>
        </w:rPr>
        <w:t>内容</w:t>
      </w:r>
      <w:r>
        <w:rPr>
          <w:rFonts w:asciiTheme="minorEastAsia" w:hAnsiTheme="minorEastAsia" w:eastAsiaTheme="minorEastAsia"/>
          <w:color w:val="auto"/>
          <w:szCs w:val="21"/>
          <w:highlight w:val="none"/>
        </w:rPr>
        <w:t>。</w:t>
      </w:r>
    </w:p>
    <w:p w14:paraId="23AD6D21">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规定的投标有效期，</w:t>
      </w:r>
      <w:r>
        <w:rPr>
          <w:rFonts w:asciiTheme="minorEastAsia" w:hAnsiTheme="minorEastAsia" w:eastAsiaTheme="minorEastAsia"/>
          <w:color w:val="auto"/>
          <w:szCs w:val="21"/>
          <w:highlight w:val="none"/>
        </w:rPr>
        <w:t>在投标有效期内不</w:t>
      </w:r>
      <w:r>
        <w:rPr>
          <w:rFonts w:hint="eastAsia" w:asciiTheme="minorEastAsia" w:hAnsiTheme="minorEastAsia" w:eastAsiaTheme="minorEastAsia"/>
          <w:color w:val="auto"/>
          <w:szCs w:val="21"/>
          <w:highlight w:val="none"/>
        </w:rPr>
        <w:t>修改、</w:t>
      </w:r>
      <w:r>
        <w:rPr>
          <w:rFonts w:asciiTheme="minorEastAsia" w:hAnsiTheme="minorEastAsia" w:eastAsiaTheme="minorEastAsia"/>
          <w:color w:val="auto"/>
          <w:szCs w:val="21"/>
          <w:highlight w:val="none"/>
        </w:rPr>
        <w:t>撤销</w:t>
      </w:r>
      <w:r>
        <w:rPr>
          <w:rFonts w:hint="eastAsia" w:asciiTheme="minorEastAsia" w:hAnsiTheme="minorEastAsia" w:eastAsiaTheme="minorEastAsia"/>
          <w:color w:val="auto"/>
          <w:szCs w:val="21"/>
          <w:highlight w:val="none"/>
          <w:lang w:eastAsia="zh-CN"/>
        </w:rPr>
        <w:t>竞选文件</w:t>
      </w:r>
      <w:r>
        <w:rPr>
          <w:rFonts w:asciiTheme="minorEastAsia" w:hAnsiTheme="minorEastAsia" w:eastAsiaTheme="minorEastAsia"/>
          <w:color w:val="auto"/>
          <w:szCs w:val="21"/>
          <w:highlight w:val="none"/>
        </w:rPr>
        <w:t>。</w:t>
      </w:r>
    </w:p>
    <w:p w14:paraId="37EDEA5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w:t>
      </w:r>
      <w:r>
        <w:rPr>
          <w:rFonts w:asciiTheme="minorEastAsia" w:hAnsiTheme="minorEastAsia" w:eastAsiaTheme="minorEastAsia"/>
          <w:color w:val="auto"/>
          <w:szCs w:val="21"/>
          <w:highlight w:val="none"/>
        </w:rPr>
        <w:t>．如我方中标，我方承诺：</w:t>
      </w:r>
    </w:p>
    <w:p w14:paraId="2ED7FD02">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（1）在收到中标通知书后，在中标通知书规定的期限内与你方签订合同；</w:t>
      </w:r>
    </w:p>
    <w:p w14:paraId="0C13894F">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（2）在签订合同时不向你方提出附加条件；</w:t>
      </w:r>
    </w:p>
    <w:p w14:paraId="63DE4ACF">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（3）按照</w:t>
      </w:r>
      <w:r>
        <w:rPr>
          <w:rFonts w:hint="eastAsia" w:asciiTheme="minorEastAsia" w:hAnsiTheme="minorEastAsia" w:eastAsiaTheme="minorEastAsia"/>
          <w:color w:val="auto"/>
          <w:szCs w:val="21"/>
          <w:highlight w:val="none"/>
          <w:lang w:eastAsia="zh-CN"/>
        </w:rPr>
        <w:t>比选文件</w:t>
      </w:r>
      <w:r>
        <w:rPr>
          <w:rFonts w:asciiTheme="minorEastAsia" w:hAnsiTheme="minorEastAsia" w:eastAsiaTheme="minorEastAsia"/>
          <w:color w:val="auto"/>
          <w:szCs w:val="21"/>
          <w:highlight w:val="none"/>
        </w:rPr>
        <w:t>要求提交履约保证金；</w:t>
      </w:r>
      <w:bookmarkStart w:id="780" w:name="_Toc352691658"/>
      <w:bookmarkStart w:id="781" w:name="_Toc1187"/>
      <w:bookmarkStart w:id="782" w:name="_Toc369531694"/>
    </w:p>
    <w:p w14:paraId="6C0112C0">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（4）在合</w:t>
      </w:r>
      <w:bookmarkEnd w:id="780"/>
      <w:bookmarkEnd w:id="781"/>
      <w:bookmarkEnd w:id="782"/>
      <w:r>
        <w:rPr>
          <w:rFonts w:asciiTheme="minorEastAsia" w:hAnsiTheme="minorEastAsia" w:eastAsiaTheme="minorEastAsia"/>
          <w:color w:val="auto"/>
          <w:szCs w:val="21"/>
          <w:highlight w:val="none"/>
        </w:rPr>
        <w:t>同约定的期限内完成合同规定的全部义务。</w:t>
      </w:r>
    </w:p>
    <w:p w14:paraId="6E1FAC4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w:t>
      </w:r>
      <w:r>
        <w:rPr>
          <w:rFonts w:asciiTheme="minorEastAsia" w:hAnsiTheme="minorEastAsia" w:eastAsiaTheme="minorEastAsia"/>
          <w:color w:val="auto"/>
          <w:szCs w:val="21"/>
          <w:highlight w:val="none"/>
        </w:rPr>
        <w:t>．我方在此声明，所递交的</w:t>
      </w:r>
      <w:r>
        <w:rPr>
          <w:rFonts w:hint="eastAsia" w:asciiTheme="minorEastAsia" w:hAnsiTheme="minorEastAsia" w:eastAsiaTheme="minorEastAsia"/>
          <w:color w:val="auto"/>
          <w:szCs w:val="21"/>
          <w:highlight w:val="none"/>
          <w:lang w:eastAsia="zh-CN"/>
        </w:rPr>
        <w:t>竞选文件</w:t>
      </w:r>
      <w:r>
        <w:rPr>
          <w:rFonts w:asciiTheme="minorEastAsia" w:hAnsiTheme="minorEastAsia" w:eastAsiaTheme="minorEastAsia"/>
          <w:color w:val="auto"/>
          <w:szCs w:val="21"/>
          <w:highlight w:val="none"/>
        </w:rPr>
        <w:t>及有关资料内容完整、真实和准确，且不存在第二章“</w:t>
      </w:r>
      <w:r>
        <w:rPr>
          <w:rFonts w:hint="eastAsia" w:asciiTheme="minorEastAsia" w:hAnsiTheme="minorEastAsia" w:eastAsiaTheme="minorEastAsia"/>
          <w:color w:val="auto"/>
          <w:szCs w:val="21"/>
          <w:highlight w:val="none"/>
          <w:lang w:eastAsia="zh-CN"/>
        </w:rPr>
        <w:t>竞选人</w:t>
      </w:r>
      <w:r>
        <w:rPr>
          <w:rFonts w:asciiTheme="minorEastAsia" w:hAnsiTheme="minorEastAsia" w:eastAsiaTheme="minorEastAsia"/>
          <w:color w:val="auto"/>
          <w:szCs w:val="21"/>
          <w:highlight w:val="none"/>
        </w:rPr>
        <w:t>须知”第1.4.3项规定的任何一种情形。</w:t>
      </w:r>
      <w:r>
        <w:rPr>
          <w:rFonts w:hint="eastAsia" w:asciiTheme="minorEastAsia" w:hAnsiTheme="minorEastAsia" w:eastAsiaTheme="minorEastAsia"/>
          <w:color w:val="auto"/>
          <w:szCs w:val="21"/>
          <w:highlight w:val="none"/>
        </w:rPr>
        <w:t>同时我方承诺接受</w:t>
      </w:r>
      <w:r>
        <w:rPr>
          <w:rFonts w:hint="eastAsia" w:asciiTheme="minorEastAsia" w:hAnsiTheme="minorEastAsia" w:eastAsiaTheme="minorEastAsia"/>
          <w:color w:val="auto"/>
          <w:szCs w:val="21"/>
          <w:highlight w:val="none"/>
          <w:lang w:eastAsia="zh-CN"/>
        </w:rPr>
        <w:t>比选文件</w:t>
      </w:r>
      <w:r>
        <w:rPr>
          <w:rFonts w:hint="eastAsia" w:asciiTheme="minorEastAsia" w:hAnsiTheme="minorEastAsia" w:eastAsiaTheme="minorEastAsia"/>
          <w:color w:val="auto"/>
          <w:szCs w:val="21"/>
          <w:highlight w:val="none"/>
        </w:rPr>
        <w:t>及附件、澄清及修改通知中所有的内容。</w:t>
      </w:r>
    </w:p>
    <w:p w14:paraId="7F9BE2EC">
      <w:pPr>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olor w:val="auto"/>
          <w:szCs w:val="21"/>
          <w:highlight w:val="none"/>
          <w:lang w:val="en-US" w:eastAsia="zh-CN"/>
        </w:rPr>
        <w:t>5</w:t>
      </w:r>
      <w:r>
        <w:rPr>
          <w:rFonts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ab/>
      </w:r>
      <w:r>
        <w:rPr>
          <w:rFonts w:asciiTheme="minorEastAsia" w:hAnsiTheme="minorEastAsia" w:eastAsiaTheme="minorEastAsia"/>
          <w:color w:val="auto"/>
          <w:szCs w:val="21"/>
          <w:highlight w:val="none"/>
          <w:u w:val="single"/>
        </w:rPr>
        <w:t>（其他补充说明）</w:t>
      </w:r>
      <w:r>
        <w:rPr>
          <w:rFonts w:asciiTheme="minorEastAsia" w:hAnsiTheme="minorEastAsia" w:eastAsiaTheme="minorEastAsia"/>
          <w:color w:val="auto"/>
          <w:szCs w:val="21"/>
          <w:highlight w:val="none"/>
        </w:rPr>
        <w:t>。</w:t>
      </w:r>
    </w:p>
    <w:p w14:paraId="485D5BE4">
      <w:pPr>
        <w:spacing w:line="400" w:lineRule="exact"/>
        <w:ind w:firstLine="3675" w:firstLineChars="1750"/>
        <w:rPr>
          <w:rFonts w:ascii="宋体" w:hAnsi="宋体" w:cs="宋体"/>
          <w:color w:val="auto"/>
          <w:szCs w:val="21"/>
          <w:highlight w:val="none"/>
        </w:rPr>
      </w:pPr>
    </w:p>
    <w:p w14:paraId="1C0F264B">
      <w:pPr>
        <w:pStyle w:val="7"/>
        <w:rPr>
          <w:color w:val="auto"/>
          <w:highlight w:val="none"/>
        </w:rPr>
      </w:pPr>
    </w:p>
    <w:p w14:paraId="2AA96590">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竞  选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4EFC03EB">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36D56CAF">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3AA8DC19">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15116CAF">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14D9DEC2">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67C409A">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98A96A">
      <w:pPr>
        <w:pStyle w:val="7"/>
        <w:rPr>
          <w:color w:val="auto"/>
          <w:highlight w:val="none"/>
        </w:rPr>
      </w:pPr>
    </w:p>
    <w:p w14:paraId="6AA2CEAB">
      <w:pPr>
        <w:rPr>
          <w:rFonts w:hint="eastAsia" w:ascii="宋体" w:hAnsi="宋体" w:cs="宋体"/>
          <w:snapToGrid w:val="0"/>
          <w:color w:val="auto"/>
          <w:kern w:val="0"/>
          <w:sz w:val="32"/>
          <w:szCs w:val="32"/>
          <w:highlight w:val="none"/>
        </w:rPr>
      </w:pPr>
      <w:bookmarkStart w:id="783" w:name="_Toc277082644"/>
      <w:bookmarkStart w:id="784" w:name="_Toc287620815"/>
      <w:bookmarkStart w:id="785" w:name="_Toc287607868"/>
      <w:bookmarkStart w:id="786" w:name="_Toc509218855"/>
      <w:bookmarkStart w:id="787" w:name="_Toc534185832"/>
      <w:bookmarkStart w:id="788" w:name="_Toc430530531"/>
      <w:bookmarkStart w:id="789" w:name="_Toc224103496"/>
      <w:r>
        <w:rPr>
          <w:rFonts w:hint="eastAsia" w:ascii="宋体" w:hAnsi="宋体" w:cs="宋体"/>
          <w:snapToGrid w:val="0"/>
          <w:color w:val="auto"/>
          <w:kern w:val="0"/>
          <w:sz w:val="32"/>
          <w:szCs w:val="32"/>
          <w:highlight w:val="none"/>
        </w:rPr>
        <w:br w:type="page"/>
      </w:r>
    </w:p>
    <w:p w14:paraId="06FF9CE5">
      <w:pPr>
        <w:spacing w:after="260" w:line="360" w:lineRule="auto"/>
        <w:ind w:firstLine="2560" w:firstLineChars="800"/>
        <w:outlineLvl w:val="2"/>
        <w:rPr>
          <w:rFonts w:ascii="宋体" w:hAnsi="宋体" w:cs="宋体"/>
          <w:snapToGrid w:val="0"/>
          <w:color w:val="auto"/>
          <w:kern w:val="0"/>
          <w:szCs w:val="21"/>
          <w:highlight w:val="none"/>
        </w:rPr>
      </w:pPr>
      <w:r>
        <w:rPr>
          <w:rFonts w:hint="eastAsia" w:ascii="宋体" w:hAnsi="宋体" w:cs="宋体"/>
          <w:snapToGrid w:val="0"/>
          <w:color w:val="auto"/>
          <w:kern w:val="0"/>
          <w:sz w:val="32"/>
          <w:szCs w:val="32"/>
          <w:highlight w:val="none"/>
        </w:rPr>
        <w:t>（二）竞选函附录</w:t>
      </w:r>
      <w:bookmarkEnd w:id="783"/>
      <w:bookmarkEnd w:id="784"/>
      <w:bookmarkEnd w:id="785"/>
      <w:bookmarkEnd w:id="786"/>
      <w:bookmarkEnd w:id="787"/>
      <w:bookmarkEnd w:id="788"/>
      <w:bookmarkEnd w:id="789"/>
    </w:p>
    <w:tbl>
      <w:tblPr>
        <w:tblStyle w:val="21"/>
        <w:tblW w:w="8331"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3723"/>
        <w:gridCol w:w="1306"/>
      </w:tblGrid>
      <w:tr w14:paraId="16BD09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711F213">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582" w:type="dxa"/>
            <w:vAlign w:val="center"/>
          </w:tcPr>
          <w:p w14:paraId="2A70BDBF">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条款名称</w:t>
            </w:r>
          </w:p>
        </w:tc>
        <w:tc>
          <w:tcPr>
            <w:tcW w:w="3723" w:type="dxa"/>
            <w:vAlign w:val="center"/>
          </w:tcPr>
          <w:p w14:paraId="7FD65922">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约定内容</w:t>
            </w:r>
          </w:p>
        </w:tc>
        <w:tc>
          <w:tcPr>
            <w:tcW w:w="1306" w:type="dxa"/>
            <w:vAlign w:val="center"/>
          </w:tcPr>
          <w:p w14:paraId="6B88D1CD">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2E676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795" w:hRule="exact"/>
        </w:trPr>
        <w:tc>
          <w:tcPr>
            <w:tcW w:w="720" w:type="dxa"/>
            <w:vAlign w:val="center"/>
          </w:tcPr>
          <w:p w14:paraId="0F677EE3">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2582" w:type="dxa"/>
            <w:vAlign w:val="center"/>
          </w:tcPr>
          <w:p w14:paraId="1DB0867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总监理工程师</w:t>
            </w:r>
          </w:p>
        </w:tc>
        <w:tc>
          <w:tcPr>
            <w:tcW w:w="3723" w:type="dxa"/>
            <w:vAlign w:val="center"/>
          </w:tcPr>
          <w:p w14:paraId="1776FA60">
            <w:pPr>
              <w:spacing w:line="360" w:lineRule="auto"/>
              <w:rPr>
                <w:color w:val="auto"/>
                <w:highlight w:val="none"/>
              </w:rPr>
            </w:pPr>
            <w:r>
              <w:rPr>
                <w:rFonts w:hint="eastAsia"/>
                <w:color w:val="auto"/>
                <w:highlight w:val="none"/>
              </w:rPr>
              <w:t>姓名：</w:t>
            </w:r>
            <w:r>
              <w:rPr>
                <w:rFonts w:hint="eastAsia"/>
                <w:color w:val="auto"/>
                <w:highlight w:val="none"/>
                <w:u w:val="single"/>
              </w:rPr>
              <w:t xml:space="preserve">               </w:t>
            </w:r>
            <w:r>
              <w:rPr>
                <w:rFonts w:hint="eastAsia"/>
                <w:color w:val="auto"/>
                <w:highlight w:val="none"/>
              </w:rPr>
              <w:t xml:space="preserve">            </w:t>
            </w:r>
          </w:p>
          <w:p w14:paraId="63362F5C">
            <w:pPr>
              <w:pStyle w:val="14"/>
              <w:rPr>
                <w:color w:val="auto"/>
                <w:highlight w:val="none"/>
              </w:rPr>
            </w:pPr>
            <w:r>
              <w:rPr>
                <w:rFonts w:hint="eastAsia"/>
                <w:caps w:val="0"/>
                <w:color w:val="auto"/>
                <w:sz w:val="21"/>
                <w:szCs w:val="24"/>
                <w:highlight w:val="none"/>
              </w:rPr>
              <w:t>身份证号码：</w:t>
            </w:r>
            <w:r>
              <w:rPr>
                <w:rFonts w:hint="eastAsia" w:ascii="宋体" w:hAnsi="宋体" w:cs="宋体"/>
                <w:color w:val="auto"/>
                <w:szCs w:val="21"/>
                <w:highlight w:val="none"/>
                <w:u w:val="single"/>
              </w:rPr>
              <w:t xml:space="preserve">         </w:t>
            </w:r>
          </w:p>
        </w:tc>
        <w:tc>
          <w:tcPr>
            <w:tcW w:w="1306" w:type="dxa"/>
            <w:vAlign w:val="center"/>
          </w:tcPr>
          <w:p w14:paraId="3E2FD48D">
            <w:pPr>
              <w:autoSpaceDE w:val="0"/>
              <w:autoSpaceDN w:val="0"/>
              <w:adjustRightInd w:val="0"/>
              <w:spacing w:line="360" w:lineRule="auto"/>
              <w:jc w:val="center"/>
              <w:rPr>
                <w:rFonts w:ascii="宋体" w:hAnsi="宋体" w:cs="宋体"/>
                <w:snapToGrid w:val="0"/>
                <w:color w:val="auto"/>
                <w:kern w:val="0"/>
                <w:szCs w:val="21"/>
                <w:highlight w:val="none"/>
              </w:rPr>
            </w:pPr>
          </w:p>
        </w:tc>
      </w:tr>
      <w:tr w14:paraId="09B58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97" w:hRule="exact"/>
        </w:trPr>
        <w:tc>
          <w:tcPr>
            <w:tcW w:w="720" w:type="dxa"/>
            <w:vAlign w:val="center"/>
          </w:tcPr>
          <w:p w14:paraId="771CCDEE">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2582" w:type="dxa"/>
            <w:vAlign w:val="center"/>
          </w:tcPr>
          <w:p w14:paraId="78BAEE31">
            <w:pPr>
              <w:autoSpaceDE w:val="0"/>
              <w:autoSpaceDN w:val="0"/>
              <w:adjustRightIn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缺项责任期</w:t>
            </w:r>
          </w:p>
        </w:tc>
        <w:tc>
          <w:tcPr>
            <w:tcW w:w="3723" w:type="dxa"/>
            <w:vAlign w:val="center"/>
          </w:tcPr>
          <w:p w14:paraId="30EEFD77">
            <w:pPr>
              <w:tabs>
                <w:tab w:val="left" w:pos="1560"/>
              </w:tabs>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24个月 </w:t>
            </w:r>
          </w:p>
        </w:tc>
        <w:tc>
          <w:tcPr>
            <w:tcW w:w="1306" w:type="dxa"/>
            <w:vAlign w:val="center"/>
          </w:tcPr>
          <w:p w14:paraId="5BE1FD27">
            <w:pPr>
              <w:autoSpaceDE w:val="0"/>
              <w:autoSpaceDN w:val="0"/>
              <w:adjustRightInd w:val="0"/>
              <w:spacing w:line="360" w:lineRule="auto"/>
              <w:jc w:val="center"/>
              <w:rPr>
                <w:rFonts w:ascii="宋体" w:hAnsi="宋体" w:cs="宋体"/>
                <w:snapToGrid w:val="0"/>
                <w:color w:val="auto"/>
                <w:kern w:val="0"/>
                <w:szCs w:val="21"/>
                <w:highlight w:val="none"/>
              </w:rPr>
            </w:pPr>
          </w:p>
        </w:tc>
      </w:tr>
    </w:tbl>
    <w:p w14:paraId="365A8B46">
      <w:pPr>
        <w:spacing w:line="360" w:lineRule="auto"/>
        <w:rPr>
          <w:rFonts w:ascii="宋体" w:hAnsi="宋体" w:cs="宋体"/>
          <w:snapToGrid w:val="0"/>
          <w:color w:val="auto"/>
          <w:w w:val="99"/>
          <w:highlight w:val="none"/>
        </w:rPr>
      </w:pPr>
    </w:p>
    <w:p w14:paraId="3FB8D75C">
      <w:pPr>
        <w:spacing w:line="360" w:lineRule="auto"/>
        <w:rPr>
          <w:rFonts w:ascii="宋体" w:hAnsi="宋体" w:cs="宋体"/>
          <w:snapToGrid w:val="0"/>
          <w:color w:val="auto"/>
          <w:highlight w:val="none"/>
        </w:rPr>
      </w:pPr>
    </w:p>
    <w:p w14:paraId="01B297C1">
      <w:pPr>
        <w:spacing w:line="360" w:lineRule="auto"/>
        <w:rPr>
          <w:rFonts w:ascii="宋体" w:hAnsi="宋体" w:cs="宋体"/>
          <w:snapToGrid w:val="0"/>
          <w:color w:val="auto"/>
          <w:highlight w:val="none"/>
        </w:rPr>
      </w:pPr>
    </w:p>
    <w:p w14:paraId="1C878664">
      <w:pPr>
        <w:tabs>
          <w:tab w:val="left" w:pos="7140"/>
          <w:tab w:val="left" w:pos="7560"/>
          <w:tab w:val="left" w:pos="8300"/>
        </w:tabs>
        <w:autoSpaceDE w:val="0"/>
        <w:autoSpaceDN w:val="0"/>
        <w:adjustRightInd w:val="0"/>
        <w:spacing w:line="360" w:lineRule="auto"/>
        <w:ind w:right="210" w:firstLine="2396" w:firstLineChars="114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69B7EC1E">
      <w:pPr>
        <w:tabs>
          <w:tab w:val="left" w:pos="7140"/>
          <w:tab w:val="left" w:pos="7560"/>
          <w:tab w:val="left" w:pos="8300"/>
        </w:tabs>
        <w:autoSpaceDE w:val="0"/>
        <w:autoSpaceDN w:val="0"/>
        <w:adjustRightInd w:val="0"/>
        <w:spacing w:line="360" w:lineRule="auto"/>
        <w:ind w:right="210" w:firstLine="1984" w:firstLineChars="945"/>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2325E94B">
      <w:pPr>
        <w:tabs>
          <w:tab w:val="left" w:pos="7140"/>
          <w:tab w:val="left" w:pos="7560"/>
          <w:tab w:val="left" w:pos="8300"/>
        </w:tabs>
        <w:autoSpaceDE w:val="0"/>
        <w:autoSpaceDN w:val="0"/>
        <w:adjustRightInd w:val="0"/>
        <w:spacing w:line="360" w:lineRule="auto"/>
        <w:ind w:right="210" w:firstLine="2415" w:firstLineChars="115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（签字或盖章） </w:t>
      </w:r>
    </w:p>
    <w:p w14:paraId="442AAE53">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color w:val="auto"/>
          <w:kern w:val="0"/>
          <w:szCs w:val="21"/>
          <w:highlight w:val="none"/>
        </w:rPr>
      </w:pPr>
    </w:p>
    <w:p w14:paraId="171E06CA">
      <w:pPr>
        <w:spacing w:line="360" w:lineRule="auto"/>
        <w:ind w:firstLine="4725" w:firstLineChars="2250"/>
        <w:rPr>
          <w:rFonts w:ascii="宋体" w:hAnsi="宋体" w:cs="宋体"/>
          <w:b/>
          <w:color w:val="auto"/>
          <w:sz w:val="24"/>
          <w:highlight w:val="none"/>
          <w:u w:val="single"/>
        </w:rPr>
      </w:pPr>
      <w:bookmarkStart w:id="790" w:name="_Toc287620816"/>
      <w:bookmarkStart w:id="791" w:name="_Toc224103497"/>
      <w:bookmarkStart w:id="792" w:name="_Toc277082645"/>
      <w:bookmarkStart w:id="793" w:name="_Toc430530532"/>
      <w:bookmarkStart w:id="794" w:name="_Toc287607869"/>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76F35D5">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6957E668">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7B7F3ED5">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2754A235">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6B050CF4">
      <w:pPr>
        <w:pStyle w:val="14"/>
        <w:rPr>
          <w:color w:val="auto"/>
          <w:highlight w:val="none"/>
        </w:rPr>
      </w:pPr>
    </w:p>
    <w:bookmarkEnd w:id="790"/>
    <w:bookmarkEnd w:id="791"/>
    <w:bookmarkEnd w:id="792"/>
    <w:bookmarkEnd w:id="793"/>
    <w:bookmarkEnd w:id="794"/>
    <w:p w14:paraId="554B91D7">
      <w:pPr>
        <w:spacing w:line="360" w:lineRule="auto"/>
        <w:jc w:val="center"/>
        <w:rPr>
          <w:rFonts w:ascii="宋体" w:hAnsi="宋体" w:cs="宋体"/>
          <w:color w:val="auto"/>
          <w:sz w:val="44"/>
          <w:szCs w:val="44"/>
          <w:highlight w:val="none"/>
        </w:rPr>
      </w:pPr>
    </w:p>
    <w:p w14:paraId="7CF14F00">
      <w:pPr>
        <w:spacing w:line="360" w:lineRule="auto"/>
        <w:jc w:val="center"/>
        <w:rPr>
          <w:rFonts w:ascii="宋体" w:hAnsi="宋体" w:cs="宋体"/>
          <w:color w:val="auto"/>
          <w:sz w:val="44"/>
          <w:szCs w:val="44"/>
          <w:highlight w:val="none"/>
        </w:rPr>
      </w:pPr>
    </w:p>
    <w:p w14:paraId="761C359F">
      <w:pPr>
        <w:spacing w:line="360" w:lineRule="auto"/>
        <w:jc w:val="center"/>
        <w:rPr>
          <w:rFonts w:hint="eastAsia" w:ascii="宋体" w:hAnsi="宋体" w:cs="宋体"/>
          <w:color w:val="auto"/>
          <w:sz w:val="44"/>
          <w:szCs w:val="44"/>
          <w:highlight w:val="none"/>
        </w:rPr>
      </w:pPr>
    </w:p>
    <w:p w14:paraId="5C8C47F4">
      <w:pPr>
        <w:spacing w:line="360" w:lineRule="auto"/>
        <w:jc w:val="center"/>
        <w:rPr>
          <w:rFonts w:ascii="宋体" w:hAnsi="宋体" w:cs="宋体"/>
          <w:color w:val="auto"/>
          <w:sz w:val="44"/>
          <w:szCs w:val="44"/>
          <w:highlight w:val="none"/>
        </w:rPr>
      </w:pPr>
    </w:p>
    <w:p w14:paraId="1DEE5E61">
      <w:pPr>
        <w:tabs>
          <w:tab w:val="left" w:pos="8300"/>
        </w:tabs>
        <w:autoSpaceDE w:val="0"/>
        <w:autoSpaceDN w:val="0"/>
        <w:adjustRightInd w:val="0"/>
        <w:spacing w:line="400" w:lineRule="exact"/>
        <w:rPr>
          <w:rFonts w:ascii="宋体" w:hAnsi="宋体"/>
          <w:snapToGrid w:val="0"/>
          <w:color w:val="auto"/>
          <w:kern w:val="0"/>
          <w:sz w:val="30"/>
          <w:szCs w:val="30"/>
          <w:highlight w:val="none"/>
        </w:rPr>
      </w:pPr>
      <w:r>
        <w:rPr>
          <w:rFonts w:ascii="宋体" w:hAnsi="宋体"/>
          <w:snapToGrid w:val="0"/>
          <w:color w:val="auto"/>
          <w:kern w:val="0"/>
          <w:sz w:val="32"/>
          <w:szCs w:val="32"/>
          <w:highlight w:val="none"/>
        </w:rPr>
        <w:t>（三）</w:t>
      </w:r>
      <w:r>
        <w:rPr>
          <w:rFonts w:hint="eastAsia"/>
          <w:color w:val="auto"/>
          <w:sz w:val="30"/>
          <w:szCs w:val="30"/>
          <w:highlight w:val="none"/>
        </w:rPr>
        <w:t>法定代表人身份证明或附有法定代表人身份证明的授权委托书</w:t>
      </w:r>
    </w:p>
    <w:p w14:paraId="1CB5A2A7">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1B98315B">
      <w:pPr>
        <w:spacing w:line="480" w:lineRule="auto"/>
        <w:jc w:val="center"/>
        <w:rPr>
          <w:rFonts w:ascii="宋体" w:hAnsi="宋体"/>
          <w:color w:val="auto"/>
          <w:highlight w:val="none"/>
        </w:rPr>
      </w:pPr>
    </w:p>
    <w:p w14:paraId="13445FD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E534E1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72ED1E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7DCFB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415B34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8AFD6C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CC360A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E014C4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0B851E8F">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B324DA1">
      <w:pPr>
        <w:pStyle w:val="7"/>
        <w:spacing w:after="0" w:line="360" w:lineRule="auto"/>
        <w:rPr>
          <w:rFonts w:ascii="宋体" w:hAnsi="宋体"/>
          <w:color w:val="auto"/>
          <w:szCs w:val="21"/>
          <w:highlight w:val="none"/>
        </w:rPr>
      </w:pPr>
    </w:p>
    <w:p w14:paraId="1849BD08">
      <w:pPr>
        <w:pStyle w:val="7"/>
        <w:spacing w:after="0" w:line="360" w:lineRule="auto"/>
        <w:rPr>
          <w:rFonts w:ascii="宋体" w:hAnsi="宋体"/>
          <w:color w:val="auto"/>
          <w:szCs w:val="21"/>
          <w:highlight w:val="none"/>
        </w:rPr>
      </w:pPr>
    </w:p>
    <w:p w14:paraId="607E9BAE">
      <w:pPr>
        <w:pStyle w:val="7"/>
        <w:spacing w:after="0" w:line="360" w:lineRule="auto"/>
        <w:rPr>
          <w:rFonts w:ascii="宋体" w:hAnsi="宋体"/>
          <w:color w:val="auto"/>
          <w:szCs w:val="21"/>
          <w:highlight w:val="none"/>
        </w:rPr>
      </w:pPr>
    </w:p>
    <w:p w14:paraId="34D15A9E">
      <w:pPr>
        <w:pStyle w:val="7"/>
        <w:spacing w:after="0" w:line="360" w:lineRule="auto"/>
        <w:rPr>
          <w:rFonts w:ascii="宋体" w:hAnsi="宋体"/>
          <w:color w:val="auto"/>
          <w:szCs w:val="21"/>
          <w:highlight w:val="none"/>
        </w:rPr>
      </w:pPr>
    </w:p>
    <w:p w14:paraId="1DC8E94C">
      <w:pPr>
        <w:pStyle w:val="7"/>
        <w:spacing w:after="0" w:line="360" w:lineRule="auto"/>
        <w:rPr>
          <w:rFonts w:ascii="宋体" w:hAnsi="宋体"/>
          <w:color w:val="auto"/>
          <w:szCs w:val="21"/>
          <w:highlight w:val="none"/>
        </w:rPr>
      </w:pPr>
    </w:p>
    <w:p w14:paraId="78F96B14">
      <w:pPr>
        <w:pStyle w:val="7"/>
        <w:spacing w:after="0" w:line="360" w:lineRule="auto"/>
        <w:rPr>
          <w:rFonts w:ascii="宋体" w:hAnsi="宋体"/>
          <w:color w:val="auto"/>
          <w:szCs w:val="21"/>
          <w:highlight w:val="none"/>
        </w:rPr>
      </w:pPr>
    </w:p>
    <w:p w14:paraId="1CCAD796">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5ADA74A">
      <w:pPr>
        <w:autoSpaceDE w:val="0"/>
        <w:autoSpaceDN w:val="0"/>
        <w:adjustRightInd w:val="0"/>
        <w:snapToGrid w:val="0"/>
        <w:spacing w:line="480" w:lineRule="auto"/>
        <w:jc w:val="left"/>
        <w:rPr>
          <w:rFonts w:ascii="宋体" w:hAnsi="宋体"/>
          <w:color w:val="auto"/>
          <w:kern w:val="0"/>
          <w:sz w:val="20"/>
          <w:szCs w:val="20"/>
          <w:highlight w:val="none"/>
        </w:rPr>
      </w:pPr>
    </w:p>
    <w:p w14:paraId="3B7F5F8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89EC287">
      <w:pPr>
        <w:autoSpaceDE w:val="0"/>
        <w:autoSpaceDN w:val="0"/>
        <w:adjustRightInd w:val="0"/>
        <w:snapToGrid w:val="0"/>
        <w:spacing w:line="360" w:lineRule="auto"/>
        <w:jc w:val="left"/>
        <w:rPr>
          <w:rFonts w:ascii="宋体" w:hAnsi="宋体"/>
          <w:color w:val="auto"/>
          <w:kern w:val="0"/>
          <w:highlight w:val="none"/>
        </w:rPr>
      </w:pPr>
    </w:p>
    <w:p w14:paraId="35355BD4">
      <w:pPr>
        <w:autoSpaceDE w:val="0"/>
        <w:autoSpaceDN w:val="0"/>
        <w:adjustRightInd w:val="0"/>
        <w:snapToGrid w:val="0"/>
        <w:spacing w:line="360" w:lineRule="auto"/>
        <w:jc w:val="left"/>
        <w:rPr>
          <w:rFonts w:ascii="宋体" w:hAnsi="宋体"/>
          <w:color w:val="auto"/>
          <w:kern w:val="0"/>
          <w:highlight w:val="none"/>
        </w:rPr>
      </w:pPr>
    </w:p>
    <w:p w14:paraId="62333BDE">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65EA937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B70F95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57F425E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46B0B9D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45362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0B09D5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76FD540">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EC6D21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9BF18B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0C3396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3B4E3D6">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21DA2EC1">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w:t>
      </w:r>
    </w:p>
    <w:p w14:paraId="0AD9E4F3">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5BE27AF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6E1F07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16A29F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FFF56D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0D0AE6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3F6C1A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5D0771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F26244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00541A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855F6BB">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79E087EF">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0BF79CE7">
      <w:pPr>
        <w:spacing w:line="360" w:lineRule="auto"/>
        <w:ind w:firstLine="420" w:firstLineChars="200"/>
        <w:jc w:val="left"/>
        <w:rPr>
          <w:rFonts w:hint="eastAsia"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7E7A635">
      <w:pPr>
        <w:pStyle w:val="7"/>
        <w:rPr>
          <w:rFonts w:ascii="宋体" w:hAnsi="宋体"/>
          <w:snapToGrid w:val="0"/>
          <w:color w:val="auto"/>
          <w:kern w:val="0"/>
          <w:sz w:val="32"/>
          <w:szCs w:val="32"/>
          <w:highlight w:val="none"/>
        </w:rPr>
      </w:pPr>
      <w:bookmarkStart w:id="795" w:name="_Toc277082647"/>
      <w:bookmarkStart w:id="796" w:name="_Toc224103499"/>
      <w:bookmarkStart w:id="797" w:name="_Toc287607871"/>
      <w:bookmarkStart w:id="798" w:name="_Toc287620818"/>
      <w:bookmarkStart w:id="799" w:name="_Toc430530533"/>
      <w:r>
        <w:rPr>
          <w:rFonts w:ascii="宋体" w:hAnsi="宋体"/>
          <w:snapToGrid w:val="0"/>
          <w:color w:val="auto"/>
          <w:kern w:val="0"/>
          <w:sz w:val="32"/>
          <w:szCs w:val="32"/>
          <w:highlight w:val="none"/>
        </w:rPr>
        <w:br w:type="page"/>
      </w:r>
    </w:p>
    <w:bookmarkEnd w:id="795"/>
    <w:bookmarkEnd w:id="796"/>
    <w:bookmarkEnd w:id="797"/>
    <w:bookmarkEnd w:id="798"/>
    <w:bookmarkEnd w:id="799"/>
    <w:p w14:paraId="0F5F3BDA">
      <w:pPr>
        <w:spacing w:line="360" w:lineRule="auto"/>
        <w:jc w:val="both"/>
        <w:rPr>
          <w:rFonts w:ascii="宋体" w:hAnsi="宋体" w:cs="宋体"/>
          <w:color w:val="auto"/>
          <w:sz w:val="44"/>
          <w:szCs w:val="44"/>
          <w:highlight w:val="none"/>
        </w:rPr>
      </w:pPr>
    </w:p>
    <w:p w14:paraId="65CCE0D9">
      <w:pPr>
        <w:pStyle w:val="3"/>
        <w:spacing w:line="360" w:lineRule="auto"/>
        <w:jc w:val="center"/>
        <w:rPr>
          <w:rFonts w:ascii="宋体" w:hAnsi="宋体" w:cs="宋体"/>
          <w:b w:val="0"/>
          <w:bCs w:val="0"/>
          <w:color w:val="auto"/>
          <w:sz w:val="44"/>
          <w:szCs w:val="44"/>
          <w:highlight w:val="none"/>
        </w:rPr>
      </w:pPr>
      <w:r>
        <w:rPr>
          <w:rFonts w:hint="eastAsia" w:ascii="宋体" w:hAnsi="宋体" w:cs="宋体"/>
          <w:b w:val="0"/>
          <w:bCs w:val="0"/>
          <w:color w:val="auto"/>
          <w:sz w:val="44"/>
          <w:szCs w:val="44"/>
          <w:highlight w:val="none"/>
        </w:rPr>
        <w:t>二、</w:t>
      </w:r>
      <w:bookmarkEnd w:id="756"/>
      <w:bookmarkEnd w:id="757"/>
      <w:bookmarkEnd w:id="758"/>
      <w:bookmarkEnd w:id="759"/>
      <w:bookmarkEnd w:id="760"/>
      <w:r>
        <w:rPr>
          <w:rFonts w:hint="eastAsia" w:ascii="宋体" w:hAnsi="宋体" w:cs="宋体"/>
          <w:b w:val="0"/>
          <w:bCs w:val="0"/>
          <w:color w:val="auto"/>
          <w:sz w:val="44"/>
          <w:szCs w:val="44"/>
          <w:highlight w:val="none"/>
        </w:rPr>
        <w:t>技术部分</w:t>
      </w:r>
    </w:p>
    <w:bookmarkEnd w:id="761"/>
    <w:bookmarkEnd w:id="762"/>
    <w:p w14:paraId="1D7FB576">
      <w:pPr>
        <w:autoSpaceDE w:val="0"/>
        <w:autoSpaceDN w:val="0"/>
        <w:adjustRightInd w:val="0"/>
        <w:snapToGrid w:val="0"/>
        <w:spacing w:line="360" w:lineRule="auto"/>
        <w:jc w:val="left"/>
        <w:rPr>
          <w:color w:val="auto"/>
          <w:highlight w:val="none"/>
        </w:rPr>
      </w:pPr>
    </w:p>
    <w:p w14:paraId="39964082">
      <w:pPr>
        <w:spacing w:line="360" w:lineRule="auto"/>
        <w:jc w:val="center"/>
        <w:rPr>
          <w:rFonts w:ascii="宋体" w:hAnsi="宋体" w:cs="宋体"/>
          <w:color w:val="auto"/>
          <w:kern w:val="0"/>
          <w:sz w:val="32"/>
          <w:szCs w:val="32"/>
          <w:highlight w:val="none"/>
          <w:u w:val="single"/>
        </w:rPr>
      </w:pPr>
    </w:p>
    <w:p w14:paraId="6CDF86F8">
      <w:pPr>
        <w:spacing w:line="360" w:lineRule="auto"/>
        <w:jc w:val="center"/>
        <w:rPr>
          <w:rFonts w:ascii="宋体" w:hAnsi="宋体" w:cs="宋体"/>
          <w:color w:val="auto"/>
          <w:kern w:val="0"/>
          <w:sz w:val="32"/>
          <w:szCs w:val="32"/>
          <w:highlight w:val="none"/>
          <w:u w:val="single"/>
        </w:rPr>
      </w:pPr>
    </w:p>
    <w:p w14:paraId="46A09DB6">
      <w:pPr>
        <w:spacing w:line="360" w:lineRule="auto"/>
        <w:jc w:val="center"/>
        <w:rPr>
          <w:rFonts w:ascii="宋体" w:hAnsi="宋体" w:cs="宋体"/>
          <w:color w:val="auto"/>
          <w:kern w:val="0"/>
          <w:sz w:val="32"/>
          <w:szCs w:val="32"/>
          <w:highlight w:val="none"/>
          <w:u w:val="single"/>
        </w:rPr>
      </w:pPr>
    </w:p>
    <w:p w14:paraId="7BE13B7F">
      <w:pPr>
        <w:spacing w:line="360" w:lineRule="auto"/>
        <w:jc w:val="center"/>
        <w:rPr>
          <w:rFonts w:ascii="宋体" w:hAnsi="宋体" w:cs="宋体"/>
          <w:color w:val="auto"/>
          <w:kern w:val="0"/>
          <w:sz w:val="32"/>
          <w:szCs w:val="32"/>
          <w:highlight w:val="none"/>
          <w:u w:val="single"/>
        </w:rPr>
      </w:pPr>
    </w:p>
    <w:p w14:paraId="7962CA04">
      <w:pPr>
        <w:spacing w:line="360" w:lineRule="auto"/>
        <w:jc w:val="center"/>
        <w:rPr>
          <w:rFonts w:ascii="宋体" w:hAnsi="宋体" w:cs="宋体"/>
          <w:color w:val="auto"/>
          <w:kern w:val="0"/>
          <w:sz w:val="32"/>
          <w:szCs w:val="32"/>
          <w:highlight w:val="none"/>
          <w:u w:val="single"/>
        </w:rPr>
      </w:pPr>
    </w:p>
    <w:p w14:paraId="50B20F9D">
      <w:pPr>
        <w:spacing w:line="360" w:lineRule="auto"/>
        <w:jc w:val="center"/>
        <w:rPr>
          <w:rFonts w:ascii="宋体" w:hAnsi="宋体" w:cs="宋体"/>
          <w:color w:val="auto"/>
          <w:kern w:val="0"/>
          <w:sz w:val="32"/>
          <w:szCs w:val="32"/>
          <w:highlight w:val="none"/>
          <w:u w:val="single"/>
        </w:rPr>
      </w:pPr>
    </w:p>
    <w:p w14:paraId="55D33E5A">
      <w:pPr>
        <w:spacing w:line="360" w:lineRule="auto"/>
        <w:jc w:val="center"/>
        <w:rPr>
          <w:rFonts w:ascii="宋体" w:hAnsi="宋体" w:cs="宋体"/>
          <w:color w:val="auto"/>
          <w:kern w:val="0"/>
          <w:sz w:val="32"/>
          <w:szCs w:val="32"/>
          <w:highlight w:val="none"/>
          <w:u w:val="single"/>
        </w:rPr>
      </w:pPr>
    </w:p>
    <w:p w14:paraId="6312EB8F">
      <w:pPr>
        <w:spacing w:line="360" w:lineRule="auto"/>
        <w:jc w:val="center"/>
        <w:rPr>
          <w:rFonts w:ascii="宋体" w:hAnsi="宋体" w:cs="宋体"/>
          <w:color w:val="auto"/>
          <w:kern w:val="0"/>
          <w:sz w:val="32"/>
          <w:szCs w:val="32"/>
          <w:highlight w:val="none"/>
          <w:u w:val="single"/>
        </w:rPr>
      </w:pPr>
    </w:p>
    <w:p w14:paraId="2D07F53D">
      <w:pPr>
        <w:spacing w:line="360" w:lineRule="auto"/>
        <w:jc w:val="center"/>
        <w:rPr>
          <w:rFonts w:ascii="宋体" w:hAnsi="宋体" w:cs="宋体"/>
          <w:color w:val="auto"/>
          <w:kern w:val="0"/>
          <w:sz w:val="32"/>
          <w:szCs w:val="32"/>
          <w:highlight w:val="none"/>
          <w:u w:val="single"/>
        </w:rPr>
      </w:pPr>
    </w:p>
    <w:p w14:paraId="390CAEEA">
      <w:pPr>
        <w:spacing w:line="360" w:lineRule="auto"/>
        <w:jc w:val="center"/>
        <w:rPr>
          <w:rFonts w:ascii="宋体" w:hAnsi="宋体" w:cs="宋体"/>
          <w:color w:val="auto"/>
          <w:kern w:val="0"/>
          <w:sz w:val="32"/>
          <w:szCs w:val="32"/>
          <w:highlight w:val="none"/>
          <w:u w:val="single"/>
        </w:rPr>
      </w:pPr>
    </w:p>
    <w:p w14:paraId="6D5E6B18">
      <w:pPr>
        <w:spacing w:line="360" w:lineRule="auto"/>
        <w:jc w:val="center"/>
        <w:rPr>
          <w:rFonts w:ascii="宋体" w:hAnsi="宋体" w:cs="宋体"/>
          <w:color w:val="auto"/>
          <w:kern w:val="0"/>
          <w:sz w:val="32"/>
          <w:szCs w:val="32"/>
          <w:highlight w:val="none"/>
          <w:u w:val="single"/>
        </w:rPr>
      </w:pPr>
    </w:p>
    <w:p w14:paraId="2AEE6DCB">
      <w:pPr>
        <w:spacing w:line="360" w:lineRule="auto"/>
        <w:jc w:val="center"/>
        <w:rPr>
          <w:rFonts w:ascii="宋体" w:hAnsi="宋体" w:cs="宋体"/>
          <w:color w:val="auto"/>
          <w:kern w:val="0"/>
          <w:sz w:val="32"/>
          <w:szCs w:val="32"/>
          <w:highlight w:val="none"/>
          <w:u w:val="single"/>
        </w:rPr>
      </w:pPr>
    </w:p>
    <w:p w14:paraId="4BF54F0A">
      <w:pPr>
        <w:spacing w:line="360" w:lineRule="auto"/>
        <w:jc w:val="center"/>
        <w:rPr>
          <w:rFonts w:ascii="宋体" w:hAnsi="宋体" w:cs="宋体"/>
          <w:color w:val="auto"/>
          <w:kern w:val="0"/>
          <w:sz w:val="32"/>
          <w:szCs w:val="32"/>
          <w:highlight w:val="none"/>
          <w:u w:val="single"/>
        </w:rPr>
      </w:pPr>
    </w:p>
    <w:p w14:paraId="67D30E7C">
      <w:pPr>
        <w:spacing w:line="360" w:lineRule="auto"/>
        <w:jc w:val="center"/>
        <w:rPr>
          <w:rFonts w:ascii="宋体" w:hAnsi="宋体" w:cs="宋体"/>
          <w:color w:val="auto"/>
          <w:kern w:val="0"/>
          <w:sz w:val="32"/>
          <w:szCs w:val="32"/>
          <w:highlight w:val="none"/>
          <w:u w:val="single"/>
        </w:rPr>
      </w:pPr>
    </w:p>
    <w:p w14:paraId="23709BB1">
      <w:pPr>
        <w:spacing w:line="360" w:lineRule="auto"/>
        <w:jc w:val="center"/>
        <w:rPr>
          <w:rFonts w:ascii="宋体" w:hAnsi="宋体" w:cs="宋体"/>
          <w:color w:val="auto"/>
          <w:kern w:val="0"/>
          <w:sz w:val="32"/>
          <w:szCs w:val="32"/>
          <w:highlight w:val="none"/>
          <w:u w:val="single"/>
        </w:rPr>
      </w:pPr>
    </w:p>
    <w:p w14:paraId="18FBF4BF">
      <w:pPr>
        <w:spacing w:line="360" w:lineRule="auto"/>
        <w:jc w:val="center"/>
        <w:rPr>
          <w:rFonts w:ascii="宋体" w:hAnsi="宋体" w:cs="宋体"/>
          <w:color w:val="auto"/>
          <w:kern w:val="0"/>
          <w:sz w:val="32"/>
          <w:szCs w:val="32"/>
          <w:highlight w:val="none"/>
          <w:u w:val="single"/>
        </w:rPr>
      </w:pPr>
    </w:p>
    <w:p w14:paraId="6BACB475">
      <w:pPr>
        <w:spacing w:line="360" w:lineRule="auto"/>
        <w:jc w:val="center"/>
        <w:rPr>
          <w:rFonts w:ascii="宋体" w:hAnsi="宋体" w:cs="宋体"/>
          <w:color w:val="auto"/>
          <w:kern w:val="0"/>
          <w:sz w:val="32"/>
          <w:szCs w:val="32"/>
          <w:highlight w:val="none"/>
          <w:u w:val="single"/>
        </w:rPr>
      </w:pPr>
    </w:p>
    <w:p w14:paraId="7A56A779">
      <w:pPr>
        <w:spacing w:line="360" w:lineRule="auto"/>
        <w:jc w:val="center"/>
        <w:rPr>
          <w:rFonts w:ascii="宋体" w:hAnsi="宋体" w:cs="宋体"/>
          <w:color w:val="auto"/>
          <w:kern w:val="0"/>
          <w:sz w:val="32"/>
          <w:szCs w:val="32"/>
          <w:highlight w:val="none"/>
          <w:u w:val="single"/>
        </w:rPr>
      </w:pPr>
    </w:p>
    <w:p w14:paraId="23BB1209">
      <w:pPr>
        <w:spacing w:line="360" w:lineRule="auto"/>
        <w:jc w:val="center"/>
        <w:rPr>
          <w:rFonts w:ascii="宋体" w:hAnsi="宋体" w:cs="宋体"/>
          <w:color w:val="auto"/>
          <w:kern w:val="0"/>
          <w:sz w:val="32"/>
          <w:szCs w:val="32"/>
          <w:highlight w:val="none"/>
          <w:u w:val="single"/>
        </w:rPr>
      </w:pPr>
    </w:p>
    <w:p w14:paraId="17A3517C">
      <w:pPr>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 xml:space="preserve">    </w:t>
      </w:r>
    </w:p>
    <w:p w14:paraId="067D3E33">
      <w:pPr>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（项目名称）</w:t>
      </w:r>
    </w:p>
    <w:p w14:paraId="5BDC81CF">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5650FD2A">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0DF9448A">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5F149497">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72"/>
          <w:szCs w:val="72"/>
          <w:highlight w:val="none"/>
        </w:rPr>
      </w:pPr>
      <w:r>
        <w:rPr>
          <w:rFonts w:hint="eastAsia" w:ascii="宋体" w:hAnsi="宋体" w:cs="宋体"/>
          <w:color w:val="auto"/>
          <w:kern w:val="0"/>
          <w:sz w:val="72"/>
          <w:szCs w:val="72"/>
          <w:highlight w:val="none"/>
        </w:rPr>
        <w:t>竞  选 文 件</w:t>
      </w:r>
    </w:p>
    <w:p w14:paraId="02802C19">
      <w:pPr>
        <w:autoSpaceDE w:val="0"/>
        <w:autoSpaceDN w:val="0"/>
        <w:adjustRightInd w:val="0"/>
        <w:snapToGrid w:val="0"/>
        <w:spacing w:line="360" w:lineRule="auto"/>
        <w:jc w:val="left"/>
        <w:rPr>
          <w:rFonts w:ascii="宋体" w:hAnsi="宋体" w:cs="宋体"/>
          <w:color w:val="auto"/>
          <w:kern w:val="0"/>
          <w:sz w:val="16"/>
          <w:szCs w:val="16"/>
          <w:highlight w:val="none"/>
        </w:rPr>
      </w:pPr>
    </w:p>
    <w:p w14:paraId="0C2D4F8F">
      <w:pPr>
        <w:autoSpaceDE w:val="0"/>
        <w:autoSpaceDN w:val="0"/>
        <w:adjustRightInd w:val="0"/>
        <w:snapToGrid w:val="0"/>
        <w:spacing w:line="360" w:lineRule="auto"/>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技术部分</w:t>
      </w:r>
    </w:p>
    <w:p w14:paraId="5234AEE3">
      <w:pPr>
        <w:autoSpaceDE w:val="0"/>
        <w:autoSpaceDN w:val="0"/>
        <w:adjustRightInd w:val="0"/>
        <w:snapToGrid w:val="0"/>
        <w:spacing w:line="360" w:lineRule="auto"/>
        <w:jc w:val="left"/>
        <w:rPr>
          <w:rFonts w:ascii="宋体" w:hAnsi="宋体" w:cs="宋体"/>
          <w:color w:val="auto"/>
          <w:kern w:val="0"/>
          <w:sz w:val="20"/>
          <w:szCs w:val="20"/>
          <w:highlight w:val="none"/>
        </w:rPr>
      </w:pPr>
    </w:p>
    <w:p w14:paraId="119A6772">
      <w:pPr>
        <w:adjustRightInd w:val="0"/>
        <w:snapToGrid w:val="0"/>
        <w:spacing w:line="360" w:lineRule="auto"/>
        <w:rPr>
          <w:rFonts w:ascii="宋体" w:hAnsi="宋体" w:cs="宋体"/>
          <w:color w:val="auto"/>
          <w:szCs w:val="21"/>
          <w:highlight w:val="none"/>
        </w:rPr>
      </w:pPr>
    </w:p>
    <w:p w14:paraId="4695D233">
      <w:pPr>
        <w:autoSpaceDE w:val="0"/>
        <w:autoSpaceDN w:val="0"/>
        <w:adjustRightInd w:val="0"/>
        <w:snapToGrid w:val="0"/>
        <w:spacing w:line="360" w:lineRule="auto"/>
        <w:jc w:val="left"/>
        <w:rPr>
          <w:rFonts w:ascii="宋体" w:hAnsi="宋体" w:cs="宋体"/>
          <w:color w:val="auto"/>
          <w:kern w:val="0"/>
          <w:sz w:val="20"/>
          <w:szCs w:val="20"/>
          <w:highlight w:val="none"/>
        </w:rPr>
      </w:pPr>
    </w:p>
    <w:p w14:paraId="4922B85B">
      <w:pPr>
        <w:autoSpaceDE w:val="0"/>
        <w:autoSpaceDN w:val="0"/>
        <w:adjustRightInd w:val="0"/>
        <w:snapToGrid w:val="0"/>
        <w:spacing w:line="360" w:lineRule="auto"/>
        <w:jc w:val="left"/>
        <w:rPr>
          <w:rFonts w:ascii="宋体" w:hAnsi="宋体" w:cs="宋体"/>
          <w:color w:val="auto"/>
          <w:kern w:val="0"/>
          <w:sz w:val="20"/>
          <w:szCs w:val="20"/>
          <w:highlight w:val="none"/>
        </w:rPr>
      </w:pPr>
    </w:p>
    <w:p w14:paraId="4BCE0A1F">
      <w:pPr>
        <w:autoSpaceDE w:val="0"/>
        <w:autoSpaceDN w:val="0"/>
        <w:adjustRightInd w:val="0"/>
        <w:snapToGrid w:val="0"/>
        <w:spacing w:line="360" w:lineRule="auto"/>
        <w:jc w:val="left"/>
        <w:rPr>
          <w:rFonts w:ascii="宋体" w:hAnsi="宋体" w:cs="宋体"/>
          <w:color w:val="auto"/>
          <w:kern w:val="0"/>
          <w:sz w:val="20"/>
          <w:szCs w:val="20"/>
          <w:highlight w:val="none"/>
        </w:rPr>
      </w:pPr>
    </w:p>
    <w:p w14:paraId="6BA3013D">
      <w:pPr>
        <w:autoSpaceDE w:val="0"/>
        <w:autoSpaceDN w:val="0"/>
        <w:adjustRightInd w:val="0"/>
        <w:snapToGrid w:val="0"/>
        <w:spacing w:line="360" w:lineRule="auto"/>
        <w:jc w:val="left"/>
        <w:rPr>
          <w:rFonts w:ascii="宋体" w:hAnsi="宋体" w:cs="宋体"/>
          <w:color w:val="auto"/>
          <w:kern w:val="0"/>
          <w:sz w:val="20"/>
          <w:szCs w:val="20"/>
          <w:highlight w:val="none"/>
        </w:rPr>
      </w:pPr>
    </w:p>
    <w:p w14:paraId="0AA93DC6">
      <w:pPr>
        <w:autoSpaceDE w:val="0"/>
        <w:autoSpaceDN w:val="0"/>
        <w:adjustRightInd w:val="0"/>
        <w:snapToGrid w:val="0"/>
        <w:spacing w:line="360" w:lineRule="auto"/>
        <w:jc w:val="left"/>
        <w:rPr>
          <w:rFonts w:ascii="宋体" w:hAnsi="宋体" w:cs="宋体"/>
          <w:color w:val="auto"/>
          <w:kern w:val="0"/>
          <w:sz w:val="20"/>
          <w:szCs w:val="20"/>
          <w:highlight w:val="none"/>
        </w:rPr>
      </w:pPr>
    </w:p>
    <w:p w14:paraId="285DAC7A">
      <w:pPr>
        <w:autoSpaceDE w:val="0"/>
        <w:autoSpaceDN w:val="0"/>
        <w:adjustRightInd w:val="0"/>
        <w:snapToGrid w:val="0"/>
        <w:spacing w:line="360" w:lineRule="auto"/>
        <w:jc w:val="left"/>
        <w:rPr>
          <w:rFonts w:ascii="宋体" w:hAnsi="宋体" w:cs="宋体"/>
          <w:color w:val="auto"/>
          <w:kern w:val="0"/>
          <w:sz w:val="20"/>
          <w:szCs w:val="20"/>
          <w:highlight w:val="none"/>
        </w:rPr>
      </w:pPr>
    </w:p>
    <w:p w14:paraId="7F61BA49">
      <w:pPr>
        <w:autoSpaceDE w:val="0"/>
        <w:autoSpaceDN w:val="0"/>
        <w:adjustRightInd w:val="0"/>
        <w:snapToGrid w:val="0"/>
        <w:spacing w:line="360" w:lineRule="auto"/>
        <w:jc w:val="left"/>
        <w:rPr>
          <w:rFonts w:ascii="宋体" w:hAnsi="宋体" w:cs="宋体"/>
          <w:color w:val="auto"/>
          <w:kern w:val="0"/>
          <w:sz w:val="20"/>
          <w:szCs w:val="20"/>
          <w:highlight w:val="none"/>
        </w:rPr>
      </w:pPr>
    </w:p>
    <w:p w14:paraId="59D5418B">
      <w:pPr>
        <w:autoSpaceDE w:val="0"/>
        <w:autoSpaceDN w:val="0"/>
        <w:adjustRightInd w:val="0"/>
        <w:snapToGrid w:val="0"/>
        <w:spacing w:line="360" w:lineRule="auto"/>
        <w:jc w:val="left"/>
        <w:rPr>
          <w:rFonts w:ascii="宋体" w:hAnsi="宋体" w:cs="宋体"/>
          <w:color w:val="auto"/>
          <w:kern w:val="0"/>
          <w:sz w:val="20"/>
          <w:szCs w:val="20"/>
          <w:highlight w:val="none"/>
        </w:rPr>
      </w:pPr>
    </w:p>
    <w:p w14:paraId="1D89AB69">
      <w:pPr>
        <w:autoSpaceDE w:val="0"/>
        <w:autoSpaceDN w:val="0"/>
        <w:adjustRightInd w:val="0"/>
        <w:snapToGrid w:val="0"/>
        <w:spacing w:line="360" w:lineRule="auto"/>
        <w:jc w:val="left"/>
        <w:rPr>
          <w:rFonts w:ascii="宋体" w:hAnsi="宋体" w:cs="宋体"/>
          <w:color w:val="auto"/>
          <w:kern w:val="0"/>
          <w:sz w:val="20"/>
          <w:szCs w:val="20"/>
          <w:highlight w:val="none"/>
        </w:rPr>
      </w:pPr>
    </w:p>
    <w:p w14:paraId="435EDF9F">
      <w:pPr>
        <w:autoSpaceDE w:val="0"/>
        <w:autoSpaceDN w:val="0"/>
        <w:adjustRightInd w:val="0"/>
        <w:snapToGrid w:val="0"/>
        <w:spacing w:line="360" w:lineRule="auto"/>
        <w:jc w:val="left"/>
        <w:rPr>
          <w:rFonts w:ascii="宋体" w:hAnsi="宋体" w:cs="宋体"/>
          <w:color w:val="auto"/>
          <w:kern w:val="0"/>
          <w:sz w:val="20"/>
          <w:szCs w:val="20"/>
          <w:highlight w:val="none"/>
        </w:rPr>
      </w:pPr>
    </w:p>
    <w:p w14:paraId="71A73C97">
      <w:pPr>
        <w:autoSpaceDE w:val="0"/>
        <w:autoSpaceDN w:val="0"/>
        <w:adjustRightInd w:val="0"/>
        <w:snapToGrid w:val="0"/>
        <w:spacing w:line="360" w:lineRule="auto"/>
        <w:jc w:val="left"/>
        <w:rPr>
          <w:rFonts w:ascii="宋体" w:hAnsi="宋体" w:cs="宋体"/>
          <w:color w:val="auto"/>
          <w:kern w:val="0"/>
          <w:sz w:val="20"/>
          <w:szCs w:val="20"/>
          <w:highlight w:val="none"/>
        </w:rPr>
      </w:pPr>
    </w:p>
    <w:p w14:paraId="355F4333">
      <w:pPr>
        <w:tabs>
          <w:tab w:val="left" w:pos="6080"/>
          <w:tab w:val="left" w:pos="6640"/>
        </w:tabs>
        <w:autoSpaceDE w:val="0"/>
        <w:autoSpaceDN w:val="0"/>
        <w:adjustRightInd w:val="0"/>
        <w:snapToGrid w:val="0"/>
        <w:spacing w:line="360" w:lineRule="auto"/>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rPr>
        <w:t>竞选人</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（盖单位公章）</w:t>
      </w:r>
    </w:p>
    <w:p w14:paraId="477A0AA1">
      <w:pPr>
        <w:tabs>
          <w:tab w:val="left" w:pos="6080"/>
          <w:tab w:val="left" w:pos="6640"/>
        </w:tabs>
        <w:autoSpaceDE w:val="0"/>
        <w:autoSpaceDN w:val="0"/>
        <w:adjustRightInd w:val="0"/>
        <w:snapToGrid w:val="0"/>
        <w:spacing w:line="360" w:lineRule="auto"/>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（签字或盖章）</w:t>
      </w:r>
    </w:p>
    <w:p w14:paraId="014CF9CE">
      <w:pPr>
        <w:tabs>
          <w:tab w:val="left" w:pos="3280"/>
          <w:tab w:val="left" w:pos="4680"/>
          <w:tab w:val="left" w:pos="608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年</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月</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日</w:t>
      </w:r>
    </w:p>
    <w:p w14:paraId="79E77554">
      <w:pPr>
        <w:autoSpaceDE w:val="0"/>
        <w:autoSpaceDN w:val="0"/>
        <w:adjustRightInd w:val="0"/>
        <w:snapToGrid w:val="0"/>
        <w:spacing w:line="360" w:lineRule="auto"/>
        <w:jc w:val="left"/>
        <w:rPr>
          <w:rFonts w:ascii="宋体" w:hAnsi="宋体"/>
          <w:color w:val="auto"/>
          <w:kern w:val="0"/>
          <w:sz w:val="24"/>
          <w:szCs w:val="21"/>
          <w:highlight w:val="none"/>
        </w:rPr>
      </w:pPr>
    </w:p>
    <w:p w14:paraId="5296668F">
      <w:pPr>
        <w:rPr>
          <w:rFonts w:ascii="宋体" w:hAnsi="宋体"/>
          <w:color w:val="auto"/>
          <w:kern w:val="0"/>
          <w:sz w:val="36"/>
          <w:szCs w:val="36"/>
          <w:highlight w:val="none"/>
        </w:rPr>
      </w:pPr>
    </w:p>
    <w:p w14:paraId="72C9B21E">
      <w:pPr>
        <w:autoSpaceDE w:val="0"/>
        <w:autoSpaceDN w:val="0"/>
        <w:adjustRightInd w:val="0"/>
        <w:snapToGrid w:val="0"/>
        <w:spacing w:line="360" w:lineRule="auto"/>
        <w:jc w:val="center"/>
        <w:rPr>
          <w:rFonts w:ascii="宋体" w:hAnsi="宋体"/>
          <w:color w:val="auto"/>
          <w:kern w:val="0"/>
          <w:sz w:val="36"/>
          <w:szCs w:val="36"/>
          <w:highlight w:val="none"/>
        </w:rPr>
      </w:pPr>
    </w:p>
    <w:p w14:paraId="09714A99">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25AC53DB">
      <w:pPr>
        <w:autoSpaceDE w:val="0"/>
        <w:autoSpaceDN w:val="0"/>
        <w:adjustRightInd w:val="0"/>
        <w:snapToGrid w:val="0"/>
        <w:spacing w:line="360" w:lineRule="auto"/>
        <w:jc w:val="left"/>
        <w:rPr>
          <w:rFonts w:ascii="宋体" w:hAnsi="宋体"/>
          <w:color w:val="auto"/>
          <w:kern w:val="0"/>
          <w:sz w:val="32"/>
          <w:szCs w:val="32"/>
          <w:highlight w:val="none"/>
        </w:rPr>
      </w:pPr>
    </w:p>
    <w:p w14:paraId="4201F51E">
      <w:pPr>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[目录由</w:t>
      </w:r>
      <w:r>
        <w:rPr>
          <w:rFonts w:hint="eastAsia" w:ascii="宋体" w:hAnsi="宋体"/>
          <w:color w:val="auto"/>
          <w:kern w:val="0"/>
          <w:szCs w:val="21"/>
          <w:highlight w:val="none"/>
        </w:rPr>
        <w:t>竞选人</w:t>
      </w:r>
      <w:r>
        <w:rPr>
          <w:rFonts w:ascii="宋体" w:hAnsi="宋体"/>
          <w:color w:val="auto"/>
          <w:kern w:val="0"/>
          <w:szCs w:val="21"/>
          <w:highlight w:val="none"/>
        </w:rPr>
        <w:t>自行编制]</w:t>
      </w:r>
    </w:p>
    <w:p w14:paraId="5B0D6DB9">
      <w:pPr>
        <w:autoSpaceDE w:val="0"/>
        <w:autoSpaceDN w:val="0"/>
        <w:adjustRightInd w:val="0"/>
        <w:snapToGrid w:val="0"/>
        <w:spacing w:line="360" w:lineRule="auto"/>
        <w:jc w:val="left"/>
        <w:rPr>
          <w:rFonts w:ascii="宋体" w:hAnsi="宋体"/>
          <w:color w:val="auto"/>
          <w:kern w:val="0"/>
          <w:szCs w:val="21"/>
          <w:highlight w:val="none"/>
        </w:rPr>
      </w:pPr>
    </w:p>
    <w:p w14:paraId="5D9C053C">
      <w:pPr>
        <w:autoSpaceDE w:val="0"/>
        <w:autoSpaceDN w:val="0"/>
        <w:adjustRightInd w:val="0"/>
        <w:snapToGrid w:val="0"/>
        <w:spacing w:line="360" w:lineRule="auto"/>
        <w:jc w:val="left"/>
        <w:rPr>
          <w:rFonts w:ascii="宋体" w:hAnsi="宋体"/>
          <w:color w:val="auto"/>
          <w:kern w:val="0"/>
          <w:highlight w:val="none"/>
        </w:rPr>
      </w:pPr>
    </w:p>
    <w:p w14:paraId="1B47323D">
      <w:pPr>
        <w:autoSpaceDE w:val="0"/>
        <w:autoSpaceDN w:val="0"/>
        <w:adjustRightInd w:val="0"/>
        <w:snapToGrid w:val="0"/>
        <w:spacing w:line="360" w:lineRule="auto"/>
        <w:jc w:val="left"/>
        <w:rPr>
          <w:rFonts w:ascii="宋体" w:hAnsi="宋体"/>
          <w:color w:val="auto"/>
          <w:kern w:val="0"/>
          <w:highlight w:val="none"/>
        </w:rPr>
      </w:pPr>
    </w:p>
    <w:p w14:paraId="22D59098">
      <w:pPr>
        <w:autoSpaceDE w:val="0"/>
        <w:autoSpaceDN w:val="0"/>
        <w:adjustRightInd w:val="0"/>
        <w:snapToGrid w:val="0"/>
        <w:spacing w:line="360" w:lineRule="auto"/>
        <w:jc w:val="left"/>
        <w:rPr>
          <w:rFonts w:ascii="宋体" w:hAnsi="宋体"/>
          <w:color w:val="auto"/>
          <w:kern w:val="0"/>
          <w:highlight w:val="none"/>
        </w:rPr>
      </w:pPr>
    </w:p>
    <w:p w14:paraId="221492F4">
      <w:pPr>
        <w:autoSpaceDE w:val="0"/>
        <w:autoSpaceDN w:val="0"/>
        <w:adjustRightInd w:val="0"/>
        <w:snapToGrid w:val="0"/>
        <w:spacing w:line="360" w:lineRule="auto"/>
        <w:jc w:val="left"/>
        <w:rPr>
          <w:rFonts w:ascii="宋体" w:hAnsi="宋体"/>
          <w:color w:val="auto"/>
          <w:kern w:val="0"/>
          <w:highlight w:val="none"/>
        </w:rPr>
      </w:pPr>
    </w:p>
    <w:p w14:paraId="1D48C233">
      <w:pPr>
        <w:autoSpaceDE w:val="0"/>
        <w:autoSpaceDN w:val="0"/>
        <w:adjustRightInd w:val="0"/>
        <w:snapToGrid w:val="0"/>
        <w:spacing w:line="360" w:lineRule="auto"/>
        <w:jc w:val="left"/>
        <w:rPr>
          <w:rFonts w:ascii="宋体" w:hAnsi="宋体"/>
          <w:color w:val="auto"/>
          <w:kern w:val="0"/>
          <w:highlight w:val="none"/>
        </w:rPr>
      </w:pPr>
    </w:p>
    <w:p w14:paraId="0F06E840">
      <w:pPr>
        <w:autoSpaceDE w:val="0"/>
        <w:autoSpaceDN w:val="0"/>
        <w:adjustRightInd w:val="0"/>
        <w:snapToGrid w:val="0"/>
        <w:spacing w:line="360" w:lineRule="auto"/>
        <w:jc w:val="left"/>
        <w:rPr>
          <w:rFonts w:ascii="宋体" w:hAnsi="宋体"/>
          <w:color w:val="auto"/>
          <w:kern w:val="0"/>
          <w:highlight w:val="none"/>
        </w:rPr>
      </w:pPr>
    </w:p>
    <w:p w14:paraId="575BF7AA">
      <w:pPr>
        <w:autoSpaceDE w:val="0"/>
        <w:autoSpaceDN w:val="0"/>
        <w:adjustRightInd w:val="0"/>
        <w:snapToGrid w:val="0"/>
        <w:spacing w:line="360" w:lineRule="auto"/>
        <w:jc w:val="left"/>
        <w:rPr>
          <w:rFonts w:ascii="宋体" w:hAnsi="宋体"/>
          <w:color w:val="auto"/>
          <w:kern w:val="0"/>
          <w:highlight w:val="none"/>
        </w:rPr>
      </w:pPr>
    </w:p>
    <w:p w14:paraId="6BDE5CF0">
      <w:pPr>
        <w:autoSpaceDE w:val="0"/>
        <w:autoSpaceDN w:val="0"/>
        <w:adjustRightInd w:val="0"/>
        <w:snapToGrid w:val="0"/>
        <w:spacing w:line="360" w:lineRule="auto"/>
        <w:jc w:val="left"/>
        <w:rPr>
          <w:rFonts w:ascii="宋体" w:hAnsi="宋体"/>
          <w:color w:val="auto"/>
          <w:kern w:val="0"/>
          <w:highlight w:val="none"/>
        </w:rPr>
      </w:pPr>
    </w:p>
    <w:p w14:paraId="6DC2D2ED">
      <w:pPr>
        <w:rPr>
          <w:rFonts w:ascii="宋体" w:hAnsi="宋体"/>
          <w:color w:val="auto"/>
          <w:w w:val="99"/>
          <w:kern w:val="0"/>
          <w:sz w:val="28"/>
          <w:szCs w:val="28"/>
          <w:highlight w:val="none"/>
        </w:rPr>
      </w:pPr>
    </w:p>
    <w:p w14:paraId="0E249E68">
      <w:pPr>
        <w:spacing w:line="360" w:lineRule="auto"/>
        <w:jc w:val="center"/>
        <w:rPr>
          <w:rFonts w:ascii="宋体" w:hAnsi="宋体" w:cs="宋体"/>
          <w:color w:val="auto"/>
          <w:sz w:val="44"/>
          <w:szCs w:val="44"/>
          <w:highlight w:val="none"/>
        </w:rPr>
      </w:pPr>
      <w:bookmarkStart w:id="800" w:name="_Toc430530545"/>
      <w:bookmarkStart w:id="801" w:name="_Toc277082656"/>
      <w:bookmarkStart w:id="802" w:name="_Toc224103510"/>
      <w:bookmarkStart w:id="803" w:name="_Toc287620829"/>
      <w:bookmarkStart w:id="804" w:name="_Toc287607882"/>
      <w:bookmarkStart w:id="805" w:name="_Toc777"/>
      <w:bookmarkStart w:id="806" w:name="_Toc15368"/>
      <w:bookmarkStart w:id="807" w:name="_Toc30322"/>
    </w:p>
    <w:p w14:paraId="74C59B89">
      <w:pPr>
        <w:spacing w:line="360" w:lineRule="auto"/>
        <w:jc w:val="center"/>
        <w:rPr>
          <w:rFonts w:ascii="宋体" w:hAnsi="宋体" w:cs="宋体"/>
          <w:color w:val="auto"/>
          <w:sz w:val="44"/>
          <w:szCs w:val="44"/>
          <w:highlight w:val="none"/>
        </w:rPr>
      </w:pPr>
    </w:p>
    <w:p w14:paraId="3FAC3A11">
      <w:pPr>
        <w:spacing w:line="360" w:lineRule="auto"/>
        <w:jc w:val="center"/>
        <w:rPr>
          <w:rFonts w:ascii="宋体" w:hAnsi="宋体" w:cs="宋体"/>
          <w:color w:val="auto"/>
          <w:sz w:val="44"/>
          <w:szCs w:val="44"/>
          <w:highlight w:val="none"/>
        </w:rPr>
      </w:pPr>
    </w:p>
    <w:p w14:paraId="633A07C4">
      <w:pPr>
        <w:spacing w:line="360" w:lineRule="auto"/>
        <w:jc w:val="center"/>
        <w:rPr>
          <w:rFonts w:ascii="宋体" w:hAnsi="宋体" w:cs="宋体"/>
          <w:color w:val="auto"/>
          <w:sz w:val="44"/>
          <w:szCs w:val="44"/>
          <w:highlight w:val="none"/>
        </w:rPr>
      </w:pPr>
    </w:p>
    <w:p w14:paraId="190BC33B">
      <w:pPr>
        <w:spacing w:line="360" w:lineRule="auto"/>
        <w:jc w:val="center"/>
        <w:rPr>
          <w:rFonts w:ascii="宋体" w:hAnsi="宋体" w:cs="宋体"/>
          <w:color w:val="auto"/>
          <w:sz w:val="44"/>
          <w:szCs w:val="44"/>
          <w:highlight w:val="none"/>
        </w:rPr>
      </w:pPr>
    </w:p>
    <w:p w14:paraId="4E393FE7">
      <w:pPr>
        <w:pStyle w:val="14"/>
        <w:rPr>
          <w:rFonts w:ascii="宋体" w:hAnsi="宋体" w:cs="宋体"/>
          <w:color w:val="auto"/>
          <w:sz w:val="44"/>
          <w:szCs w:val="44"/>
          <w:highlight w:val="none"/>
        </w:rPr>
      </w:pPr>
    </w:p>
    <w:p w14:paraId="0CCC486D">
      <w:pPr>
        <w:rPr>
          <w:rFonts w:ascii="宋体" w:hAnsi="宋体" w:cs="宋体"/>
          <w:color w:val="auto"/>
          <w:sz w:val="44"/>
          <w:szCs w:val="44"/>
          <w:highlight w:val="none"/>
        </w:rPr>
      </w:pPr>
    </w:p>
    <w:p w14:paraId="1E909708">
      <w:pPr>
        <w:pStyle w:val="14"/>
        <w:rPr>
          <w:rFonts w:ascii="宋体" w:hAnsi="宋体" w:cs="宋体"/>
          <w:color w:val="auto"/>
          <w:sz w:val="44"/>
          <w:szCs w:val="44"/>
          <w:highlight w:val="none"/>
        </w:rPr>
      </w:pPr>
    </w:p>
    <w:p w14:paraId="261497C0">
      <w:pPr>
        <w:rPr>
          <w:rFonts w:ascii="宋体" w:hAnsi="宋体" w:cs="宋体"/>
          <w:color w:val="auto"/>
          <w:sz w:val="44"/>
          <w:szCs w:val="44"/>
          <w:highlight w:val="none"/>
        </w:rPr>
      </w:pPr>
    </w:p>
    <w:p w14:paraId="0BE1CDE4">
      <w:pPr>
        <w:pStyle w:val="14"/>
        <w:rPr>
          <w:rFonts w:ascii="宋体" w:hAnsi="宋体" w:cs="宋体"/>
          <w:color w:val="auto"/>
          <w:sz w:val="44"/>
          <w:szCs w:val="44"/>
          <w:highlight w:val="none"/>
        </w:rPr>
      </w:pPr>
    </w:p>
    <w:p w14:paraId="7F3BC02A">
      <w:pPr>
        <w:pStyle w:val="3"/>
        <w:spacing w:line="360" w:lineRule="auto"/>
        <w:jc w:val="center"/>
        <w:rPr>
          <w:rFonts w:ascii="宋体" w:hAnsi="宋体" w:cs="宋体"/>
          <w:b w:val="0"/>
          <w:bCs w:val="0"/>
          <w:color w:val="auto"/>
          <w:sz w:val="44"/>
          <w:szCs w:val="44"/>
          <w:highlight w:val="none"/>
        </w:rPr>
      </w:pPr>
      <w:r>
        <w:rPr>
          <w:rFonts w:hint="eastAsia" w:ascii="宋体" w:hAnsi="宋体" w:cs="宋体"/>
          <w:b w:val="0"/>
          <w:bCs w:val="0"/>
          <w:color w:val="auto"/>
          <w:sz w:val="44"/>
          <w:szCs w:val="44"/>
          <w:highlight w:val="none"/>
        </w:rPr>
        <w:t>三、</w:t>
      </w:r>
      <w:bookmarkEnd w:id="800"/>
      <w:bookmarkEnd w:id="801"/>
      <w:bookmarkEnd w:id="802"/>
      <w:bookmarkEnd w:id="803"/>
      <w:bookmarkEnd w:id="804"/>
      <w:r>
        <w:rPr>
          <w:rFonts w:hint="eastAsia" w:ascii="宋体" w:hAnsi="宋体" w:cs="宋体"/>
          <w:b w:val="0"/>
          <w:bCs w:val="0"/>
          <w:color w:val="auto"/>
          <w:sz w:val="44"/>
          <w:szCs w:val="44"/>
          <w:highlight w:val="none"/>
        </w:rPr>
        <w:t>资格审查部分</w:t>
      </w:r>
      <w:bookmarkEnd w:id="805"/>
      <w:bookmarkEnd w:id="806"/>
      <w:bookmarkEnd w:id="807"/>
    </w:p>
    <w:p w14:paraId="41B01A8E">
      <w:pPr>
        <w:adjustRightInd w:val="0"/>
        <w:snapToGrid w:val="0"/>
        <w:spacing w:line="360" w:lineRule="auto"/>
        <w:rPr>
          <w:rFonts w:ascii="宋体" w:hAnsi="宋体" w:cs="宋体"/>
          <w:color w:val="auto"/>
          <w:sz w:val="32"/>
          <w:szCs w:val="32"/>
          <w:highlight w:val="none"/>
        </w:rPr>
      </w:pPr>
    </w:p>
    <w:p w14:paraId="4EC35E7F">
      <w:pPr>
        <w:adjustRightInd w:val="0"/>
        <w:snapToGrid w:val="0"/>
        <w:spacing w:line="360" w:lineRule="auto"/>
        <w:rPr>
          <w:rFonts w:ascii="宋体" w:hAnsi="宋体" w:cs="宋体"/>
          <w:color w:val="auto"/>
          <w:sz w:val="32"/>
          <w:szCs w:val="32"/>
          <w:highlight w:val="none"/>
        </w:rPr>
      </w:pPr>
    </w:p>
    <w:p w14:paraId="6A5DAE41">
      <w:pPr>
        <w:spacing w:line="360" w:lineRule="auto"/>
        <w:rPr>
          <w:rFonts w:ascii="宋体" w:hAnsi="宋体" w:cs="宋体"/>
          <w:color w:val="auto"/>
          <w:sz w:val="32"/>
          <w:szCs w:val="32"/>
          <w:highlight w:val="none"/>
        </w:rPr>
      </w:pPr>
    </w:p>
    <w:p w14:paraId="690A4040">
      <w:pPr>
        <w:spacing w:line="360" w:lineRule="auto"/>
        <w:rPr>
          <w:rFonts w:ascii="宋体" w:hAnsi="宋体" w:cs="宋体"/>
          <w:color w:val="auto"/>
          <w:sz w:val="32"/>
          <w:szCs w:val="32"/>
          <w:highlight w:val="none"/>
        </w:rPr>
      </w:pPr>
    </w:p>
    <w:p w14:paraId="12E6D874">
      <w:pPr>
        <w:spacing w:line="360" w:lineRule="auto"/>
        <w:rPr>
          <w:rFonts w:ascii="宋体" w:hAnsi="宋体" w:cs="宋体"/>
          <w:color w:val="auto"/>
          <w:sz w:val="32"/>
          <w:szCs w:val="32"/>
          <w:highlight w:val="none"/>
        </w:rPr>
      </w:pPr>
    </w:p>
    <w:p w14:paraId="4A80ED03">
      <w:pPr>
        <w:spacing w:line="360" w:lineRule="auto"/>
        <w:rPr>
          <w:rFonts w:ascii="宋体" w:hAnsi="宋体" w:cs="宋体"/>
          <w:color w:val="auto"/>
          <w:sz w:val="32"/>
          <w:szCs w:val="32"/>
          <w:highlight w:val="none"/>
        </w:rPr>
      </w:pPr>
    </w:p>
    <w:p w14:paraId="0C691273">
      <w:pPr>
        <w:spacing w:line="360" w:lineRule="auto"/>
        <w:rPr>
          <w:rFonts w:ascii="宋体" w:hAnsi="宋体" w:cs="宋体"/>
          <w:color w:val="auto"/>
          <w:sz w:val="32"/>
          <w:szCs w:val="32"/>
          <w:highlight w:val="none"/>
        </w:rPr>
      </w:pPr>
    </w:p>
    <w:p w14:paraId="5A238BDE">
      <w:pPr>
        <w:spacing w:line="360" w:lineRule="auto"/>
        <w:rPr>
          <w:rFonts w:ascii="宋体" w:hAnsi="宋体" w:cs="宋体"/>
          <w:color w:val="auto"/>
          <w:sz w:val="32"/>
          <w:szCs w:val="32"/>
          <w:highlight w:val="none"/>
        </w:rPr>
      </w:pPr>
    </w:p>
    <w:p w14:paraId="29D073AB">
      <w:pPr>
        <w:spacing w:line="360" w:lineRule="auto"/>
        <w:rPr>
          <w:rFonts w:ascii="宋体" w:hAnsi="宋体" w:cs="宋体"/>
          <w:color w:val="auto"/>
          <w:sz w:val="32"/>
          <w:szCs w:val="32"/>
          <w:highlight w:val="none"/>
        </w:rPr>
      </w:pPr>
    </w:p>
    <w:p w14:paraId="1AD50271">
      <w:pPr>
        <w:spacing w:line="360" w:lineRule="auto"/>
        <w:rPr>
          <w:rFonts w:ascii="宋体" w:hAnsi="宋体" w:cs="宋体"/>
          <w:color w:val="auto"/>
          <w:sz w:val="32"/>
          <w:szCs w:val="32"/>
          <w:highlight w:val="none"/>
        </w:rPr>
      </w:pPr>
    </w:p>
    <w:p w14:paraId="30F2AA00">
      <w:pPr>
        <w:spacing w:line="360" w:lineRule="auto"/>
        <w:rPr>
          <w:rFonts w:ascii="宋体" w:hAnsi="宋体" w:cs="宋体"/>
          <w:color w:val="auto"/>
          <w:sz w:val="32"/>
          <w:szCs w:val="32"/>
          <w:highlight w:val="none"/>
        </w:rPr>
      </w:pPr>
    </w:p>
    <w:p w14:paraId="7A586D32">
      <w:pPr>
        <w:spacing w:line="360" w:lineRule="auto"/>
        <w:rPr>
          <w:rFonts w:ascii="宋体" w:hAnsi="宋体" w:cs="宋体"/>
          <w:color w:val="auto"/>
          <w:sz w:val="32"/>
          <w:szCs w:val="32"/>
          <w:highlight w:val="none"/>
        </w:rPr>
      </w:pPr>
    </w:p>
    <w:p w14:paraId="2858E965">
      <w:pPr>
        <w:spacing w:line="360" w:lineRule="auto"/>
        <w:jc w:val="center"/>
        <w:rPr>
          <w:rFonts w:ascii="宋体" w:hAnsi="宋体" w:cs="宋体"/>
          <w:color w:val="auto"/>
          <w:kern w:val="0"/>
          <w:sz w:val="32"/>
          <w:szCs w:val="32"/>
          <w:highlight w:val="none"/>
          <w:u w:val="single"/>
        </w:rPr>
      </w:pPr>
    </w:p>
    <w:p w14:paraId="61B647C5">
      <w:pPr>
        <w:spacing w:line="360" w:lineRule="auto"/>
        <w:jc w:val="center"/>
        <w:rPr>
          <w:rFonts w:ascii="宋体" w:hAnsi="宋体" w:cs="宋体"/>
          <w:color w:val="auto"/>
          <w:kern w:val="0"/>
          <w:sz w:val="32"/>
          <w:szCs w:val="32"/>
          <w:highlight w:val="none"/>
          <w:u w:val="single"/>
        </w:rPr>
      </w:pPr>
    </w:p>
    <w:p w14:paraId="09557FC4">
      <w:pPr>
        <w:spacing w:line="360" w:lineRule="auto"/>
        <w:jc w:val="center"/>
        <w:rPr>
          <w:rFonts w:ascii="宋体" w:hAnsi="宋体" w:cs="宋体"/>
          <w:color w:val="auto"/>
          <w:kern w:val="0"/>
          <w:sz w:val="32"/>
          <w:szCs w:val="32"/>
          <w:highlight w:val="none"/>
          <w:u w:val="single"/>
        </w:rPr>
      </w:pPr>
    </w:p>
    <w:p w14:paraId="60BA1C77">
      <w:pPr>
        <w:spacing w:line="360" w:lineRule="auto"/>
        <w:jc w:val="center"/>
        <w:rPr>
          <w:rFonts w:ascii="宋体" w:hAnsi="宋体" w:cs="宋体"/>
          <w:color w:val="auto"/>
          <w:kern w:val="0"/>
          <w:sz w:val="32"/>
          <w:szCs w:val="32"/>
          <w:highlight w:val="none"/>
          <w:u w:val="single"/>
        </w:rPr>
      </w:pPr>
    </w:p>
    <w:p w14:paraId="27539FDF">
      <w:pPr>
        <w:spacing w:line="360" w:lineRule="auto"/>
        <w:jc w:val="center"/>
        <w:rPr>
          <w:rFonts w:ascii="宋体" w:hAnsi="宋体" w:cs="宋体"/>
          <w:color w:val="auto"/>
          <w:kern w:val="0"/>
          <w:sz w:val="32"/>
          <w:szCs w:val="32"/>
          <w:highlight w:val="none"/>
          <w:u w:val="single"/>
        </w:rPr>
      </w:pPr>
    </w:p>
    <w:p w14:paraId="48B430DE">
      <w:pPr>
        <w:spacing w:line="360" w:lineRule="auto"/>
        <w:jc w:val="center"/>
        <w:rPr>
          <w:rFonts w:ascii="宋体" w:hAnsi="宋体" w:cs="宋体"/>
          <w:color w:val="auto"/>
          <w:kern w:val="0"/>
          <w:sz w:val="32"/>
          <w:szCs w:val="32"/>
          <w:highlight w:val="none"/>
          <w:u w:val="single"/>
        </w:rPr>
      </w:pPr>
    </w:p>
    <w:p w14:paraId="61F80387">
      <w:pPr>
        <w:spacing w:line="360" w:lineRule="auto"/>
        <w:jc w:val="center"/>
        <w:rPr>
          <w:rFonts w:ascii="宋体" w:hAnsi="宋体" w:cs="宋体"/>
          <w:color w:val="auto"/>
          <w:kern w:val="0"/>
          <w:sz w:val="32"/>
          <w:szCs w:val="32"/>
          <w:highlight w:val="none"/>
          <w:u w:val="single"/>
        </w:rPr>
      </w:pPr>
    </w:p>
    <w:p w14:paraId="43ED705B">
      <w:pPr>
        <w:pStyle w:val="14"/>
        <w:rPr>
          <w:rFonts w:ascii="宋体" w:hAnsi="宋体" w:cs="宋体"/>
          <w:color w:val="auto"/>
          <w:kern w:val="0"/>
          <w:sz w:val="32"/>
          <w:szCs w:val="32"/>
          <w:highlight w:val="none"/>
          <w:u w:val="single"/>
        </w:rPr>
      </w:pPr>
    </w:p>
    <w:p w14:paraId="61127A98">
      <w:pPr>
        <w:rPr>
          <w:rFonts w:ascii="宋体" w:hAnsi="宋体" w:cs="宋体"/>
          <w:color w:val="auto"/>
          <w:kern w:val="0"/>
          <w:sz w:val="32"/>
          <w:szCs w:val="32"/>
          <w:highlight w:val="none"/>
          <w:u w:val="single"/>
        </w:rPr>
      </w:pPr>
    </w:p>
    <w:p w14:paraId="62199AC8">
      <w:pPr>
        <w:pStyle w:val="14"/>
        <w:rPr>
          <w:color w:val="auto"/>
          <w:highlight w:val="none"/>
        </w:rPr>
      </w:pPr>
    </w:p>
    <w:p w14:paraId="2FDCC43C">
      <w:pPr>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（项目名称）</w:t>
      </w:r>
    </w:p>
    <w:p w14:paraId="7B548016">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718B7E86">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2105402E">
      <w:pPr>
        <w:tabs>
          <w:tab w:val="left" w:pos="3600"/>
          <w:tab w:val="left" w:pos="4480"/>
          <w:tab w:val="left" w:pos="5360"/>
        </w:tabs>
        <w:autoSpaceDE w:val="0"/>
        <w:autoSpaceDN w:val="0"/>
        <w:adjustRightInd w:val="0"/>
        <w:snapToGrid w:val="0"/>
        <w:spacing w:line="360" w:lineRule="auto"/>
        <w:jc w:val="left"/>
        <w:rPr>
          <w:rFonts w:ascii="宋体" w:hAnsi="宋体" w:cs="宋体"/>
          <w:color w:val="auto"/>
          <w:kern w:val="0"/>
          <w:sz w:val="44"/>
          <w:szCs w:val="44"/>
          <w:highlight w:val="none"/>
        </w:rPr>
      </w:pPr>
    </w:p>
    <w:p w14:paraId="61499131">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72"/>
          <w:szCs w:val="72"/>
          <w:highlight w:val="none"/>
        </w:rPr>
      </w:pPr>
    </w:p>
    <w:p w14:paraId="34B2F12D">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72"/>
          <w:szCs w:val="72"/>
          <w:highlight w:val="none"/>
        </w:rPr>
      </w:pPr>
      <w:r>
        <w:rPr>
          <w:rFonts w:hint="eastAsia" w:ascii="宋体" w:hAnsi="宋体" w:cs="宋体"/>
          <w:color w:val="auto"/>
          <w:kern w:val="0"/>
          <w:sz w:val="72"/>
          <w:szCs w:val="72"/>
          <w:highlight w:val="none"/>
        </w:rPr>
        <w:t>竞 选 文 件</w:t>
      </w:r>
    </w:p>
    <w:p w14:paraId="455C45C0">
      <w:pPr>
        <w:autoSpaceDE w:val="0"/>
        <w:autoSpaceDN w:val="0"/>
        <w:adjustRightInd w:val="0"/>
        <w:snapToGrid w:val="0"/>
        <w:spacing w:line="360" w:lineRule="auto"/>
        <w:jc w:val="left"/>
        <w:rPr>
          <w:rFonts w:ascii="宋体" w:hAnsi="宋体" w:cs="宋体"/>
          <w:color w:val="auto"/>
          <w:kern w:val="0"/>
          <w:sz w:val="16"/>
          <w:szCs w:val="16"/>
          <w:highlight w:val="none"/>
        </w:rPr>
      </w:pPr>
    </w:p>
    <w:p w14:paraId="6577979A">
      <w:pPr>
        <w:autoSpaceDE w:val="0"/>
        <w:autoSpaceDN w:val="0"/>
        <w:adjustRightInd w:val="0"/>
        <w:snapToGrid w:val="0"/>
        <w:spacing w:line="360" w:lineRule="auto"/>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资格审查部分</w:t>
      </w:r>
    </w:p>
    <w:p w14:paraId="7D21918F">
      <w:pPr>
        <w:autoSpaceDE w:val="0"/>
        <w:autoSpaceDN w:val="0"/>
        <w:adjustRightInd w:val="0"/>
        <w:snapToGrid w:val="0"/>
        <w:spacing w:line="360" w:lineRule="auto"/>
        <w:jc w:val="left"/>
        <w:rPr>
          <w:rFonts w:ascii="宋体" w:hAnsi="宋体" w:cs="宋体"/>
          <w:color w:val="auto"/>
          <w:kern w:val="0"/>
          <w:sz w:val="20"/>
          <w:szCs w:val="20"/>
          <w:highlight w:val="none"/>
        </w:rPr>
      </w:pPr>
    </w:p>
    <w:p w14:paraId="36C24BD9">
      <w:pPr>
        <w:adjustRightInd w:val="0"/>
        <w:snapToGrid w:val="0"/>
        <w:spacing w:line="360" w:lineRule="auto"/>
        <w:rPr>
          <w:rFonts w:ascii="宋体" w:hAnsi="宋体" w:cs="宋体"/>
          <w:color w:val="auto"/>
          <w:szCs w:val="21"/>
          <w:highlight w:val="none"/>
        </w:rPr>
      </w:pPr>
    </w:p>
    <w:p w14:paraId="2BC9D747">
      <w:pPr>
        <w:autoSpaceDE w:val="0"/>
        <w:autoSpaceDN w:val="0"/>
        <w:adjustRightInd w:val="0"/>
        <w:snapToGrid w:val="0"/>
        <w:spacing w:line="360" w:lineRule="auto"/>
        <w:jc w:val="left"/>
        <w:rPr>
          <w:rFonts w:ascii="宋体" w:hAnsi="宋体" w:cs="宋体"/>
          <w:color w:val="auto"/>
          <w:kern w:val="0"/>
          <w:sz w:val="20"/>
          <w:szCs w:val="20"/>
          <w:highlight w:val="none"/>
        </w:rPr>
      </w:pPr>
    </w:p>
    <w:p w14:paraId="4CE45A1A">
      <w:pPr>
        <w:autoSpaceDE w:val="0"/>
        <w:autoSpaceDN w:val="0"/>
        <w:adjustRightInd w:val="0"/>
        <w:snapToGrid w:val="0"/>
        <w:spacing w:line="360" w:lineRule="auto"/>
        <w:jc w:val="left"/>
        <w:rPr>
          <w:rFonts w:ascii="宋体" w:hAnsi="宋体" w:cs="宋体"/>
          <w:color w:val="auto"/>
          <w:kern w:val="0"/>
          <w:sz w:val="20"/>
          <w:szCs w:val="20"/>
          <w:highlight w:val="none"/>
        </w:rPr>
      </w:pPr>
    </w:p>
    <w:p w14:paraId="1975AD95">
      <w:pPr>
        <w:autoSpaceDE w:val="0"/>
        <w:autoSpaceDN w:val="0"/>
        <w:adjustRightInd w:val="0"/>
        <w:snapToGrid w:val="0"/>
        <w:spacing w:line="360" w:lineRule="auto"/>
        <w:jc w:val="left"/>
        <w:rPr>
          <w:rFonts w:ascii="宋体" w:hAnsi="宋体" w:cs="宋体"/>
          <w:color w:val="auto"/>
          <w:kern w:val="0"/>
          <w:sz w:val="20"/>
          <w:szCs w:val="20"/>
          <w:highlight w:val="none"/>
        </w:rPr>
      </w:pPr>
    </w:p>
    <w:p w14:paraId="471A2FA2">
      <w:pPr>
        <w:autoSpaceDE w:val="0"/>
        <w:autoSpaceDN w:val="0"/>
        <w:adjustRightInd w:val="0"/>
        <w:snapToGrid w:val="0"/>
        <w:spacing w:line="360" w:lineRule="auto"/>
        <w:jc w:val="left"/>
        <w:rPr>
          <w:rFonts w:ascii="宋体" w:hAnsi="宋体" w:cs="宋体"/>
          <w:color w:val="auto"/>
          <w:kern w:val="0"/>
          <w:sz w:val="20"/>
          <w:szCs w:val="20"/>
          <w:highlight w:val="none"/>
        </w:rPr>
      </w:pPr>
    </w:p>
    <w:p w14:paraId="057CC830">
      <w:pPr>
        <w:autoSpaceDE w:val="0"/>
        <w:autoSpaceDN w:val="0"/>
        <w:adjustRightInd w:val="0"/>
        <w:snapToGrid w:val="0"/>
        <w:spacing w:line="360" w:lineRule="auto"/>
        <w:jc w:val="left"/>
        <w:rPr>
          <w:rFonts w:ascii="宋体" w:hAnsi="宋体" w:cs="宋体"/>
          <w:color w:val="auto"/>
          <w:kern w:val="0"/>
          <w:sz w:val="20"/>
          <w:szCs w:val="20"/>
          <w:highlight w:val="none"/>
        </w:rPr>
      </w:pPr>
    </w:p>
    <w:p w14:paraId="487BC5C8">
      <w:pPr>
        <w:autoSpaceDE w:val="0"/>
        <w:autoSpaceDN w:val="0"/>
        <w:adjustRightInd w:val="0"/>
        <w:snapToGrid w:val="0"/>
        <w:spacing w:line="360" w:lineRule="auto"/>
        <w:jc w:val="left"/>
        <w:rPr>
          <w:rFonts w:ascii="宋体" w:hAnsi="宋体" w:cs="宋体"/>
          <w:color w:val="auto"/>
          <w:kern w:val="0"/>
          <w:sz w:val="20"/>
          <w:szCs w:val="20"/>
          <w:highlight w:val="none"/>
        </w:rPr>
      </w:pPr>
    </w:p>
    <w:p w14:paraId="7FEDE3D3">
      <w:pPr>
        <w:autoSpaceDE w:val="0"/>
        <w:autoSpaceDN w:val="0"/>
        <w:adjustRightInd w:val="0"/>
        <w:snapToGrid w:val="0"/>
        <w:spacing w:line="360" w:lineRule="auto"/>
        <w:jc w:val="left"/>
        <w:rPr>
          <w:rFonts w:ascii="宋体" w:hAnsi="宋体" w:cs="宋体"/>
          <w:color w:val="auto"/>
          <w:kern w:val="0"/>
          <w:sz w:val="20"/>
          <w:szCs w:val="20"/>
          <w:highlight w:val="none"/>
        </w:rPr>
      </w:pPr>
    </w:p>
    <w:p w14:paraId="0E485680">
      <w:pPr>
        <w:autoSpaceDE w:val="0"/>
        <w:autoSpaceDN w:val="0"/>
        <w:adjustRightInd w:val="0"/>
        <w:snapToGrid w:val="0"/>
        <w:spacing w:line="360" w:lineRule="auto"/>
        <w:jc w:val="left"/>
        <w:rPr>
          <w:rFonts w:ascii="宋体" w:hAnsi="宋体" w:cs="宋体"/>
          <w:color w:val="auto"/>
          <w:kern w:val="0"/>
          <w:sz w:val="20"/>
          <w:szCs w:val="20"/>
          <w:highlight w:val="none"/>
        </w:rPr>
      </w:pPr>
    </w:p>
    <w:p w14:paraId="097B62F6">
      <w:pPr>
        <w:autoSpaceDE w:val="0"/>
        <w:autoSpaceDN w:val="0"/>
        <w:adjustRightInd w:val="0"/>
        <w:snapToGrid w:val="0"/>
        <w:spacing w:line="360" w:lineRule="auto"/>
        <w:jc w:val="left"/>
        <w:rPr>
          <w:rFonts w:ascii="宋体" w:hAnsi="宋体" w:cs="宋体"/>
          <w:color w:val="auto"/>
          <w:kern w:val="0"/>
          <w:sz w:val="20"/>
          <w:szCs w:val="20"/>
          <w:highlight w:val="none"/>
        </w:rPr>
      </w:pPr>
    </w:p>
    <w:p w14:paraId="3A5C1AEC">
      <w:pPr>
        <w:autoSpaceDE w:val="0"/>
        <w:autoSpaceDN w:val="0"/>
        <w:adjustRightInd w:val="0"/>
        <w:snapToGrid w:val="0"/>
        <w:spacing w:line="360" w:lineRule="auto"/>
        <w:jc w:val="left"/>
        <w:rPr>
          <w:rFonts w:ascii="宋体" w:hAnsi="宋体" w:cs="宋体"/>
          <w:color w:val="auto"/>
          <w:kern w:val="0"/>
          <w:sz w:val="20"/>
          <w:szCs w:val="20"/>
          <w:highlight w:val="none"/>
        </w:rPr>
      </w:pPr>
    </w:p>
    <w:p w14:paraId="6AA8E591">
      <w:pPr>
        <w:tabs>
          <w:tab w:val="left" w:pos="6080"/>
          <w:tab w:val="left" w:pos="6640"/>
        </w:tabs>
        <w:autoSpaceDE w:val="0"/>
        <w:autoSpaceDN w:val="0"/>
        <w:adjustRightInd w:val="0"/>
        <w:snapToGrid w:val="0"/>
        <w:spacing w:line="360" w:lineRule="auto"/>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rPr>
        <w:t>竞选人</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（盖单位公章）</w:t>
      </w:r>
    </w:p>
    <w:p w14:paraId="77BF550D">
      <w:pPr>
        <w:tabs>
          <w:tab w:val="left" w:pos="6080"/>
          <w:tab w:val="left" w:pos="6640"/>
        </w:tabs>
        <w:autoSpaceDE w:val="0"/>
        <w:autoSpaceDN w:val="0"/>
        <w:adjustRightInd w:val="0"/>
        <w:snapToGrid w:val="0"/>
        <w:spacing w:line="360" w:lineRule="auto"/>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（签字或盖章）</w:t>
      </w:r>
    </w:p>
    <w:p w14:paraId="3FBBED50">
      <w:pPr>
        <w:tabs>
          <w:tab w:val="left" w:pos="3280"/>
          <w:tab w:val="left" w:pos="4680"/>
          <w:tab w:val="left" w:pos="6080"/>
        </w:tabs>
        <w:autoSpaceDE w:val="0"/>
        <w:autoSpaceDN w:val="0"/>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年</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月</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日</w:t>
      </w:r>
    </w:p>
    <w:p w14:paraId="3D87AE96">
      <w:pP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br w:type="page"/>
      </w:r>
    </w:p>
    <w:p w14:paraId="50D48526">
      <w:pPr>
        <w:autoSpaceDE w:val="0"/>
        <w:autoSpaceDN w:val="0"/>
        <w:adjustRightInd w:val="0"/>
        <w:snapToGrid w:val="0"/>
        <w:spacing w:line="360" w:lineRule="auto"/>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目  录</w:t>
      </w:r>
    </w:p>
    <w:p w14:paraId="66569DAB">
      <w:pPr>
        <w:spacing w:line="360" w:lineRule="auto"/>
        <w:jc w:val="center"/>
        <w:rPr>
          <w:rFonts w:ascii="宋体" w:hAnsi="宋体" w:cs="宋体"/>
          <w:b/>
          <w:color w:val="auto"/>
          <w:kern w:val="0"/>
          <w:sz w:val="32"/>
          <w:szCs w:val="32"/>
          <w:highlight w:val="none"/>
        </w:rPr>
      </w:pPr>
    </w:p>
    <w:p w14:paraId="2BFEACE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（一）法定代表人身份证明及授权委托书</w:t>
      </w:r>
    </w:p>
    <w:p w14:paraId="282007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（二）竞选人基本情况表</w:t>
      </w:r>
    </w:p>
    <w:p w14:paraId="4D8E27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三</w:t>
      </w:r>
      <w:r>
        <w:rPr>
          <w:rFonts w:hint="eastAsia" w:ascii="宋体" w:hAnsi="宋体" w:cs="宋体"/>
          <w:color w:val="auto"/>
          <w:highlight w:val="none"/>
        </w:rPr>
        <w:t>）主要人员简历表</w:t>
      </w:r>
    </w:p>
    <w:p w14:paraId="362482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）其他资料</w:t>
      </w:r>
    </w:p>
    <w:p w14:paraId="18A3C2C2">
      <w:pPr>
        <w:spacing w:line="360" w:lineRule="auto"/>
        <w:jc w:val="center"/>
        <w:rPr>
          <w:rFonts w:ascii="宋体" w:hAnsi="宋体" w:cs="宋体"/>
          <w:b/>
          <w:color w:val="auto"/>
          <w:kern w:val="0"/>
          <w:sz w:val="32"/>
          <w:szCs w:val="32"/>
          <w:highlight w:val="none"/>
        </w:rPr>
      </w:pPr>
    </w:p>
    <w:p w14:paraId="0CB2670F">
      <w:pPr>
        <w:spacing w:line="360" w:lineRule="auto"/>
        <w:jc w:val="center"/>
        <w:rPr>
          <w:rFonts w:ascii="宋体" w:hAnsi="宋体" w:cs="宋体"/>
          <w:b/>
          <w:color w:val="auto"/>
          <w:kern w:val="0"/>
          <w:sz w:val="32"/>
          <w:szCs w:val="32"/>
          <w:highlight w:val="none"/>
        </w:rPr>
      </w:pPr>
    </w:p>
    <w:p w14:paraId="75F7A2ED">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44A7A2BF">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1991FBFF">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499E4D6F">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6F9C058A">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104C3C4C">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35F0ED94">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74FD3D1F">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725FAA68">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66520E46">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5CC8F2F2">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2E1F8733">
      <w:pPr>
        <w:tabs>
          <w:tab w:val="left" w:pos="7140"/>
          <w:tab w:val="left" w:pos="7560"/>
          <w:tab w:val="left" w:pos="8300"/>
        </w:tabs>
        <w:autoSpaceDE w:val="0"/>
        <w:autoSpaceDN w:val="0"/>
        <w:adjustRightInd w:val="0"/>
        <w:spacing w:line="360" w:lineRule="auto"/>
        <w:ind w:right="210"/>
        <w:jc w:val="center"/>
        <w:rPr>
          <w:rFonts w:ascii="宋体" w:hAnsi="宋体" w:cs="宋体"/>
          <w:snapToGrid w:val="0"/>
          <w:color w:val="auto"/>
          <w:kern w:val="0"/>
          <w:sz w:val="32"/>
          <w:szCs w:val="32"/>
          <w:highlight w:val="none"/>
        </w:rPr>
      </w:pPr>
    </w:p>
    <w:p w14:paraId="05D417FF">
      <w:pPr>
        <w:rPr>
          <w:rFonts w:hint="eastAsia" w:ascii="宋体" w:hAnsi="宋体" w:cs="宋体"/>
          <w:snapToGrid w:val="0"/>
          <w:color w:val="auto"/>
          <w:kern w:val="0"/>
          <w:sz w:val="32"/>
          <w:szCs w:val="32"/>
          <w:highlight w:val="none"/>
        </w:rPr>
      </w:pPr>
      <w:r>
        <w:rPr>
          <w:rFonts w:hint="eastAsia" w:ascii="宋体" w:hAnsi="宋体" w:cs="宋体"/>
          <w:snapToGrid w:val="0"/>
          <w:color w:val="auto"/>
          <w:kern w:val="0"/>
          <w:sz w:val="32"/>
          <w:szCs w:val="32"/>
          <w:highlight w:val="none"/>
        </w:rPr>
        <w:br w:type="page"/>
      </w:r>
    </w:p>
    <w:p w14:paraId="4B6CF591">
      <w:pPr>
        <w:tabs>
          <w:tab w:val="left" w:pos="8300"/>
        </w:tabs>
        <w:autoSpaceDE w:val="0"/>
        <w:autoSpaceDN w:val="0"/>
        <w:adjustRightInd w:val="0"/>
        <w:spacing w:line="400" w:lineRule="exact"/>
        <w:rPr>
          <w:rFonts w:ascii="宋体" w:hAnsi="宋体"/>
          <w:snapToGrid w:val="0"/>
          <w:color w:val="auto"/>
          <w:kern w:val="0"/>
          <w:sz w:val="30"/>
          <w:szCs w:val="30"/>
          <w:highlight w:val="none"/>
        </w:rPr>
      </w:pPr>
      <w:r>
        <w:rPr>
          <w:rFonts w:hint="eastAsia" w:ascii="宋体" w:hAnsi="宋体" w:cs="宋体"/>
          <w:snapToGrid w:val="0"/>
          <w:color w:val="auto"/>
          <w:kern w:val="0"/>
          <w:sz w:val="32"/>
          <w:szCs w:val="32"/>
          <w:highlight w:val="none"/>
        </w:rPr>
        <w:t>（一）</w:t>
      </w:r>
      <w:r>
        <w:rPr>
          <w:rFonts w:hint="eastAsia"/>
          <w:color w:val="auto"/>
          <w:sz w:val="30"/>
          <w:szCs w:val="30"/>
          <w:highlight w:val="none"/>
        </w:rPr>
        <w:t>法定代表人身份证明或附有法定代表人身份证明的授权委托书</w:t>
      </w:r>
    </w:p>
    <w:p w14:paraId="3727CF1F">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5F26DF35">
      <w:pPr>
        <w:spacing w:line="480" w:lineRule="auto"/>
        <w:jc w:val="center"/>
        <w:rPr>
          <w:rFonts w:ascii="宋体" w:hAnsi="宋体"/>
          <w:color w:val="auto"/>
          <w:highlight w:val="none"/>
        </w:rPr>
      </w:pPr>
    </w:p>
    <w:p w14:paraId="143549E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19C2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03C47C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C671F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507FBE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1DEB9B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5BF957D5">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6DE4BD3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1AF495E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D8FDE77">
      <w:pPr>
        <w:pStyle w:val="7"/>
        <w:spacing w:after="0" w:line="360" w:lineRule="auto"/>
        <w:rPr>
          <w:rFonts w:ascii="宋体" w:hAnsi="宋体"/>
          <w:color w:val="auto"/>
          <w:szCs w:val="21"/>
          <w:highlight w:val="none"/>
        </w:rPr>
      </w:pPr>
    </w:p>
    <w:p w14:paraId="16AEF41C">
      <w:pPr>
        <w:pStyle w:val="7"/>
        <w:spacing w:after="0" w:line="360" w:lineRule="auto"/>
        <w:rPr>
          <w:rFonts w:ascii="宋体" w:hAnsi="宋体"/>
          <w:color w:val="auto"/>
          <w:szCs w:val="21"/>
          <w:highlight w:val="none"/>
        </w:rPr>
      </w:pPr>
    </w:p>
    <w:p w14:paraId="7E2FCE0D">
      <w:pPr>
        <w:pStyle w:val="7"/>
        <w:spacing w:after="0" w:line="360" w:lineRule="auto"/>
        <w:rPr>
          <w:rFonts w:ascii="宋体" w:hAnsi="宋体"/>
          <w:color w:val="auto"/>
          <w:szCs w:val="21"/>
          <w:highlight w:val="none"/>
        </w:rPr>
      </w:pPr>
    </w:p>
    <w:p w14:paraId="6DBDF4A9">
      <w:pPr>
        <w:pStyle w:val="7"/>
        <w:spacing w:after="0" w:line="360" w:lineRule="auto"/>
        <w:rPr>
          <w:rFonts w:ascii="宋体" w:hAnsi="宋体"/>
          <w:color w:val="auto"/>
          <w:szCs w:val="21"/>
          <w:highlight w:val="none"/>
        </w:rPr>
      </w:pPr>
    </w:p>
    <w:p w14:paraId="1FE58B8F">
      <w:pPr>
        <w:pStyle w:val="7"/>
        <w:spacing w:after="0" w:line="360" w:lineRule="auto"/>
        <w:rPr>
          <w:rFonts w:ascii="宋体" w:hAnsi="宋体"/>
          <w:color w:val="auto"/>
          <w:szCs w:val="21"/>
          <w:highlight w:val="none"/>
        </w:rPr>
      </w:pPr>
    </w:p>
    <w:p w14:paraId="4987F193">
      <w:pPr>
        <w:pStyle w:val="7"/>
        <w:spacing w:after="0" w:line="360" w:lineRule="auto"/>
        <w:rPr>
          <w:rFonts w:ascii="宋体" w:hAnsi="宋体"/>
          <w:color w:val="auto"/>
          <w:szCs w:val="21"/>
          <w:highlight w:val="none"/>
        </w:rPr>
      </w:pPr>
    </w:p>
    <w:p w14:paraId="34F8F9FA">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1BE6CF9">
      <w:pPr>
        <w:autoSpaceDE w:val="0"/>
        <w:autoSpaceDN w:val="0"/>
        <w:adjustRightInd w:val="0"/>
        <w:snapToGrid w:val="0"/>
        <w:spacing w:line="480" w:lineRule="auto"/>
        <w:jc w:val="left"/>
        <w:rPr>
          <w:rFonts w:ascii="宋体" w:hAnsi="宋体"/>
          <w:color w:val="auto"/>
          <w:kern w:val="0"/>
          <w:sz w:val="20"/>
          <w:szCs w:val="20"/>
          <w:highlight w:val="none"/>
        </w:rPr>
      </w:pPr>
    </w:p>
    <w:p w14:paraId="2012055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5B1A72F8">
      <w:pPr>
        <w:autoSpaceDE w:val="0"/>
        <w:autoSpaceDN w:val="0"/>
        <w:adjustRightInd w:val="0"/>
        <w:snapToGrid w:val="0"/>
        <w:spacing w:line="360" w:lineRule="auto"/>
        <w:jc w:val="left"/>
        <w:rPr>
          <w:rFonts w:ascii="宋体" w:hAnsi="宋体"/>
          <w:color w:val="auto"/>
          <w:kern w:val="0"/>
          <w:highlight w:val="none"/>
        </w:rPr>
      </w:pPr>
    </w:p>
    <w:p w14:paraId="4175015B">
      <w:pPr>
        <w:autoSpaceDE w:val="0"/>
        <w:autoSpaceDN w:val="0"/>
        <w:adjustRightInd w:val="0"/>
        <w:snapToGrid w:val="0"/>
        <w:spacing w:line="360" w:lineRule="auto"/>
        <w:jc w:val="left"/>
        <w:rPr>
          <w:rFonts w:ascii="宋体" w:hAnsi="宋体"/>
          <w:color w:val="auto"/>
          <w:kern w:val="0"/>
          <w:highlight w:val="none"/>
        </w:rPr>
      </w:pPr>
    </w:p>
    <w:p w14:paraId="3C155C5F">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32BA6660">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93BD2F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27C7BA4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BD9F1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E9E7A3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DA59F1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960AE5">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2E54C6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C35576F">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F37A689">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88FED54">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03DF411B">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w:t>
      </w:r>
    </w:p>
    <w:p w14:paraId="0CB2F61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511B53D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D8A658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DEAC9C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22BF2D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270DA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63EB6D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8D7335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840AA9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0EDB6AA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21EF87C3">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5DF45B2D">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0B8CEE66">
      <w:pPr>
        <w:spacing w:line="360" w:lineRule="auto"/>
        <w:ind w:firstLine="420" w:firstLineChars="200"/>
        <w:jc w:val="left"/>
        <w:rPr>
          <w:rFonts w:ascii="宋体" w:hAnsi="宋体" w:cs="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1232C7F">
      <w:pPr>
        <w:autoSpaceDE w:val="0"/>
        <w:autoSpaceDN w:val="0"/>
        <w:adjustRightInd w:val="0"/>
        <w:snapToGrid w:val="0"/>
        <w:spacing w:line="360" w:lineRule="auto"/>
        <w:jc w:val="center"/>
        <w:outlineLvl w:val="2"/>
        <w:rPr>
          <w:rFonts w:ascii="宋体" w:hAnsi="宋体" w:cs="宋体"/>
          <w:snapToGrid w:val="0"/>
          <w:color w:val="auto"/>
          <w:kern w:val="0"/>
          <w:sz w:val="32"/>
          <w:szCs w:val="32"/>
          <w:highlight w:val="none"/>
        </w:rPr>
      </w:pPr>
      <w:bookmarkStart w:id="808" w:name="_Toc277082659"/>
      <w:bookmarkStart w:id="809" w:name="_Toc287607887"/>
      <w:r>
        <w:rPr>
          <w:rFonts w:hint="eastAsia" w:ascii="宋体" w:hAnsi="宋体" w:cs="宋体"/>
          <w:snapToGrid w:val="0"/>
          <w:color w:val="auto"/>
          <w:kern w:val="0"/>
          <w:sz w:val="32"/>
          <w:szCs w:val="32"/>
          <w:highlight w:val="none"/>
        </w:rPr>
        <w:t>（二）竞选人基本情况表</w:t>
      </w:r>
    </w:p>
    <w:tbl>
      <w:tblPr>
        <w:tblStyle w:val="21"/>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62052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DB0E7FB">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竞选人名称</w:t>
            </w:r>
          </w:p>
        </w:tc>
        <w:tc>
          <w:tcPr>
            <w:tcW w:w="7607" w:type="dxa"/>
            <w:gridSpan w:val="9"/>
            <w:vAlign w:val="center"/>
          </w:tcPr>
          <w:p w14:paraId="3864B307">
            <w:pPr>
              <w:autoSpaceDE w:val="0"/>
              <w:autoSpaceDN w:val="0"/>
              <w:adjustRightInd w:val="0"/>
              <w:snapToGrid w:val="0"/>
              <w:spacing w:line="360" w:lineRule="auto"/>
              <w:jc w:val="center"/>
              <w:rPr>
                <w:rFonts w:ascii="宋体" w:hAnsi="宋体" w:cs="宋体"/>
                <w:color w:val="auto"/>
                <w:kern w:val="0"/>
                <w:szCs w:val="21"/>
                <w:highlight w:val="none"/>
              </w:rPr>
            </w:pPr>
          </w:p>
        </w:tc>
      </w:tr>
      <w:tr w14:paraId="73E339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222010">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450" w:type="dxa"/>
            <w:gridSpan w:val="5"/>
            <w:vAlign w:val="center"/>
          </w:tcPr>
          <w:p w14:paraId="449C4517">
            <w:pPr>
              <w:autoSpaceDE w:val="0"/>
              <w:autoSpaceDN w:val="0"/>
              <w:adjustRightInd w:val="0"/>
              <w:snapToGrid w:val="0"/>
              <w:spacing w:line="360" w:lineRule="auto"/>
              <w:jc w:val="center"/>
              <w:rPr>
                <w:rFonts w:ascii="宋体" w:hAnsi="宋体" w:cs="宋体"/>
                <w:color w:val="auto"/>
                <w:kern w:val="0"/>
                <w:szCs w:val="21"/>
                <w:highlight w:val="none"/>
              </w:rPr>
            </w:pPr>
          </w:p>
        </w:tc>
        <w:tc>
          <w:tcPr>
            <w:tcW w:w="1392" w:type="dxa"/>
            <w:vAlign w:val="center"/>
          </w:tcPr>
          <w:p w14:paraId="5914C597">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765" w:type="dxa"/>
            <w:gridSpan w:val="3"/>
            <w:vAlign w:val="center"/>
          </w:tcPr>
          <w:p w14:paraId="09A6D689">
            <w:pPr>
              <w:autoSpaceDE w:val="0"/>
              <w:autoSpaceDN w:val="0"/>
              <w:adjustRightInd w:val="0"/>
              <w:snapToGrid w:val="0"/>
              <w:spacing w:line="360" w:lineRule="auto"/>
              <w:jc w:val="center"/>
              <w:rPr>
                <w:rFonts w:ascii="宋体" w:hAnsi="宋体" w:cs="宋体"/>
                <w:color w:val="auto"/>
                <w:kern w:val="0"/>
                <w:szCs w:val="21"/>
                <w:highlight w:val="none"/>
              </w:rPr>
            </w:pPr>
          </w:p>
        </w:tc>
      </w:tr>
      <w:tr w14:paraId="66AE4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AAB65A9">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7" w:type="dxa"/>
            <w:vAlign w:val="center"/>
          </w:tcPr>
          <w:p w14:paraId="066AD078">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483" w:type="dxa"/>
            <w:gridSpan w:val="4"/>
            <w:vAlign w:val="center"/>
          </w:tcPr>
          <w:p w14:paraId="6E10ACDF">
            <w:pPr>
              <w:autoSpaceDE w:val="0"/>
              <w:autoSpaceDN w:val="0"/>
              <w:adjustRightInd w:val="0"/>
              <w:snapToGrid w:val="0"/>
              <w:spacing w:line="360" w:lineRule="auto"/>
              <w:jc w:val="center"/>
              <w:rPr>
                <w:rFonts w:ascii="宋体" w:hAnsi="宋体" w:cs="宋体"/>
                <w:color w:val="auto"/>
                <w:kern w:val="0"/>
                <w:szCs w:val="21"/>
                <w:highlight w:val="none"/>
              </w:rPr>
            </w:pPr>
          </w:p>
        </w:tc>
        <w:tc>
          <w:tcPr>
            <w:tcW w:w="1392" w:type="dxa"/>
            <w:vAlign w:val="center"/>
          </w:tcPr>
          <w:p w14:paraId="171423D4">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2765" w:type="dxa"/>
            <w:gridSpan w:val="3"/>
            <w:vAlign w:val="center"/>
          </w:tcPr>
          <w:p w14:paraId="3FBFF2FA">
            <w:pPr>
              <w:autoSpaceDE w:val="0"/>
              <w:autoSpaceDN w:val="0"/>
              <w:adjustRightInd w:val="0"/>
              <w:snapToGrid w:val="0"/>
              <w:spacing w:line="360" w:lineRule="auto"/>
              <w:jc w:val="center"/>
              <w:rPr>
                <w:rFonts w:ascii="宋体" w:hAnsi="宋体" w:cs="宋体"/>
                <w:color w:val="auto"/>
                <w:kern w:val="0"/>
                <w:szCs w:val="21"/>
                <w:highlight w:val="none"/>
              </w:rPr>
            </w:pPr>
          </w:p>
        </w:tc>
      </w:tr>
      <w:tr w14:paraId="1966D7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328A0282">
            <w:pPr>
              <w:autoSpaceDE w:val="0"/>
              <w:autoSpaceDN w:val="0"/>
              <w:adjustRightInd w:val="0"/>
              <w:snapToGrid w:val="0"/>
              <w:spacing w:line="360" w:lineRule="auto"/>
              <w:jc w:val="center"/>
              <w:rPr>
                <w:rFonts w:ascii="宋体" w:hAnsi="宋体" w:cs="宋体"/>
                <w:color w:val="auto"/>
                <w:kern w:val="0"/>
                <w:szCs w:val="21"/>
                <w:highlight w:val="none"/>
              </w:rPr>
            </w:pPr>
          </w:p>
        </w:tc>
        <w:tc>
          <w:tcPr>
            <w:tcW w:w="967" w:type="dxa"/>
            <w:vAlign w:val="center"/>
          </w:tcPr>
          <w:p w14:paraId="67BF3A44">
            <w:pPr>
              <w:tabs>
                <w:tab w:val="left" w:pos="54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483" w:type="dxa"/>
            <w:gridSpan w:val="4"/>
            <w:vAlign w:val="center"/>
          </w:tcPr>
          <w:p w14:paraId="1CC4E56D">
            <w:pPr>
              <w:autoSpaceDE w:val="0"/>
              <w:autoSpaceDN w:val="0"/>
              <w:adjustRightInd w:val="0"/>
              <w:snapToGrid w:val="0"/>
              <w:spacing w:line="360" w:lineRule="auto"/>
              <w:jc w:val="center"/>
              <w:rPr>
                <w:rFonts w:ascii="宋体" w:hAnsi="宋体" w:cs="宋体"/>
                <w:color w:val="auto"/>
                <w:kern w:val="0"/>
                <w:szCs w:val="21"/>
                <w:highlight w:val="none"/>
              </w:rPr>
            </w:pPr>
          </w:p>
        </w:tc>
        <w:tc>
          <w:tcPr>
            <w:tcW w:w="1392" w:type="dxa"/>
            <w:vAlign w:val="center"/>
          </w:tcPr>
          <w:p w14:paraId="48F7784B">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网址</w:t>
            </w:r>
          </w:p>
        </w:tc>
        <w:tc>
          <w:tcPr>
            <w:tcW w:w="2765" w:type="dxa"/>
            <w:gridSpan w:val="3"/>
            <w:vAlign w:val="center"/>
          </w:tcPr>
          <w:p w14:paraId="19BEA979">
            <w:pPr>
              <w:autoSpaceDE w:val="0"/>
              <w:autoSpaceDN w:val="0"/>
              <w:adjustRightInd w:val="0"/>
              <w:snapToGrid w:val="0"/>
              <w:spacing w:line="360" w:lineRule="auto"/>
              <w:jc w:val="center"/>
              <w:rPr>
                <w:rFonts w:ascii="宋体" w:hAnsi="宋体" w:cs="宋体"/>
                <w:color w:val="auto"/>
                <w:kern w:val="0"/>
                <w:szCs w:val="21"/>
                <w:highlight w:val="none"/>
              </w:rPr>
            </w:pPr>
          </w:p>
        </w:tc>
      </w:tr>
      <w:tr w14:paraId="6D3D76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34D6D3D">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607" w:type="dxa"/>
            <w:gridSpan w:val="9"/>
            <w:vAlign w:val="center"/>
          </w:tcPr>
          <w:p w14:paraId="4A8542E6">
            <w:pPr>
              <w:autoSpaceDE w:val="0"/>
              <w:autoSpaceDN w:val="0"/>
              <w:adjustRightInd w:val="0"/>
              <w:snapToGrid w:val="0"/>
              <w:spacing w:line="360" w:lineRule="auto"/>
              <w:jc w:val="center"/>
              <w:rPr>
                <w:rFonts w:ascii="宋体" w:hAnsi="宋体" w:cs="宋体"/>
                <w:color w:val="auto"/>
                <w:kern w:val="0"/>
                <w:szCs w:val="21"/>
                <w:highlight w:val="none"/>
              </w:rPr>
            </w:pPr>
          </w:p>
        </w:tc>
      </w:tr>
      <w:tr w14:paraId="76392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3492F15">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67" w:type="dxa"/>
            <w:vAlign w:val="center"/>
          </w:tcPr>
          <w:p w14:paraId="580929BF">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024" w:type="dxa"/>
            <w:vAlign w:val="center"/>
          </w:tcPr>
          <w:p w14:paraId="0BDCBA8C">
            <w:pPr>
              <w:autoSpaceDE w:val="0"/>
              <w:autoSpaceDN w:val="0"/>
              <w:adjustRightInd w:val="0"/>
              <w:snapToGrid w:val="0"/>
              <w:spacing w:line="360" w:lineRule="auto"/>
              <w:jc w:val="center"/>
              <w:rPr>
                <w:rFonts w:ascii="宋体" w:hAnsi="宋体" w:cs="宋体"/>
                <w:color w:val="auto"/>
                <w:kern w:val="0"/>
                <w:szCs w:val="21"/>
                <w:highlight w:val="none"/>
              </w:rPr>
            </w:pPr>
          </w:p>
        </w:tc>
        <w:tc>
          <w:tcPr>
            <w:tcW w:w="1356" w:type="dxa"/>
            <w:gridSpan w:val="2"/>
            <w:vAlign w:val="center"/>
          </w:tcPr>
          <w:p w14:paraId="3254B014">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2024" w:type="dxa"/>
            <w:gridSpan w:val="3"/>
            <w:vAlign w:val="center"/>
          </w:tcPr>
          <w:p w14:paraId="2DB38EEE">
            <w:pPr>
              <w:autoSpaceDE w:val="0"/>
              <w:autoSpaceDN w:val="0"/>
              <w:adjustRightInd w:val="0"/>
              <w:snapToGrid w:val="0"/>
              <w:spacing w:line="360" w:lineRule="auto"/>
              <w:jc w:val="center"/>
              <w:rPr>
                <w:rFonts w:ascii="宋体" w:hAnsi="宋体" w:cs="宋体"/>
                <w:color w:val="auto"/>
                <w:kern w:val="0"/>
                <w:szCs w:val="21"/>
                <w:highlight w:val="none"/>
              </w:rPr>
            </w:pPr>
          </w:p>
        </w:tc>
        <w:tc>
          <w:tcPr>
            <w:tcW w:w="925" w:type="dxa"/>
            <w:vAlign w:val="center"/>
          </w:tcPr>
          <w:p w14:paraId="16BE22AA">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1311" w:type="dxa"/>
            <w:vAlign w:val="center"/>
          </w:tcPr>
          <w:p w14:paraId="4C75245E">
            <w:pPr>
              <w:autoSpaceDE w:val="0"/>
              <w:autoSpaceDN w:val="0"/>
              <w:adjustRightInd w:val="0"/>
              <w:snapToGrid w:val="0"/>
              <w:spacing w:line="360" w:lineRule="auto"/>
              <w:jc w:val="center"/>
              <w:rPr>
                <w:rFonts w:ascii="宋体" w:hAnsi="宋体" w:cs="宋体"/>
                <w:color w:val="auto"/>
                <w:kern w:val="0"/>
                <w:szCs w:val="21"/>
                <w:highlight w:val="none"/>
              </w:rPr>
            </w:pPr>
          </w:p>
        </w:tc>
      </w:tr>
      <w:tr w14:paraId="710EC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AA60FB">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967" w:type="dxa"/>
            <w:vAlign w:val="center"/>
          </w:tcPr>
          <w:p w14:paraId="41F0C6B4">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024" w:type="dxa"/>
            <w:vAlign w:val="center"/>
          </w:tcPr>
          <w:p w14:paraId="02D3CAD3">
            <w:pPr>
              <w:autoSpaceDE w:val="0"/>
              <w:autoSpaceDN w:val="0"/>
              <w:adjustRightInd w:val="0"/>
              <w:snapToGrid w:val="0"/>
              <w:spacing w:line="360" w:lineRule="auto"/>
              <w:jc w:val="center"/>
              <w:rPr>
                <w:rFonts w:ascii="宋体" w:hAnsi="宋体" w:cs="宋体"/>
                <w:color w:val="auto"/>
                <w:kern w:val="0"/>
                <w:szCs w:val="21"/>
                <w:highlight w:val="none"/>
              </w:rPr>
            </w:pPr>
          </w:p>
        </w:tc>
        <w:tc>
          <w:tcPr>
            <w:tcW w:w="1356" w:type="dxa"/>
            <w:gridSpan w:val="2"/>
            <w:vAlign w:val="center"/>
          </w:tcPr>
          <w:p w14:paraId="6C73F900">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2024" w:type="dxa"/>
            <w:gridSpan w:val="3"/>
            <w:vAlign w:val="center"/>
          </w:tcPr>
          <w:p w14:paraId="0480322B">
            <w:pPr>
              <w:autoSpaceDE w:val="0"/>
              <w:autoSpaceDN w:val="0"/>
              <w:adjustRightInd w:val="0"/>
              <w:snapToGrid w:val="0"/>
              <w:spacing w:line="360" w:lineRule="auto"/>
              <w:jc w:val="center"/>
              <w:rPr>
                <w:rFonts w:ascii="宋体" w:hAnsi="宋体" w:cs="宋体"/>
                <w:color w:val="auto"/>
                <w:kern w:val="0"/>
                <w:szCs w:val="21"/>
                <w:highlight w:val="none"/>
              </w:rPr>
            </w:pPr>
          </w:p>
        </w:tc>
        <w:tc>
          <w:tcPr>
            <w:tcW w:w="925" w:type="dxa"/>
            <w:vAlign w:val="center"/>
          </w:tcPr>
          <w:p w14:paraId="1DD9150C">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1311" w:type="dxa"/>
            <w:vAlign w:val="center"/>
          </w:tcPr>
          <w:p w14:paraId="1A60AAF2">
            <w:pPr>
              <w:autoSpaceDE w:val="0"/>
              <w:autoSpaceDN w:val="0"/>
              <w:adjustRightInd w:val="0"/>
              <w:snapToGrid w:val="0"/>
              <w:spacing w:line="360" w:lineRule="auto"/>
              <w:jc w:val="center"/>
              <w:rPr>
                <w:rFonts w:ascii="宋体" w:hAnsi="宋体" w:cs="宋体"/>
                <w:color w:val="auto"/>
                <w:kern w:val="0"/>
                <w:szCs w:val="21"/>
                <w:highlight w:val="none"/>
              </w:rPr>
            </w:pPr>
          </w:p>
        </w:tc>
      </w:tr>
      <w:tr w14:paraId="7FF9AA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C34571">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1991" w:type="dxa"/>
            <w:gridSpan w:val="2"/>
            <w:vAlign w:val="center"/>
          </w:tcPr>
          <w:p w14:paraId="2AAC3F3E">
            <w:pPr>
              <w:autoSpaceDE w:val="0"/>
              <w:autoSpaceDN w:val="0"/>
              <w:adjustRightInd w:val="0"/>
              <w:snapToGrid w:val="0"/>
              <w:spacing w:line="360" w:lineRule="auto"/>
              <w:jc w:val="center"/>
              <w:rPr>
                <w:rFonts w:ascii="宋体" w:hAnsi="宋体" w:cs="宋体"/>
                <w:color w:val="auto"/>
                <w:kern w:val="0"/>
                <w:szCs w:val="21"/>
                <w:highlight w:val="none"/>
              </w:rPr>
            </w:pPr>
          </w:p>
        </w:tc>
        <w:tc>
          <w:tcPr>
            <w:tcW w:w="5616" w:type="dxa"/>
            <w:gridSpan w:val="7"/>
            <w:vAlign w:val="center"/>
          </w:tcPr>
          <w:p w14:paraId="47860DB3">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4EFA55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DAA8AC3">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1991" w:type="dxa"/>
            <w:gridSpan w:val="2"/>
            <w:vAlign w:val="center"/>
          </w:tcPr>
          <w:p w14:paraId="344C971E">
            <w:pPr>
              <w:autoSpaceDE w:val="0"/>
              <w:autoSpaceDN w:val="0"/>
              <w:adjustRightInd w:val="0"/>
              <w:snapToGrid w:val="0"/>
              <w:spacing w:line="360" w:lineRule="auto"/>
              <w:jc w:val="center"/>
              <w:rPr>
                <w:rFonts w:ascii="宋体" w:hAnsi="宋体" w:cs="宋体"/>
                <w:color w:val="auto"/>
                <w:kern w:val="0"/>
                <w:szCs w:val="21"/>
                <w:highlight w:val="none"/>
              </w:rPr>
            </w:pPr>
          </w:p>
        </w:tc>
        <w:tc>
          <w:tcPr>
            <w:tcW w:w="904" w:type="dxa"/>
            <w:vMerge w:val="restart"/>
            <w:vAlign w:val="center"/>
          </w:tcPr>
          <w:p w14:paraId="67A3F4D5">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2476" w:type="dxa"/>
            <w:gridSpan w:val="4"/>
            <w:vAlign w:val="center"/>
          </w:tcPr>
          <w:p w14:paraId="666F9A36">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项目总监理工程</w:t>
            </w:r>
          </w:p>
        </w:tc>
        <w:tc>
          <w:tcPr>
            <w:tcW w:w="2236" w:type="dxa"/>
            <w:gridSpan w:val="2"/>
            <w:vAlign w:val="center"/>
          </w:tcPr>
          <w:p w14:paraId="3CF970AE">
            <w:pPr>
              <w:autoSpaceDE w:val="0"/>
              <w:autoSpaceDN w:val="0"/>
              <w:adjustRightInd w:val="0"/>
              <w:snapToGrid w:val="0"/>
              <w:spacing w:line="360" w:lineRule="auto"/>
              <w:jc w:val="center"/>
              <w:rPr>
                <w:rFonts w:ascii="宋体" w:hAnsi="宋体" w:cs="宋体"/>
                <w:color w:val="auto"/>
                <w:kern w:val="0"/>
                <w:szCs w:val="21"/>
                <w:highlight w:val="none"/>
              </w:rPr>
            </w:pPr>
          </w:p>
        </w:tc>
      </w:tr>
      <w:tr w14:paraId="394E5E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3C85EF">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1991" w:type="dxa"/>
            <w:gridSpan w:val="2"/>
            <w:vAlign w:val="center"/>
          </w:tcPr>
          <w:p w14:paraId="0B71DF6E">
            <w:pPr>
              <w:autoSpaceDE w:val="0"/>
              <w:autoSpaceDN w:val="0"/>
              <w:adjustRightInd w:val="0"/>
              <w:snapToGrid w:val="0"/>
              <w:spacing w:line="360" w:lineRule="auto"/>
              <w:jc w:val="center"/>
              <w:rPr>
                <w:rFonts w:ascii="宋体" w:hAnsi="宋体" w:cs="宋体"/>
                <w:color w:val="auto"/>
                <w:kern w:val="0"/>
                <w:szCs w:val="21"/>
                <w:highlight w:val="none"/>
              </w:rPr>
            </w:pPr>
          </w:p>
        </w:tc>
        <w:tc>
          <w:tcPr>
            <w:tcW w:w="904" w:type="dxa"/>
            <w:vMerge w:val="continue"/>
            <w:vAlign w:val="center"/>
          </w:tcPr>
          <w:p w14:paraId="1B697D3B">
            <w:pPr>
              <w:autoSpaceDE w:val="0"/>
              <w:autoSpaceDN w:val="0"/>
              <w:adjustRightInd w:val="0"/>
              <w:snapToGrid w:val="0"/>
              <w:spacing w:line="360" w:lineRule="auto"/>
              <w:jc w:val="center"/>
              <w:rPr>
                <w:rFonts w:ascii="宋体" w:hAnsi="宋体" w:cs="宋体"/>
                <w:color w:val="auto"/>
                <w:kern w:val="0"/>
                <w:szCs w:val="21"/>
                <w:highlight w:val="none"/>
              </w:rPr>
            </w:pPr>
          </w:p>
        </w:tc>
        <w:tc>
          <w:tcPr>
            <w:tcW w:w="2476" w:type="dxa"/>
            <w:gridSpan w:val="4"/>
            <w:vAlign w:val="center"/>
          </w:tcPr>
          <w:p w14:paraId="7346F775">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2236" w:type="dxa"/>
            <w:gridSpan w:val="2"/>
            <w:vAlign w:val="center"/>
          </w:tcPr>
          <w:p w14:paraId="3F375C3D">
            <w:pPr>
              <w:autoSpaceDE w:val="0"/>
              <w:autoSpaceDN w:val="0"/>
              <w:adjustRightInd w:val="0"/>
              <w:snapToGrid w:val="0"/>
              <w:spacing w:line="360" w:lineRule="auto"/>
              <w:jc w:val="center"/>
              <w:rPr>
                <w:rFonts w:ascii="宋体" w:hAnsi="宋体" w:cs="宋体"/>
                <w:color w:val="auto"/>
                <w:kern w:val="0"/>
                <w:szCs w:val="21"/>
                <w:highlight w:val="none"/>
              </w:rPr>
            </w:pPr>
          </w:p>
        </w:tc>
      </w:tr>
      <w:tr w14:paraId="0CD98F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C2EB3E">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1991" w:type="dxa"/>
            <w:gridSpan w:val="2"/>
            <w:vAlign w:val="center"/>
          </w:tcPr>
          <w:p w14:paraId="1AD46D7C">
            <w:pPr>
              <w:autoSpaceDE w:val="0"/>
              <w:autoSpaceDN w:val="0"/>
              <w:adjustRightInd w:val="0"/>
              <w:snapToGrid w:val="0"/>
              <w:spacing w:line="360" w:lineRule="auto"/>
              <w:jc w:val="center"/>
              <w:rPr>
                <w:rFonts w:ascii="宋体" w:hAnsi="宋体" w:cs="宋体"/>
                <w:color w:val="auto"/>
                <w:kern w:val="0"/>
                <w:szCs w:val="21"/>
                <w:highlight w:val="none"/>
              </w:rPr>
            </w:pPr>
          </w:p>
        </w:tc>
        <w:tc>
          <w:tcPr>
            <w:tcW w:w="904" w:type="dxa"/>
            <w:vMerge w:val="continue"/>
            <w:vAlign w:val="center"/>
          </w:tcPr>
          <w:p w14:paraId="700114EA">
            <w:pPr>
              <w:autoSpaceDE w:val="0"/>
              <w:autoSpaceDN w:val="0"/>
              <w:adjustRightInd w:val="0"/>
              <w:snapToGrid w:val="0"/>
              <w:spacing w:line="360" w:lineRule="auto"/>
              <w:jc w:val="center"/>
              <w:rPr>
                <w:rFonts w:ascii="宋体" w:hAnsi="宋体" w:cs="宋体"/>
                <w:color w:val="auto"/>
                <w:kern w:val="0"/>
                <w:szCs w:val="21"/>
                <w:highlight w:val="none"/>
              </w:rPr>
            </w:pPr>
          </w:p>
        </w:tc>
        <w:tc>
          <w:tcPr>
            <w:tcW w:w="2476" w:type="dxa"/>
            <w:gridSpan w:val="4"/>
            <w:vAlign w:val="center"/>
          </w:tcPr>
          <w:p w14:paraId="307AF592">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236" w:type="dxa"/>
            <w:gridSpan w:val="2"/>
            <w:vAlign w:val="center"/>
          </w:tcPr>
          <w:p w14:paraId="105B1F39">
            <w:pPr>
              <w:autoSpaceDE w:val="0"/>
              <w:autoSpaceDN w:val="0"/>
              <w:adjustRightInd w:val="0"/>
              <w:snapToGrid w:val="0"/>
              <w:spacing w:line="360" w:lineRule="auto"/>
              <w:jc w:val="center"/>
              <w:rPr>
                <w:rFonts w:ascii="宋体" w:hAnsi="宋体" w:cs="宋体"/>
                <w:color w:val="auto"/>
                <w:kern w:val="0"/>
                <w:szCs w:val="21"/>
                <w:highlight w:val="none"/>
              </w:rPr>
            </w:pPr>
          </w:p>
        </w:tc>
      </w:tr>
      <w:tr w14:paraId="06A4FE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3B9A49">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1991" w:type="dxa"/>
            <w:gridSpan w:val="2"/>
            <w:vAlign w:val="center"/>
          </w:tcPr>
          <w:p w14:paraId="44517CDD">
            <w:pPr>
              <w:autoSpaceDE w:val="0"/>
              <w:autoSpaceDN w:val="0"/>
              <w:adjustRightInd w:val="0"/>
              <w:snapToGrid w:val="0"/>
              <w:spacing w:line="360" w:lineRule="auto"/>
              <w:jc w:val="center"/>
              <w:rPr>
                <w:rFonts w:ascii="宋体" w:hAnsi="宋体" w:cs="宋体"/>
                <w:color w:val="auto"/>
                <w:kern w:val="0"/>
                <w:szCs w:val="21"/>
                <w:highlight w:val="none"/>
              </w:rPr>
            </w:pPr>
          </w:p>
        </w:tc>
        <w:tc>
          <w:tcPr>
            <w:tcW w:w="904" w:type="dxa"/>
            <w:vMerge w:val="continue"/>
            <w:vAlign w:val="center"/>
          </w:tcPr>
          <w:p w14:paraId="66F389AC">
            <w:pPr>
              <w:autoSpaceDE w:val="0"/>
              <w:autoSpaceDN w:val="0"/>
              <w:adjustRightInd w:val="0"/>
              <w:snapToGrid w:val="0"/>
              <w:spacing w:line="360" w:lineRule="auto"/>
              <w:jc w:val="center"/>
              <w:rPr>
                <w:rFonts w:ascii="宋体" w:hAnsi="宋体" w:cs="宋体"/>
                <w:color w:val="auto"/>
                <w:kern w:val="0"/>
                <w:szCs w:val="21"/>
                <w:highlight w:val="none"/>
              </w:rPr>
            </w:pPr>
          </w:p>
        </w:tc>
        <w:tc>
          <w:tcPr>
            <w:tcW w:w="2476" w:type="dxa"/>
            <w:gridSpan w:val="4"/>
            <w:vAlign w:val="center"/>
          </w:tcPr>
          <w:p w14:paraId="2BE63D0E">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236" w:type="dxa"/>
            <w:gridSpan w:val="2"/>
            <w:vAlign w:val="center"/>
          </w:tcPr>
          <w:p w14:paraId="0E1A6354">
            <w:pPr>
              <w:autoSpaceDE w:val="0"/>
              <w:autoSpaceDN w:val="0"/>
              <w:adjustRightInd w:val="0"/>
              <w:snapToGrid w:val="0"/>
              <w:spacing w:line="360" w:lineRule="auto"/>
              <w:jc w:val="center"/>
              <w:rPr>
                <w:rFonts w:ascii="宋体" w:hAnsi="宋体" w:cs="宋体"/>
                <w:color w:val="auto"/>
                <w:kern w:val="0"/>
                <w:szCs w:val="21"/>
                <w:highlight w:val="none"/>
              </w:rPr>
            </w:pPr>
          </w:p>
        </w:tc>
      </w:tr>
      <w:tr w14:paraId="228DA7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1D9C912">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1991" w:type="dxa"/>
            <w:gridSpan w:val="2"/>
            <w:vAlign w:val="center"/>
          </w:tcPr>
          <w:p w14:paraId="6F79E573">
            <w:pPr>
              <w:autoSpaceDE w:val="0"/>
              <w:autoSpaceDN w:val="0"/>
              <w:adjustRightInd w:val="0"/>
              <w:snapToGrid w:val="0"/>
              <w:spacing w:line="360" w:lineRule="auto"/>
              <w:jc w:val="center"/>
              <w:rPr>
                <w:rFonts w:ascii="宋体" w:hAnsi="宋体" w:cs="宋体"/>
                <w:color w:val="auto"/>
                <w:kern w:val="0"/>
                <w:szCs w:val="21"/>
                <w:highlight w:val="none"/>
              </w:rPr>
            </w:pPr>
          </w:p>
        </w:tc>
        <w:tc>
          <w:tcPr>
            <w:tcW w:w="904" w:type="dxa"/>
            <w:vMerge w:val="continue"/>
            <w:vAlign w:val="center"/>
          </w:tcPr>
          <w:p w14:paraId="524CC9A8">
            <w:pPr>
              <w:autoSpaceDE w:val="0"/>
              <w:autoSpaceDN w:val="0"/>
              <w:adjustRightInd w:val="0"/>
              <w:snapToGrid w:val="0"/>
              <w:spacing w:line="360" w:lineRule="auto"/>
              <w:jc w:val="center"/>
              <w:rPr>
                <w:rFonts w:ascii="宋体" w:hAnsi="宋体" w:cs="宋体"/>
                <w:color w:val="auto"/>
                <w:kern w:val="0"/>
                <w:szCs w:val="21"/>
                <w:highlight w:val="none"/>
              </w:rPr>
            </w:pPr>
          </w:p>
        </w:tc>
        <w:tc>
          <w:tcPr>
            <w:tcW w:w="2476" w:type="dxa"/>
            <w:gridSpan w:val="4"/>
            <w:vAlign w:val="center"/>
          </w:tcPr>
          <w:p w14:paraId="0830311F">
            <w:pPr>
              <w:tabs>
                <w:tab w:val="left" w:pos="1240"/>
              </w:tabs>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工</w:t>
            </w:r>
          </w:p>
        </w:tc>
        <w:tc>
          <w:tcPr>
            <w:tcW w:w="2236" w:type="dxa"/>
            <w:gridSpan w:val="2"/>
            <w:vAlign w:val="center"/>
          </w:tcPr>
          <w:p w14:paraId="62D3B3E7">
            <w:pPr>
              <w:autoSpaceDE w:val="0"/>
              <w:autoSpaceDN w:val="0"/>
              <w:adjustRightInd w:val="0"/>
              <w:snapToGrid w:val="0"/>
              <w:spacing w:line="360" w:lineRule="auto"/>
              <w:jc w:val="center"/>
              <w:rPr>
                <w:rFonts w:ascii="宋体" w:hAnsi="宋体" w:cs="宋体"/>
                <w:color w:val="auto"/>
                <w:kern w:val="0"/>
                <w:szCs w:val="21"/>
                <w:highlight w:val="none"/>
              </w:rPr>
            </w:pPr>
          </w:p>
        </w:tc>
      </w:tr>
      <w:tr w14:paraId="1128D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FEC89CC">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607" w:type="dxa"/>
            <w:gridSpan w:val="9"/>
            <w:vAlign w:val="center"/>
          </w:tcPr>
          <w:p w14:paraId="5C0F8ECB">
            <w:pPr>
              <w:autoSpaceDE w:val="0"/>
              <w:autoSpaceDN w:val="0"/>
              <w:adjustRightInd w:val="0"/>
              <w:snapToGrid w:val="0"/>
              <w:spacing w:line="360" w:lineRule="auto"/>
              <w:jc w:val="center"/>
              <w:rPr>
                <w:rFonts w:ascii="宋体" w:hAnsi="宋体" w:cs="宋体"/>
                <w:color w:val="auto"/>
                <w:kern w:val="0"/>
                <w:szCs w:val="21"/>
                <w:highlight w:val="none"/>
              </w:rPr>
            </w:pPr>
          </w:p>
        </w:tc>
      </w:tr>
      <w:tr w14:paraId="52B91A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A095B0D">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607" w:type="dxa"/>
            <w:gridSpan w:val="9"/>
            <w:vAlign w:val="center"/>
          </w:tcPr>
          <w:p w14:paraId="7494F3A3">
            <w:pPr>
              <w:autoSpaceDE w:val="0"/>
              <w:autoSpaceDN w:val="0"/>
              <w:adjustRightInd w:val="0"/>
              <w:snapToGrid w:val="0"/>
              <w:spacing w:line="360" w:lineRule="auto"/>
              <w:jc w:val="center"/>
              <w:rPr>
                <w:rFonts w:ascii="宋体" w:hAnsi="宋体" w:cs="宋体"/>
                <w:color w:val="auto"/>
                <w:kern w:val="0"/>
                <w:szCs w:val="21"/>
                <w:highlight w:val="none"/>
              </w:rPr>
            </w:pPr>
          </w:p>
        </w:tc>
      </w:tr>
    </w:tbl>
    <w:p w14:paraId="6050E622">
      <w:pPr>
        <w:pStyle w:val="3"/>
        <w:spacing w:before="0" w:after="0" w:line="360" w:lineRule="auto"/>
        <w:jc w:val="center"/>
        <w:rPr>
          <w:rFonts w:asciiTheme="minorEastAsia" w:hAnsiTheme="minorEastAsia" w:eastAsiaTheme="minorEastAsia"/>
          <w:bCs w:val="0"/>
          <w:color w:val="auto"/>
          <w:sz w:val="28"/>
          <w:highlight w:val="none"/>
        </w:rPr>
      </w:pPr>
      <w:bookmarkStart w:id="810" w:name="_Toc40569217"/>
      <w:bookmarkStart w:id="811" w:name="_Toc534185840"/>
      <w:bookmarkStart w:id="812" w:name="_Toc10647"/>
      <w:bookmarkStart w:id="813" w:name="_Toc509218863"/>
      <w:bookmarkStart w:id="814" w:name="_Toc9448"/>
      <w:bookmarkStart w:id="815" w:name="_Toc27626"/>
      <w:r>
        <w:rPr>
          <w:rFonts w:hint="eastAsia" w:asciiTheme="minorEastAsia" w:hAnsiTheme="minorEastAsia" w:eastAsiaTheme="minorEastAsia"/>
          <w:bCs w:val="0"/>
          <w:color w:val="auto"/>
          <w:sz w:val="28"/>
          <w:highlight w:val="none"/>
        </w:rPr>
        <w:t>（</w:t>
      </w:r>
      <w:r>
        <w:rPr>
          <w:rFonts w:hint="eastAsia" w:asciiTheme="minorEastAsia" w:hAnsiTheme="minorEastAsia" w:eastAsiaTheme="minorEastAsia"/>
          <w:bCs w:val="0"/>
          <w:color w:val="auto"/>
          <w:sz w:val="28"/>
          <w:highlight w:val="none"/>
          <w:lang w:val="en-US" w:eastAsia="zh-CN"/>
        </w:rPr>
        <w:t>三</w:t>
      </w:r>
      <w:r>
        <w:rPr>
          <w:rFonts w:hint="eastAsia" w:asciiTheme="minorEastAsia" w:hAnsiTheme="minorEastAsia" w:eastAsiaTheme="minorEastAsia"/>
          <w:bCs w:val="0"/>
          <w:color w:val="auto"/>
          <w:sz w:val="28"/>
          <w:highlight w:val="none"/>
        </w:rPr>
        <w:t>）</w:t>
      </w:r>
      <w:bookmarkEnd w:id="808"/>
      <w:bookmarkEnd w:id="809"/>
      <w:bookmarkEnd w:id="810"/>
      <w:bookmarkEnd w:id="811"/>
      <w:bookmarkEnd w:id="812"/>
      <w:bookmarkEnd w:id="813"/>
      <w:bookmarkEnd w:id="814"/>
      <w:bookmarkEnd w:id="815"/>
      <w:bookmarkStart w:id="816" w:name="_Toc359594249"/>
      <w:bookmarkStart w:id="817" w:name="_Toc300835232"/>
      <w:bookmarkStart w:id="818" w:name="_Toc391394125"/>
      <w:bookmarkStart w:id="819" w:name="_Toc384308390"/>
      <w:bookmarkStart w:id="820" w:name="_Toc492300735"/>
      <w:bookmarkStart w:id="821" w:name="_Toc385943079"/>
      <w:bookmarkStart w:id="822" w:name="_Toc482188668"/>
      <w:bookmarkStart w:id="823" w:name="_Toc12669"/>
      <w:bookmarkStart w:id="824" w:name="_Toc370676440"/>
      <w:r>
        <w:rPr>
          <w:rFonts w:hint="eastAsia" w:asciiTheme="minorEastAsia" w:hAnsiTheme="minorEastAsia" w:eastAsiaTheme="minorEastAsia"/>
          <w:bCs w:val="0"/>
          <w:color w:val="auto"/>
          <w:sz w:val="28"/>
          <w:highlight w:val="none"/>
        </w:rPr>
        <w:t>主要人员简历表</w:t>
      </w:r>
      <w:bookmarkEnd w:id="816"/>
      <w:bookmarkEnd w:id="817"/>
      <w:bookmarkEnd w:id="818"/>
      <w:bookmarkEnd w:id="819"/>
      <w:bookmarkEnd w:id="820"/>
      <w:bookmarkEnd w:id="821"/>
      <w:bookmarkEnd w:id="822"/>
      <w:bookmarkEnd w:id="823"/>
      <w:bookmarkEnd w:id="824"/>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45A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4E85DC8F">
            <w:pPr>
              <w:spacing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姓  名</w:t>
            </w:r>
          </w:p>
        </w:tc>
        <w:tc>
          <w:tcPr>
            <w:tcW w:w="1048" w:type="dxa"/>
            <w:gridSpan w:val="2"/>
            <w:vAlign w:val="center"/>
          </w:tcPr>
          <w:p w14:paraId="0464CA86">
            <w:pPr>
              <w:spacing w:line="400" w:lineRule="exact"/>
              <w:jc w:val="center"/>
              <w:rPr>
                <w:rFonts w:asciiTheme="minorEastAsia" w:hAnsiTheme="minorEastAsia" w:eastAsiaTheme="minorEastAsia"/>
                <w:color w:val="auto"/>
                <w:highlight w:val="none"/>
              </w:rPr>
            </w:pPr>
          </w:p>
        </w:tc>
        <w:tc>
          <w:tcPr>
            <w:tcW w:w="958" w:type="dxa"/>
            <w:vAlign w:val="center"/>
          </w:tcPr>
          <w:p w14:paraId="6BA2404E">
            <w:pPr>
              <w:spacing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年龄</w:t>
            </w:r>
          </w:p>
        </w:tc>
        <w:tc>
          <w:tcPr>
            <w:tcW w:w="1065" w:type="dxa"/>
            <w:vAlign w:val="center"/>
          </w:tcPr>
          <w:p w14:paraId="1AE8B325">
            <w:pPr>
              <w:spacing w:line="400" w:lineRule="exact"/>
              <w:jc w:val="center"/>
              <w:rPr>
                <w:rFonts w:asciiTheme="minorEastAsia" w:hAnsiTheme="minorEastAsia" w:eastAsiaTheme="minorEastAsia"/>
                <w:color w:val="auto"/>
                <w:highlight w:val="none"/>
              </w:rPr>
            </w:pPr>
          </w:p>
        </w:tc>
        <w:tc>
          <w:tcPr>
            <w:tcW w:w="2368" w:type="dxa"/>
            <w:gridSpan w:val="3"/>
            <w:vAlign w:val="center"/>
          </w:tcPr>
          <w:p w14:paraId="01798670">
            <w:pPr>
              <w:spacing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执业资格证书（或上岗证书）名称</w:t>
            </w:r>
          </w:p>
        </w:tc>
        <w:tc>
          <w:tcPr>
            <w:tcW w:w="1896" w:type="dxa"/>
            <w:vAlign w:val="center"/>
          </w:tcPr>
          <w:p w14:paraId="4307AD04">
            <w:pPr>
              <w:spacing w:line="400" w:lineRule="exact"/>
              <w:jc w:val="center"/>
              <w:rPr>
                <w:rFonts w:asciiTheme="minorEastAsia" w:hAnsiTheme="minorEastAsia" w:eastAsiaTheme="minorEastAsia"/>
                <w:color w:val="auto"/>
                <w:highlight w:val="none"/>
              </w:rPr>
            </w:pPr>
          </w:p>
        </w:tc>
      </w:tr>
      <w:tr w14:paraId="021F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167E30C7">
            <w:pPr>
              <w:spacing w:line="400" w:lineRule="exact"/>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技术职称            </w:t>
            </w:r>
          </w:p>
        </w:tc>
        <w:tc>
          <w:tcPr>
            <w:tcW w:w="1048" w:type="dxa"/>
            <w:gridSpan w:val="2"/>
            <w:vAlign w:val="center"/>
          </w:tcPr>
          <w:p w14:paraId="73FAD97A">
            <w:pPr>
              <w:spacing w:line="400" w:lineRule="exact"/>
              <w:jc w:val="center"/>
              <w:rPr>
                <w:rFonts w:asciiTheme="minorEastAsia" w:hAnsiTheme="minorEastAsia" w:eastAsiaTheme="minorEastAsia"/>
                <w:color w:val="auto"/>
                <w:highlight w:val="none"/>
              </w:rPr>
            </w:pPr>
          </w:p>
        </w:tc>
        <w:tc>
          <w:tcPr>
            <w:tcW w:w="958" w:type="dxa"/>
            <w:vAlign w:val="center"/>
          </w:tcPr>
          <w:p w14:paraId="1BA23674">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学历</w:t>
            </w:r>
          </w:p>
        </w:tc>
        <w:tc>
          <w:tcPr>
            <w:tcW w:w="1065" w:type="dxa"/>
            <w:vAlign w:val="center"/>
          </w:tcPr>
          <w:p w14:paraId="203BD4CE">
            <w:pPr>
              <w:spacing w:line="400" w:lineRule="exact"/>
              <w:jc w:val="center"/>
              <w:rPr>
                <w:rFonts w:asciiTheme="minorEastAsia" w:hAnsiTheme="minorEastAsia" w:eastAsiaTheme="minorEastAsia"/>
                <w:color w:val="auto"/>
                <w:highlight w:val="none"/>
              </w:rPr>
            </w:pPr>
          </w:p>
        </w:tc>
        <w:tc>
          <w:tcPr>
            <w:tcW w:w="2368" w:type="dxa"/>
            <w:gridSpan w:val="3"/>
            <w:vAlign w:val="center"/>
          </w:tcPr>
          <w:p w14:paraId="0C5D350F">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拟在本项目任职</w:t>
            </w:r>
          </w:p>
        </w:tc>
        <w:tc>
          <w:tcPr>
            <w:tcW w:w="1896" w:type="dxa"/>
            <w:vAlign w:val="center"/>
          </w:tcPr>
          <w:p w14:paraId="4DE6BB24">
            <w:pPr>
              <w:spacing w:line="400" w:lineRule="exact"/>
              <w:jc w:val="center"/>
              <w:rPr>
                <w:rFonts w:asciiTheme="minorEastAsia" w:hAnsiTheme="minorEastAsia" w:eastAsiaTheme="minorEastAsia"/>
                <w:color w:val="auto"/>
                <w:highlight w:val="none"/>
              </w:rPr>
            </w:pPr>
          </w:p>
        </w:tc>
      </w:tr>
      <w:tr w14:paraId="676C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1D5A5C18">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工作年限</w:t>
            </w:r>
          </w:p>
        </w:tc>
        <w:tc>
          <w:tcPr>
            <w:tcW w:w="3071" w:type="dxa"/>
            <w:gridSpan w:val="4"/>
            <w:vAlign w:val="center"/>
          </w:tcPr>
          <w:p w14:paraId="10A53A8A">
            <w:pPr>
              <w:spacing w:line="400" w:lineRule="exact"/>
              <w:jc w:val="center"/>
              <w:rPr>
                <w:rFonts w:asciiTheme="minorEastAsia" w:hAnsiTheme="minorEastAsia" w:eastAsiaTheme="minorEastAsia"/>
                <w:color w:val="auto"/>
                <w:highlight w:val="none"/>
              </w:rPr>
            </w:pPr>
          </w:p>
        </w:tc>
        <w:tc>
          <w:tcPr>
            <w:tcW w:w="2368" w:type="dxa"/>
            <w:gridSpan w:val="3"/>
            <w:vAlign w:val="center"/>
          </w:tcPr>
          <w:p w14:paraId="53EACAD9">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从事监理工作年限</w:t>
            </w:r>
          </w:p>
        </w:tc>
        <w:tc>
          <w:tcPr>
            <w:tcW w:w="1896" w:type="dxa"/>
            <w:vAlign w:val="center"/>
          </w:tcPr>
          <w:p w14:paraId="305CDF93">
            <w:pPr>
              <w:spacing w:line="400" w:lineRule="exact"/>
              <w:jc w:val="center"/>
              <w:rPr>
                <w:rFonts w:asciiTheme="minorEastAsia" w:hAnsiTheme="minorEastAsia" w:eastAsiaTheme="minorEastAsia"/>
                <w:color w:val="auto"/>
                <w:highlight w:val="none"/>
              </w:rPr>
            </w:pPr>
          </w:p>
        </w:tc>
      </w:tr>
      <w:tr w14:paraId="547F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6E174288">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毕业学校</w:t>
            </w:r>
          </w:p>
        </w:tc>
        <w:tc>
          <w:tcPr>
            <w:tcW w:w="7335" w:type="dxa"/>
            <w:gridSpan w:val="8"/>
            <w:vAlign w:val="center"/>
          </w:tcPr>
          <w:p w14:paraId="34D3C33A">
            <w:pPr>
              <w:spacing w:before="100" w:beforeAutospacing="1" w:after="100" w:afterAutospacing="1" w:line="400" w:lineRule="exact"/>
              <w:ind w:firstLine="1155" w:firstLineChars="550"/>
              <w:rPr>
                <w:rFonts w:asciiTheme="minorEastAsia" w:hAnsiTheme="minorEastAsia" w:eastAsiaTheme="minorEastAsia"/>
                <w:color w:val="auto"/>
                <w:highlight w:val="none"/>
              </w:rPr>
            </w:pPr>
            <w:r>
              <w:rPr>
                <w:rFonts w:asciiTheme="minorEastAsia" w:hAnsiTheme="minorEastAsia" w:eastAsiaTheme="minorEastAsia"/>
                <w:color w:val="auto"/>
                <w:highlight w:val="none"/>
              </w:rPr>
              <w:t>年毕业于            学校        专业</w:t>
            </w:r>
          </w:p>
        </w:tc>
      </w:tr>
      <w:tr w14:paraId="2135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4CDBC920">
            <w:pPr>
              <w:spacing w:before="100" w:beforeAutospacing="1" w:after="100" w:afterAutospacing="1" w:line="400" w:lineRule="exact"/>
              <w:jc w:val="left"/>
              <w:rPr>
                <w:rFonts w:asciiTheme="minorEastAsia" w:hAnsiTheme="minorEastAsia" w:eastAsiaTheme="minorEastAsia"/>
                <w:color w:val="auto"/>
                <w:highlight w:val="none"/>
              </w:rPr>
            </w:pPr>
            <w:r>
              <w:rPr>
                <w:rFonts w:asciiTheme="minorEastAsia" w:hAnsiTheme="minorEastAsia" w:eastAsiaTheme="minorEastAsia"/>
                <w:color w:val="auto"/>
                <w:highlight w:val="none"/>
              </w:rPr>
              <w:t>主要工作经历</w:t>
            </w:r>
          </w:p>
        </w:tc>
      </w:tr>
      <w:tr w14:paraId="5F4B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vAlign w:val="center"/>
          </w:tcPr>
          <w:p w14:paraId="099BEBAB">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时  间</w:t>
            </w:r>
          </w:p>
        </w:tc>
        <w:tc>
          <w:tcPr>
            <w:tcW w:w="3420" w:type="dxa"/>
            <w:gridSpan w:val="4"/>
            <w:vAlign w:val="center"/>
          </w:tcPr>
          <w:p w14:paraId="5E74A323">
            <w:pPr>
              <w:spacing w:before="100" w:beforeAutospacing="1" w:after="100" w:afterAutospacing="1" w:line="400" w:lineRule="exact"/>
              <w:jc w:val="center"/>
              <w:rPr>
                <w:rFonts w:hint="eastAsia" w:asciiTheme="minorEastAsia" w:hAnsiTheme="minorEastAsia" w:eastAsiaTheme="minorEastAsia"/>
                <w:color w:val="auto"/>
                <w:highlight w:val="none"/>
                <w:lang w:val="en-US" w:eastAsia="zh-CN"/>
              </w:rPr>
            </w:pPr>
            <w:r>
              <w:rPr>
                <w:rFonts w:asciiTheme="minorEastAsia" w:hAnsiTheme="minorEastAsia" w:eastAsiaTheme="minorEastAsia"/>
                <w:color w:val="auto"/>
                <w:highlight w:val="none"/>
              </w:rPr>
              <w:t>参加过的项目</w:t>
            </w:r>
            <w:r>
              <w:rPr>
                <w:rFonts w:hint="eastAsia" w:asciiTheme="minorEastAsia" w:hAnsiTheme="minorEastAsia" w:eastAsiaTheme="minorEastAsia"/>
                <w:color w:val="auto"/>
                <w:highlight w:val="none"/>
                <w:lang w:val="en-US" w:eastAsia="zh-CN"/>
              </w:rPr>
              <w:t>业绩</w:t>
            </w:r>
          </w:p>
        </w:tc>
        <w:tc>
          <w:tcPr>
            <w:tcW w:w="1261" w:type="dxa"/>
            <w:vAlign w:val="center"/>
          </w:tcPr>
          <w:p w14:paraId="656BA206">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担任职务</w:t>
            </w:r>
          </w:p>
        </w:tc>
        <w:tc>
          <w:tcPr>
            <w:tcW w:w="2297" w:type="dxa"/>
            <w:gridSpan w:val="2"/>
            <w:vAlign w:val="center"/>
          </w:tcPr>
          <w:p w14:paraId="2E507086">
            <w:pPr>
              <w:spacing w:before="100" w:beforeAutospacing="1" w:after="100" w:afterAutospacing="1" w:line="400" w:lineRule="exact"/>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委托人及联系电话</w:t>
            </w:r>
          </w:p>
        </w:tc>
      </w:tr>
      <w:tr w14:paraId="4C5B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tcPr>
          <w:p w14:paraId="2A774A6B">
            <w:pPr>
              <w:spacing w:line="400" w:lineRule="exact"/>
              <w:rPr>
                <w:rFonts w:asciiTheme="minorEastAsia" w:hAnsiTheme="minorEastAsia" w:eastAsiaTheme="minorEastAsia"/>
                <w:color w:val="auto"/>
                <w:highlight w:val="none"/>
              </w:rPr>
            </w:pPr>
          </w:p>
        </w:tc>
        <w:tc>
          <w:tcPr>
            <w:tcW w:w="3420" w:type="dxa"/>
            <w:gridSpan w:val="4"/>
          </w:tcPr>
          <w:p w14:paraId="4BDAC89F">
            <w:pPr>
              <w:spacing w:line="400" w:lineRule="exact"/>
              <w:rPr>
                <w:rFonts w:asciiTheme="minorEastAsia" w:hAnsiTheme="minorEastAsia" w:eastAsiaTheme="minorEastAsia"/>
                <w:color w:val="auto"/>
                <w:highlight w:val="none"/>
              </w:rPr>
            </w:pPr>
          </w:p>
        </w:tc>
        <w:tc>
          <w:tcPr>
            <w:tcW w:w="1261" w:type="dxa"/>
          </w:tcPr>
          <w:p w14:paraId="7A831D16">
            <w:pPr>
              <w:spacing w:line="400" w:lineRule="exact"/>
              <w:rPr>
                <w:rFonts w:asciiTheme="minorEastAsia" w:hAnsiTheme="minorEastAsia" w:eastAsiaTheme="minorEastAsia"/>
                <w:color w:val="auto"/>
                <w:highlight w:val="none"/>
              </w:rPr>
            </w:pPr>
          </w:p>
        </w:tc>
        <w:tc>
          <w:tcPr>
            <w:tcW w:w="2297" w:type="dxa"/>
            <w:gridSpan w:val="2"/>
          </w:tcPr>
          <w:p w14:paraId="47D98CBF">
            <w:pPr>
              <w:spacing w:line="400" w:lineRule="exact"/>
              <w:rPr>
                <w:rFonts w:asciiTheme="minorEastAsia" w:hAnsiTheme="minorEastAsia" w:eastAsiaTheme="minorEastAsia"/>
                <w:color w:val="auto"/>
                <w:highlight w:val="none"/>
              </w:rPr>
            </w:pPr>
          </w:p>
        </w:tc>
      </w:tr>
      <w:tr w14:paraId="10C5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tcPr>
          <w:p w14:paraId="7B606DD4">
            <w:pPr>
              <w:spacing w:line="400" w:lineRule="exact"/>
              <w:rPr>
                <w:rFonts w:asciiTheme="minorEastAsia" w:hAnsiTheme="minorEastAsia" w:eastAsiaTheme="minorEastAsia"/>
                <w:color w:val="auto"/>
                <w:highlight w:val="none"/>
              </w:rPr>
            </w:pPr>
          </w:p>
        </w:tc>
        <w:tc>
          <w:tcPr>
            <w:tcW w:w="3420" w:type="dxa"/>
            <w:gridSpan w:val="4"/>
          </w:tcPr>
          <w:p w14:paraId="3CC0E44E">
            <w:pPr>
              <w:spacing w:line="400" w:lineRule="exact"/>
              <w:rPr>
                <w:rFonts w:asciiTheme="minorEastAsia" w:hAnsiTheme="minorEastAsia" w:eastAsiaTheme="minorEastAsia"/>
                <w:color w:val="auto"/>
                <w:highlight w:val="none"/>
              </w:rPr>
            </w:pPr>
          </w:p>
        </w:tc>
        <w:tc>
          <w:tcPr>
            <w:tcW w:w="1261" w:type="dxa"/>
          </w:tcPr>
          <w:p w14:paraId="7E618AE8">
            <w:pPr>
              <w:spacing w:line="400" w:lineRule="exact"/>
              <w:rPr>
                <w:rFonts w:asciiTheme="minorEastAsia" w:hAnsiTheme="minorEastAsia" w:eastAsiaTheme="minorEastAsia"/>
                <w:color w:val="auto"/>
                <w:highlight w:val="none"/>
              </w:rPr>
            </w:pPr>
          </w:p>
        </w:tc>
        <w:tc>
          <w:tcPr>
            <w:tcW w:w="2297" w:type="dxa"/>
            <w:gridSpan w:val="2"/>
          </w:tcPr>
          <w:p w14:paraId="0B37C06C">
            <w:pPr>
              <w:spacing w:line="400" w:lineRule="exact"/>
              <w:rPr>
                <w:rFonts w:asciiTheme="minorEastAsia" w:hAnsiTheme="minorEastAsia" w:eastAsiaTheme="minorEastAsia"/>
                <w:color w:val="auto"/>
                <w:highlight w:val="none"/>
              </w:rPr>
            </w:pPr>
          </w:p>
        </w:tc>
      </w:tr>
      <w:tr w14:paraId="0742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tcPr>
          <w:p w14:paraId="3C9B997B">
            <w:pPr>
              <w:spacing w:line="400" w:lineRule="exact"/>
              <w:rPr>
                <w:rFonts w:asciiTheme="minorEastAsia" w:hAnsiTheme="minorEastAsia" w:eastAsiaTheme="minorEastAsia"/>
                <w:color w:val="auto"/>
                <w:highlight w:val="none"/>
              </w:rPr>
            </w:pPr>
          </w:p>
        </w:tc>
        <w:tc>
          <w:tcPr>
            <w:tcW w:w="3420" w:type="dxa"/>
            <w:gridSpan w:val="4"/>
          </w:tcPr>
          <w:p w14:paraId="4CD36CC0">
            <w:pPr>
              <w:spacing w:line="400" w:lineRule="exact"/>
              <w:rPr>
                <w:rFonts w:asciiTheme="minorEastAsia" w:hAnsiTheme="minorEastAsia" w:eastAsiaTheme="minorEastAsia"/>
                <w:color w:val="auto"/>
                <w:highlight w:val="none"/>
              </w:rPr>
            </w:pPr>
          </w:p>
        </w:tc>
        <w:tc>
          <w:tcPr>
            <w:tcW w:w="1261" w:type="dxa"/>
          </w:tcPr>
          <w:p w14:paraId="181910D6">
            <w:pPr>
              <w:spacing w:line="400" w:lineRule="exact"/>
              <w:rPr>
                <w:rFonts w:asciiTheme="minorEastAsia" w:hAnsiTheme="minorEastAsia" w:eastAsiaTheme="minorEastAsia"/>
                <w:color w:val="auto"/>
                <w:highlight w:val="none"/>
              </w:rPr>
            </w:pPr>
          </w:p>
        </w:tc>
        <w:tc>
          <w:tcPr>
            <w:tcW w:w="2297" w:type="dxa"/>
            <w:gridSpan w:val="2"/>
          </w:tcPr>
          <w:p w14:paraId="5C2EBB2A">
            <w:pPr>
              <w:spacing w:line="400" w:lineRule="exact"/>
              <w:rPr>
                <w:rFonts w:asciiTheme="minorEastAsia" w:hAnsiTheme="minorEastAsia" w:eastAsiaTheme="minorEastAsia"/>
                <w:color w:val="auto"/>
                <w:highlight w:val="none"/>
              </w:rPr>
            </w:pPr>
          </w:p>
        </w:tc>
      </w:tr>
      <w:tr w14:paraId="5A0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vAlign w:val="center"/>
          </w:tcPr>
          <w:p w14:paraId="1C75C4FF">
            <w:pPr>
              <w:spacing w:line="400" w:lineRule="exact"/>
              <w:rPr>
                <w:rFonts w:asciiTheme="minorEastAsia" w:hAnsiTheme="minorEastAsia" w:eastAsiaTheme="minorEastAsia"/>
                <w:color w:val="auto"/>
                <w:highlight w:val="none"/>
              </w:rPr>
            </w:pPr>
          </w:p>
        </w:tc>
        <w:tc>
          <w:tcPr>
            <w:tcW w:w="3420" w:type="dxa"/>
            <w:gridSpan w:val="4"/>
            <w:vAlign w:val="center"/>
          </w:tcPr>
          <w:p w14:paraId="6F37DF20">
            <w:pPr>
              <w:spacing w:line="400" w:lineRule="exact"/>
              <w:rPr>
                <w:rFonts w:asciiTheme="minorEastAsia" w:hAnsiTheme="minorEastAsia" w:eastAsiaTheme="minorEastAsia"/>
                <w:color w:val="auto"/>
                <w:highlight w:val="none"/>
              </w:rPr>
            </w:pPr>
          </w:p>
        </w:tc>
        <w:tc>
          <w:tcPr>
            <w:tcW w:w="1261" w:type="dxa"/>
            <w:vAlign w:val="center"/>
          </w:tcPr>
          <w:p w14:paraId="2B85A524">
            <w:pPr>
              <w:spacing w:line="400" w:lineRule="exact"/>
              <w:rPr>
                <w:rFonts w:asciiTheme="minorEastAsia" w:hAnsiTheme="minorEastAsia" w:eastAsiaTheme="minorEastAsia"/>
                <w:color w:val="auto"/>
                <w:highlight w:val="none"/>
              </w:rPr>
            </w:pPr>
          </w:p>
        </w:tc>
        <w:tc>
          <w:tcPr>
            <w:tcW w:w="2297" w:type="dxa"/>
            <w:gridSpan w:val="2"/>
            <w:vAlign w:val="center"/>
          </w:tcPr>
          <w:p w14:paraId="493E9F77">
            <w:pPr>
              <w:spacing w:line="400" w:lineRule="exact"/>
              <w:rPr>
                <w:rFonts w:asciiTheme="minorEastAsia" w:hAnsiTheme="minorEastAsia" w:eastAsiaTheme="minorEastAsia"/>
                <w:color w:val="auto"/>
                <w:highlight w:val="none"/>
              </w:rPr>
            </w:pPr>
          </w:p>
        </w:tc>
      </w:tr>
      <w:tr w14:paraId="6176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vAlign w:val="center"/>
          </w:tcPr>
          <w:p w14:paraId="55B56EDC">
            <w:pPr>
              <w:spacing w:line="400" w:lineRule="exact"/>
              <w:rPr>
                <w:rFonts w:asciiTheme="minorEastAsia" w:hAnsiTheme="minorEastAsia" w:eastAsiaTheme="minorEastAsia"/>
                <w:color w:val="auto"/>
                <w:highlight w:val="none"/>
              </w:rPr>
            </w:pPr>
          </w:p>
        </w:tc>
        <w:tc>
          <w:tcPr>
            <w:tcW w:w="3420" w:type="dxa"/>
            <w:gridSpan w:val="4"/>
            <w:vAlign w:val="center"/>
          </w:tcPr>
          <w:p w14:paraId="41C1B228">
            <w:pPr>
              <w:spacing w:line="400" w:lineRule="exact"/>
              <w:rPr>
                <w:rFonts w:asciiTheme="minorEastAsia" w:hAnsiTheme="minorEastAsia" w:eastAsiaTheme="minorEastAsia"/>
                <w:color w:val="auto"/>
                <w:highlight w:val="none"/>
              </w:rPr>
            </w:pPr>
          </w:p>
        </w:tc>
        <w:tc>
          <w:tcPr>
            <w:tcW w:w="1261" w:type="dxa"/>
            <w:vAlign w:val="center"/>
          </w:tcPr>
          <w:p w14:paraId="7B8399BE">
            <w:pPr>
              <w:spacing w:line="400" w:lineRule="exact"/>
              <w:rPr>
                <w:rFonts w:asciiTheme="minorEastAsia" w:hAnsiTheme="minorEastAsia" w:eastAsiaTheme="minorEastAsia"/>
                <w:color w:val="auto"/>
                <w:highlight w:val="none"/>
              </w:rPr>
            </w:pPr>
          </w:p>
        </w:tc>
        <w:tc>
          <w:tcPr>
            <w:tcW w:w="2297" w:type="dxa"/>
            <w:gridSpan w:val="2"/>
            <w:vAlign w:val="center"/>
          </w:tcPr>
          <w:p w14:paraId="451BCD18">
            <w:pPr>
              <w:spacing w:line="400" w:lineRule="exact"/>
              <w:rPr>
                <w:rFonts w:asciiTheme="minorEastAsia" w:hAnsiTheme="minorEastAsia" w:eastAsiaTheme="minorEastAsia"/>
                <w:color w:val="auto"/>
                <w:highlight w:val="none"/>
              </w:rPr>
            </w:pPr>
          </w:p>
        </w:tc>
      </w:tr>
      <w:tr w14:paraId="6321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vAlign w:val="center"/>
          </w:tcPr>
          <w:p w14:paraId="5F09A77A">
            <w:pPr>
              <w:spacing w:line="400" w:lineRule="exact"/>
              <w:rPr>
                <w:rFonts w:asciiTheme="minorEastAsia" w:hAnsiTheme="minorEastAsia" w:eastAsiaTheme="minorEastAsia"/>
                <w:color w:val="auto"/>
                <w:highlight w:val="none"/>
              </w:rPr>
            </w:pPr>
          </w:p>
        </w:tc>
        <w:tc>
          <w:tcPr>
            <w:tcW w:w="3420" w:type="dxa"/>
            <w:gridSpan w:val="4"/>
            <w:vAlign w:val="center"/>
          </w:tcPr>
          <w:p w14:paraId="18B51BAD">
            <w:pPr>
              <w:spacing w:line="400" w:lineRule="exact"/>
              <w:rPr>
                <w:rFonts w:asciiTheme="minorEastAsia" w:hAnsiTheme="minorEastAsia" w:eastAsiaTheme="minorEastAsia"/>
                <w:color w:val="auto"/>
                <w:highlight w:val="none"/>
              </w:rPr>
            </w:pPr>
          </w:p>
        </w:tc>
        <w:tc>
          <w:tcPr>
            <w:tcW w:w="1261" w:type="dxa"/>
            <w:vAlign w:val="center"/>
          </w:tcPr>
          <w:p w14:paraId="6D44BAD8">
            <w:pPr>
              <w:spacing w:line="400" w:lineRule="exact"/>
              <w:rPr>
                <w:rFonts w:asciiTheme="minorEastAsia" w:hAnsiTheme="minorEastAsia" w:eastAsiaTheme="minorEastAsia"/>
                <w:color w:val="auto"/>
                <w:highlight w:val="none"/>
              </w:rPr>
            </w:pPr>
          </w:p>
        </w:tc>
        <w:tc>
          <w:tcPr>
            <w:tcW w:w="2297" w:type="dxa"/>
            <w:gridSpan w:val="2"/>
            <w:vAlign w:val="center"/>
          </w:tcPr>
          <w:p w14:paraId="1BC0A6FE">
            <w:pPr>
              <w:spacing w:line="400" w:lineRule="exact"/>
              <w:rPr>
                <w:rFonts w:asciiTheme="minorEastAsia" w:hAnsiTheme="minorEastAsia" w:eastAsiaTheme="minorEastAsia"/>
                <w:color w:val="auto"/>
                <w:highlight w:val="none"/>
              </w:rPr>
            </w:pPr>
          </w:p>
        </w:tc>
      </w:tr>
      <w:tr w14:paraId="17BB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gridSpan w:val="2"/>
            <w:vAlign w:val="center"/>
          </w:tcPr>
          <w:p w14:paraId="7C89E729">
            <w:pPr>
              <w:spacing w:line="400" w:lineRule="exact"/>
              <w:rPr>
                <w:rFonts w:asciiTheme="minorEastAsia" w:hAnsiTheme="minorEastAsia" w:eastAsiaTheme="minorEastAsia"/>
                <w:color w:val="auto"/>
                <w:highlight w:val="none"/>
              </w:rPr>
            </w:pPr>
          </w:p>
        </w:tc>
        <w:tc>
          <w:tcPr>
            <w:tcW w:w="3420" w:type="dxa"/>
            <w:gridSpan w:val="4"/>
            <w:vAlign w:val="center"/>
          </w:tcPr>
          <w:p w14:paraId="65B38DA7">
            <w:pPr>
              <w:spacing w:line="400" w:lineRule="exact"/>
              <w:rPr>
                <w:rFonts w:asciiTheme="minorEastAsia" w:hAnsiTheme="minorEastAsia" w:eastAsiaTheme="minorEastAsia"/>
                <w:color w:val="auto"/>
                <w:highlight w:val="none"/>
              </w:rPr>
            </w:pPr>
          </w:p>
        </w:tc>
        <w:tc>
          <w:tcPr>
            <w:tcW w:w="1261" w:type="dxa"/>
            <w:vAlign w:val="center"/>
          </w:tcPr>
          <w:p w14:paraId="79B0C962">
            <w:pPr>
              <w:spacing w:line="400" w:lineRule="exact"/>
              <w:rPr>
                <w:rFonts w:asciiTheme="minorEastAsia" w:hAnsiTheme="minorEastAsia" w:eastAsiaTheme="minorEastAsia"/>
                <w:color w:val="auto"/>
                <w:highlight w:val="none"/>
              </w:rPr>
            </w:pPr>
          </w:p>
        </w:tc>
        <w:tc>
          <w:tcPr>
            <w:tcW w:w="2297" w:type="dxa"/>
            <w:gridSpan w:val="2"/>
            <w:vAlign w:val="center"/>
          </w:tcPr>
          <w:p w14:paraId="49201451">
            <w:pPr>
              <w:spacing w:line="400" w:lineRule="exact"/>
              <w:rPr>
                <w:rFonts w:asciiTheme="minorEastAsia" w:hAnsiTheme="minorEastAsia" w:eastAsiaTheme="minorEastAsia"/>
                <w:color w:val="auto"/>
                <w:highlight w:val="none"/>
              </w:rPr>
            </w:pPr>
          </w:p>
        </w:tc>
      </w:tr>
    </w:tbl>
    <w:p w14:paraId="13EB63A0">
      <w:pPr>
        <w:spacing w:line="360" w:lineRule="auto"/>
        <w:ind w:firstLine="420" w:firstLineChars="200"/>
        <w:rPr>
          <w:rFonts w:asciiTheme="minorEastAsia" w:hAnsiTheme="minorEastAsia" w:eastAsiaTheme="minorEastAsia"/>
          <w:color w:val="auto"/>
          <w:highlight w:val="none"/>
        </w:rPr>
      </w:pPr>
    </w:p>
    <w:p w14:paraId="03B621F7">
      <w:pPr>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注：</w:t>
      </w:r>
      <w:r>
        <w:rPr>
          <w:rFonts w:hint="eastAsia" w:asciiTheme="minorEastAsia" w:hAnsiTheme="minorEastAsia" w:eastAsiaTheme="minorEastAsia"/>
          <w:color w:val="auto"/>
          <w:highlight w:val="none"/>
          <w:lang w:eastAsia="zh-CN"/>
        </w:rPr>
        <w:t>竞选人</w:t>
      </w:r>
      <w:r>
        <w:rPr>
          <w:rFonts w:asciiTheme="minorEastAsia" w:hAnsiTheme="minorEastAsia" w:eastAsiaTheme="minorEastAsia"/>
          <w:color w:val="auto"/>
          <w:highlight w:val="none"/>
        </w:rPr>
        <w:t>应根据</w:t>
      </w:r>
      <w:r>
        <w:rPr>
          <w:rFonts w:hint="eastAsia" w:asciiTheme="minorEastAsia" w:hAnsiTheme="minorEastAsia" w:eastAsiaTheme="minorEastAsia"/>
          <w:color w:val="auto"/>
          <w:highlight w:val="none"/>
          <w:lang w:eastAsia="zh-CN"/>
        </w:rPr>
        <w:t>竞选人</w:t>
      </w:r>
      <w:r>
        <w:rPr>
          <w:rFonts w:asciiTheme="minorEastAsia" w:hAnsiTheme="minorEastAsia" w:eastAsiaTheme="minorEastAsia"/>
          <w:color w:val="auto"/>
          <w:highlight w:val="none"/>
        </w:rPr>
        <w:t>须知前附表第</w:t>
      </w:r>
      <w:r>
        <w:rPr>
          <w:rFonts w:hint="eastAsia" w:asciiTheme="minorEastAsia" w:hAnsiTheme="minorEastAsia" w:eastAsiaTheme="minorEastAsia"/>
          <w:color w:val="auto"/>
          <w:highlight w:val="none"/>
        </w:rPr>
        <w:t>1.4.1项</w:t>
      </w:r>
      <w:r>
        <w:rPr>
          <w:rFonts w:hint="eastAsia" w:asciiTheme="minorEastAsia" w:hAnsiTheme="minorEastAsia" w:eastAsiaTheme="minorEastAsia"/>
          <w:color w:val="auto"/>
          <w:highlight w:val="none"/>
          <w:lang w:val="en-US" w:eastAsia="zh-CN"/>
        </w:rPr>
        <w:t>要求</w:t>
      </w:r>
      <w:r>
        <w:rPr>
          <w:rFonts w:asciiTheme="minorEastAsia" w:hAnsiTheme="minorEastAsia" w:eastAsiaTheme="minorEastAsia"/>
          <w:color w:val="auto"/>
          <w:highlight w:val="none"/>
        </w:rPr>
        <w:t>在本表后附相关证明材料。</w:t>
      </w:r>
    </w:p>
    <w:p w14:paraId="4F4D04D5">
      <w:pPr>
        <w:spacing w:line="360" w:lineRule="auto"/>
        <w:rPr>
          <w:rFonts w:ascii="宋体" w:hAnsi="宋体" w:cs="宋体"/>
          <w:color w:val="auto"/>
          <w:highlight w:val="none"/>
        </w:rPr>
      </w:pPr>
    </w:p>
    <w:p w14:paraId="5289BA9A">
      <w:pPr>
        <w:pStyle w:val="7"/>
        <w:rPr>
          <w:rFonts w:ascii="宋体" w:hAnsi="宋体" w:cs="宋体"/>
          <w:color w:val="auto"/>
          <w:highlight w:val="none"/>
        </w:rPr>
      </w:pPr>
    </w:p>
    <w:p w14:paraId="2377DE41">
      <w:pPr>
        <w:rPr>
          <w:rFonts w:ascii="宋体" w:hAnsi="宋体" w:cs="宋体"/>
          <w:color w:val="auto"/>
          <w:highlight w:val="none"/>
        </w:rPr>
      </w:pPr>
    </w:p>
    <w:p w14:paraId="305811B4">
      <w:pPr>
        <w:pStyle w:val="7"/>
        <w:rPr>
          <w:rFonts w:ascii="宋体" w:hAnsi="宋体" w:cs="宋体"/>
          <w:color w:val="auto"/>
          <w:highlight w:val="none"/>
        </w:rPr>
      </w:pPr>
    </w:p>
    <w:p w14:paraId="42A9CF75">
      <w:pPr>
        <w:rPr>
          <w:rFonts w:ascii="宋体" w:hAnsi="宋体" w:cs="宋体"/>
          <w:color w:val="auto"/>
          <w:highlight w:val="none"/>
        </w:rPr>
      </w:pPr>
    </w:p>
    <w:p w14:paraId="206DE88D">
      <w:pPr>
        <w:pStyle w:val="7"/>
        <w:rPr>
          <w:rFonts w:ascii="宋体" w:hAnsi="宋体" w:cs="宋体"/>
          <w:color w:val="auto"/>
          <w:highlight w:val="none"/>
        </w:rPr>
      </w:pPr>
    </w:p>
    <w:p w14:paraId="539C5273">
      <w:pPr>
        <w:rPr>
          <w:rFonts w:ascii="宋体" w:hAnsi="宋体" w:cs="宋体"/>
          <w:color w:val="auto"/>
          <w:highlight w:val="none"/>
        </w:rPr>
      </w:pPr>
    </w:p>
    <w:p w14:paraId="7225467B">
      <w:pPr>
        <w:pStyle w:val="7"/>
        <w:rPr>
          <w:rFonts w:ascii="宋体" w:hAnsi="宋体" w:cs="宋体"/>
          <w:color w:val="auto"/>
          <w:highlight w:val="none"/>
        </w:rPr>
      </w:pPr>
    </w:p>
    <w:p w14:paraId="34418DD9">
      <w:pPr>
        <w:rPr>
          <w:rFonts w:ascii="宋体" w:hAnsi="宋体" w:cs="宋体"/>
          <w:color w:val="auto"/>
          <w:highlight w:val="none"/>
        </w:rPr>
      </w:pPr>
    </w:p>
    <w:p w14:paraId="5647D624">
      <w:pPr>
        <w:pStyle w:val="7"/>
        <w:rPr>
          <w:rFonts w:ascii="宋体" w:hAnsi="宋体" w:cs="宋体"/>
          <w:color w:val="auto"/>
          <w:highlight w:val="none"/>
        </w:rPr>
      </w:pPr>
    </w:p>
    <w:p w14:paraId="2AB23FE4">
      <w:pPr>
        <w:rPr>
          <w:rFonts w:ascii="宋体" w:hAnsi="宋体" w:cs="宋体"/>
          <w:color w:val="auto"/>
          <w:highlight w:val="none"/>
        </w:rPr>
      </w:pPr>
    </w:p>
    <w:p w14:paraId="32804B01">
      <w:pPr>
        <w:pStyle w:val="7"/>
        <w:rPr>
          <w:rFonts w:ascii="宋体" w:hAnsi="宋体" w:cs="宋体"/>
          <w:color w:val="auto"/>
          <w:highlight w:val="none"/>
        </w:rPr>
      </w:pPr>
    </w:p>
    <w:p w14:paraId="4EF15F90">
      <w:pPr>
        <w:rPr>
          <w:rFonts w:ascii="宋体" w:hAnsi="宋体" w:cs="宋体"/>
          <w:color w:val="auto"/>
          <w:highlight w:val="none"/>
        </w:rPr>
      </w:pPr>
    </w:p>
    <w:p w14:paraId="6015414A">
      <w:pPr>
        <w:pStyle w:val="7"/>
        <w:rPr>
          <w:color w:val="auto"/>
          <w:highlight w:val="none"/>
        </w:rPr>
      </w:pPr>
    </w:p>
    <w:p w14:paraId="2BC40187">
      <w:pPr>
        <w:pStyle w:val="7"/>
        <w:rPr>
          <w:color w:val="auto"/>
          <w:highlight w:val="none"/>
        </w:rPr>
      </w:pPr>
    </w:p>
    <w:p w14:paraId="3287D45B">
      <w:pPr>
        <w:pStyle w:val="4"/>
        <w:spacing w:before="0" w:line="360" w:lineRule="auto"/>
        <w:jc w:val="center"/>
        <w:rPr>
          <w:rFonts w:ascii="宋体" w:hAnsi="宋体" w:cs="宋体"/>
          <w:color w:val="auto"/>
          <w:highlight w:val="none"/>
        </w:rPr>
      </w:pPr>
      <w:bookmarkStart w:id="825" w:name="_Toc509218867"/>
      <w:bookmarkStart w:id="826" w:name="_Toc14121"/>
      <w:bookmarkStart w:id="827" w:name="_Toc40569221"/>
      <w:bookmarkStart w:id="828" w:name="_Toc17051"/>
      <w:bookmarkStart w:id="829" w:name="_Toc13989"/>
      <w:r>
        <w:rPr>
          <w:rFonts w:hint="eastAsia" w:ascii="宋体" w:hAnsi="宋体" w:cs="宋体"/>
          <w:b w:val="0"/>
          <w:color w:val="auto"/>
          <w:highlight w:val="none"/>
        </w:rPr>
        <w:t>（</w:t>
      </w:r>
      <w:r>
        <w:rPr>
          <w:rFonts w:hint="eastAsia" w:ascii="宋体" w:hAnsi="宋体" w:cs="宋体"/>
          <w:b w:val="0"/>
          <w:color w:val="auto"/>
          <w:highlight w:val="none"/>
          <w:lang w:val="en-US" w:eastAsia="zh-CN"/>
        </w:rPr>
        <w:t>四</w:t>
      </w:r>
      <w:r>
        <w:rPr>
          <w:rFonts w:hint="eastAsia" w:ascii="宋体" w:hAnsi="宋体" w:cs="宋体"/>
          <w:b w:val="0"/>
          <w:color w:val="auto"/>
          <w:highlight w:val="none"/>
        </w:rPr>
        <w:t>）</w:t>
      </w:r>
      <w:bookmarkEnd w:id="825"/>
      <w:r>
        <w:rPr>
          <w:rFonts w:hint="eastAsia" w:ascii="宋体" w:hAnsi="宋体" w:cs="宋体"/>
          <w:b w:val="0"/>
          <w:color w:val="auto"/>
          <w:highlight w:val="none"/>
        </w:rPr>
        <w:t>其他资料</w:t>
      </w:r>
      <w:bookmarkEnd w:id="826"/>
      <w:bookmarkEnd w:id="827"/>
      <w:bookmarkEnd w:id="828"/>
      <w:bookmarkEnd w:id="829"/>
    </w:p>
    <w:bookmarkEnd w:id="747"/>
    <w:bookmarkEnd w:id="748"/>
    <w:bookmarkEnd w:id="749"/>
    <w:p w14:paraId="12E9C75D">
      <w:pPr>
        <w:pStyle w:val="14"/>
        <w:numPr>
          <w:ilvl w:val="0"/>
          <w:numId w:val="5"/>
        </w:numPr>
        <w:tabs>
          <w:tab w:val="left" w:pos="786"/>
        </w:tabs>
        <w:rPr>
          <w:color w:val="auto"/>
          <w:highlight w:val="none"/>
        </w:rPr>
      </w:pPr>
      <w:r>
        <w:rPr>
          <w:rFonts w:hint="eastAsia"/>
          <w:color w:val="auto"/>
          <w:highlight w:val="none"/>
        </w:rPr>
        <w:t>......</w:t>
      </w:r>
      <w:r>
        <w:rPr>
          <w:color w:val="auto"/>
          <w:highlight w:val="none"/>
        </w:rPr>
        <w:tab/>
      </w:r>
    </w:p>
    <w:p w14:paraId="28976FF7">
      <w:pPr>
        <w:rPr>
          <w:color w:val="auto"/>
          <w:highlight w:val="none"/>
        </w:rPr>
      </w:pPr>
    </w:p>
    <w:p w14:paraId="6388FD64">
      <w:pPr>
        <w:pStyle w:val="14"/>
        <w:rPr>
          <w:color w:val="auto"/>
          <w:highlight w:val="none"/>
        </w:rPr>
      </w:pPr>
    </w:p>
    <w:p w14:paraId="77F4E2A6">
      <w:pPr>
        <w:rPr>
          <w:color w:val="auto"/>
          <w:highlight w:val="none"/>
        </w:rPr>
      </w:pPr>
    </w:p>
    <w:p w14:paraId="3C016B76">
      <w:pPr>
        <w:pStyle w:val="14"/>
        <w:rPr>
          <w:color w:val="auto"/>
          <w:highlight w:val="none"/>
        </w:rPr>
      </w:pPr>
    </w:p>
    <w:p w14:paraId="35D176B4">
      <w:pPr>
        <w:rPr>
          <w:color w:val="auto"/>
          <w:highlight w:val="none"/>
        </w:rPr>
      </w:pPr>
    </w:p>
    <w:p w14:paraId="7312CD47">
      <w:pPr>
        <w:pStyle w:val="14"/>
        <w:rPr>
          <w:color w:val="auto"/>
          <w:highlight w:val="none"/>
        </w:rPr>
      </w:pPr>
    </w:p>
    <w:p w14:paraId="5426CF2D">
      <w:pPr>
        <w:rPr>
          <w:color w:val="auto"/>
          <w:highlight w:val="none"/>
        </w:rPr>
      </w:pPr>
    </w:p>
    <w:p w14:paraId="5C8511CC">
      <w:pPr>
        <w:pStyle w:val="14"/>
        <w:rPr>
          <w:color w:val="auto"/>
          <w:highlight w:val="none"/>
        </w:rPr>
      </w:pPr>
    </w:p>
    <w:p w14:paraId="355169F0">
      <w:pPr>
        <w:rPr>
          <w:color w:val="auto"/>
          <w:highlight w:val="none"/>
        </w:rPr>
      </w:pPr>
    </w:p>
    <w:p w14:paraId="26AF5159">
      <w:pPr>
        <w:rPr>
          <w:color w:val="auto"/>
          <w:highlight w:val="none"/>
        </w:rPr>
      </w:pPr>
    </w:p>
    <w:p w14:paraId="232A2236">
      <w:pPr>
        <w:pStyle w:val="14"/>
        <w:jc w:val="center"/>
        <w:rPr>
          <w:rFonts w:hint="eastAsia"/>
          <w:color w:val="auto"/>
          <w:highlight w:val="none"/>
        </w:rPr>
      </w:pPr>
    </w:p>
    <w:p w14:paraId="6499AF00">
      <w:pPr>
        <w:pStyle w:val="14"/>
        <w:jc w:val="center"/>
        <w:rPr>
          <w:rFonts w:hint="eastAsia"/>
          <w:color w:val="auto"/>
          <w:highlight w:val="none"/>
        </w:rPr>
      </w:pPr>
    </w:p>
    <w:p w14:paraId="5E40368A">
      <w:pPr>
        <w:pStyle w:val="14"/>
        <w:jc w:val="center"/>
        <w:rPr>
          <w:rFonts w:hint="eastAsia"/>
          <w:color w:val="auto"/>
          <w:highlight w:val="none"/>
        </w:rPr>
      </w:pPr>
    </w:p>
    <w:p w14:paraId="08BD365B">
      <w:pPr>
        <w:pStyle w:val="14"/>
        <w:jc w:val="center"/>
        <w:rPr>
          <w:rFonts w:hint="eastAsia"/>
          <w:color w:val="auto"/>
          <w:highlight w:val="none"/>
        </w:rPr>
      </w:pPr>
    </w:p>
    <w:p w14:paraId="09A0BD39">
      <w:pPr>
        <w:pStyle w:val="14"/>
        <w:jc w:val="center"/>
        <w:rPr>
          <w:rFonts w:hint="eastAsia"/>
          <w:color w:val="auto"/>
          <w:highlight w:val="none"/>
        </w:rPr>
      </w:pPr>
    </w:p>
    <w:p w14:paraId="7BFC9FD2">
      <w:pPr>
        <w:pStyle w:val="14"/>
        <w:jc w:val="center"/>
        <w:rPr>
          <w:rFonts w:hint="eastAsia"/>
          <w:color w:val="auto"/>
          <w:highlight w:val="none"/>
        </w:rPr>
      </w:pPr>
    </w:p>
    <w:p w14:paraId="5FD3451B">
      <w:pPr>
        <w:pStyle w:val="14"/>
        <w:jc w:val="center"/>
        <w:rPr>
          <w:rFonts w:hint="eastAsia"/>
          <w:color w:val="auto"/>
          <w:highlight w:val="none"/>
        </w:rPr>
      </w:pPr>
    </w:p>
    <w:p w14:paraId="5A5D573C">
      <w:pPr>
        <w:pStyle w:val="14"/>
        <w:jc w:val="center"/>
        <w:rPr>
          <w:color w:val="auto"/>
          <w:highlight w:val="none"/>
        </w:rPr>
      </w:pPr>
      <w:r>
        <w:rPr>
          <w:rFonts w:hint="eastAsia"/>
          <w:color w:val="auto"/>
          <w:highlight w:val="none"/>
        </w:rPr>
        <w:t>（结束）</w:t>
      </w:r>
    </w:p>
    <w:sectPr>
      <w:footerReference r:id="rId7" w:type="default"/>
      <w:pgSz w:w="11906" w:h="16838"/>
      <w:pgMar w:top="1304" w:right="1134" w:bottom="1304" w:left="1304" w:header="567" w:footer="283"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26C5">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E785">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264</w:t>
    </w:r>
    <w:r>
      <w:fldChar w:fldCharType="end"/>
    </w:r>
  </w:p>
  <w:p w14:paraId="57C280E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6453">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660C">
    <w:pPr>
      <w:pStyle w:val="12"/>
      <w:jc w:val="center"/>
    </w:pPr>
    <w:r>
      <mc:AlternateContent>
        <mc:Choice Requires="wps">
          <w:drawing>
            <wp:anchor distT="0" distB="0" distL="114300" distR="114300" simplePos="0" relativeHeight="251660288" behindDoc="0" locked="0" layoutInCell="1" allowOverlap="1">
              <wp:simplePos x="0" y="0"/>
              <wp:positionH relativeFrom="margin">
                <wp:posOffset>2945765</wp:posOffset>
              </wp:positionH>
              <wp:positionV relativeFrom="paragraph">
                <wp:posOffset>-204470</wp:posOffset>
              </wp:positionV>
              <wp:extent cx="120650" cy="3422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0650" cy="342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79CC">
                          <w:pPr>
                            <w:pStyle w:val="12"/>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1.95pt;margin-top:-16.1pt;height:26.95pt;width:9.5pt;mso-position-horizontal-relative:margin;z-index:251660288;mso-width-relative:page;mso-height-relative:page;" filled="f" stroked="f" coordsize="21600,21600" o:gfxdata="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Rwi52gAAAAoBAAAPAAAAAAAAAAEAIAAAACIAAABkcnMvZG93bnJldi54bWxQ&#10;SwECFAAUAAAACACHTuJA+5iDqy4CAABVBAAADgAAAAAAAAABACAAAAApAQAAZHJzL2Uyb0RvYy54&#10;bWxQSwUGAAAAAAYABgBZAQAAyQUAAAAA&#10;">
              <v:fill on="f" focussize="0,0"/>
              <v:stroke on="f" weight="0.5pt"/>
              <v:imagedata o:title=""/>
              <o:lock v:ext="edit" aspectratio="f"/>
              <v:textbox inset="0mm,0mm,0mm,0mm">
                <w:txbxContent>
                  <w:p w14:paraId="6C6079CC">
                    <w:pPr>
                      <w:pStyle w:val="12"/>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8ECD">
    <w:pPr>
      <w:pStyle w:val="13"/>
      <w:pBdr>
        <w:bottom w:val="none" w:color="auto" w:sz="0" w:space="1"/>
      </w:pBdr>
      <w:ind w:firstLine="540" w:firstLineChars="300"/>
      <w:jc w:val="both"/>
    </w:pPr>
    <w:r>
      <w:rPr>
        <w:rFonts w:hint="eastAsia"/>
      </w:rPr>
      <w:t xml:space="preserve">                                 </w:t>
    </w:r>
  </w:p>
  <w:p w14:paraId="386C353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462EF"/>
    <w:multiLevelType w:val="singleLevel"/>
    <w:tmpl w:val="846462EF"/>
    <w:lvl w:ilvl="0" w:tentative="0">
      <w:start w:val="3"/>
      <w:numFmt w:val="decimal"/>
      <w:suff w:val="nothing"/>
      <w:lvlText w:val="（%1）"/>
      <w:lvlJc w:val="left"/>
    </w:lvl>
  </w:abstractNum>
  <w:abstractNum w:abstractNumId="1">
    <w:nsid w:val="886BAA23"/>
    <w:multiLevelType w:val="singleLevel"/>
    <w:tmpl w:val="886BAA23"/>
    <w:lvl w:ilvl="0" w:tentative="0">
      <w:start w:val="1"/>
      <w:numFmt w:val="decimal"/>
      <w:suff w:val="nothing"/>
      <w:lvlText w:val="%1、"/>
      <w:lvlJc w:val="left"/>
    </w:lvl>
  </w:abstractNum>
  <w:abstractNum w:abstractNumId="2">
    <w:nsid w:val="047C66E1"/>
    <w:multiLevelType w:val="singleLevel"/>
    <w:tmpl w:val="047C66E1"/>
    <w:lvl w:ilvl="0" w:tentative="0">
      <w:start w:val="1"/>
      <w:numFmt w:val="chineseCounting"/>
      <w:suff w:val="space"/>
      <w:lvlText w:val="第%1部分"/>
      <w:lvlJc w:val="left"/>
      <w:rPr>
        <w:rFonts w:hint="eastAsia"/>
      </w:rPr>
    </w:lvl>
  </w:abstractNum>
  <w:abstractNum w:abstractNumId="3">
    <w:nsid w:val="076391B8"/>
    <w:multiLevelType w:val="singleLevel"/>
    <w:tmpl w:val="076391B8"/>
    <w:lvl w:ilvl="0" w:tentative="0">
      <w:start w:val="2"/>
      <w:numFmt w:val="chineseCounting"/>
      <w:suff w:val="nothing"/>
      <w:lvlText w:val="%1、"/>
      <w:lvlJc w:val="left"/>
      <w:rPr>
        <w:rFonts w:hint="eastAsia"/>
      </w:rPr>
    </w:lvl>
  </w:abstractNum>
  <w:abstractNum w:abstractNumId="4">
    <w:nsid w:val="49EA6324"/>
    <w:multiLevelType w:val="multilevel"/>
    <w:tmpl w:val="49EA6324"/>
    <w:lvl w:ilvl="0" w:tentative="0">
      <w:start w:val="1"/>
      <w:numFmt w:val="decimal"/>
      <w:lvlText w:val="%1"/>
      <w:lvlJc w:val="left"/>
      <w:pPr>
        <w:ind w:left="480" w:hanging="480"/>
      </w:pPr>
      <w:rPr>
        <w:rFonts w:hint="default"/>
        <w:sz w:val="24"/>
      </w:rPr>
    </w:lvl>
    <w:lvl w:ilvl="1" w:tentative="0">
      <w:start w:val="1"/>
      <w:numFmt w:val="decimal"/>
      <w:lvlText w:val="%1-%2"/>
      <w:lvlJc w:val="left"/>
      <w:pPr>
        <w:ind w:left="960" w:hanging="480"/>
      </w:pPr>
      <w:rPr>
        <w:rFonts w:hint="default"/>
        <w:sz w:val="24"/>
      </w:rPr>
    </w:lvl>
    <w:lvl w:ilvl="2" w:tentative="0">
      <w:start w:val="1"/>
      <w:numFmt w:val="decimal"/>
      <w:lvlText w:val="%1-%2.%3"/>
      <w:lvlJc w:val="left"/>
      <w:pPr>
        <w:ind w:left="1680" w:hanging="720"/>
      </w:pPr>
      <w:rPr>
        <w:rFonts w:hint="default"/>
        <w:sz w:val="24"/>
      </w:rPr>
    </w:lvl>
    <w:lvl w:ilvl="3" w:tentative="0">
      <w:start w:val="1"/>
      <w:numFmt w:val="decimal"/>
      <w:lvlText w:val="%1-%2.%3.%4"/>
      <w:lvlJc w:val="left"/>
      <w:pPr>
        <w:ind w:left="2520" w:hanging="1080"/>
      </w:pPr>
      <w:rPr>
        <w:rFonts w:hint="default"/>
        <w:sz w:val="24"/>
      </w:rPr>
    </w:lvl>
    <w:lvl w:ilvl="4" w:tentative="0">
      <w:start w:val="1"/>
      <w:numFmt w:val="decimal"/>
      <w:lvlText w:val="%1-%2.%3.%4.%5"/>
      <w:lvlJc w:val="left"/>
      <w:pPr>
        <w:ind w:left="3000" w:hanging="1080"/>
      </w:pPr>
      <w:rPr>
        <w:rFonts w:hint="default"/>
        <w:sz w:val="24"/>
      </w:rPr>
    </w:lvl>
    <w:lvl w:ilvl="5" w:tentative="0">
      <w:start w:val="1"/>
      <w:numFmt w:val="decimal"/>
      <w:lvlText w:val="%1-%2.%3.%4.%5.%6"/>
      <w:lvlJc w:val="left"/>
      <w:pPr>
        <w:ind w:left="3840" w:hanging="1440"/>
      </w:pPr>
      <w:rPr>
        <w:rFonts w:hint="default"/>
        <w:sz w:val="24"/>
      </w:rPr>
    </w:lvl>
    <w:lvl w:ilvl="6" w:tentative="0">
      <w:start w:val="1"/>
      <w:numFmt w:val="decimal"/>
      <w:lvlText w:val="%1-%2.%3.%4.%5.%6.%7"/>
      <w:lvlJc w:val="left"/>
      <w:pPr>
        <w:ind w:left="4320" w:hanging="1440"/>
      </w:pPr>
      <w:rPr>
        <w:rFonts w:hint="default"/>
        <w:sz w:val="24"/>
      </w:rPr>
    </w:lvl>
    <w:lvl w:ilvl="7" w:tentative="0">
      <w:start w:val="1"/>
      <w:numFmt w:val="decimal"/>
      <w:lvlText w:val="%1-%2.%3.%4.%5.%6.%7.%8"/>
      <w:lvlJc w:val="left"/>
      <w:pPr>
        <w:ind w:left="5160" w:hanging="1800"/>
      </w:pPr>
      <w:rPr>
        <w:rFonts w:hint="default"/>
        <w:sz w:val="24"/>
      </w:rPr>
    </w:lvl>
    <w:lvl w:ilvl="8" w:tentative="0">
      <w:start w:val="1"/>
      <w:numFmt w:val="decimal"/>
      <w:lvlText w:val="%1-%2.%3.%4.%5.%6.%7.%8.%9"/>
      <w:lvlJc w:val="left"/>
      <w:pPr>
        <w:ind w:left="5640" w:hanging="1800"/>
      </w:pPr>
      <w:rPr>
        <w:rFonts w:hint="default"/>
        <w:sz w:val="24"/>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OTk2YmZjZjk1ODc5MjY5ZjA2ZTRkM2U4ZGMwMmQifQ=="/>
  </w:docVars>
  <w:rsids>
    <w:rsidRoot w:val="2FFE23A7"/>
    <w:rsid w:val="00000C8E"/>
    <w:rsid w:val="00002B37"/>
    <w:rsid w:val="000033E5"/>
    <w:rsid w:val="0002722D"/>
    <w:rsid w:val="00055FDF"/>
    <w:rsid w:val="00064D13"/>
    <w:rsid w:val="00073E24"/>
    <w:rsid w:val="000A5C0C"/>
    <w:rsid w:val="000A5C3D"/>
    <w:rsid w:val="000C7527"/>
    <w:rsid w:val="000D726C"/>
    <w:rsid w:val="000E44F5"/>
    <w:rsid w:val="000F53C0"/>
    <w:rsid w:val="000F5632"/>
    <w:rsid w:val="00117163"/>
    <w:rsid w:val="00143374"/>
    <w:rsid w:val="00144007"/>
    <w:rsid w:val="00153DA9"/>
    <w:rsid w:val="001B481A"/>
    <w:rsid w:val="001B768B"/>
    <w:rsid w:val="001C2067"/>
    <w:rsid w:val="001C5BDC"/>
    <w:rsid w:val="001E6323"/>
    <w:rsid w:val="00234C90"/>
    <w:rsid w:val="002566D5"/>
    <w:rsid w:val="002629B8"/>
    <w:rsid w:val="00267283"/>
    <w:rsid w:val="002765D4"/>
    <w:rsid w:val="00294F67"/>
    <w:rsid w:val="0029634C"/>
    <w:rsid w:val="002B7C23"/>
    <w:rsid w:val="00312024"/>
    <w:rsid w:val="00313C18"/>
    <w:rsid w:val="0032001C"/>
    <w:rsid w:val="0032066B"/>
    <w:rsid w:val="0032226A"/>
    <w:rsid w:val="00322BB3"/>
    <w:rsid w:val="00342349"/>
    <w:rsid w:val="00353965"/>
    <w:rsid w:val="00354867"/>
    <w:rsid w:val="00375856"/>
    <w:rsid w:val="00387B80"/>
    <w:rsid w:val="003C2355"/>
    <w:rsid w:val="003C740C"/>
    <w:rsid w:val="003D21B2"/>
    <w:rsid w:val="004010C5"/>
    <w:rsid w:val="0040385C"/>
    <w:rsid w:val="00430E7F"/>
    <w:rsid w:val="00467B2C"/>
    <w:rsid w:val="004A7B15"/>
    <w:rsid w:val="004C05E5"/>
    <w:rsid w:val="004C4CAE"/>
    <w:rsid w:val="004C52E8"/>
    <w:rsid w:val="004C69CC"/>
    <w:rsid w:val="004E2A3C"/>
    <w:rsid w:val="004F65F7"/>
    <w:rsid w:val="005370DE"/>
    <w:rsid w:val="00542DF8"/>
    <w:rsid w:val="00556464"/>
    <w:rsid w:val="005604C1"/>
    <w:rsid w:val="005763A9"/>
    <w:rsid w:val="005776C6"/>
    <w:rsid w:val="00583DD2"/>
    <w:rsid w:val="00613AB1"/>
    <w:rsid w:val="00637EEC"/>
    <w:rsid w:val="00651304"/>
    <w:rsid w:val="00663D2E"/>
    <w:rsid w:val="00682E4A"/>
    <w:rsid w:val="00694480"/>
    <w:rsid w:val="006B4869"/>
    <w:rsid w:val="00724A8C"/>
    <w:rsid w:val="007257AD"/>
    <w:rsid w:val="00727D64"/>
    <w:rsid w:val="007358D2"/>
    <w:rsid w:val="00742199"/>
    <w:rsid w:val="00755DF0"/>
    <w:rsid w:val="00782E30"/>
    <w:rsid w:val="007A3440"/>
    <w:rsid w:val="007B781D"/>
    <w:rsid w:val="007C065A"/>
    <w:rsid w:val="007C3D1C"/>
    <w:rsid w:val="007E0EA6"/>
    <w:rsid w:val="007E2BAD"/>
    <w:rsid w:val="00804464"/>
    <w:rsid w:val="00805E18"/>
    <w:rsid w:val="00813FC0"/>
    <w:rsid w:val="0082335B"/>
    <w:rsid w:val="00823CFA"/>
    <w:rsid w:val="00831EDC"/>
    <w:rsid w:val="00844310"/>
    <w:rsid w:val="0084511E"/>
    <w:rsid w:val="0084759E"/>
    <w:rsid w:val="00847BE4"/>
    <w:rsid w:val="008550AD"/>
    <w:rsid w:val="00865809"/>
    <w:rsid w:val="00885C3B"/>
    <w:rsid w:val="0089167A"/>
    <w:rsid w:val="008921BD"/>
    <w:rsid w:val="008C7427"/>
    <w:rsid w:val="009054EA"/>
    <w:rsid w:val="00934868"/>
    <w:rsid w:val="00942580"/>
    <w:rsid w:val="009710EC"/>
    <w:rsid w:val="00971741"/>
    <w:rsid w:val="00973B42"/>
    <w:rsid w:val="0099102C"/>
    <w:rsid w:val="009A36C0"/>
    <w:rsid w:val="009A6B27"/>
    <w:rsid w:val="009B6E03"/>
    <w:rsid w:val="009D1E1D"/>
    <w:rsid w:val="009D3690"/>
    <w:rsid w:val="00A21778"/>
    <w:rsid w:val="00A42E85"/>
    <w:rsid w:val="00A82919"/>
    <w:rsid w:val="00AA21E7"/>
    <w:rsid w:val="00AB1CD5"/>
    <w:rsid w:val="00AC2F56"/>
    <w:rsid w:val="00AC52CF"/>
    <w:rsid w:val="00AD5691"/>
    <w:rsid w:val="00AE702E"/>
    <w:rsid w:val="00AF5A6D"/>
    <w:rsid w:val="00B0343C"/>
    <w:rsid w:val="00B263E7"/>
    <w:rsid w:val="00B32474"/>
    <w:rsid w:val="00B47711"/>
    <w:rsid w:val="00B727C6"/>
    <w:rsid w:val="00B861DD"/>
    <w:rsid w:val="00BA273E"/>
    <w:rsid w:val="00BC6456"/>
    <w:rsid w:val="00BD0A58"/>
    <w:rsid w:val="00BD1D2F"/>
    <w:rsid w:val="00C17192"/>
    <w:rsid w:val="00C203EA"/>
    <w:rsid w:val="00C36B5B"/>
    <w:rsid w:val="00C46144"/>
    <w:rsid w:val="00C6663C"/>
    <w:rsid w:val="00CD4C57"/>
    <w:rsid w:val="00CD6064"/>
    <w:rsid w:val="00CF7EB4"/>
    <w:rsid w:val="00D11AD0"/>
    <w:rsid w:val="00D21BA6"/>
    <w:rsid w:val="00D41C61"/>
    <w:rsid w:val="00D861DD"/>
    <w:rsid w:val="00D9771E"/>
    <w:rsid w:val="00DB0D93"/>
    <w:rsid w:val="00DD2D76"/>
    <w:rsid w:val="00DD46EB"/>
    <w:rsid w:val="00DF1354"/>
    <w:rsid w:val="00E1048D"/>
    <w:rsid w:val="00E16280"/>
    <w:rsid w:val="00E303D2"/>
    <w:rsid w:val="00E47489"/>
    <w:rsid w:val="00E52C41"/>
    <w:rsid w:val="00E62407"/>
    <w:rsid w:val="00E64A3E"/>
    <w:rsid w:val="00E74EBA"/>
    <w:rsid w:val="00EA14CA"/>
    <w:rsid w:val="00EC2B24"/>
    <w:rsid w:val="00ED563F"/>
    <w:rsid w:val="00EE086B"/>
    <w:rsid w:val="00EE0E6A"/>
    <w:rsid w:val="00EE14E7"/>
    <w:rsid w:val="00EE1B33"/>
    <w:rsid w:val="00F008E3"/>
    <w:rsid w:val="00F12567"/>
    <w:rsid w:val="00F4239F"/>
    <w:rsid w:val="00F50A5C"/>
    <w:rsid w:val="00F85312"/>
    <w:rsid w:val="00FB2307"/>
    <w:rsid w:val="00FB666A"/>
    <w:rsid w:val="00FC4AFE"/>
    <w:rsid w:val="00FC4DE1"/>
    <w:rsid w:val="0101295B"/>
    <w:rsid w:val="011A58BF"/>
    <w:rsid w:val="01203623"/>
    <w:rsid w:val="01211AD4"/>
    <w:rsid w:val="01357F39"/>
    <w:rsid w:val="014C08E4"/>
    <w:rsid w:val="014F4893"/>
    <w:rsid w:val="0156352C"/>
    <w:rsid w:val="01606066"/>
    <w:rsid w:val="018938E5"/>
    <w:rsid w:val="01943A5A"/>
    <w:rsid w:val="019D6E0D"/>
    <w:rsid w:val="01CD415B"/>
    <w:rsid w:val="01D3669D"/>
    <w:rsid w:val="01DA7BBE"/>
    <w:rsid w:val="01EC2AB6"/>
    <w:rsid w:val="02044401"/>
    <w:rsid w:val="02054EE3"/>
    <w:rsid w:val="02160F0D"/>
    <w:rsid w:val="021D21E9"/>
    <w:rsid w:val="02266A44"/>
    <w:rsid w:val="022877CA"/>
    <w:rsid w:val="023B2665"/>
    <w:rsid w:val="02693AEB"/>
    <w:rsid w:val="02745AB3"/>
    <w:rsid w:val="027658FA"/>
    <w:rsid w:val="027809B6"/>
    <w:rsid w:val="0293255D"/>
    <w:rsid w:val="02B746E6"/>
    <w:rsid w:val="02C414C0"/>
    <w:rsid w:val="02CB1EC8"/>
    <w:rsid w:val="02D4401F"/>
    <w:rsid w:val="02DD40E6"/>
    <w:rsid w:val="02E1151B"/>
    <w:rsid w:val="02F2317F"/>
    <w:rsid w:val="03062D2F"/>
    <w:rsid w:val="03083E17"/>
    <w:rsid w:val="030D278A"/>
    <w:rsid w:val="0317641E"/>
    <w:rsid w:val="032145A1"/>
    <w:rsid w:val="03247659"/>
    <w:rsid w:val="03265180"/>
    <w:rsid w:val="0338470A"/>
    <w:rsid w:val="033A0C2B"/>
    <w:rsid w:val="03526D1B"/>
    <w:rsid w:val="03546813"/>
    <w:rsid w:val="035624C1"/>
    <w:rsid w:val="035B1CDD"/>
    <w:rsid w:val="039447DF"/>
    <w:rsid w:val="03B17681"/>
    <w:rsid w:val="03BE50C8"/>
    <w:rsid w:val="03C9092D"/>
    <w:rsid w:val="03D8510C"/>
    <w:rsid w:val="03DC2C52"/>
    <w:rsid w:val="03E0702B"/>
    <w:rsid w:val="03E94B2B"/>
    <w:rsid w:val="03F813BD"/>
    <w:rsid w:val="04003C23"/>
    <w:rsid w:val="040F50BD"/>
    <w:rsid w:val="0410603C"/>
    <w:rsid w:val="04116A0A"/>
    <w:rsid w:val="042C2334"/>
    <w:rsid w:val="04493B13"/>
    <w:rsid w:val="0454369D"/>
    <w:rsid w:val="04713BE2"/>
    <w:rsid w:val="04844854"/>
    <w:rsid w:val="04881106"/>
    <w:rsid w:val="048F5F6A"/>
    <w:rsid w:val="04974B34"/>
    <w:rsid w:val="04A00C18"/>
    <w:rsid w:val="04BA018F"/>
    <w:rsid w:val="04DC6ABB"/>
    <w:rsid w:val="04E40345"/>
    <w:rsid w:val="050829F7"/>
    <w:rsid w:val="051060E7"/>
    <w:rsid w:val="051C4A8C"/>
    <w:rsid w:val="052E1B4C"/>
    <w:rsid w:val="05485154"/>
    <w:rsid w:val="05524952"/>
    <w:rsid w:val="0562046B"/>
    <w:rsid w:val="058E3945"/>
    <w:rsid w:val="058F0259"/>
    <w:rsid w:val="05C4339F"/>
    <w:rsid w:val="05E608E0"/>
    <w:rsid w:val="05ED7633"/>
    <w:rsid w:val="05F03069"/>
    <w:rsid w:val="05FB176F"/>
    <w:rsid w:val="05FE5F77"/>
    <w:rsid w:val="060D02D3"/>
    <w:rsid w:val="06164261"/>
    <w:rsid w:val="06254CBA"/>
    <w:rsid w:val="06262D05"/>
    <w:rsid w:val="06401908"/>
    <w:rsid w:val="0640415C"/>
    <w:rsid w:val="06477725"/>
    <w:rsid w:val="06862B05"/>
    <w:rsid w:val="068B2114"/>
    <w:rsid w:val="06AF2A09"/>
    <w:rsid w:val="06B65E46"/>
    <w:rsid w:val="06BD19F7"/>
    <w:rsid w:val="06C4362D"/>
    <w:rsid w:val="06E87DA0"/>
    <w:rsid w:val="06FB78A3"/>
    <w:rsid w:val="06FE70E5"/>
    <w:rsid w:val="0706182A"/>
    <w:rsid w:val="0721638A"/>
    <w:rsid w:val="07263260"/>
    <w:rsid w:val="07397B77"/>
    <w:rsid w:val="073B7D2E"/>
    <w:rsid w:val="07736497"/>
    <w:rsid w:val="078801B7"/>
    <w:rsid w:val="07891945"/>
    <w:rsid w:val="07990616"/>
    <w:rsid w:val="079C3F54"/>
    <w:rsid w:val="079E0602"/>
    <w:rsid w:val="07A01BFB"/>
    <w:rsid w:val="07A721BC"/>
    <w:rsid w:val="07B70B97"/>
    <w:rsid w:val="07C80EFB"/>
    <w:rsid w:val="07E13187"/>
    <w:rsid w:val="07E86661"/>
    <w:rsid w:val="07F0210F"/>
    <w:rsid w:val="07F77615"/>
    <w:rsid w:val="08063A96"/>
    <w:rsid w:val="081863CD"/>
    <w:rsid w:val="08193505"/>
    <w:rsid w:val="081B2A9D"/>
    <w:rsid w:val="083A65ED"/>
    <w:rsid w:val="08400A92"/>
    <w:rsid w:val="08417246"/>
    <w:rsid w:val="084726CB"/>
    <w:rsid w:val="085207C5"/>
    <w:rsid w:val="08523812"/>
    <w:rsid w:val="08606B5E"/>
    <w:rsid w:val="087B7B7B"/>
    <w:rsid w:val="08955281"/>
    <w:rsid w:val="08A2174C"/>
    <w:rsid w:val="08A47CC5"/>
    <w:rsid w:val="08B40BC8"/>
    <w:rsid w:val="08BB45BC"/>
    <w:rsid w:val="08BD01E8"/>
    <w:rsid w:val="08C82CD4"/>
    <w:rsid w:val="08CC0577"/>
    <w:rsid w:val="08D63513"/>
    <w:rsid w:val="08F00271"/>
    <w:rsid w:val="08F5557E"/>
    <w:rsid w:val="08FF7AB1"/>
    <w:rsid w:val="092A4825"/>
    <w:rsid w:val="09362DF6"/>
    <w:rsid w:val="093B34DE"/>
    <w:rsid w:val="093C394F"/>
    <w:rsid w:val="09414AC1"/>
    <w:rsid w:val="0983157E"/>
    <w:rsid w:val="099C619C"/>
    <w:rsid w:val="09AA3A1D"/>
    <w:rsid w:val="09B918AE"/>
    <w:rsid w:val="09BC0874"/>
    <w:rsid w:val="09C73BE8"/>
    <w:rsid w:val="09D973F0"/>
    <w:rsid w:val="09E244F6"/>
    <w:rsid w:val="09E3331E"/>
    <w:rsid w:val="09E73EFC"/>
    <w:rsid w:val="09F2261F"/>
    <w:rsid w:val="09F86B2A"/>
    <w:rsid w:val="0A067AB9"/>
    <w:rsid w:val="0A100804"/>
    <w:rsid w:val="0A194254"/>
    <w:rsid w:val="0A3347BC"/>
    <w:rsid w:val="0A4355DA"/>
    <w:rsid w:val="0A44068A"/>
    <w:rsid w:val="0A4D02BF"/>
    <w:rsid w:val="0A652A31"/>
    <w:rsid w:val="0A67133D"/>
    <w:rsid w:val="0A6A57A5"/>
    <w:rsid w:val="0A767412"/>
    <w:rsid w:val="0A7E1D45"/>
    <w:rsid w:val="0ACA49B1"/>
    <w:rsid w:val="0ADE5E64"/>
    <w:rsid w:val="0AF22B35"/>
    <w:rsid w:val="0AF4377F"/>
    <w:rsid w:val="0B161F7E"/>
    <w:rsid w:val="0B1A5CD3"/>
    <w:rsid w:val="0B424B21"/>
    <w:rsid w:val="0B493381"/>
    <w:rsid w:val="0B4D7E8E"/>
    <w:rsid w:val="0B6308E9"/>
    <w:rsid w:val="0B720E7E"/>
    <w:rsid w:val="0B765350"/>
    <w:rsid w:val="0B7A42BB"/>
    <w:rsid w:val="0B89066D"/>
    <w:rsid w:val="0B893308"/>
    <w:rsid w:val="0B9424C2"/>
    <w:rsid w:val="0B980BE5"/>
    <w:rsid w:val="0BB35A1E"/>
    <w:rsid w:val="0BE30AB2"/>
    <w:rsid w:val="0BE46766"/>
    <w:rsid w:val="0BE9219E"/>
    <w:rsid w:val="0BF41BB0"/>
    <w:rsid w:val="0BFE16AF"/>
    <w:rsid w:val="0C3A7C0E"/>
    <w:rsid w:val="0C4652FF"/>
    <w:rsid w:val="0C483FFD"/>
    <w:rsid w:val="0C5E3A4D"/>
    <w:rsid w:val="0C6C1608"/>
    <w:rsid w:val="0C7C0616"/>
    <w:rsid w:val="0C847C19"/>
    <w:rsid w:val="0C880DDD"/>
    <w:rsid w:val="0C8D0F7C"/>
    <w:rsid w:val="0C954478"/>
    <w:rsid w:val="0CA361B6"/>
    <w:rsid w:val="0CB52C05"/>
    <w:rsid w:val="0CB64DE3"/>
    <w:rsid w:val="0CC110D6"/>
    <w:rsid w:val="0CEB6AB4"/>
    <w:rsid w:val="0CFF4934"/>
    <w:rsid w:val="0D215CDD"/>
    <w:rsid w:val="0D2A00A8"/>
    <w:rsid w:val="0D5079C9"/>
    <w:rsid w:val="0D57447A"/>
    <w:rsid w:val="0D5877C5"/>
    <w:rsid w:val="0D5D3E94"/>
    <w:rsid w:val="0D6C4DF7"/>
    <w:rsid w:val="0D8608DB"/>
    <w:rsid w:val="0DA97B2E"/>
    <w:rsid w:val="0DC4745D"/>
    <w:rsid w:val="0DCB16CB"/>
    <w:rsid w:val="0DCF5CF9"/>
    <w:rsid w:val="0DEC1F6C"/>
    <w:rsid w:val="0E0235FA"/>
    <w:rsid w:val="0E040685"/>
    <w:rsid w:val="0E230EB5"/>
    <w:rsid w:val="0E3B6343"/>
    <w:rsid w:val="0E403B88"/>
    <w:rsid w:val="0E444E5D"/>
    <w:rsid w:val="0E4534DB"/>
    <w:rsid w:val="0E4608B9"/>
    <w:rsid w:val="0E673732"/>
    <w:rsid w:val="0E72571D"/>
    <w:rsid w:val="0E78488F"/>
    <w:rsid w:val="0EB27D45"/>
    <w:rsid w:val="0EC24252"/>
    <w:rsid w:val="0EC82AF5"/>
    <w:rsid w:val="0EF60B8A"/>
    <w:rsid w:val="0EF67285"/>
    <w:rsid w:val="0F455F0B"/>
    <w:rsid w:val="0F5D63CD"/>
    <w:rsid w:val="0F821F29"/>
    <w:rsid w:val="0F852E27"/>
    <w:rsid w:val="0F951311"/>
    <w:rsid w:val="0F986B8D"/>
    <w:rsid w:val="0F9A17AC"/>
    <w:rsid w:val="0F9C7197"/>
    <w:rsid w:val="0F9F0794"/>
    <w:rsid w:val="0FAB3072"/>
    <w:rsid w:val="0FBD6E6C"/>
    <w:rsid w:val="0FBF2F33"/>
    <w:rsid w:val="0FC02886"/>
    <w:rsid w:val="0FCC70AF"/>
    <w:rsid w:val="0FD3043D"/>
    <w:rsid w:val="0FDC535A"/>
    <w:rsid w:val="0FE070FA"/>
    <w:rsid w:val="0FE25C4D"/>
    <w:rsid w:val="0FE721C0"/>
    <w:rsid w:val="0FEA7759"/>
    <w:rsid w:val="0FED6DF6"/>
    <w:rsid w:val="0FF37FCF"/>
    <w:rsid w:val="10035202"/>
    <w:rsid w:val="100449C4"/>
    <w:rsid w:val="10166261"/>
    <w:rsid w:val="101964F1"/>
    <w:rsid w:val="1020362D"/>
    <w:rsid w:val="102410F0"/>
    <w:rsid w:val="102A5B16"/>
    <w:rsid w:val="102C3B1F"/>
    <w:rsid w:val="10604498"/>
    <w:rsid w:val="106A794E"/>
    <w:rsid w:val="106D12E6"/>
    <w:rsid w:val="10B1077E"/>
    <w:rsid w:val="10B24586"/>
    <w:rsid w:val="10DD5A17"/>
    <w:rsid w:val="10F20D97"/>
    <w:rsid w:val="10F40931"/>
    <w:rsid w:val="10F96D68"/>
    <w:rsid w:val="10FB17CA"/>
    <w:rsid w:val="10FD46D7"/>
    <w:rsid w:val="11006C13"/>
    <w:rsid w:val="110462C6"/>
    <w:rsid w:val="11072F7B"/>
    <w:rsid w:val="11081443"/>
    <w:rsid w:val="110B4BB3"/>
    <w:rsid w:val="11424701"/>
    <w:rsid w:val="114A26A0"/>
    <w:rsid w:val="117F3285"/>
    <w:rsid w:val="1183400E"/>
    <w:rsid w:val="11A364C4"/>
    <w:rsid w:val="11B03549"/>
    <w:rsid w:val="11BD7AD1"/>
    <w:rsid w:val="11C16DD7"/>
    <w:rsid w:val="11D73AFA"/>
    <w:rsid w:val="120668A8"/>
    <w:rsid w:val="120C2E7A"/>
    <w:rsid w:val="12196881"/>
    <w:rsid w:val="1227056E"/>
    <w:rsid w:val="12284B16"/>
    <w:rsid w:val="122A4C8C"/>
    <w:rsid w:val="12492F13"/>
    <w:rsid w:val="125C0251"/>
    <w:rsid w:val="125D2F7F"/>
    <w:rsid w:val="126B6F2D"/>
    <w:rsid w:val="126F0FE9"/>
    <w:rsid w:val="129C0FBA"/>
    <w:rsid w:val="129F2B53"/>
    <w:rsid w:val="12A845A8"/>
    <w:rsid w:val="12B40AA7"/>
    <w:rsid w:val="12B66520"/>
    <w:rsid w:val="12EF66A7"/>
    <w:rsid w:val="13045EFF"/>
    <w:rsid w:val="13161850"/>
    <w:rsid w:val="13451652"/>
    <w:rsid w:val="134F24D1"/>
    <w:rsid w:val="135178CB"/>
    <w:rsid w:val="135E26A6"/>
    <w:rsid w:val="136A730B"/>
    <w:rsid w:val="136E75D7"/>
    <w:rsid w:val="13704D68"/>
    <w:rsid w:val="138A175B"/>
    <w:rsid w:val="1390697B"/>
    <w:rsid w:val="13CC2943"/>
    <w:rsid w:val="13D61E18"/>
    <w:rsid w:val="14117786"/>
    <w:rsid w:val="144B713C"/>
    <w:rsid w:val="144F242A"/>
    <w:rsid w:val="145D5680"/>
    <w:rsid w:val="14783019"/>
    <w:rsid w:val="147A7952"/>
    <w:rsid w:val="14A20FD8"/>
    <w:rsid w:val="14C21B6F"/>
    <w:rsid w:val="14D9462E"/>
    <w:rsid w:val="14E05160"/>
    <w:rsid w:val="14F13869"/>
    <w:rsid w:val="14F44840"/>
    <w:rsid w:val="14FB46BE"/>
    <w:rsid w:val="150A4901"/>
    <w:rsid w:val="15162933"/>
    <w:rsid w:val="15171E45"/>
    <w:rsid w:val="1518746B"/>
    <w:rsid w:val="151C5F20"/>
    <w:rsid w:val="151E65FF"/>
    <w:rsid w:val="15325BF5"/>
    <w:rsid w:val="15360D63"/>
    <w:rsid w:val="153B2D0D"/>
    <w:rsid w:val="1558382C"/>
    <w:rsid w:val="156C1118"/>
    <w:rsid w:val="15701865"/>
    <w:rsid w:val="15790A9D"/>
    <w:rsid w:val="15A80ED6"/>
    <w:rsid w:val="15D41132"/>
    <w:rsid w:val="15D564C4"/>
    <w:rsid w:val="15DE44D2"/>
    <w:rsid w:val="15E77AEE"/>
    <w:rsid w:val="15EB6829"/>
    <w:rsid w:val="15EE7D7F"/>
    <w:rsid w:val="15F22A10"/>
    <w:rsid w:val="15F2470E"/>
    <w:rsid w:val="15F7061B"/>
    <w:rsid w:val="16005D04"/>
    <w:rsid w:val="16105F47"/>
    <w:rsid w:val="16184816"/>
    <w:rsid w:val="162923AE"/>
    <w:rsid w:val="167909DF"/>
    <w:rsid w:val="167D7C9E"/>
    <w:rsid w:val="16981EF7"/>
    <w:rsid w:val="169D3553"/>
    <w:rsid w:val="169E2CE6"/>
    <w:rsid w:val="16A55C77"/>
    <w:rsid w:val="16B25250"/>
    <w:rsid w:val="16B408AE"/>
    <w:rsid w:val="16B45F24"/>
    <w:rsid w:val="16C032D5"/>
    <w:rsid w:val="16F2564D"/>
    <w:rsid w:val="16F56DA3"/>
    <w:rsid w:val="170A20BB"/>
    <w:rsid w:val="171B2680"/>
    <w:rsid w:val="172D48D7"/>
    <w:rsid w:val="173F71BF"/>
    <w:rsid w:val="17542391"/>
    <w:rsid w:val="17555615"/>
    <w:rsid w:val="1779404E"/>
    <w:rsid w:val="17955DED"/>
    <w:rsid w:val="179A111C"/>
    <w:rsid w:val="179A5FEC"/>
    <w:rsid w:val="17BF5E77"/>
    <w:rsid w:val="17C80364"/>
    <w:rsid w:val="17D31922"/>
    <w:rsid w:val="17D6734C"/>
    <w:rsid w:val="17DA4A5F"/>
    <w:rsid w:val="18475615"/>
    <w:rsid w:val="184D5B81"/>
    <w:rsid w:val="18682902"/>
    <w:rsid w:val="187023B0"/>
    <w:rsid w:val="18714C97"/>
    <w:rsid w:val="188576FD"/>
    <w:rsid w:val="188C6DAC"/>
    <w:rsid w:val="18DD4E57"/>
    <w:rsid w:val="18EB68A6"/>
    <w:rsid w:val="18FD277E"/>
    <w:rsid w:val="19006747"/>
    <w:rsid w:val="19197809"/>
    <w:rsid w:val="191E097B"/>
    <w:rsid w:val="192A24B1"/>
    <w:rsid w:val="19311DD7"/>
    <w:rsid w:val="19362169"/>
    <w:rsid w:val="19420F57"/>
    <w:rsid w:val="194817FC"/>
    <w:rsid w:val="194A2E13"/>
    <w:rsid w:val="194B0481"/>
    <w:rsid w:val="194F38AF"/>
    <w:rsid w:val="19735F7B"/>
    <w:rsid w:val="198124BA"/>
    <w:rsid w:val="19892807"/>
    <w:rsid w:val="19B678E2"/>
    <w:rsid w:val="19DE010A"/>
    <w:rsid w:val="19F0407C"/>
    <w:rsid w:val="1A0A6E6B"/>
    <w:rsid w:val="1A1E49AB"/>
    <w:rsid w:val="1A270452"/>
    <w:rsid w:val="1A2D15F7"/>
    <w:rsid w:val="1A3E2420"/>
    <w:rsid w:val="1A3E537D"/>
    <w:rsid w:val="1A4B30EF"/>
    <w:rsid w:val="1A4D7795"/>
    <w:rsid w:val="1A582C70"/>
    <w:rsid w:val="1A6F47E7"/>
    <w:rsid w:val="1A75281D"/>
    <w:rsid w:val="1A796EDA"/>
    <w:rsid w:val="1AC3373C"/>
    <w:rsid w:val="1AC35115"/>
    <w:rsid w:val="1AC5074E"/>
    <w:rsid w:val="1ACC23CB"/>
    <w:rsid w:val="1AEE43A6"/>
    <w:rsid w:val="1AF21F11"/>
    <w:rsid w:val="1AF720E7"/>
    <w:rsid w:val="1B083050"/>
    <w:rsid w:val="1B177D78"/>
    <w:rsid w:val="1B375AAA"/>
    <w:rsid w:val="1B4D5E7C"/>
    <w:rsid w:val="1B711F43"/>
    <w:rsid w:val="1B7D59C4"/>
    <w:rsid w:val="1B9851D1"/>
    <w:rsid w:val="1BA42D2D"/>
    <w:rsid w:val="1BAD4238"/>
    <w:rsid w:val="1BAE39CB"/>
    <w:rsid w:val="1BC05D1A"/>
    <w:rsid w:val="1BCD35DA"/>
    <w:rsid w:val="1C033E58"/>
    <w:rsid w:val="1C085913"/>
    <w:rsid w:val="1C1351EB"/>
    <w:rsid w:val="1C1C57EF"/>
    <w:rsid w:val="1C27223D"/>
    <w:rsid w:val="1C2D6A5C"/>
    <w:rsid w:val="1C3C21A2"/>
    <w:rsid w:val="1C4042D7"/>
    <w:rsid w:val="1C435741"/>
    <w:rsid w:val="1C5921A5"/>
    <w:rsid w:val="1C5D7A0C"/>
    <w:rsid w:val="1C765B70"/>
    <w:rsid w:val="1C7A5BF0"/>
    <w:rsid w:val="1C921F6C"/>
    <w:rsid w:val="1C950DC8"/>
    <w:rsid w:val="1C9C1682"/>
    <w:rsid w:val="1CB30543"/>
    <w:rsid w:val="1CB82636"/>
    <w:rsid w:val="1CC91557"/>
    <w:rsid w:val="1CD221A8"/>
    <w:rsid w:val="1CE83BE7"/>
    <w:rsid w:val="1CF345C3"/>
    <w:rsid w:val="1CF611BA"/>
    <w:rsid w:val="1D0E319D"/>
    <w:rsid w:val="1D126A49"/>
    <w:rsid w:val="1D147D3C"/>
    <w:rsid w:val="1D26133C"/>
    <w:rsid w:val="1D3811FA"/>
    <w:rsid w:val="1D466FB9"/>
    <w:rsid w:val="1D617193"/>
    <w:rsid w:val="1D694302"/>
    <w:rsid w:val="1D840FC9"/>
    <w:rsid w:val="1D867D1A"/>
    <w:rsid w:val="1DB96644"/>
    <w:rsid w:val="1DDE4001"/>
    <w:rsid w:val="1DDF4D1C"/>
    <w:rsid w:val="1DED6D0F"/>
    <w:rsid w:val="1DF20628"/>
    <w:rsid w:val="1E0F6B52"/>
    <w:rsid w:val="1E18679A"/>
    <w:rsid w:val="1E28404A"/>
    <w:rsid w:val="1E567BD3"/>
    <w:rsid w:val="1E6731D5"/>
    <w:rsid w:val="1E7320C1"/>
    <w:rsid w:val="1E810345"/>
    <w:rsid w:val="1E83397D"/>
    <w:rsid w:val="1E8A0CAA"/>
    <w:rsid w:val="1E8C5541"/>
    <w:rsid w:val="1EA72DE0"/>
    <w:rsid w:val="1EAC7E0A"/>
    <w:rsid w:val="1EC42614"/>
    <w:rsid w:val="1ED80344"/>
    <w:rsid w:val="1EEA1677"/>
    <w:rsid w:val="1EED3E3E"/>
    <w:rsid w:val="1EF30FC6"/>
    <w:rsid w:val="1EF83F76"/>
    <w:rsid w:val="1F0079D8"/>
    <w:rsid w:val="1F046D4E"/>
    <w:rsid w:val="1F213EE7"/>
    <w:rsid w:val="1F2B6469"/>
    <w:rsid w:val="1F396135"/>
    <w:rsid w:val="1F3E7C39"/>
    <w:rsid w:val="1F494278"/>
    <w:rsid w:val="1F5275D0"/>
    <w:rsid w:val="1F675F89"/>
    <w:rsid w:val="1F9512A8"/>
    <w:rsid w:val="1FA56903"/>
    <w:rsid w:val="1FB42039"/>
    <w:rsid w:val="1FC74AFD"/>
    <w:rsid w:val="1FD15EE1"/>
    <w:rsid w:val="1FEB3CBD"/>
    <w:rsid w:val="1FF115A0"/>
    <w:rsid w:val="1FF75D21"/>
    <w:rsid w:val="1FFC6307"/>
    <w:rsid w:val="200A7EAB"/>
    <w:rsid w:val="20237641"/>
    <w:rsid w:val="20490C69"/>
    <w:rsid w:val="204A7561"/>
    <w:rsid w:val="20523E82"/>
    <w:rsid w:val="20644807"/>
    <w:rsid w:val="206A303B"/>
    <w:rsid w:val="206F2EC4"/>
    <w:rsid w:val="207A752A"/>
    <w:rsid w:val="20810B23"/>
    <w:rsid w:val="2082196C"/>
    <w:rsid w:val="20850437"/>
    <w:rsid w:val="208C6B12"/>
    <w:rsid w:val="209C2DA4"/>
    <w:rsid w:val="20A0611A"/>
    <w:rsid w:val="20AD0837"/>
    <w:rsid w:val="20DA783F"/>
    <w:rsid w:val="210A0830"/>
    <w:rsid w:val="2136082C"/>
    <w:rsid w:val="213F2A78"/>
    <w:rsid w:val="21414E27"/>
    <w:rsid w:val="21640601"/>
    <w:rsid w:val="218868EF"/>
    <w:rsid w:val="218B7BAB"/>
    <w:rsid w:val="218F5E02"/>
    <w:rsid w:val="219B50F6"/>
    <w:rsid w:val="219D08AB"/>
    <w:rsid w:val="219F63D1"/>
    <w:rsid w:val="21AD0AEE"/>
    <w:rsid w:val="21AE6EC6"/>
    <w:rsid w:val="21AF0D0A"/>
    <w:rsid w:val="21B30E0B"/>
    <w:rsid w:val="21C00CE5"/>
    <w:rsid w:val="21C2344F"/>
    <w:rsid w:val="21C268AC"/>
    <w:rsid w:val="21CC4F72"/>
    <w:rsid w:val="21CE0281"/>
    <w:rsid w:val="21D50E6D"/>
    <w:rsid w:val="22123F32"/>
    <w:rsid w:val="2227225B"/>
    <w:rsid w:val="22325497"/>
    <w:rsid w:val="223814FD"/>
    <w:rsid w:val="22423EB7"/>
    <w:rsid w:val="225533A0"/>
    <w:rsid w:val="225B49EE"/>
    <w:rsid w:val="2260404C"/>
    <w:rsid w:val="22696FFE"/>
    <w:rsid w:val="227C6D79"/>
    <w:rsid w:val="22A7378F"/>
    <w:rsid w:val="22B3482A"/>
    <w:rsid w:val="22CC1448"/>
    <w:rsid w:val="22E14EBC"/>
    <w:rsid w:val="22F369D5"/>
    <w:rsid w:val="22F64004"/>
    <w:rsid w:val="233B0B10"/>
    <w:rsid w:val="236E24FF"/>
    <w:rsid w:val="239C57B8"/>
    <w:rsid w:val="23A3664D"/>
    <w:rsid w:val="23FC376D"/>
    <w:rsid w:val="23FC7916"/>
    <w:rsid w:val="240024A9"/>
    <w:rsid w:val="24022841"/>
    <w:rsid w:val="242B448F"/>
    <w:rsid w:val="2432352D"/>
    <w:rsid w:val="244120BC"/>
    <w:rsid w:val="246833F2"/>
    <w:rsid w:val="24704055"/>
    <w:rsid w:val="24765B0F"/>
    <w:rsid w:val="24880E38"/>
    <w:rsid w:val="24BE72A6"/>
    <w:rsid w:val="24C06D8A"/>
    <w:rsid w:val="24C42F59"/>
    <w:rsid w:val="24C956C5"/>
    <w:rsid w:val="24F77E58"/>
    <w:rsid w:val="2501318E"/>
    <w:rsid w:val="250A44A9"/>
    <w:rsid w:val="250C6474"/>
    <w:rsid w:val="250E5063"/>
    <w:rsid w:val="251B4AC5"/>
    <w:rsid w:val="25257535"/>
    <w:rsid w:val="252A49EA"/>
    <w:rsid w:val="252F17E9"/>
    <w:rsid w:val="25424974"/>
    <w:rsid w:val="256736AA"/>
    <w:rsid w:val="257865D0"/>
    <w:rsid w:val="257A518B"/>
    <w:rsid w:val="25B61F3B"/>
    <w:rsid w:val="25BC6FBD"/>
    <w:rsid w:val="25DC5E46"/>
    <w:rsid w:val="25EE5B79"/>
    <w:rsid w:val="25F2787D"/>
    <w:rsid w:val="263737BC"/>
    <w:rsid w:val="263E46AC"/>
    <w:rsid w:val="264634B9"/>
    <w:rsid w:val="2649453F"/>
    <w:rsid w:val="26600EFE"/>
    <w:rsid w:val="266B71CA"/>
    <w:rsid w:val="268F7F2A"/>
    <w:rsid w:val="26960004"/>
    <w:rsid w:val="26971D6D"/>
    <w:rsid w:val="269C2FFA"/>
    <w:rsid w:val="26AC3A6A"/>
    <w:rsid w:val="26DA7746"/>
    <w:rsid w:val="26E66825"/>
    <w:rsid w:val="26F60996"/>
    <w:rsid w:val="27146081"/>
    <w:rsid w:val="271D5136"/>
    <w:rsid w:val="271F76D1"/>
    <w:rsid w:val="273B46F3"/>
    <w:rsid w:val="273C196F"/>
    <w:rsid w:val="273F73E6"/>
    <w:rsid w:val="274367FF"/>
    <w:rsid w:val="276726E4"/>
    <w:rsid w:val="278A7C2A"/>
    <w:rsid w:val="278B50BA"/>
    <w:rsid w:val="27CA1F96"/>
    <w:rsid w:val="27D007EA"/>
    <w:rsid w:val="27E17DF0"/>
    <w:rsid w:val="27EB411E"/>
    <w:rsid w:val="27F31454"/>
    <w:rsid w:val="28291C50"/>
    <w:rsid w:val="283C177F"/>
    <w:rsid w:val="28431326"/>
    <w:rsid w:val="285048C9"/>
    <w:rsid w:val="285068BB"/>
    <w:rsid w:val="286345FC"/>
    <w:rsid w:val="2872406D"/>
    <w:rsid w:val="28762579"/>
    <w:rsid w:val="287D4518"/>
    <w:rsid w:val="289A74C7"/>
    <w:rsid w:val="289D2BD1"/>
    <w:rsid w:val="28AF7842"/>
    <w:rsid w:val="28B0237D"/>
    <w:rsid w:val="28C36E49"/>
    <w:rsid w:val="28C82245"/>
    <w:rsid w:val="28CE63C5"/>
    <w:rsid w:val="28D361A5"/>
    <w:rsid w:val="2907582C"/>
    <w:rsid w:val="2919118E"/>
    <w:rsid w:val="29237B49"/>
    <w:rsid w:val="293C1946"/>
    <w:rsid w:val="29471828"/>
    <w:rsid w:val="294F4B81"/>
    <w:rsid w:val="295764E8"/>
    <w:rsid w:val="296364ED"/>
    <w:rsid w:val="297019AD"/>
    <w:rsid w:val="297517B3"/>
    <w:rsid w:val="297F2DF4"/>
    <w:rsid w:val="2980555E"/>
    <w:rsid w:val="29A515DC"/>
    <w:rsid w:val="29A82470"/>
    <w:rsid w:val="29D05B2A"/>
    <w:rsid w:val="29F46BF1"/>
    <w:rsid w:val="29F540A1"/>
    <w:rsid w:val="29F741CD"/>
    <w:rsid w:val="2A0B6CFA"/>
    <w:rsid w:val="2A183BA6"/>
    <w:rsid w:val="2A227FF4"/>
    <w:rsid w:val="2A491E31"/>
    <w:rsid w:val="2A5213EC"/>
    <w:rsid w:val="2A5C2BE0"/>
    <w:rsid w:val="2A5D69F0"/>
    <w:rsid w:val="2A794084"/>
    <w:rsid w:val="2A7F2862"/>
    <w:rsid w:val="2A8E3487"/>
    <w:rsid w:val="2A8F1710"/>
    <w:rsid w:val="2A98582B"/>
    <w:rsid w:val="2A9A007E"/>
    <w:rsid w:val="2AA57354"/>
    <w:rsid w:val="2AA70110"/>
    <w:rsid w:val="2AB2624A"/>
    <w:rsid w:val="2ABE000A"/>
    <w:rsid w:val="2AD119E6"/>
    <w:rsid w:val="2AD4237F"/>
    <w:rsid w:val="2AD64C4A"/>
    <w:rsid w:val="2ADE61BC"/>
    <w:rsid w:val="2AE8528D"/>
    <w:rsid w:val="2AF73315"/>
    <w:rsid w:val="2AFF0777"/>
    <w:rsid w:val="2B382E7E"/>
    <w:rsid w:val="2B3E4634"/>
    <w:rsid w:val="2B58149E"/>
    <w:rsid w:val="2B5F76F3"/>
    <w:rsid w:val="2B831A77"/>
    <w:rsid w:val="2B891836"/>
    <w:rsid w:val="2BAD443E"/>
    <w:rsid w:val="2BC77C2C"/>
    <w:rsid w:val="2BD13CE1"/>
    <w:rsid w:val="2BFC194E"/>
    <w:rsid w:val="2BFD3CA8"/>
    <w:rsid w:val="2C071F1F"/>
    <w:rsid w:val="2C161CE8"/>
    <w:rsid w:val="2C22032B"/>
    <w:rsid w:val="2C2600D1"/>
    <w:rsid w:val="2C312CA6"/>
    <w:rsid w:val="2C35096C"/>
    <w:rsid w:val="2C3E049C"/>
    <w:rsid w:val="2C504D9D"/>
    <w:rsid w:val="2C623180"/>
    <w:rsid w:val="2C680433"/>
    <w:rsid w:val="2C8132A3"/>
    <w:rsid w:val="2C822310"/>
    <w:rsid w:val="2C8A53D8"/>
    <w:rsid w:val="2C9034E6"/>
    <w:rsid w:val="2C99595D"/>
    <w:rsid w:val="2CBA7F57"/>
    <w:rsid w:val="2CBC337A"/>
    <w:rsid w:val="2CCA13EA"/>
    <w:rsid w:val="2CF95944"/>
    <w:rsid w:val="2CFE48F4"/>
    <w:rsid w:val="2D1A4251"/>
    <w:rsid w:val="2D1B339B"/>
    <w:rsid w:val="2D1C3980"/>
    <w:rsid w:val="2D236ADB"/>
    <w:rsid w:val="2D2C20B9"/>
    <w:rsid w:val="2D5409B8"/>
    <w:rsid w:val="2D654973"/>
    <w:rsid w:val="2D662B4F"/>
    <w:rsid w:val="2D732009"/>
    <w:rsid w:val="2D806F7B"/>
    <w:rsid w:val="2D905B14"/>
    <w:rsid w:val="2DA43325"/>
    <w:rsid w:val="2DDE64D3"/>
    <w:rsid w:val="2DEF2C3A"/>
    <w:rsid w:val="2DFB6960"/>
    <w:rsid w:val="2DFF1BF8"/>
    <w:rsid w:val="2E3031D3"/>
    <w:rsid w:val="2E4B57EF"/>
    <w:rsid w:val="2E4F2F2D"/>
    <w:rsid w:val="2E5E339D"/>
    <w:rsid w:val="2E730976"/>
    <w:rsid w:val="2E7902E6"/>
    <w:rsid w:val="2EBE07BC"/>
    <w:rsid w:val="2EC44E9E"/>
    <w:rsid w:val="2ED9179D"/>
    <w:rsid w:val="2ED95C08"/>
    <w:rsid w:val="2EDB4C10"/>
    <w:rsid w:val="2EEB534C"/>
    <w:rsid w:val="2EED7876"/>
    <w:rsid w:val="2EF77DE6"/>
    <w:rsid w:val="2F10090E"/>
    <w:rsid w:val="2F154697"/>
    <w:rsid w:val="2F230380"/>
    <w:rsid w:val="2F5351D7"/>
    <w:rsid w:val="2F7228AC"/>
    <w:rsid w:val="2FC71547"/>
    <w:rsid w:val="2FE45510"/>
    <w:rsid w:val="2FED29FE"/>
    <w:rsid w:val="2FFE23A7"/>
    <w:rsid w:val="2FFE4C0B"/>
    <w:rsid w:val="3007281E"/>
    <w:rsid w:val="300F503A"/>
    <w:rsid w:val="30374AE8"/>
    <w:rsid w:val="303B1BE3"/>
    <w:rsid w:val="305B3E0B"/>
    <w:rsid w:val="3062166C"/>
    <w:rsid w:val="306554F5"/>
    <w:rsid w:val="30843362"/>
    <w:rsid w:val="30A60B13"/>
    <w:rsid w:val="30B56118"/>
    <w:rsid w:val="30F37C1F"/>
    <w:rsid w:val="30FD7AC4"/>
    <w:rsid w:val="3106646D"/>
    <w:rsid w:val="31092C45"/>
    <w:rsid w:val="31135CDD"/>
    <w:rsid w:val="31160A0E"/>
    <w:rsid w:val="31210BB1"/>
    <w:rsid w:val="312C03B6"/>
    <w:rsid w:val="312D446C"/>
    <w:rsid w:val="312D7D00"/>
    <w:rsid w:val="313905F0"/>
    <w:rsid w:val="31523EA5"/>
    <w:rsid w:val="3172064C"/>
    <w:rsid w:val="31733A87"/>
    <w:rsid w:val="31853743"/>
    <w:rsid w:val="318B595E"/>
    <w:rsid w:val="318C18AE"/>
    <w:rsid w:val="318F1FBE"/>
    <w:rsid w:val="31973569"/>
    <w:rsid w:val="31AD34D0"/>
    <w:rsid w:val="31D245CA"/>
    <w:rsid w:val="31D73588"/>
    <w:rsid w:val="31DE4CF4"/>
    <w:rsid w:val="31E340B8"/>
    <w:rsid w:val="31E347F1"/>
    <w:rsid w:val="31EE13DB"/>
    <w:rsid w:val="31F555CE"/>
    <w:rsid w:val="31F913D8"/>
    <w:rsid w:val="31FB7654"/>
    <w:rsid w:val="32024E86"/>
    <w:rsid w:val="32051C37"/>
    <w:rsid w:val="3212499D"/>
    <w:rsid w:val="321E4180"/>
    <w:rsid w:val="32250B75"/>
    <w:rsid w:val="32301EC3"/>
    <w:rsid w:val="324033AF"/>
    <w:rsid w:val="32413089"/>
    <w:rsid w:val="325F7797"/>
    <w:rsid w:val="32796485"/>
    <w:rsid w:val="327A2C6E"/>
    <w:rsid w:val="32951D54"/>
    <w:rsid w:val="329F26D5"/>
    <w:rsid w:val="32A33BC6"/>
    <w:rsid w:val="32A673F0"/>
    <w:rsid w:val="32B01BFA"/>
    <w:rsid w:val="32B82CD9"/>
    <w:rsid w:val="32BD7DDA"/>
    <w:rsid w:val="32D64B33"/>
    <w:rsid w:val="32DC56D7"/>
    <w:rsid w:val="32DD5EDB"/>
    <w:rsid w:val="32F12805"/>
    <w:rsid w:val="32F316B8"/>
    <w:rsid w:val="33033FA3"/>
    <w:rsid w:val="330E18EC"/>
    <w:rsid w:val="33141EBF"/>
    <w:rsid w:val="33383360"/>
    <w:rsid w:val="33461575"/>
    <w:rsid w:val="33704C36"/>
    <w:rsid w:val="3378398B"/>
    <w:rsid w:val="337926BF"/>
    <w:rsid w:val="33934AB7"/>
    <w:rsid w:val="33EA23A5"/>
    <w:rsid w:val="33EE0FFB"/>
    <w:rsid w:val="33F8693E"/>
    <w:rsid w:val="344D358E"/>
    <w:rsid w:val="344D77BF"/>
    <w:rsid w:val="34637732"/>
    <w:rsid w:val="346C2BB5"/>
    <w:rsid w:val="347064FF"/>
    <w:rsid w:val="347D0BB7"/>
    <w:rsid w:val="34BC3B37"/>
    <w:rsid w:val="34D90BF1"/>
    <w:rsid w:val="34D94A8F"/>
    <w:rsid w:val="34F729B7"/>
    <w:rsid w:val="3543266A"/>
    <w:rsid w:val="35533A49"/>
    <w:rsid w:val="355508F0"/>
    <w:rsid w:val="355E220A"/>
    <w:rsid w:val="35697EC5"/>
    <w:rsid w:val="356B7CCB"/>
    <w:rsid w:val="35922017"/>
    <w:rsid w:val="35BA15D4"/>
    <w:rsid w:val="35BB0BF3"/>
    <w:rsid w:val="35C40BA0"/>
    <w:rsid w:val="35C80195"/>
    <w:rsid w:val="35E52AF5"/>
    <w:rsid w:val="35FF4EB1"/>
    <w:rsid w:val="36287C83"/>
    <w:rsid w:val="363E02D5"/>
    <w:rsid w:val="36406B37"/>
    <w:rsid w:val="365377F4"/>
    <w:rsid w:val="36620457"/>
    <w:rsid w:val="3668140B"/>
    <w:rsid w:val="367D0F7F"/>
    <w:rsid w:val="36812EA6"/>
    <w:rsid w:val="36A77707"/>
    <w:rsid w:val="36AB65D4"/>
    <w:rsid w:val="36B746BC"/>
    <w:rsid w:val="36CB11EA"/>
    <w:rsid w:val="36E73CCE"/>
    <w:rsid w:val="36EA62C4"/>
    <w:rsid w:val="36FB5D01"/>
    <w:rsid w:val="36FE3234"/>
    <w:rsid w:val="371D336E"/>
    <w:rsid w:val="37224563"/>
    <w:rsid w:val="37225683"/>
    <w:rsid w:val="37252584"/>
    <w:rsid w:val="37286F85"/>
    <w:rsid w:val="37341177"/>
    <w:rsid w:val="373824B6"/>
    <w:rsid w:val="37401C1F"/>
    <w:rsid w:val="37424E5A"/>
    <w:rsid w:val="3742546F"/>
    <w:rsid w:val="37524396"/>
    <w:rsid w:val="375C6793"/>
    <w:rsid w:val="37E1109A"/>
    <w:rsid w:val="37F9735D"/>
    <w:rsid w:val="38135D06"/>
    <w:rsid w:val="38147EDC"/>
    <w:rsid w:val="382633EF"/>
    <w:rsid w:val="38275D11"/>
    <w:rsid w:val="38373E4C"/>
    <w:rsid w:val="384B11A5"/>
    <w:rsid w:val="38584C11"/>
    <w:rsid w:val="38591578"/>
    <w:rsid w:val="386677F1"/>
    <w:rsid w:val="386C3B4A"/>
    <w:rsid w:val="3894435E"/>
    <w:rsid w:val="38A528A2"/>
    <w:rsid w:val="38A60DF1"/>
    <w:rsid w:val="38C728D0"/>
    <w:rsid w:val="38C9721B"/>
    <w:rsid w:val="38D34E86"/>
    <w:rsid w:val="38D76622"/>
    <w:rsid w:val="38F372D7"/>
    <w:rsid w:val="38F5268D"/>
    <w:rsid w:val="390220DA"/>
    <w:rsid w:val="390A2872"/>
    <w:rsid w:val="39116746"/>
    <w:rsid w:val="392022AF"/>
    <w:rsid w:val="39340B24"/>
    <w:rsid w:val="394311D0"/>
    <w:rsid w:val="394D1BA4"/>
    <w:rsid w:val="39525EAF"/>
    <w:rsid w:val="39536350"/>
    <w:rsid w:val="3986069A"/>
    <w:rsid w:val="39B00ABA"/>
    <w:rsid w:val="39B86DAD"/>
    <w:rsid w:val="39BE36C4"/>
    <w:rsid w:val="39D8471E"/>
    <w:rsid w:val="39E76710"/>
    <w:rsid w:val="39EB6200"/>
    <w:rsid w:val="39FE23D7"/>
    <w:rsid w:val="3A033549"/>
    <w:rsid w:val="3A0D1286"/>
    <w:rsid w:val="3A111558"/>
    <w:rsid w:val="3A141CF2"/>
    <w:rsid w:val="3A1F13E7"/>
    <w:rsid w:val="3A22777B"/>
    <w:rsid w:val="3A2B6551"/>
    <w:rsid w:val="3A387794"/>
    <w:rsid w:val="3A4B3C15"/>
    <w:rsid w:val="3A630F43"/>
    <w:rsid w:val="3A8F5030"/>
    <w:rsid w:val="3A9333FD"/>
    <w:rsid w:val="3ABF079D"/>
    <w:rsid w:val="3AC058DE"/>
    <w:rsid w:val="3AD1769C"/>
    <w:rsid w:val="3AE964FB"/>
    <w:rsid w:val="3B0D5ACF"/>
    <w:rsid w:val="3B2A2D58"/>
    <w:rsid w:val="3B3946C2"/>
    <w:rsid w:val="3B40146E"/>
    <w:rsid w:val="3B454465"/>
    <w:rsid w:val="3B771184"/>
    <w:rsid w:val="3B80094B"/>
    <w:rsid w:val="3B8B3675"/>
    <w:rsid w:val="3B8C57C0"/>
    <w:rsid w:val="3B91088E"/>
    <w:rsid w:val="3B91218D"/>
    <w:rsid w:val="3B984D63"/>
    <w:rsid w:val="3BA75ABD"/>
    <w:rsid w:val="3BAB4D14"/>
    <w:rsid w:val="3BB87D86"/>
    <w:rsid w:val="3BE421C3"/>
    <w:rsid w:val="3BED33D4"/>
    <w:rsid w:val="3BF12958"/>
    <w:rsid w:val="3BF70E8C"/>
    <w:rsid w:val="3C1E4416"/>
    <w:rsid w:val="3C2C689E"/>
    <w:rsid w:val="3C410359"/>
    <w:rsid w:val="3C4D4213"/>
    <w:rsid w:val="3C523F7C"/>
    <w:rsid w:val="3C5E0F0B"/>
    <w:rsid w:val="3C7A67EC"/>
    <w:rsid w:val="3C8D359E"/>
    <w:rsid w:val="3CA803D8"/>
    <w:rsid w:val="3CAE403E"/>
    <w:rsid w:val="3CB73432"/>
    <w:rsid w:val="3CBE5E4E"/>
    <w:rsid w:val="3CBE6E54"/>
    <w:rsid w:val="3CC13A13"/>
    <w:rsid w:val="3CDC62D4"/>
    <w:rsid w:val="3CDC6557"/>
    <w:rsid w:val="3CF81D1D"/>
    <w:rsid w:val="3D016EA4"/>
    <w:rsid w:val="3D0C0967"/>
    <w:rsid w:val="3D157F9D"/>
    <w:rsid w:val="3D1D5906"/>
    <w:rsid w:val="3D242985"/>
    <w:rsid w:val="3D296F62"/>
    <w:rsid w:val="3D31229A"/>
    <w:rsid w:val="3D387FE4"/>
    <w:rsid w:val="3D3B408D"/>
    <w:rsid w:val="3D4139CE"/>
    <w:rsid w:val="3D5200E0"/>
    <w:rsid w:val="3D622FB8"/>
    <w:rsid w:val="3D6D2331"/>
    <w:rsid w:val="3D7B288E"/>
    <w:rsid w:val="3D803103"/>
    <w:rsid w:val="3D8A134C"/>
    <w:rsid w:val="3D910C81"/>
    <w:rsid w:val="3D94164A"/>
    <w:rsid w:val="3D9D1F07"/>
    <w:rsid w:val="3DBE7895"/>
    <w:rsid w:val="3DC010BA"/>
    <w:rsid w:val="3DC4442C"/>
    <w:rsid w:val="3DC90571"/>
    <w:rsid w:val="3DE657EF"/>
    <w:rsid w:val="3E136892"/>
    <w:rsid w:val="3E23185B"/>
    <w:rsid w:val="3E2D4527"/>
    <w:rsid w:val="3E53053A"/>
    <w:rsid w:val="3E5952CD"/>
    <w:rsid w:val="3E5C591E"/>
    <w:rsid w:val="3E667632"/>
    <w:rsid w:val="3E8135D7"/>
    <w:rsid w:val="3E815E3A"/>
    <w:rsid w:val="3E9211FC"/>
    <w:rsid w:val="3EB672E8"/>
    <w:rsid w:val="3EBB0BD4"/>
    <w:rsid w:val="3EBE3EE3"/>
    <w:rsid w:val="3ED25CB2"/>
    <w:rsid w:val="3EDC2891"/>
    <w:rsid w:val="3EE5066E"/>
    <w:rsid w:val="3EF93396"/>
    <w:rsid w:val="3F03223E"/>
    <w:rsid w:val="3F132099"/>
    <w:rsid w:val="3F1E2829"/>
    <w:rsid w:val="3F317E5A"/>
    <w:rsid w:val="3F3B18E0"/>
    <w:rsid w:val="3F80388E"/>
    <w:rsid w:val="3F852C53"/>
    <w:rsid w:val="3FAA4467"/>
    <w:rsid w:val="3FB11C9A"/>
    <w:rsid w:val="3FCC3208"/>
    <w:rsid w:val="400E0E9A"/>
    <w:rsid w:val="401A20DF"/>
    <w:rsid w:val="40300E10"/>
    <w:rsid w:val="40384169"/>
    <w:rsid w:val="403F3D64"/>
    <w:rsid w:val="404E15E0"/>
    <w:rsid w:val="40703903"/>
    <w:rsid w:val="409649A1"/>
    <w:rsid w:val="409F3A5B"/>
    <w:rsid w:val="40B96025"/>
    <w:rsid w:val="40C12CBE"/>
    <w:rsid w:val="40C40EA7"/>
    <w:rsid w:val="40D179ED"/>
    <w:rsid w:val="40D70463"/>
    <w:rsid w:val="40D95004"/>
    <w:rsid w:val="40FF7229"/>
    <w:rsid w:val="410178D6"/>
    <w:rsid w:val="410445AC"/>
    <w:rsid w:val="41163884"/>
    <w:rsid w:val="412870BA"/>
    <w:rsid w:val="412A5093"/>
    <w:rsid w:val="412D7D00"/>
    <w:rsid w:val="41377F7D"/>
    <w:rsid w:val="414310DB"/>
    <w:rsid w:val="41527A82"/>
    <w:rsid w:val="4170091B"/>
    <w:rsid w:val="417C41FF"/>
    <w:rsid w:val="418B2F47"/>
    <w:rsid w:val="4198163A"/>
    <w:rsid w:val="41B415CD"/>
    <w:rsid w:val="41BE71A9"/>
    <w:rsid w:val="41C3319D"/>
    <w:rsid w:val="41CA7043"/>
    <w:rsid w:val="41CC1514"/>
    <w:rsid w:val="41F6270F"/>
    <w:rsid w:val="421856C2"/>
    <w:rsid w:val="42410916"/>
    <w:rsid w:val="424A1FDF"/>
    <w:rsid w:val="424B4C51"/>
    <w:rsid w:val="425132C0"/>
    <w:rsid w:val="42523FFF"/>
    <w:rsid w:val="42576B28"/>
    <w:rsid w:val="42911696"/>
    <w:rsid w:val="4294615F"/>
    <w:rsid w:val="42C60127"/>
    <w:rsid w:val="42CF7A53"/>
    <w:rsid w:val="42D05017"/>
    <w:rsid w:val="42D57A4D"/>
    <w:rsid w:val="43084EF8"/>
    <w:rsid w:val="432269C3"/>
    <w:rsid w:val="4335001A"/>
    <w:rsid w:val="43384333"/>
    <w:rsid w:val="434D2D32"/>
    <w:rsid w:val="43616662"/>
    <w:rsid w:val="43642539"/>
    <w:rsid w:val="4372208D"/>
    <w:rsid w:val="43A75235"/>
    <w:rsid w:val="43A871C2"/>
    <w:rsid w:val="43BE1911"/>
    <w:rsid w:val="43D45DE8"/>
    <w:rsid w:val="43DE2931"/>
    <w:rsid w:val="43FE2FD4"/>
    <w:rsid w:val="442D3EBD"/>
    <w:rsid w:val="44307C27"/>
    <w:rsid w:val="44366C11"/>
    <w:rsid w:val="44433E7C"/>
    <w:rsid w:val="44440F87"/>
    <w:rsid w:val="444924DF"/>
    <w:rsid w:val="444B685F"/>
    <w:rsid w:val="44616DE6"/>
    <w:rsid w:val="447115C6"/>
    <w:rsid w:val="447B4AD5"/>
    <w:rsid w:val="44827C1E"/>
    <w:rsid w:val="44897EF7"/>
    <w:rsid w:val="448B66CE"/>
    <w:rsid w:val="44950A0E"/>
    <w:rsid w:val="44A70245"/>
    <w:rsid w:val="44A90864"/>
    <w:rsid w:val="44D06BB2"/>
    <w:rsid w:val="44D95BAD"/>
    <w:rsid w:val="44E330C9"/>
    <w:rsid w:val="450150F5"/>
    <w:rsid w:val="45123BB5"/>
    <w:rsid w:val="452B293F"/>
    <w:rsid w:val="453F772D"/>
    <w:rsid w:val="454027D1"/>
    <w:rsid w:val="456E5A7F"/>
    <w:rsid w:val="457151C5"/>
    <w:rsid w:val="458D460F"/>
    <w:rsid w:val="459745C2"/>
    <w:rsid w:val="4597723C"/>
    <w:rsid w:val="45AC2850"/>
    <w:rsid w:val="45B5598A"/>
    <w:rsid w:val="45D24718"/>
    <w:rsid w:val="45DC1C58"/>
    <w:rsid w:val="45E00D00"/>
    <w:rsid w:val="45E43B02"/>
    <w:rsid w:val="45EA00DF"/>
    <w:rsid w:val="460B6100"/>
    <w:rsid w:val="46250CEB"/>
    <w:rsid w:val="462B4361"/>
    <w:rsid w:val="463058F6"/>
    <w:rsid w:val="464B72BF"/>
    <w:rsid w:val="46614399"/>
    <w:rsid w:val="467056B2"/>
    <w:rsid w:val="469059DD"/>
    <w:rsid w:val="46932C51"/>
    <w:rsid w:val="469A7845"/>
    <w:rsid w:val="46A47BAC"/>
    <w:rsid w:val="46B01973"/>
    <w:rsid w:val="46B45E6A"/>
    <w:rsid w:val="46C27E2B"/>
    <w:rsid w:val="46D7508C"/>
    <w:rsid w:val="46E55C26"/>
    <w:rsid w:val="46E55F3E"/>
    <w:rsid w:val="46FF161A"/>
    <w:rsid w:val="470B7EE1"/>
    <w:rsid w:val="470D6DD1"/>
    <w:rsid w:val="47155318"/>
    <w:rsid w:val="47311519"/>
    <w:rsid w:val="475353E4"/>
    <w:rsid w:val="475A6A85"/>
    <w:rsid w:val="475F2657"/>
    <w:rsid w:val="47705F96"/>
    <w:rsid w:val="4785375B"/>
    <w:rsid w:val="47B33A2C"/>
    <w:rsid w:val="47E61433"/>
    <w:rsid w:val="47EC1AC1"/>
    <w:rsid w:val="47FF56C8"/>
    <w:rsid w:val="480134F8"/>
    <w:rsid w:val="48116BD7"/>
    <w:rsid w:val="482543E5"/>
    <w:rsid w:val="482D5F52"/>
    <w:rsid w:val="48457423"/>
    <w:rsid w:val="485633DE"/>
    <w:rsid w:val="486F5DC3"/>
    <w:rsid w:val="488C6E00"/>
    <w:rsid w:val="48A70ADD"/>
    <w:rsid w:val="48C42A3E"/>
    <w:rsid w:val="48C51A56"/>
    <w:rsid w:val="49215AD9"/>
    <w:rsid w:val="492301FF"/>
    <w:rsid w:val="492573E6"/>
    <w:rsid w:val="49296D45"/>
    <w:rsid w:val="492F5A35"/>
    <w:rsid w:val="49311755"/>
    <w:rsid w:val="49363A71"/>
    <w:rsid w:val="493F1FD4"/>
    <w:rsid w:val="49495097"/>
    <w:rsid w:val="49902920"/>
    <w:rsid w:val="49902DC2"/>
    <w:rsid w:val="499917D4"/>
    <w:rsid w:val="499A6C45"/>
    <w:rsid w:val="499D328D"/>
    <w:rsid w:val="49A726F5"/>
    <w:rsid w:val="49A8358F"/>
    <w:rsid w:val="49B80EBD"/>
    <w:rsid w:val="49BD0CC2"/>
    <w:rsid w:val="49C54151"/>
    <w:rsid w:val="49D547D7"/>
    <w:rsid w:val="49D77185"/>
    <w:rsid w:val="49F1320C"/>
    <w:rsid w:val="4A067C7E"/>
    <w:rsid w:val="4A0C170B"/>
    <w:rsid w:val="4A2B06B7"/>
    <w:rsid w:val="4A2C5620"/>
    <w:rsid w:val="4A365D96"/>
    <w:rsid w:val="4A554FB6"/>
    <w:rsid w:val="4A562946"/>
    <w:rsid w:val="4A767D68"/>
    <w:rsid w:val="4A7B22B5"/>
    <w:rsid w:val="4AA21B83"/>
    <w:rsid w:val="4AA5459A"/>
    <w:rsid w:val="4AC064FF"/>
    <w:rsid w:val="4AE555A1"/>
    <w:rsid w:val="4AEC7980"/>
    <w:rsid w:val="4AF24644"/>
    <w:rsid w:val="4AFC6F42"/>
    <w:rsid w:val="4B005D50"/>
    <w:rsid w:val="4B187641"/>
    <w:rsid w:val="4B1B6FBD"/>
    <w:rsid w:val="4B35552D"/>
    <w:rsid w:val="4B6A6A72"/>
    <w:rsid w:val="4B714A4C"/>
    <w:rsid w:val="4BA3567B"/>
    <w:rsid w:val="4BA5567E"/>
    <w:rsid w:val="4BA601D9"/>
    <w:rsid w:val="4BC0291F"/>
    <w:rsid w:val="4BC44B03"/>
    <w:rsid w:val="4BC71D5F"/>
    <w:rsid w:val="4BC93952"/>
    <w:rsid w:val="4BC95900"/>
    <w:rsid w:val="4BCB40E3"/>
    <w:rsid w:val="4BD05255"/>
    <w:rsid w:val="4BD06C05"/>
    <w:rsid w:val="4BD502C1"/>
    <w:rsid w:val="4BD50ABE"/>
    <w:rsid w:val="4BE44D3D"/>
    <w:rsid w:val="4BF2341E"/>
    <w:rsid w:val="4BF337A4"/>
    <w:rsid w:val="4BFB49C8"/>
    <w:rsid w:val="4C256776"/>
    <w:rsid w:val="4C2745BE"/>
    <w:rsid w:val="4C3C0B3D"/>
    <w:rsid w:val="4C6E1633"/>
    <w:rsid w:val="4C76404F"/>
    <w:rsid w:val="4C792A51"/>
    <w:rsid w:val="4C9B3AB5"/>
    <w:rsid w:val="4C9C353F"/>
    <w:rsid w:val="4CC743C2"/>
    <w:rsid w:val="4CD46968"/>
    <w:rsid w:val="4CFD2D0A"/>
    <w:rsid w:val="4CFF24DE"/>
    <w:rsid w:val="4D0B530A"/>
    <w:rsid w:val="4D0E6B03"/>
    <w:rsid w:val="4D146C42"/>
    <w:rsid w:val="4D1A70D0"/>
    <w:rsid w:val="4D2517BB"/>
    <w:rsid w:val="4D4E0C74"/>
    <w:rsid w:val="4D526945"/>
    <w:rsid w:val="4D7E2FC1"/>
    <w:rsid w:val="4D923C85"/>
    <w:rsid w:val="4D956577"/>
    <w:rsid w:val="4DAE7D3B"/>
    <w:rsid w:val="4DC0115B"/>
    <w:rsid w:val="4DE3193D"/>
    <w:rsid w:val="4DE5696E"/>
    <w:rsid w:val="4DFF382E"/>
    <w:rsid w:val="4E151645"/>
    <w:rsid w:val="4E165694"/>
    <w:rsid w:val="4E1902F3"/>
    <w:rsid w:val="4E3A0E53"/>
    <w:rsid w:val="4E5840C4"/>
    <w:rsid w:val="4E703BAC"/>
    <w:rsid w:val="4E752EF3"/>
    <w:rsid w:val="4E9B1201"/>
    <w:rsid w:val="4EA845A6"/>
    <w:rsid w:val="4EAA7FE0"/>
    <w:rsid w:val="4EFA1D40"/>
    <w:rsid w:val="4F001AD2"/>
    <w:rsid w:val="4F0E14E5"/>
    <w:rsid w:val="4F1269F4"/>
    <w:rsid w:val="4F2F4C06"/>
    <w:rsid w:val="4F3F1986"/>
    <w:rsid w:val="4F4915A7"/>
    <w:rsid w:val="4F5D5865"/>
    <w:rsid w:val="4F5F701C"/>
    <w:rsid w:val="4F645A57"/>
    <w:rsid w:val="4F845801"/>
    <w:rsid w:val="4F9076EA"/>
    <w:rsid w:val="4F952A4C"/>
    <w:rsid w:val="4FBB5C1A"/>
    <w:rsid w:val="4FC60F8B"/>
    <w:rsid w:val="4FC6467C"/>
    <w:rsid w:val="4FD426E5"/>
    <w:rsid w:val="4FE03678"/>
    <w:rsid w:val="500876B4"/>
    <w:rsid w:val="50154308"/>
    <w:rsid w:val="502838B2"/>
    <w:rsid w:val="5058724D"/>
    <w:rsid w:val="50643E54"/>
    <w:rsid w:val="50750AED"/>
    <w:rsid w:val="50762712"/>
    <w:rsid w:val="50796737"/>
    <w:rsid w:val="5079722C"/>
    <w:rsid w:val="507F724A"/>
    <w:rsid w:val="5080644A"/>
    <w:rsid w:val="50974594"/>
    <w:rsid w:val="50AB1563"/>
    <w:rsid w:val="50CE050E"/>
    <w:rsid w:val="50D852D8"/>
    <w:rsid w:val="50DD58C1"/>
    <w:rsid w:val="511278B0"/>
    <w:rsid w:val="5125662C"/>
    <w:rsid w:val="5134684C"/>
    <w:rsid w:val="515348AE"/>
    <w:rsid w:val="51621462"/>
    <w:rsid w:val="5162632D"/>
    <w:rsid w:val="51652001"/>
    <w:rsid w:val="516A768B"/>
    <w:rsid w:val="516F7FCA"/>
    <w:rsid w:val="517E442B"/>
    <w:rsid w:val="51825244"/>
    <w:rsid w:val="51B478EA"/>
    <w:rsid w:val="51C06B27"/>
    <w:rsid w:val="51C55131"/>
    <w:rsid w:val="51C5706A"/>
    <w:rsid w:val="51CC6A9E"/>
    <w:rsid w:val="51CE0489"/>
    <w:rsid w:val="51DD645A"/>
    <w:rsid w:val="51E657D3"/>
    <w:rsid w:val="51F76393"/>
    <w:rsid w:val="51FF0DF9"/>
    <w:rsid w:val="52047456"/>
    <w:rsid w:val="521B28B9"/>
    <w:rsid w:val="52290B8A"/>
    <w:rsid w:val="522E04F4"/>
    <w:rsid w:val="52354064"/>
    <w:rsid w:val="525639E4"/>
    <w:rsid w:val="525F10E1"/>
    <w:rsid w:val="5261208C"/>
    <w:rsid w:val="52691F60"/>
    <w:rsid w:val="52846D9A"/>
    <w:rsid w:val="52A94A4A"/>
    <w:rsid w:val="52BC3484"/>
    <w:rsid w:val="52C22C4B"/>
    <w:rsid w:val="52CB68A8"/>
    <w:rsid w:val="52D4387D"/>
    <w:rsid w:val="52E15F9A"/>
    <w:rsid w:val="52E866AE"/>
    <w:rsid w:val="530750B7"/>
    <w:rsid w:val="530812C5"/>
    <w:rsid w:val="53200C5D"/>
    <w:rsid w:val="534832EF"/>
    <w:rsid w:val="535E0F14"/>
    <w:rsid w:val="536561EB"/>
    <w:rsid w:val="53706227"/>
    <w:rsid w:val="5377055A"/>
    <w:rsid w:val="539D5DA7"/>
    <w:rsid w:val="53A94D0A"/>
    <w:rsid w:val="53FF2AB9"/>
    <w:rsid w:val="54203D75"/>
    <w:rsid w:val="5435218F"/>
    <w:rsid w:val="543C4711"/>
    <w:rsid w:val="543D5B96"/>
    <w:rsid w:val="54444A33"/>
    <w:rsid w:val="54462559"/>
    <w:rsid w:val="54487D26"/>
    <w:rsid w:val="54497F22"/>
    <w:rsid w:val="545A1596"/>
    <w:rsid w:val="548A7D0C"/>
    <w:rsid w:val="549652A5"/>
    <w:rsid w:val="5499691E"/>
    <w:rsid w:val="54BC082D"/>
    <w:rsid w:val="54BE6593"/>
    <w:rsid w:val="54C857C3"/>
    <w:rsid w:val="54D8352B"/>
    <w:rsid w:val="54FA7F82"/>
    <w:rsid w:val="55307A0C"/>
    <w:rsid w:val="553A7B7B"/>
    <w:rsid w:val="55540CA5"/>
    <w:rsid w:val="556446D9"/>
    <w:rsid w:val="556665E0"/>
    <w:rsid w:val="557A4B78"/>
    <w:rsid w:val="558E68EA"/>
    <w:rsid w:val="5590733F"/>
    <w:rsid w:val="55910A92"/>
    <w:rsid w:val="559757D0"/>
    <w:rsid w:val="55975BA7"/>
    <w:rsid w:val="55A506DF"/>
    <w:rsid w:val="55AE4F5C"/>
    <w:rsid w:val="55AE6607"/>
    <w:rsid w:val="55BB5576"/>
    <w:rsid w:val="55D51354"/>
    <w:rsid w:val="55F66200"/>
    <w:rsid w:val="56002A66"/>
    <w:rsid w:val="560817B5"/>
    <w:rsid w:val="560B1D82"/>
    <w:rsid w:val="561048D4"/>
    <w:rsid w:val="561F12B3"/>
    <w:rsid w:val="563B5030"/>
    <w:rsid w:val="5645325F"/>
    <w:rsid w:val="564E6B95"/>
    <w:rsid w:val="56562848"/>
    <w:rsid w:val="566F311B"/>
    <w:rsid w:val="56757125"/>
    <w:rsid w:val="56781FA5"/>
    <w:rsid w:val="567C4958"/>
    <w:rsid w:val="56835888"/>
    <w:rsid w:val="569218C9"/>
    <w:rsid w:val="56995180"/>
    <w:rsid w:val="56AD5CE8"/>
    <w:rsid w:val="56BD031C"/>
    <w:rsid w:val="56D06A51"/>
    <w:rsid w:val="56E73D89"/>
    <w:rsid w:val="56F3629C"/>
    <w:rsid w:val="57031F7F"/>
    <w:rsid w:val="572570B3"/>
    <w:rsid w:val="572D5C52"/>
    <w:rsid w:val="573B07A2"/>
    <w:rsid w:val="573E6B31"/>
    <w:rsid w:val="575603AD"/>
    <w:rsid w:val="578D441E"/>
    <w:rsid w:val="57B51F24"/>
    <w:rsid w:val="57C73676"/>
    <w:rsid w:val="57C87CAB"/>
    <w:rsid w:val="57C91C4F"/>
    <w:rsid w:val="57F272AA"/>
    <w:rsid w:val="58033991"/>
    <w:rsid w:val="581214E9"/>
    <w:rsid w:val="5821659F"/>
    <w:rsid w:val="58374890"/>
    <w:rsid w:val="58387067"/>
    <w:rsid w:val="583921D7"/>
    <w:rsid w:val="584B538A"/>
    <w:rsid w:val="584E7AA5"/>
    <w:rsid w:val="5853780C"/>
    <w:rsid w:val="5866181E"/>
    <w:rsid w:val="58727DC0"/>
    <w:rsid w:val="587A49F5"/>
    <w:rsid w:val="587B479B"/>
    <w:rsid w:val="58B02697"/>
    <w:rsid w:val="58C16652"/>
    <w:rsid w:val="58C93AFA"/>
    <w:rsid w:val="58CB3507"/>
    <w:rsid w:val="58CD28A0"/>
    <w:rsid w:val="58CE6FC1"/>
    <w:rsid w:val="58D82D25"/>
    <w:rsid w:val="58D86048"/>
    <w:rsid w:val="58DA7713"/>
    <w:rsid w:val="58E050FF"/>
    <w:rsid w:val="58FA1B64"/>
    <w:rsid w:val="59282B75"/>
    <w:rsid w:val="592B3B37"/>
    <w:rsid w:val="593E3679"/>
    <w:rsid w:val="594A0F21"/>
    <w:rsid w:val="595600CF"/>
    <w:rsid w:val="59570C09"/>
    <w:rsid w:val="595A535A"/>
    <w:rsid w:val="596C5157"/>
    <w:rsid w:val="59820CB9"/>
    <w:rsid w:val="599C6916"/>
    <w:rsid w:val="59A24A11"/>
    <w:rsid w:val="59D031DC"/>
    <w:rsid w:val="59D9186A"/>
    <w:rsid w:val="59DD570D"/>
    <w:rsid w:val="5A0713C2"/>
    <w:rsid w:val="5A1D78F0"/>
    <w:rsid w:val="5A281CC3"/>
    <w:rsid w:val="5A3859F0"/>
    <w:rsid w:val="5A4B633F"/>
    <w:rsid w:val="5A4C4E87"/>
    <w:rsid w:val="5A4F42A8"/>
    <w:rsid w:val="5A537BD2"/>
    <w:rsid w:val="5A59522E"/>
    <w:rsid w:val="5A5D1EF9"/>
    <w:rsid w:val="5A6E0A5B"/>
    <w:rsid w:val="5A7A2F5C"/>
    <w:rsid w:val="5A8008B1"/>
    <w:rsid w:val="5A952562"/>
    <w:rsid w:val="5AB537DF"/>
    <w:rsid w:val="5AB53F94"/>
    <w:rsid w:val="5AD7477F"/>
    <w:rsid w:val="5ADA2219"/>
    <w:rsid w:val="5AF63478"/>
    <w:rsid w:val="5AF9525B"/>
    <w:rsid w:val="5B0B6223"/>
    <w:rsid w:val="5B0C46E4"/>
    <w:rsid w:val="5B174C4F"/>
    <w:rsid w:val="5B1909C7"/>
    <w:rsid w:val="5B1D54D7"/>
    <w:rsid w:val="5B231846"/>
    <w:rsid w:val="5B3220B7"/>
    <w:rsid w:val="5B32315F"/>
    <w:rsid w:val="5B5C08B4"/>
    <w:rsid w:val="5B602550"/>
    <w:rsid w:val="5B684D9D"/>
    <w:rsid w:val="5B767BC7"/>
    <w:rsid w:val="5B81031A"/>
    <w:rsid w:val="5BAE3877"/>
    <w:rsid w:val="5BB35FA0"/>
    <w:rsid w:val="5BB55A1D"/>
    <w:rsid w:val="5BC87214"/>
    <w:rsid w:val="5BD6036B"/>
    <w:rsid w:val="5BF147BE"/>
    <w:rsid w:val="5C0351D3"/>
    <w:rsid w:val="5C076A71"/>
    <w:rsid w:val="5C24476D"/>
    <w:rsid w:val="5C263FFC"/>
    <w:rsid w:val="5C3F632C"/>
    <w:rsid w:val="5C4369D4"/>
    <w:rsid w:val="5C4952DC"/>
    <w:rsid w:val="5C4E7F25"/>
    <w:rsid w:val="5C6C4B26"/>
    <w:rsid w:val="5C6E212C"/>
    <w:rsid w:val="5C73096B"/>
    <w:rsid w:val="5C7376E4"/>
    <w:rsid w:val="5CA03123"/>
    <w:rsid w:val="5CC11316"/>
    <w:rsid w:val="5CDA3F46"/>
    <w:rsid w:val="5CF85EE2"/>
    <w:rsid w:val="5D415DD6"/>
    <w:rsid w:val="5D4A3E3F"/>
    <w:rsid w:val="5D4D5DD5"/>
    <w:rsid w:val="5D4F0E61"/>
    <w:rsid w:val="5D526412"/>
    <w:rsid w:val="5D6121B1"/>
    <w:rsid w:val="5D673093"/>
    <w:rsid w:val="5D675B54"/>
    <w:rsid w:val="5D977AC6"/>
    <w:rsid w:val="5D9B52A7"/>
    <w:rsid w:val="5D9F5DAC"/>
    <w:rsid w:val="5DAC2119"/>
    <w:rsid w:val="5E296747"/>
    <w:rsid w:val="5E344177"/>
    <w:rsid w:val="5E441BE6"/>
    <w:rsid w:val="5E4529B2"/>
    <w:rsid w:val="5E4C10B3"/>
    <w:rsid w:val="5E6376C3"/>
    <w:rsid w:val="5E920F46"/>
    <w:rsid w:val="5E9842F9"/>
    <w:rsid w:val="5EA207F7"/>
    <w:rsid w:val="5EAC3900"/>
    <w:rsid w:val="5EAE7678"/>
    <w:rsid w:val="5EBB525E"/>
    <w:rsid w:val="5ECB022A"/>
    <w:rsid w:val="5ED51E4C"/>
    <w:rsid w:val="5ED95177"/>
    <w:rsid w:val="5EDD048E"/>
    <w:rsid w:val="5F2F13E9"/>
    <w:rsid w:val="5F631733"/>
    <w:rsid w:val="5F645F89"/>
    <w:rsid w:val="5F663605"/>
    <w:rsid w:val="5F7A3010"/>
    <w:rsid w:val="5F7F23CC"/>
    <w:rsid w:val="5F941C25"/>
    <w:rsid w:val="5FA04873"/>
    <w:rsid w:val="5FE2350C"/>
    <w:rsid w:val="5FE666BB"/>
    <w:rsid w:val="600D6E2B"/>
    <w:rsid w:val="60133D7D"/>
    <w:rsid w:val="601B52DF"/>
    <w:rsid w:val="602816AC"/>
    <w:rsid w:val="60430294"/>
    <w:rsid w:val="604604FA"/>
    <w:rsid w:val="604B7C75"/>
    <w:rsid w:val="60624BBE"/>
    <w:rsid w:val="60667166"/>
    <w:rsid w:val="60714E01"/>
    <w:rsid w:val="60724006"/>
    <w:rsid w:val="607B17DC"/>
    <w:rsid w:val="607B3325"/>
    <w:rsid w:val="6086012E"/>
    <w:rsid w:val="60870181"/>
    <w:rsid w:val="608C65AA"/>
    <w:rsid w:val="60955D90"/>
    <w:rsid w:val="60A358F4"/>
    <w:rsid w:val="60AB7F2C"/>
    <w:rsid w:val="60DD620E"/>
    <w:rsid w:val="610B7C4A"/>
    <w:rsid w:val="611C7B9D"/>
    <w:rsid w:val="61207C77"/>
    <w:rsid w:val="6148335E"/>
    <w:rsid w:val="614C4F26"/>
    <w:rsid w:val="615C4C67"/>
    <w:rsid w:val="616B7AA3"/>
    <w:rsid w:val="616C4315"/>
    <w:rsid w:val="6171252A"/>
    <w:rsid w:val="61882668"/>
    <w:rsid w:val="61A06C8C"/>
    <w:rsid w:val="61A35C11"/>
    <w:rsid w:val="61B25B61"/>
    <w:rsid w:val="61B52ACC"/>
    <w:rsid w:val="61E73D9A"/>
    <w:rsid w:val="61EC1462"/>
    <w:rsid w:val="61EC3930"/>
    <w:rsid w:val="61EF4230"/>
    <w:rsid w:val="61F30221"/>
    <w:rsid w:val="61FB5718"/>
    <w:rsid w:val="62245D7B"/>
    <w:rsid w:val="623A0F5D"/>
    <w:rsid w:val="624C78D4"/>
    <w:rsid w:val="624F560A"/>
    <w:rsid w:val="625E3A3B"/>
    <w:rsid w:val="6263077A"/>
    <w:rsid w:val="62654963"/>
    <w:rsid w:val="62775FD3"/>
    <w:rsid w:val="627C000F"/>
    <w:rsid w:val="629E4B7F"/>
    <w:rsid w:val="62A25746"/>
    <w:rsid w:val="62BC7E8A"/>
    <w:rsid w:val="62CF2113"/>
    <w:rsid w:val="6307021B"/>
    <w:rsid w:val="630D6682"/>
    <w:rsid w:val="632272EB"/>
    <w:rsid w:val="63227AAA"/>
    <w:rsid w:val="63455E77"/>
    <w:rsid w:val="63473FE4"/>
    <w:rsid w:val="63503AD3"/>
    <w:rsid w:val="63543CFC"/>
    <w:rsid w:val="63640410"/>
    <w:rsid w:val="637137DA"/>
    <w:rsid w:val="6372102C"/>
    <w:rsid w:val="63750765"/>
    <w:rsid w:val="638734D6"/>
    <w:rsid w:val="63877E58"/>
    <w:rsid w:val="638C3D00"/>
    <w:rsid w:val="63A23C32"/>
    <w:rsid w:val="63AB6153"/>
    <w:rsid w:val="63CE4319"/>
    <w:rsid w:val="63DA2CBD"/>
    <w:rsid w:val="63E63410"/>
    <w:rsid w:val="63F7243E"/>
    <w:rsid w:val="640C709A"/>
    <w:rsid w:val="641461CF"/>
    <w:rsid w:val="641F6922"/>
    <w:rsid w:val="642E6B65"/>
    <w:rsid w:val="642F1EE3"/>
    <w:rsid w:val="645E569D"/>
    <w:rsid w:val="646157CA"/>
    <w:rsid w:val="64680B03"/>
    <w:rsid w:val="64705001"/>
    <w:rsid w:val="64984C1A"/>
    <w:rsid w:val="64D70FAB"/>
    <w:rsid w:val="64E13C6F"/>
    <w:rsid w:val="64FD5934"/>
    <w:rsid w:val="65051B7F"/>
    <w:rsid w:val="653603C7"/>
    <w:rsid w:val="65384669"/>
    <w:rsid w:val="6557447D"/>
    <w:rsid w:val="655B55FC"/>
    <w:rsid w:val="655D5589"/>
    <w:rsid w:val="656071F2"/>
    <w:rsid w:val="65643203"/>
    <w:rsid w:val="657E7F74"/>
    <w:rsid w:val="65887501"/>
    <w:rsid w:val="658E1B4A"/>
    <w:rsid w:val="659C506C"/>
    <w:rsid w:val="65A624DE"/>
    <w:rsid w:val="65B57A70"/>
    <w:rsid w:val="65B712FD"/>
    <w:rsid w:val="65E90A28"/>
    <w:rsid w:val="65EA0E19"/>
    <w:rsid w:val="65F07BD0"/>
    <w:rsid w:val="65F67535"/>
    <w:rsid w:val="66065EA4"/>
    <w:rsid w:val="662F4A03"/>
    <w:rsid w:val="66342560"/>
    <w:rsid w:val="66367FEE"/>
    <w:rsid w:val="66560E76"/>
    <w:rsid w:val="665673D6"/>
    <w:rsid w:val="66595E88"/>
    <w:rsid w:val="665B0427"/>
    <w:rsid w:val="665D4598"/>
    <w:rsid w:val="667A7554"/>
    <w:rsid w:val="667E6DAD"/>
    <w:rsid w:val="668F0F17"/>
    <w:rsid w:val="6692162D"/>
    <w:rsid w:val="66A11D0C"/>
    <w:rsid w:val="66D47E98"/>
    <w:rsid w:val="66E101FB"/>
    <w:rsid w:val="66E31E33"/>
    <w:rsid w:val="66EA21B4"/>
    <w:rsid w:val="66F70B6B"/>
    <w:rsid w:val="66FA47DB"/>
    <w:rsid w:val="67002A3B"/>
    <w:rsid w:val="67034C37"/>
    <w:rsid w:val="670472EA"/>
    <w:rsid w:val="671206F3"/>
    <w:rsid w:val="671B5C58"/>
    <w:rsid w:val="671D183F"/>
    <w:rsid w:val="67390946"/>
    <w:rsid w:val="673E694C"/>
    <w:rsid w:val="67564FCE"/>
    <w:rsid w:val="675A0AF8"/>
    <w:rsid w:val="675D2836"/>
    <w:rsid w:val="67817F89"/>
    <w:rsid w:val="678D0238"/>
    <w:rsid w:val="679D5CE0"/>
    <w:rsid w:val="67A47656"/>
    <w:rsid w:val="67A9493B"/>
    <w:rsid w:val="67AD1E8E"/>
    <w:rsid w:val="67B72D23"/>
    <w:rsid w:val="67D22629"/>
    <w:rsid w:val="67E05320"/>
    <w:rsid w:val="67E6725A"/>
    <w:rsid w:val="67ED3287"/>
    <w:rsid w:val="6802329C"/>
    <w:rsid w:val="68036B62"/>
    <w:rsid w:val="68121DDF"/>
    <w:rsid w:val="68126ECA"/>
    <w:rsid w:val="681326E0"/>
    <w:rsid w:val="68161596"/>
    <w:rsid w:val="68171A2C"/>
    <w:rsid w:val="681901F9"/>
    <w:rsid w:val="681925B3"/>
    <w:rsid w:val="681A18DB"/>
    <w:rsid w:val="683A01CF"/>
    <w:rsid w:val="684F30E0"/>
    <w:rsid w:val="68503869"/>
    <w:rsid w:val="685630A9"/>
    <w:rsid w:val="6862498A"/>
    <w:rsid w:val="686654A7"/>
    <w:rsid w:val="68680195"/>
    <w:rsid w:val="68770F9B"/>
    <w:rsid w:val="68837ABC"/>
    <w:rsid w:val="68910AC7"/>
    <w:rsid w:val="689774A9"/>
    <w:rsid w:val="689F039F"/>
    <w:rsid w:val="689F0CF7"/>
    <w:rsid w:val="68AE7B72"/>
    <w:rsid w:val="68D87B11"/>
    <w:rsid w:val="68DA5BAB"/>
    <w:rsid w:val="68DD019B"/>
    <w:rsid w:val="68E65F5E"/>
    <w:rsid w:val="69166546"/>
    <w:rsid w:val="695F745B"/>
    <w:rsid w:val="69610AF4"/>
    <w:rsid w:val="69664C73"/>
    <w:rsid w:val="69670B4F"/>
    <w:rsid w:val="69711181"/>
    <w:rsid w:val="69724F1B"/>
    <w:rsid w:val="6980390A"/>
    <w:rsid w:val="69937B96"/>
    <w:rsid w:val="69A377E4"/>
    <w:rsid w:val="69A60D09"/>
    <w:rsid w:val="69C451FB"/>
    <w:rsid w:val="69D00BC4"/>
    <w:rsid w:val="69DF6640"/>
    <w:rsid w:val="6A1B5632"/>
    <w:rsid w:val="6A1B5DE8"/>
    <w:rsid w:val="6A2C3B47"/>
    <w:rsid w:val="6A311E94"/>
    <w:rsid w:val="6A4D56EB"/>
    <w:rsid w:val="6A61482D"/>
    <w:rsid w:val="6A69685A"/>
    <w:rsid w:val="6A6D21CA"/>
    <w:rsid w:val="6A7A48B2"/>
    <w:rsid w:val="6A7B5028"/>
    <w:rsid w:val="6A874F1A"/>
    <w:rsid w:val="6A9516EC"/>
    <w:rsid w:val="6A9A4F55"/>
    <w:rsid w:val="6AAD746F"/>
    <w:rsid w:val="6AB06B56"/>
    <w:rsid w:val="6AB932A1"/>
    <w:rsid w:val="6AC335A7"/>
    <w:rsid w:val="6AC72F22"/>
    <w:rsid w:val="6ADC731B"/>
    <w:rsid w:val="6AE05F6E"/>
    <w:rsid w:val="6AF35A12"/>
    <w:rsid w:val="6AF71035"/>
    <w:rsid w:val="6B1C2C96"/>
    <w:rsid w:val="6B1F5178"/>
    <w:rsid w:val="6B24186C"/>
    <w:rsid w:val="6B2A1CA4"/>
    <w:rsid w:val="6B3170C4"/>
    <w:rsid w:val="6B497FCC"/>
    <w:rsid w:val="6B515737"/>
    <w:rsid w:val="6B5E2C34"/>
    <w:rsid w:val="6B7F06BE"/>
    <w:rsid w:val="6B9A16B0"/>
    <w:rsid w:val="6BA75B7B"/>
    <w:rsid w:val="6BB67E4B"/>
    <w:rsid w:val="6BC71D79"/>
    <w:rsid w:val="6BD1620D"/>
    <w:rsid w:val="6BD37761"/>
    <w:rsid w:val="6BEA7064"/>
    <w:rsid w:val="6BEC4E13"/>
    <w:rsid w:val="6BF23936"/>
    <w:rsid w:val="6C090F80"/>
    <w:rsid w:val="6C13316C"/>
    <w:rsid w:val="6C17524A"/>
    <w:rsid w:val="6C207EB4"/>
    <w:rsid w:val="6C264CF2"/>
    <w:rsid w:val="6C4474DE"/>
    <w:rsid w:val="6C496ABE"/>
    <w:rsid w:val="6C786C1F"/>
    <w:rsid w:val="6C8A4985"/>
    <w:rsid w:val="6CA36342"/>
    <w:rsid w:val="6CB8729B"/>
    <w:rsid w:val="6CF277BB"/>
    <w:rsid w:val="6CF67414"/>
    <w:rsid w:val="6CFA617E"/>
    <w:rsid w:val="6CFC0D9E"/>
    <w:rsid w:val="6D1949E6"/>
    <w:rsid w:val="6D1E00BF"/>
    <w:rsid w:val="6D1E586E"/>
    <w:rsid w:val="6D231231"/>
    <w:rsid w:val="6D3B37E7"/>
    <w:rsid w:val="6D40341E"/>
    <w:rsid w:val="6D5D1C24"/>
    <w:rsid w:val="6D6560DE"/>
    <w:rsid w:val="6D743309"/>
    <w:rsid w:val="6D745F31"/>
    <w:rsid w:val="6D7F5645"/>
    <w:rsid w:val="6D9C513E"/>
    <w:rsid w:val="6DC97375"/>
    <w:rsid w:val="6DD05E3A"/>
    <w:rsid w:val="6DE55F30"/>
    <w:rsid w:val="6DFD2582"/>
    <w:rsid w:val="6E042F36"/>
    <w:rsid w:val="6E083B88"/>
    <w:rsid w:val="6E2115F3"/>
    <w:rsid w:val="6E302D35"/>
    <w:rsid w:val="6E3939C2"/>
    <w:rsid w:val="6E437238"/>
    <w:rsid w:val="6E48779E"/>
    <w:rsid w:val="6E4E73D0"/>
    <w:rsid w:val="6E5830D8"/>
    <w:rsid w:val="6E5E3BAF"/>
    <w:rsid w:val="6E723EE7"/>
    <w:rsid w:val="6E8201DA"/>
    <w:rsid w:val="6E91666F"/>
    <w:rsid w:val="6E9A3775"/>
    <w:rsid w:val="6E9C7DB8"/>
    <w:rsid w:val="6E9E63AA"/>
    <w:rsid w:val="6ED578D0"/>
    <w:rsid w:val="6ED67557"/>
    <w:rsid w:val="6EDC5831"/>
    <w:rsid w:val="6EE92007"/>
    <w:rsid w:val="6EFA027F"/>
    <w:rsid w:val="6F0D0A9A"/>
    <w:rsid w:val="6F20011E"/>
    <w:rsid w:val="6F255735"/>
    <w:rsid w:val="6F3026C9"/>
    <w:rsid w:val="6F331FED"/>
    <w:rsid w:val="6F4A65BA"/>
    <w:rsid w:val="6F510FBE"/>
    <w:rsid w:val="6F536D49"/>
    <w:rsid w:val="6F5873A6"/>
    <w:rsid w:val="6F65194E"/>
    <w:rsid w:val="6F741033"/>
    <w:rsid w:val="6F7747AC"/>
    <w:rsid w:val="6F932566"/>
    <w:rsid w:val="6F955A8A"/>
    <w:rsid w:val="6FAA11CB"/>
    <w:rsid w:val="6FB07B14"/>
    <w:rsid w:val="6FB3090E"/>
    <w:rsid w:val="6FBB4619"/>
    <w:rsid w:val="6FC239A6"/>
    <w:rsid w:val="6FCF38F2"/>
    <w:rsid w:val="6FF37001"/>
    <w:rsid w:val="70097E37"/>
    <w:rsid w:val="70117A67"/>
    <w:rsid w:val="7012732D"/>
    <w:rsid w:val="702448F5"/>
    <w:rsid w:val="702D3080"/>
    <w:rsid w:val="702F3D23"/>
    <w:rsid w:val="7073057A"/>
    <w:rsid w:val="708B2763"/>
    <w:rsid w:val="708C0DAF"/>
    <w:rsid w:val="70BE04C1"/>
    <w:rsid w:val="70C35A0C"/>
    <w:rsid w:val="70D25E29"/>
    <w:rsid w:val="70D96C86"/>
    <w:rsid w:val="70DC1223"/>
    <w:rsid w:val="70DF24FE"/>
    <w:rsid w:val="70E7213F"/>
    <w:rsid w:val="70E86455"/>
    <w:rsid w:val="70F37652"/>
    <w:rsid w:val="70F44F02"/>
    <w:rsid w:val="70F829D5"/>
    <w:rsid w:val="70F900BF"/>
    <w:rsid w:val="71002BCF"/>
    <w:rsid w:val="71030281"/>
    <w:rsid w:val="710A3200"/>
    <w:rsid w:val="71155335"/>
    <w:rsid w:val="71494FDF"/>
    <w:rsid w:val="7155354F"/>
    <w:rsid w:val="71771A99"/>
    <w:rsid w:val="717E036C"/>
    <w:rsid w:val="71951759"/>
    <w:rsid w:val="71B908B5"/>
    <w:rsid w:val="71C83ED0"/>
    <w:rsid w:val="71E33685"/>
    <w:rsid w:val="71E34501"/>
    <w:rsid w:val="71E76413"/>
    <w:rsid w:val="71F62E1A"/>
    <w:rsid w:val="71FD0987"/>
    <w:rsid w:val="721E646B"/>
    <w:rsid w:val="72312491"/>
    <w:rsid w:val="72430D8D"/>
    <w:rsid w:val="724931F0"/>
    <w:rsid w:val="7254179F"/>
    <w:rsid w:val="72684572"/>
    <w:rsid w:val="726E11B5"/>
    <w:rsid w:val="72825C56"/>
    <w:rsid w:val="72AD502B"/>
    <w:rsid w:val="72C40519"/>
    <w:rsid w:val="72C7696D"/>
    <w:rsid w:val="72CF64E2"/>
    <w:rsid w:val="72F30E15"/>
    <w:rsid w:val="72F36F5F"/>
    <w:rsid w:val="72FA77B8"/>
    <w:rsid w:val="72FD2525"/>
    <w:rsid w:val="7310630F"/>
    <w:rsid w:val="73191FE8"/>
    <w:rsid w:val="73226650"/>
    <w:rsid w:val="73552361"/>
    <w:rsid w:val="73584877"/>
    <w:rsid w:val="736305DA"/>
    <w:rsid w:val="738F631E"/>
    <w:rsid w:val="73A50B2B"/>
    <w:rsid w:val="73A63EEC"/>
    <w:rsid w:val="73A86535"/>
    <w:rsid w:val="73AE5B9E"/>
    <w:rsid w:val="73D204C0"/>
    <w:rsid w:val="73D73A44"/>
    <w:rsid w:val="73E406E9"/>
    <w:rsid w:val="73F74A5C"/>
    <w:rsid w:val="73F87EF2"/>
    <w:rsid w:val="74006337"/>
    <w:rsid w:val="741E2941"/>
    <w:rsid w:val="7422631D"/>
    <w:rsid w:val="742C1313"/>
    <w:rsid w:val="74512C62"/>
    <w:rsid w:val="74614968"/>
    <w:rsid w:val="74623E8C"/>
    <w:rsid w:val="747F1ECC"/>
    <w:rsid w:val="748F4F10"/>
    <w:rsid w:val="749F50D2"/>
    <w:rsid w:val="74AF051B"/>
    <w:rsid w:val="74C4154C"/>
    <w:rsid w:val="74C76EB4"/>
    <w:rsid w:val="74D06143"/>
    <w:rsid w:val="74D24DF2"/>
    <w:rsid w:val="74DD53AD"/>
    <w:rsid w:val="751B30C5"/>
    <w:rsid w:val="75265F5C"/>
    <w:rsid w:val="752E4063"/>
    <w:rsid w:val="755A2B84"/>
    <w:rsid w:val="755C638C"/>
    <w:rsid w:val="75680129"/>
    <w:rsid w:val="757D0E15"/>
    <w:rsid w:val="75935F7B"/>
    <w:rsid w:val="759A22AD"/>
    <w:rsid w:val="759D5513"/>
    <w:rsid w:val="75A16D19"/>
    <w:rsid w:val="75A96C06"/>
    <w:rsid w:val="75B710B1"/>
    <w:rsid w:val="75CD6E7F"/>
    <w:rsid w:val="75D53553"/>
    <w:rsid w:val="75F12173"/>
    <w:rsid w:val="762A1F2B"/>
    <w:rsid w:val="76494A96"/>
    <w:rsid w:val="764B59A7"/>
    <w:rsid w:val="765E708E"/>
    <w:rsid w:val="76642751"/>
    <w:rsid w:val="767331A5"/>
    <w:rsid w:val="76A07890"/>
    <w:rsid w:val="76B828EB"/>
    <w:rsid w:val="76DD0A99"/>
    <w:rsid w:val="76FB202E"/>
    <w:rsid w:val="77083097"/>
    <w:rsid w:val="77091498"/>
    <w:rsid w:val="773F3230"/>
    <w:rsid w:val="77464236"/>
    <w:rsid w:val="77493F8A"/>
    <w:rsid w:val="77573C6D"/>
    <w:rsid w:val="77747BF2"/>
    <w:rsid w:val="778D61D3"/>
    <w:rsid w:val="779E14D7"/>
    <w:rsid w:val="77A429D3"/>
    <w:rsid w:val="77B84C6C"/>
    <w:rsid w:val="77C64193"/>
    <w:rsid w:val="77DC4C9B"/>
    <w:rsid w:val="77F37A9D"/>
    <w:rsid w:val="77F75603"/>
    <w:rsid w:val="77FE3986"/>
    <w:rsid w:val="780F0D30"/>
    <w:rsid w:val="782F15F5"/>
    <w:rsid w:val="782F4F2E"/>
    <w:rsid w:val="783235DF"/>
    <w:rsid w:val="78502C58"/>
    <w:rsid w:val="78564BB1"/>
    <w:rsid w:val="785E7022"/>
    <w:rsid w:val="78624E36"/>
    <w:rsid w:val="786A41B8"/>
    <w:rsid w:val="78721837"/>
    <w:rsid w:val="78741675"/>
    <w:rsid w:val="787533C7"/>
    <w:rsid w:val="787C19AC"/>
    <w:rsid w:val="787C6C9B"/>
    <w:rsid w:val="787F36C1"/>
    <w:rsid w:val="788B6BF2"/>
    <w:rsid w:val="7899333C"/>
    <w:rsid w:val="78AA321F"/>
    <w:rsid w:val="78B87EE4"/>
    <w:rsid w:val="78C07C12"/>
    <w:rsid w:val="78D56B03"/>
    <w:rsid w:val="78E421BD"/>
    <w:rsid w:val="78E74EF6"/>
    <w:rsid w:val="78F77B82"/>
    <w:rsid w:val="78F95F95"/>
    <w:rsid w:val="79051649"/>
    <w:rsid w:val="79056158"/>
    <w:rsid w:val="792008D6"/>
    <w:rsid w:val="792F20B5"/>
    <w:rsid w:val="795E1E90"/>
    <w:rsid w:val="79667547"/>
    <w:rsid w:val="79713B81"/>
    <w:rsid w:val="798139A7"/>
    <w:rsid w:val="79A0658C"/>
    <w:rsid w:val="79A13C0A"/>
    <w:rsid w:val="79A344F3"/>
    <w:rsid w:val="79B0209F"/>
    <w:rsid w:val="79CB0C87"/>
    <w:rsid w:val="79DF5C9D"/>
    <w:rsid w:val="79E162E5"/>
    <w:rsid w:val="79ED77A5"/>
    <w:rsid w:val="7A0E6035"/>
    <w:rsid w:val="7A2A6FC1"/>
    <w:rsid w:val="7A2D1210"/>
    <w:rsid w:val="7A2D7852"/>
    <w:rsid w:val="7A2E7518"/>
    <w:rsid w:val="7A3C1E68"/>
    <w:rsid w:val="7A410F49"/>
    <w:rsid w:val="7A4D7721"/>
    <w:rsid w:val="7A5044E1"/>
    <w:rsid w:val="7A533875"/>
    <w:rsid w:val="7A5433E4"/>
    <w:rsid w:val="7A5563BA"/>
    <w:rsid w:val="7A6037F8"/>
    <w:rsid w:val="7A611410"/>
    <w:rsid w:val="7A6B3EF6"/>
    <w:rsid w:val="7A747570"/>
    <w:rsid w:val="7A831369"/>
    <w:rsid w:val="7AE52708"/>
    <w:rsid w:val="7AE85868"/>
    <w:rsid w:val="7AF57606"/>
    <w:rsid w:val="7AF64932"/>
    <w:rsid w:val="7B053598"/>
    <w:rsid w:val="7B062F2A"/>
    <w:rsid w:val="7B1144A3"/>
    <w:rsid w:val="7B122873"/>
    <w:rsid w:val="7B23117F"/>
    <w:rsid w:val="7B284D4A"/>
    <w:rsid w:val="7B362A78"/>
    <w:rsid w:val="7B422F58"/>
    <w:rsid w:val="7B454A69"/>
    <w:rsid w:val="7B4A5FEA"/>
    <w:rsid w:val="7B581BEB"/>
    <w:rsid w:val="7B605E96"/>
    <w:rsid w:val="7B7754AE"/>
    <w:rsid w:val="7BA536D8"/>
    <w:rsid w:val="7BC6204D"/>
    <w:rsid w:val="7BC736D0"/>
    <w:rsid w:val="7BC76862"/>
    <w:rsid w:val="7BF250C7"/>
    <w:rsid w:val="7C00517E"/>
    <w:rsid w:val="7C202F6B"/>
    <w:rsid w:val="7C466CEA"/>
    <w:rsid w:val="7C490589"/>
    <w:rsid w:val="7C4D5B3E"/>
    <w:rsid w:val="7C5133FE"/>
    <w:rsid w:val="7C647170"/>
    <w:rsid w:val="7C6D3C66"/>
    <w:rsid w:val="7C741AA9"/>
    <w:rsid w:val="7CDD764F"/>
    <w:rsid w:val="7CE81B50"/>
    <w:rsid w:val="7D09700D"/>
    <w:rsid w:val="7D155538"/>
    <w:rsid w:val="7D1D3EEF"/>
    <w:rsid w:val="7D2C0286"/>
    <w:rsid w:val="7D2C430F"/>
    <w:rsid w:val="7D3F4ACE"/>
    <w:rsid w:val="7D495042"/>
    <w:rsid w:val="7D4C0AA9"/>
    <w:rsid w:val="7D666225"/>
    <w:rsid w:val="7D7201EC"/>
    <w:rsid w:val="7D847DD0"/>
    <w:rsid w:val="7D8B28B5"/>
    <w:rsid w:val="7DA26420"/>
    <w:rsid w:val="7DD26009"/>
    <w:rsid w:val="7DD46E00"/>
    <w:rsid w:val="7E035413"/>
    <w:rsid w:val="7E130E4E"/>
    <w:rsid w:val="7E1650E1"/>
    <w:rsid w:val="7E176585"/>
    <w:rsid w:val="7E1F3157"/>
    <w:rsid w:val="7E201B39"/>
    <w:rsid w:val="7E2240DE"/>
    <w:rsid w:val="7E2429CB"/>
    <w:rsid w:val="7E4576F9"/>
    <w:rsid w:val="7E527204"/>
    <w:rsid w:val="7E5833BE"/>
    <w:rsid w:val="7E7B79DC"/>
    <w:rsid w:val="7E867872"/>
    <w:rsid w:val="7E8C4797"/>
    <w:rsid w:val="7E9E62B4"/>
    <w:rsid w:val="7EBB26D4"/>
    <w:rsid w:val="7EC04543"/>
    <w:rsid w:val="7EC753C4"/>
    <w:rsid w:val="7ECF3A2A"/>
    <w:rsid w:val="7ED75BEB"/>
    <w:rsid w:val="7F030EC3"/>
    <w:rsid w:val="7F0E3B62"/>
    <w:rsid w:val="7F33236A"/>
    <w:rsid w:val="7F4B19C8"/>
    <w:rsid w:val="7F5325AB"/>
    <w:rsid w:val="7F7D72DD"/>
    <w:rsid w:val="7F896096"/>
    <w:rsid w:val="7F8B0331"/>
    <w:rsid w:val="7FAC4173"/>
    <w:rsid w:val="7FAF09CA"/>
    <w:rsid w:val="7FB02C0D"/>
    <w:rsid w:val="7FB33332"/>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7"/>
    <w:qFormat/>
    <w:uiPriority w:val="0"/>
    <w:pPr>
      <w:keepNext/>
      <w:keepLines/>
      <w:spacing w:before="260" w:after="260" w:line="416" w:lineRule="auto"/>
      <w:outlineLvl w:val="2"/>
    </w:pPr>
    <w:rPr>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5"/>
    <w:qFormat/>
    <w:uiPriority w:val="0"/>
    <w:pPr>
      <w:jc w:val="left"/>
    </w:pPr>
  </w:style>
  <w:style w:type="paragraph" w:styleId="7">
    <w:name w:val="Body Text"/>
    <w:basedOn w:val="1"/>
    <w:next w:val="1"/>
    <w:link w:val="44"/>
    <w:qFormat/>
    <w:uiPriority w:val="0"/>
    <w:pPr>
      <w:spacing w:after="120"/>
    </w:pPr>
  </w:style>
  <w:style w:type="paragraph" w:styleId="8">
    <w:name w:val="Body Text Indent"/>
    <w:basedOn w:val="1"/>
    <w:qFormat/>
    <w:uiPriority w:val="0"/>
    <w:pPr>
      <w:ind w:firstLine="407" w:firstLineChars="200"/>
    </w:p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0">
    <w:name w:val="Plain Text"/>
    <w:basedOn w:val="1"/>
    <w:unhideWhenUsed/>
    <w:qFormat/>
    <w:uiPriority w:val="99"/>
    <w:rPr>
      <w:rFonts w:ascii="宋体" w:hAnsi="Courier New" w:cs="Courier New"/>
      <w:szCs w:val="21"/>
    </w:rPr>
  </w:style>
  <w:style w:type="paragraph" w:styleId="11">
    <w:name w:val="Balloon Text"/>
    <w:basedOn w:val="1"/>
    <w:link w:val="5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caps/>
      <w:sz w:val="20"/>
      <w:szCs w:val="20"/>
    </w:rPr>
  </w:style>
  <w:style w:type="paragraph" w:styleId="15">
    <w:name w:val="Subtitle"/>
    <w:basedOn w:val="1"/>
    <w:qFormat/>
    <w:uiPriority w:val="0"/>
    <w:pPr>
      <w:widowControl/>
      <w:jc w:val="center"/>
    </w:pPr>
    <w:rPr>
      <w:kern w:val="0"/>
      <w:sz w:val="20"/>
      <w:u w:val="single"/>
      <w:lang w:eastAsia="en-US"/>
    </w:rPr>
  </w:style>
  <w:style w:type="paragraph" w:styleId="16">
    <w:name w:val="toc 2"/>
    <w:basedOn w:val="1"/>
    <w:next w:val="1"/>
    <w:qFormat/>
    <w:uiPriority w:val="39"/>
    <w:pPr>
      <w:ind w:left="210"/>
      <w:jc w:val="left"/>
    </w:pPr>
    <w:rPr>
      <w:smallCaps/>
      <w:sz w:val="20"/>
      <w:szCs w:val="20"/>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9">
    <w:name w:val="annotation subject"/>
    <w:basedOn w:val="6"/>
    <w:next w:val="6"/>
    <w:link w:val="56"/>
    <w:qFormat/>
    <w:uiPriority w:val="0"/>
    <w:rPr>
      <w:b/>
      <w:bCs/>
    </w:rPr>
  </w:style>
  <w:style w:type="paragraph" w:styleId="20">
    <w:name w:val="Body Text First Indent"/>
    <w:basedOn w:val="7"/>
    <w:next w:val="1"/>
    <w:qFormat/>
    <w:uiPriority w:val="0"/>
    <w:pPr>
      <w:spacing w:line="275" w:lineRule="atLeast"/>
      <w:ind w:firstLine="420"/>
    </w:pPr>
    <w:rPr>
      <w:rFonts w:eastAsia="楷体"/>
      <w:kern w:val="1"/>
      <w:sz w:val="26"/>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800080"/>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annotation reference"/>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目录 53"/>
    <w:next w:val="1"/>
    <w:qFormat/>
    <w:uiPriority w:val="0"/>
    <w:pPr>
      <w:wordWrap w:val="0"/>
      <w:ind w:left="1275"/>
      <w:jc w:val="both"/>
    </w:pPr>
    <w:rPr>
      <w:rFonts w:ascii="Calibri" w:hAnsi="Calibri" w:eastAsia="等线" w:cs="Times New Roman"/>
      <w:sz w:val="21"/>
      <w:szCs w:val="22"/>
      <w:lang w:val="en-US" w:eastAsia="zh-CN" w:bidi="ar-SA"/>
    </w:rPr>
  </w:style>
  <w:style w:type="paragraph" w:customStyle="1" w:styleId="38">
    <w:name w:val="BodyText"/>
    <w:basedOn w:val="1"/>
    <w:next w:val="1"/>
    <w:qFormat/>
    <w:uiPriority w:val="0"/>
    <w:pPr>
      <w:spacing w:after="120"/>
    </w:pPr>
  </w:style>
  <w:style w:type="paragraph" w:customStyle="1" w:styleId="3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able Paragraph"/>
    <w:basedOn w:val="1"/>
    <w:qFormat/>
    <w:uiPriority w:val="1"/>
  </w:style>
  <w:style w:type="character" w:customStyle="1" w:styleId="41">
    <w:name w:val="正文文本 (2)_"/>
    <w:link w:val="42"/>
    <w:qFormat/>
    <w:uiPriority w:val="0"/>
    <w:rPr>
      <w:rFonts w:ascii="宋体" w:hAnsi="宋体"/>
      <w:kern w:val="0"/>
      <w:sz w:val="20"/>
      <w:szCs w:val="20"/>
    </w:rPr>
  </w:style>
  <w:style w:type="paragraph" w:customStyle="1" w:styleId="42">
    <w:name w:val="正文文本 (2)1"/>
    <w:basedOn w:val="1"/>
    <w:link w:val="41"/>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43">
    <w:name w:val="无间隔2"/>
    <w:basedOn w:val="1"/>
    <w:qFormat/>
    <w:uiPriority w:val="0"/>
    <w:pPr>
      <w:spacing w:line="400" w:lineRule="exact"/>
    </w:pPr>
    <w:rPr>
      <w:sz w:val="24"/>
    </w:rPr>
  </w:style>
  <w:style w:type="character" w:customStyle="1" w:styleId="44">
    <w:name w:val="正文文本 Char"/>
    <w:basedOn w:val="23"/>
    <w:link w:val="7"/>
    <w:qFormat/>
    <w:uiPriority w:val="0"/>
    <w:rPr>
      <w:kern w:val="2"/>
      <w:sz w:val="21"/>
      <w:szCs w:val="24"/>
    </w:rPr>
  </w:style>
  <w:style w:type="paragraph" w:customStyle="1" w:styleId="45">
    <w:name w:val="无间隔1"/>
    <w:basedOn w:val="1"/>
    <w:qFormat/>
    <w:uiPriority w:val="0"/>
    <w:pPr>
      <w:spacing w:line="400" w:lineRule="exact"/>
    </w:pPr>
    <w:rPr>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UserStyle_186"/>
    <w:basedOn w:val="1"/>
    <w:qFormat/>
    <w:uiPriority w:val="0"/>
    <w:rPr>
      <w:rFonts w:ascii="宋体" w:hAnsi="宋体"/>
      <w:lang w:val="zh-CN" w:bidi="zh-CN"/>
    </w:rPr>
  </w:style>
  <w:style w:type="character" w:customStyle="1" w:styleId="48">
    <w:name w:val="NormalCharacter"/>
    <w:semiHidden/>
    <w:qFormat/>
    <w:uiPriority w:val="0"/>
  </w:style>
  <w:style w:type="paragraph" w:customStyle="1" w:styleId="49">
    <w:name w:val="reader-word-layer reader-word-s4-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0">
    <w:name w:val="批注框文本 Char"/>
    <w:basedOn w:val="23"/>
    <w:link w:val="11"/>
    <w:qFormat/>
    <w:uiPriority w:val="0"/>
    <w:rPr>
      <w:kern w:val="2"/>
      <w:sz w:val="18"/>
      <w:szCs w:val="18"/>
    </w:rPr>
  </w:style>
  <w:style w:type="paragraph" w:styleId="51">
    <w:name w:val="List Paragraph"/>
    <w:basedOn w:val="1"/>
    <w:unhideWhenUsed/>
    <w:qFormat/>
    <w:uiPriority w:val="99"/>
    <w:pPr>
      <w:ind w:firstLine="420" w:firstLineChars="200"/>
    </w:pPr>
  </w:style>
  <w:style w:type="character" w:customStyle="1" w:styleId="52">
    <w:name w:val="正文文本 Char1"/>
    <w:basedOn w:val="23"/>
    <w:qFormat/>
    <w:uiPriority w:val="0"/>
    <w:rPr>
      <w:rFonts w:eastAsia="宋体"/>
      <w:kern w:val="2"/>
      <w:sz w:val="21"/>
    </w:rPr>
  </w:style>
  <w:style w:type="character" w:customStyle="1" w:styleId="53">
    <w:name w:val="fontstyle01"/>
    <w:basedOn w:val="23"/>
    <w:qFormat/>
    <w:uiPriority w:val="0"/>
    <w:rPr>
      <w:rFonts w:hint="eastAsia" w:ascii="宋体" w:hAnsi="宋体" w:eastAsia="宋体"/>
      <w:color w:val="000000"/>
      <w:sz w:val="22"/>
      <w:szCs w:val="22"/>
    </w:rPr>
  </w:style>
  <w:style w:type="character" w:customStyle="1" w:styleId="54">
    <w:name w:val="批注文字 Char"/>
    <w:qFormat/>
    <w:uiPriority w:val="0"/>
    <w:rPr>
      <w:kern w:val="2"/>
      <w:sz w:val="21"/>
      <w:szCs w:val="24"/>
    </w:rPr>
  </w:style>
  <w:style w:type="character" w:customStyle="1" w:styleId="55">
    <w:name w:val="批注文字 Char1"/>
    <w:basedOn w:val="23"/>
    <w:link w:val="6"/>
    <w:qFormat/>
    <w:uiPriority w:val="0"/>
    <w:rPr>
      <w:kern w:val="2"/>
      <w:sz w:val="21"/>
      <w:szCs w:val="24"/>
    </w:rPr>
  </w:style>
  <w:style w:type="character" w:customStyle="1" w:styleId="56">
    <w:name w:val="批注主题 Char"/>
    <w:basedOn w:val="55"/>
    <w:link w:val="19"/>
    <w:qFormat/>
    <w:uiPriority w:val="0"/>
    <w:rPr>
      <w:b/>
      <w:bCs/>
      <w:kern w:val="2"/>
      <w:sz w:val="21"/>
      <w:szCs w:val="24"/>
    </w:rPr>
  </w:style>
  <w:style w:type="character" w:customStyle="1" w:styleId="57">
    <w:name w:val="标题 3 Char2"/>
    <w:link w:val="4"/>
    <w:autoRedefine/>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107</Pages>
  <Words>15361</Words>
  <Characters>16427</Characters>
  <Lines>535</Lines>
  <Paragraphs>150</Paragraphs>
  <TotalTime>1</TotalTime>
  <ScaleCrop>false</ScaleCrop>
  <LinksUpToDate>false</LinksUpToDate>
  <CharactersWithSpaces>16872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2022-12-12T08:40:00Z</dcterms:created>
  <dc:creator>xiaomi</dc:creator>
  <cp:lastModifiedBy>有娴有菡</cp:lastModifiedBy>
  <cp:lastPrinted>2021-04-28T08:22:00Z</cp:lastPrinted>
  <dcterms:modified xsi:type="dcterms:W3CDTF">2025-12-01T08:43:58Z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A7565DBCB5C94EECBB71D936F0804A2D_13</vt:lpwstr>
  </property>
  <property fmtid="{D5CDD505-2E9C-101B-9397-08002B2CF9AE}" pid="4" name="KSOTemplateDocerSaveRecord">
    <vt:lpwstr>eyJoZGlkIjoiNTUxNTJlYmI2OGU5NWQ2YTNjMWQ2MDg2OThkZGU3NmYiLCJ1c2VySWQiOiI2OTIxNDQ1MzEifQ==</vt:lpwstr>
  </property>
</Properties>
</file>