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02A76">
      <w:pPr>
        <w:jc w:val="center"/>
        <w:rPr>
          <w:rFonts w:hint="eastAsia"/>
          <w:b/>
          <w:sz w:val="32"/>
          <w:szCs w:val="22"/>
          <w:highlight w:val="none"/>
        </w:rPr>
      </w:pPr>
    </w:p>
    <w:p w14:paraId="4D39E89A">
      <w:pPr>
        <w:jc w:val="center"/>
        <w:rPr>
          <w:rFonts w:hint="eastAsia"/>
          <w:b/>
          <w:sz w:val="32"/>
          <w:szCs w:val="22"/>
          <w:highlight w:val="none"/>
        </w:rPr>
      </w:pPr>
      <w:r>
        <w:rPr>
          <w:rFonts w:hint="eastAsia"/>
          <w:b/>
          <w:sz w:val="32"/>
          <w:szCs w:val="22"/>
          <w:highlight w:val="none"/>
        </w:rPr>
        <w:t>项目名称：重庆市九龙建设工程质量检测中心股份有限公司检测</w:t>
      </w:r>
      <w:r>
        <w:rPr>
          <w:rFonts w:hint="eastAsia"/>
          <w:b/>
          <w:sz w:val="32"/>
          <w:szCs w:val="22"/>
          <w:highlight w:val="none"/>
          <w:lang w:val="en-US" w:eastAsia="zh-CN"/>
        </w:rPr>
        <w:t>设备</w:t>
      </w:r>
      <w:r>
        <w:rPr>
          <w:rFonts w:hint="eastAsia"/>
          <w:b/>
          <w:sz w:val="32"/>
          <w:szCs w:val="22"/>
          <w:highlight w:val="none"/>
        </w:rPr>
        <w:t>采购</w:t>
      </w:r>
    </w:p>
    <w:p w14:paraId="419D3FFA">
      <w:pPr>
        <w:outlineLvl w:val="0"/>
        <w:rPr>
          <w:rFonts w:hint="eastAsia" w:ascii="仿宋" w:hAnsi="仿宋" w:eastAsia="仿宋"/>
          <w:b/>
          <w:bCs/>
          <w:spacing w:val="80"/>
          <w:sz w:val="44"/>
          <w:szCs w:val="44"/>
          <w:highlight w:val="none"/>
        </w:rPr>
      </w:pPr>
    </w:p>
    <w:p w14:paraId="48AC201A">
      <w:pPr>
        <w:pStyle w:val="31"/>
        <w:rPr>
          <w:rFonts w:hint="eastAsia" w:ascii="仿宋" w:hAnsi="仿宋" w:eastAsia="仿宋"/>
          <w:b/>
          <w:bCs/>
          <w:spacing w:val="80"/>
          <w:sz w:val="44"/>
          <w:szCs w:val="44"/>
          <w:highlight w:val="none"/>
        </w:rPr>
      </w:pPr>
    </w:p>
    <w:p w14:paraId="0E586DD3">
      <w:pPr>
        <w:pStyle w:val="31"/>
        <w:rPr>
          <w:rFonts w:hint="eastAsia" w:ascii="仿宋" w:hAnsi="仿宋" w:eastAsia="仿宋"/>
          <w:b/>
          <w:bCs/>
          <w:spacing w:val="80"/>
          <w:sz w:val="44"/>
          <w:szCs w:val="44"/>
          <w:highlight w:val="none"/>
        </w:rPr>
      </w:pPr>
    </w:p>
    <w:p w14:paraId="7179EC19">
      <w:pPr>
        <w:pStyle w:val="31"/>
        <w:rPr>
          <w:rFonts w:hint="eastAsia" w:ascii="仿宋" w:hAnsi="仿宋" w:eastAsia="仿宋"/>
          <w:b/>
          <w:bCs/>
          <w:spacing w:val="80"/>
          <w:sz w:val="44"/>
          <w:szCs w:val="44"/>
          <w:highlight w:val="none"/>
        </w:rPr>
      </w:pPr>
    </w:p>
    <w:p w14:paraId="6D6380FA">
      <w:pPr>
        <w:jc w:val="center"/>
        <w:outlineLvl w:val="0"/>
        <w:rPr>
          <w:rFonts w:hint="eastAsia"/>
          <w:b/>
          <w:bCs/>
          <w:spacing w:val="80"/>
          <w:sz w:val="96"/>
          <w:szCs w:val="96"/>
          <w:highlight w:val="none"/>
        </w:rPr>
      </w:pPr>
      <w:bookmarkStart w:id="0" w:name="_Toc4414"/>
      <w:bookmarkStart w:id="1" w:name="_Toc22974"/>
      <w:bookmarkStart w:id="2" w:name="_Toc19609"/>
      <w:bookmarkStart w:id="3" w:name="_Toc17306"/>
      <w:bookmarkStart w:id="4" w:name="_Toc16686"/>
      <w:bookmarkStart w:id="5" w:name="_Toc7408"/>
      <w:bookmarkStart w:id="6" w:name="_Toc13146"/>
      <w:bookmarkStart w:id="7" w:name="_Toc17591"/>
      <w:bookmarkStart w:id="8" w:name="_Toc16779"/>
      <w:r>
        <w:rPr>
          <w:rFonts w:hint="eastAsia"/>
          <w:b/>
          <w:bCs/>
          <w:spacing w:val="80"/>
          <w:sz w:val="96"/>
          <w:szCs w:val="96"/>
          <w:highlight w:val="none"/>
          <w:lang w:val="en-US" w:eastAsia="zh-CN"/>
        </w:rPr>
        <w:t>竞争性比选</w:t>
      </w:r>
      <w:r>
        <w:rPr>
          <w:rFonts w:hint="eastAsia"/>
          <w:b/>
          <w:bCs/>
          <w:spacing w:val="80"/>
          <w:sz w:val="96"/>
          <w:szCs w:val="96"/>
          <w:highlight w:val="none"/>
        </w:rPr>
        <w:t>文件</w:t>
      </w:r>
      <w:bookmarkEnd w:id="0"/>
      <w:bookmarkEnd w:id="1"/>
      <w:bookmarkEnd w:id="2"/>
      <w:bookmarkEnd w:id="3"/>
      <w:bookmarkEnd w:id="4"/>
      <w:bookmarkEnd w:id="5"/>
      <w:bookmarkEnd w:id="6"/>
      <w:bookmarkEnd w:id="7"/>
      <w:bookmarkEnd w:id="8"/>
    </w:p>
    <w:p w14:paraId="1D57E771">
      <w:pPr>
        <w:rPr>
          <w:rFonts w:hint="eastAsia"/>
          <w:sz w:val="28"/>
          <w:szCs w:val="22"/>
          <w:highlight w:val="none"/>
        </w:rPr>
      </w:pPr>
    </w:p>
    <w:p w14:paraId="50568DD3">
      <w:pPr>
        <w:tabs>
          <w:tab w:val="left" w:pos="6414"/>
        </w:tabs>
        <w:rPr>
          <w:rFonts w:hint="eastAsia"/>
          <w:highlight w:val="none"/>
        </w:rPr>
      </w:pPr>
      <w:r>
        <w:rPr>
          <w:rFonts w:hint="eastAsia"/>
          <w:highlight w:val="none"/>
        </w:rPr>
        <w:tab/>
      </w:r>
    </w:p>
    <w:p w14:paraId="238BC533">
      <w:pPr>
        <w:rPr>
          <w:rFonts w:hint="eastAsia"/>
          <w:highlight w:val="none"/>
        </w:rPr>
      </w:pPr>
    </w:p>
    <w:p w14:paraId="4418FE6F">
      <w:pPr>
        <w:pStyle w:val="18"/>
        <w:rPr>
          <w:rFonts w:hint="eastAsia"/>
          <w:highlight w:val="none"/>
        </w:rPr>
      </w:pPr>
    </w:p>
    <w:p w14:paraId="0DE5B80D">
      <w:pPr>
        <w:rPr>
          <w:rFonts w:hint="eastAsia"/>
          <w:highlight w:val="none"/>
        </w:rPr>
      </w:pPr>
    </w:p>
    <w:p w14:paraId="40D28864">
      <w:pPr>
        <w:rPr>
          <w:rFonts w:hint="eastAsia"/>
          <w:highlight w:val="none"/>
        </w:rPr>
      </w:pPr>
    </w:p>
    <w:p w14:paraId="67C72A9C">
      <w:pPr>
        <w:rPr>
          <w:rFonts w:hint="eastAsia"/>
          <w:highlight w:val="none"/>
        </w:rPr>
      </w:pPr>
    </w:p>
    <w:p w14:paraId="5EBA8B0C">
      <w:pPr>
        <w:rPr>
          <w:rFonts w:hint="eastAsia"/>
          <w:highlight w:val="none"/>
        </w:rPr>
      </w:pPr>
    </w:p>
    <w:p w14:paraId="65DAD12B">
      <w:pPr>
        <w:jc w:val="both"/>
        <w:rPr>
          <w:rFonts w:hint="eastAsia"/>
          <w:b/>
          <w:sz w:val="32"/>
          <w:szCs w:val="22"/>
          <w:highlight w:val="none"/>
        </w:rPr>
      </w:pPr>
      <w:r>
        <w:rPr>
          <w:rFonts w:hint="eastAsia"/>
          <w:b/>
          <w:kern w:val="2"/>
          <w:sz w:val="32"/>
          <w:szCs w:val="22"/>
          <w:highlight w:val="none"/>
        </w:rPr>
        <w:t>采 购 人：</w:t>
      </w:r>
      <w:r>
        <w:rPr>
          <w:rFonts w:hint="eastAsia"/>
          <w:b/>
          <w:sz w:val="32"/>
          <w:szCs w:val="22"/>
          <w:highlight w:val="none"/>
        </w:rPr>
        <w:t>重庆市九龙建设工程质量检测中心股份有限公司</w:t>
      </w:r>
    </w:p>
    <w:p w14:paraId="3575262C">
      <w:pPr>
        <w:jc w:val="center"/>
        <w:rPr>
          <w:rFonts w:hint="eastAsia"/>
          <w:highlight w:val="none"/>
        </w:rPr>
        <w:sectPr>
          <w:headerReference r:id="rId4" w:type="first"/>
          <w:footerReference r:id="rId6"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r>
        <w:rPr>
          <w:rFonts w:hint="eastAsia"/>
          <w:b/>
          <w:sz w:val="36"/>
          <w:szCs w:val="28"/>
          <w:highlight w:val="none"/>
        </w:rPr>
        <w:t>二〇二五年七月</w:t>
      </w:r>
    </w:p>
    <w:p w14:paraId="6A464584">
      <w:pPr>
        <w:pStyle w:val="4"/>
        <w:jc w:val="center"/>
        <w:rPr>
          <w:rFonts w:hint="eastAsia" w:ascii="宋体" w:hAnsi="宋体" w:cs="宋体"/>
          <w:highlight w:val="none"/>
        </w:rPr>
      </w:pPr>
      <w:bookmarkStart w:id="9" w:name="_Toc995"/>
      <w:bookmarkStart w:id="10" w:name="_Toc152480139"/>
      <w:bookmarkStart w:id="11" w:name="_Toc11641050"/>
      <w:bookmarkStart w:id="12" w:name="_Toc128744981"/>
      <w:bookmarkStart w:id="13" w:name="_Toc12789052"/>
      <w:r>
        <w:rPr>
          <w:rStyle w:val="34"/>
          <w:rFonts w:hint="eastAsia" w:ascii="宋体" w:hAnsi="宋体" w:cs="宋体"/>
          <w:b/>
          <w:bCs/>
          <w:highlight w:val="none"/>
          <w:lang w:val="en-US"/>
        </w:rPr>
        <w:t>比选</w:t>
      </w:r>
      <w:r>
        <w:rPr>
          <w:rStyle w:val="34"/>
          <w:rFonts w:hint="eastAsia" w:ascii="宋体" w:hAnsi="宋体" w:cs="宋体"/>
          <w:b/>
          <w:bCs/>
          <w:highlight w:val="none"/>
        </w:rPr>
        <w:t>邀请书</w:t>
      </w:r>
      <w:bookmarkEnd w:id="9"/>
      <w:bookmarkEnd w:id="10"/>
    </w:p>
    <w:p w14:paraId="24E5C97F">
      <w:pPr>
        <w:snapToGrid w:val="0"/>
        <w:spacing w:line="360" w:lineRule="auto"/>
        <w:ind w:firstLine="480" w:firstLineChars="200"/>
        <w:rPr>
          <w:rFonts w:hint="eastAsia"/>
          <w:highlight w:val="none"/>
        </w:rPr>
      </w:pPr>
      <w:bookmarkStart w:id="14" w:name="_Toc24503"/>
      <w:bookmarkStart w:id="15" w:name="_Toc11971"/>
      <w:bookmarkStart w:id="16" w:name="_Toc378251877"/>
      <w:bookmarkStart w:id="17" w:name="_Toc152480140"/>
      <w:r>
        <w:rPr>
          <w:rFonts w:hint="eastAsia"/>
          <w:highlight w:val="none"/>
        </w:rPr>
        <w:t>重庆市九龙建设工程质量检测中心股份有限公司现对所</w:t>
      </w:r>
      <w:r>
        <w:rPr>
          <w:rFonts w:hint="eastAsia"/>
          <w:highlight w:val="none"/>
          <w:lang w:val="en-US" w:eastAsia="zh-CN"/>
        </w:rPr>
        <w:t>需的检测设备</w:t>
      </w:r>
      <w:r>
        <w:rPr>
          <w:rFonts w:hint="eastAsia"/>
          <w:highlight w:val="none"/>
        </w:rPr>
        <w:t>进行</w:t>
      </w:r>
      <w:r>
        <w:rPr>
          <w:rFonts w:hint="eastAsia"/>
          <w:highlight w:val="none"/>
          <w:lang w:val="en-US" w:eastAsia="zh-CN"/>
        </w:rPr>
        <w:t>竞争性比选</w:t>
      </w:r>
      <w:r>
        <w:rPr>
          <w:rFonts w:hint="eastAsia"/>
          <w:highlight w:val="none"/>
        </w:rPr>
        <w:t>采购。欢迎具备相关资质的供应商参加报价。</w:t>
      </w:r>
    </w:p>
    <w:p w14:paraId="1E6FE03C">
      <w:pPr>
        <w:pStyle w:val="5"/>
        <w:spacing w:before="0" w:after="0" w:line="360" w:lineRule="auto"/>
        <w:ind w:firstLine="482" w:firstLineChars="200"/>
        <w:rPr>
          <w:rFonts w:hint="eastAsia" w:ascii="宋体" w:hAnsi="宋体" w:cs="宋体"/>
          <w:sz w:val="24"/>
          <w:szCs w:val="24"/>
          <w:highlight w:val="none"/>
          <w:lang w:val="en-US"/>
        </w:rPr>
      </w:pPr>
      <w:r>
        <w:rPr>
          <w:rFonts w:hint="eastAsia" w:ascii="宋体" w:hAnsi="宋体" w:cs="宋体"/>
          <w:sz w:val="24"/>
          <w:szCs w:val="24"/>
          <w:highlight w:val="none"/>
        </w:rPr>
        <w:t>一、服务内容</w:t>
      </w:r>
      <w:r>
        <w:rPr>
          <w:rFonts w:hint="eastAsia" w:ascii="宋体" w:hAnsi="宋体" w:cs="宋体"/>
          <w:sz w:val="24"/>
          <w:szCs w:val="24"/>
          <w:highlight w:val="none"/>
          <w:lang w:val="en-US"/>
        </w:rPr>
        <w:t>及最高限价</w:t>
      </w:r>
    </w:p>
    <w:tbl>
      <w:tblPr>
        <w:tblStyle w:val="24"/>
        <w:tblpPr w:leftFromText="180" w:rightFromText="180" w:vertAnchor="text" w:horzAnchor="page" w:tblpX="877" w:tblpY="4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1638"/>
        <w:gridCol w:w="453"/>
        <w:gridCol w:w="453"/>
        <w:gridCol w:w="4778"/>
        <w:gridCol w:w="927"/>
        <w:gridCol w:w="927"/>
      </w:tblGrid>
      <w:tr w14:paraId="111E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5000" w:type="pct"/>
            <w:gridSpan w:val="7"/>
            <w:tcBorders>
              <w:top w:val="nil"/>
              <w:left w:val="nil"/>
              <w:bottom w:val="nil"/>
              <w:right w:val="nil"/>
            </w:tcBorders>
            <w:shd w:val="clear" w:color="auto" w:fill="auto"/>
            <w:vAlign w:val="center"/>
          </w:tcPr>
          <w:p w14:paraId="5E9A6544">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highlight w:val="none"/>
                <w:lang w:val="en-US" w:eastAsia="zh-CN"/>
              </w:rPr>
              <w:t>重庆市九龙建设工程质量检测中心股份有限公司</w:t>
            </w:r>
            <w:r>
              <w:rPr>
                <w:rFonts w:hint="eastAsia"/>
                <w:highlight w:val="none"/>
                <w:lang w:val="en-US" w:eastAsia="zh-CN"/>
              </w:rPr>
              <w:br w:type="textWrapping"/>
            </w:r>
            <w:r>
              <w:rPr>
                <w:rFonts w:hint="eastAsia"/>
                <w:highlight w:val="none"/>
                <w:lang w:val="en-US" w:eastAsia="zh-CN"/>
              </w:rPr>
              <w:t>检测设备采购表</w:t>
            </w:r>
          </w:p>
        </w:tc>
      </w:tr>
      <w:tr w14:paraId="433B7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478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A5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采购物品</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CC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型号规格</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4C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66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90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FA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最高限价（元）</w:t>
            </w:r>
          </w:p>
        </w:tc>
      </w:tr>
      <w:tr w14:paraId="3903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95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76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锚杆拉拔仪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97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E9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A3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朗睿，30t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34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3800</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3E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7600</w:t>
            </w:r>
          </w:p>
        </w:tc>
      </w:tr>
      <w:tr w14:paraId="0444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A6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6B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恩格拉黏度计</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1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99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F6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满足JTG E20-2011（T0622-1993）2.1要求</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28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4152</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E8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4152</w:t>
            </w:r>
          </w:p>
        </w:tc>
      </w:tr>
      <w:tr w14:paraId="2D5C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1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9B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负压筛析仪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D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5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07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填料颗粒分析，满足JTG 3432-2024(P240）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4F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2222.4</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77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2222.4</w:t>
            </w:r>
          </w:p>
        </w:tc>
      </w:tr>
      <w:tr w14:paraId="102D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03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31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合计（元）</w:t>
            </w:r>
          </w:p>
        </w:tc>
        <w:tc>
          <w:tcPr>
            <w:tcW w:w="9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82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13974</w:t>
            </w:r>
          </w:p>
        </w:tc>
      </w:tr>
    </w:tbl>
    <w:p w14:paraId="4B19ACB6">
      <w:pPr>
        <w:spacing w:line="600" w:lineRule="exact"/>
        <w:rPr>
          <w:rFonts w:ascii="Times New Roman" w:hAnsi="Times New Roman" w:eastAsia="方正仿宋_GBK"/>
          <w:color w:val="000000"/>
          <w:sz w:val="32"/>
          <w:szCs w:val="32"/>
          <w:highlight w:val="none"/>
        </w:rPr>
      </w:pPr>
    </w:p>
    <w:p w14:paraId="547F0B0C">
      <w:pPr>
        <w:snapToGrid w:val="0"/>
        <w:spacing w:line="360" w:lineRule="auto"/>
        <w:ind w:firstLine="480" w:firstLineChars="200"/>
        <w:rPr>
          <w:rFonts w:hint="default" w:ascii="Times New Roman" w:hAnsi="Times New Roman" w:eastAsia="方正仿宋_GBK"/>
          <w:color w:val="000000"/>
          <w:sz w:val="32"/>
          <w:szCs w:val="32"/>
          <w:highlight w:val="none"/>
          <w:lang w:val="en-US"/>
        </w:rPr>
      </w:pPr>
      <w:r>
        <w:rPr>
          <w:rFonts w:hint="eastAsia"/>
          <w:highlight w:val="none"/>
          <w:lang w:val="en-US" w:eastAsia="zh-CN"/>
        </w:rPr>
        <w:t>特别声明：比选供应商最终报价不得高于1.39万元，否则视为无效报价。</w:t>
      </w:r>
    </w:p>
    <w:p w14:paraId="44C51055">
      <w:pPr>
        <w:pStyle w:val="5"/>
        <w:spacing w:before="0" w:after="0" w:line="360" w:lineRule="auto"/>
        <w:ind w:firstLine="482" w:firstLineChars="200"/>
        <w:rPr>
          <w:rFonts w:hint="eastAsia" w:ascii="宋体" w:hAnsi="宋体" w:cs="宋体"/>
          <w:sz w:val="24"/>
          <w:szCs w:val="24"/>
          <w:highlight w:val="none"/>
        </w:rPr>
      </w:pPr>
      <w:r>
        <w:rPr>
          <w:rFonts w:hint="eastAsia" w:ascii="宋体" w:hAnsi="宋体" w:cs="宋体"/>
          <w:sz w:val="24"/>
          <w:szCs w:val="24"/>
          <w:highlight w:val="none"/>
        </w:rPr>
        <w:t>二、资金来源</w:t>
      </w:r>
      <w:bookmarkEnd w:id="14"/>
      <w:bookmarkEnd w:id="15"/>
      <w:bookmarkEnd w:id="16"/>
    </w:p>
    <w:p w14:paraId="57107268">
      <w:pPr>
        <w:pStyle w:val="5"/>
        <w:spacing w:before="0" w:after="0" w:line="360" w:lineRule="auto"/>
        <w:ind w:firstLine="480" w:firstLineChars="200"/>
        <w:rPr>
          <w:rFonts w:hint="eastAsia" w:ascii="宋体" w:hAnsi="宋体" w:cs="宋体"/>
          <w:b w:val="0"/>
          <w:bCs w:val="0"/>
          <w:sz w:val="24"/>
          <w:szCs w:val="24"/>
          <w:highlight w:val="none"/>
          <w:lang w:val="en-US"/>
        </w:rPr>
      </w:pPr>
      <w:bookmarkStart w:id="18" w:name="_Toc7998"/>
      <w:bookmarkStart w:id="19" w:name="_Toc11476"/>
      <w:bookmarkStart w:id="20" w:name="_Toc1599"/>
      <w:bookmarkStart w:id="21" w:name="_Toc15705"/>
      <w:bookmarkStart w:id="22" w:name="_Toc19524"/>
      <w:r>
        <w:rPr>
          <w:rFonts w:hint="eastAsia" w:ascii="宋体" w:hAnsi="宋体" w:cs="宋体"/>
          <w:b w:val="0"/>
          <w:bCs w:val="0"/>
          <w:sz w:val="24"/>
          <w:szCs w:val="24"/>
          <w:highlight w:val="none"/>
          <w:lang w:val="en-US"/>
        </w:rPr>
        <w:t>自筹</w:t>
      </w:r>
      <w:bookmarkEnd w:id="18"/>
      <w:bookmarkEnd w:id="19"/>
      <w:bookmarkEnd w:id="20"/>
      <w:bookmarkEnd w:id="21"/>
      <w:bookmarkEnd w:id="22"/>
      <w:r>
        <w:rPr>
          <w:rFonts w:hint="eastAsia" w:ascii="宋体" w:hAnsi="宋体" w:cs="宋体"/>
          <w:b w:val="0"/>
          <w:bCs w:val="0"/>
          <w:sz w:val="24"/>
          <w:szCs w:val="24"/>
          <w:highlight w:val="none"/>
          <w:lang w:val="en-US"/>
        </w:rPr>
        <w:t>资金</w:t>
      </w:r>
    </w:p>
    <w:p w14:paraId="2D01DE58">
      <w:pPr>
        <w:pStyle w:val="5"/>
        <w:spacing w:before="0" w:after="0" w:line="360" w:lineRule="auto"/>
        <w:ind w:firstLine="482" w:firstLineChars="200"/>
        <w:rPr>
          <w:rFonts w:hint="eastAsia" w:ascii="宋体" w:hAnsi="宋体" w:cs="宋体"/>
          <w:sz w:val="24"/>
          <w:szCs w:val="24"/>
          <w:highlight w:val="none"/>
        </w:rPr>
      </w:pPr>
      <w:bookmarkStart w:id="23" w:name="_Toc1513"/>
      <w:bookmarkStart w:id="24" w:name="_Toc32018"/>
      <w:r>
        <w:rPr>
          <w:rFonts w:hint="eastAsia" w:ascii="宋体" w:hAnsi="宋体" w:cs="宋体"/>
          <w:sz w:val="24"/>
          <w:szCs w:val="24"/>
          <w:highlight w:val="none"/>
        </w:rPr>
        <w:t>三、</w:t>
      </w:r>
      <w:r>
        <w:rPr>
          <w:rFonts w:hint="eastAsia" w:ascii="宋体" w:hAnsi="宋体" w:cs="宋体"/>
          <w:sz w:val="24"/>
          <w:szCs w:val="24"/>
          <w:highlight w:val="none"/>
          <w:lang w:val="en-US"/>
        </w:rPr>
        <w:t>供应商</w:t>
      </w:r>
      <w:r>
        <w:rPr>
          <w:rFonts w:hint="eastAsia" w:ascii="宋体" w:hAnsi="宋体" w:cs="宋体"/>
          <w:sz w:val="24"/>
          <w:szCs w:val="24"/>
          <w:highlight w:val="none"/>
        </w:rPr>
        <w:t>资格要求</w:t>
      </w:r>
      <w:bookmarkEnd w:id="23"/>
      <w:bookmarkEnd w:id="24"/>
    </w:p>
    <w:p w14:paraId="3BBB9249">
      <w:pPr>
        <w:snapToGrid w:val="0"/>
        <w:spacing w:line="360" w:lineRule="auto"/>
        <w:ind w:firstLine="480" w:firstLineChars="200"/>
        <w:rPr>
          <w:rFonts w:hint="eastAsia"/>
          <w:highlight w:val="none"/>
        </w:rPr>
      </w:pPr>
      <w:r>
        <w:rPr>
          <w:rFonts w:hint="eastAsia"/>
          <w:highlight w:val="none"/>
          <w:lang w:val="en-US" w:eastAsia="zh-CN"/>
        </w:rPr>
        <w:t>比选</w:t>
      </w:r>
      <w:r>
        <w:rPr>
          <w:rFonts w:hint="eastAsia"/>
          <w:highlight w:val="none"/>
        </w:rPr>
        <w:t>供应商是指向采购人提供货物、工程或者服务的法人、其他组织或者自然人。以下简称供应商。</w:t>
      </w:r>
    </w:p>
    <w:p w14:paraId="25E7DCD4">
      <w:pPr>
        <w:snapToGrid w:val="0"/>
        <w:spacing w:line="360" w:lineRule="auto"/>
        <w:ind w:firstLine="480" w:firstLineChars="200"/>
        <w:rPr>
          <w:rFonts w:hint="eastAsia"/>
          <w:highlight w:val="none"/>
        </w:rPr>
      </w:pPr>
      <w:r>
        <w:rPr>
          <w:rFonts w:hint="eastAsia"/>
          <w:highlight w:val="none"/>
        </w:rPr>
        <w:t>合格的供应商应符合下列条件：</w:t>
      </w:r>
    </w:p>
    <w:p w14:paraId="4B0F707B">
      <w:pPr>
        <w:snapToGrid w:val="0"/>
        <w:spacing w:line="360" w:lineRule="auto"/>
        <w:ind w:firstLine="480" w:firstLineChars="200"/>
        <w:rPr>
          <w:rFonts w:hint="eastAsia"/>
          <w:highlight w:val="none"/>
        </w:rPr>
      </w:pPr>
      <w:bookmarkStart w:id="25" w:name="_Toc1359"/>
      <w:bookmarkStart w:id="26" w:name="_Toc487204774"/>
      <w:r>
        <w:rPr>
          <w:rFonts w:hint="eastAsia"/>
          <w:highlight w:val="none"/>
        </w:rPr>
        <w:t>（一）基本条件</w:t>
      </w:r>
    </w:p>
    <w:p w14:paraId="2A5AF2C1">
      <w:pPr>
        <w:snapToGrid w:val="0"/>
        <w:spacing w:line="360" w:lineRule="auto"/>
        <w:ind w:firstLine="480" w:firstLineChars="200"/>
        <w:rPr>
          <w:rFonts w:hint="eastAsia"/>
          <w:highlight w:val="none"/>
        </w:rPr>
      </w:pPr>
      <w:r>
        <w:rPr>
          <w:rFonts w:hint="eastAsia"/>
          <w:highlight w:val="none"/>
        </w:rPr>
        <w:t>1、具有独立承担民事责任的能力；</w:t>
      </w:r>
    </w:p>
    <w:p w14:paraId="7E1FA84E">
      <w:pPr>
        <w:snapToGrid w:val="0"/>
        <w:spacing w:line="360" w:lineRule="auto"/>
        <w:ind w:firstLine="480" w:firstLineChars="200"/>
        <w:rPr>
          <w:rFonts w:hint="eastAsia"/>
          <w:highlight w:val="none"/>
        </w:rPr>
      </w:pPr>
      <w:r>
        <w:rPr>
          <w:rFonts w:hint="eastAsia"/>
          <w:highlight w:val="none"/>
        </w:rPr>
        <w:t>2、具有良好的商业信誉和健全的财务会计制度；</w:t>
      </w:r>
    </w:p>
    <w:p w14:paraId="1F88C282">
      <w:pPr>
        <w:snapToGrid w:val="0"/>
        <w:spacing w:line="360" w:lineRule="auto"/>
        <w:ind w:firstLine="480" w:firstLineChars="200"/>
        <w:rPr>
          <w:rFonts w:hint="eastAsia"/>
          <w:highlight w:val="none"/>
        </w:rPr>
      </w:pPr>
      <w:r>
        <w:rPr>
          <w:rFonts w:hint="eastAsia"/>
          <w:highlight w:val="none"/>
        </w:rPr>
        <w:t>3、具有履行合同所必需的设备和专业技术能力；</w:t>
      </w:r>
    </w:p>
    <w:p w14:paraId="5C9AA69A">
      <w:pPr>
        <w:tabs>
          <w:tab w:val="right" w:pos="8591"/>
        </w:tabs>
        <w:snapToGrid w:val="0"/>
        <w:spacing w:line="360" w:lineRule="auto"/>
        <w:ind w:firstLine="480" w:firstLineChars="200"/>
        <w:rPr>
          <w:rFonts w:hint="eastAsia"/>
          <w:highlight w:val="none"/>
        </w:rPr>
      </w:pPr>
      <w:r>
        <w:rPr>
          <w:rFonts w:hint="eastAsia"/>
          <w:highlight w:val="none"/>
        </w:rPr>
        <w:t>4、有依法缴纳税收和社会保障资金的良好记录；</w:t>
      </w:r>
      <w:r>
        <w:rPr>
          <w:rFonts w:hint="eastAsia"/>
          <w:highlight w:val="none"/>
        </w:rPr>
        <w:tab/>
      </w:r>
    </w:p>
    <w:p w14:paraId="33F656AF">
      <w:pPr>
        <w:snapToGrid w:val="0"/>
        <w:spacing w:line="360" w:lineRule="auto"/>
        <w:ind w:firstLine="480" w:firstLineChars="200"/>
        <w:rPr>
          <w:rFonts w:hint="eastAsia"/>
          <w:highlight w:val="none"/>
        </w:rPr>
      </w:pPr>
      <w:r>
        <w:rPr>
          <w:highlight w:val="none"/>
        </w:rPr>
        <w:t>5、三年内在经营活动中无重大违纪记录；</w:t>
      </w:r>
    </w:p>
    <w:p w14:paraId="0C685144">
      <w:pPr>
        <w:snapToGrid w:val="0"/>
        <w:spacing w:line="360" w:lineRule="auto"/>
        <w:ind w:firstLine="480" w:firstLineChars="200"/>
        <w:rPr>
          <w:rFonts w:hint="eastAsia"/>
          <w:highlight w:val="none"/>
        </w:rPr>
      </w:pPr>
      <w:r>
        <w:rPr>
          <w:highlight w:val="none"/>
        </w:rPr>
        <w:t>6、法律、行政法规规定的其他条件。</w:t>
      </w:r>
    </w:p>
    <w:p w14:paraId="19026171">
      <w:pPr>
        <w:snapToGrid w:val="0"/>
        <w:spacing w:line="360" w:lineRule="auto"/>
        <w:ind w:firstLine="480" w:firstLineChars="200"/>
        <w:rPr>
          <w:rFonts w:hint="eastAsia"/>
          <w:highlight w:val="none"/>
        </w:rPr>
      </w:pPr>
      <w:r>
        <w:rPr>
          <w:rFonts w:hint="eastAsia"/>
          <w:highlight w:val="none"/>
        </w:rPr>
        <w:t>（二）特定资格条件</w:t>
      </w:r>
      <w:bookmarkStart w:id="27" w:name="_Toc20576"/>
      <w:bookmarkStart w:id="28" w:name="_Toc16159"/>
      <w:bookmarkStart w:id="29" w:name="_Toc26572"/>
      <w:r>
        <w:rPr>
          <w:rFonts w:hint="eastAsia"/>
          <w:highlight w:val="none"/>
        </w:rPr>
        <w:t>：无</w:t>
      </w:r>
      <w:bookmarkEnd w:id="27"/>
      <w:bookmarkEnd w:id="28"/>
      <w:bookmarkEnd w:id="29"/>
    </w:p>
    <w:p w14:paraId="0B60E753">
      <w:pPr>
        <w:pStyle w:val="5"/>
        <w:spacing w:before="0" w:after="0" w:line="360" w:lineRule="auto"/>
        <w:ind w:firstLine="482" w:firstLineChars="200"/>
        <w:rPr>
          <w:rFonts w:hint="eastAsia" w:ascii="宋体" w:hAnsi="宋体" w:cs="宋体"/>
          <w:sz w:val="24"/>
          <w:szCs w:val="24"/>
          <w:highlight w:val="none"/>
          <w:lang w:val="en-US"/>
        </w:rPr>
      </w:pPr>
      <w:bookmarkStart w:id="30" w:name="_Toc19797"/>
      <w:bookmarkStart w:id="31" w:name="_Toc1766"/>
      <w:r>
        <w:rPr>
          <w:rFonts w:hint="eastAsia" w:ascii="宋体" w:hAnsi="宋体" w:cs="宋体"/>
          <w:sz w:val="24"/>
          <w:szCs w:val="24"/>
          <w:highlight w:val="none"/>
        </w:rPr>
        <w:t>四、有关说明</w:t>
      </w:r>
      <w:bookmarkEnd w:id="25"/>
      <w:bookmarkEnd w:id="26"/>
      <w:bookmarkEnd w:id="30"/>
      <w:bookmarkEnd w:id="31"/>
    </w:p>
    <w:bookmarkEnd w:id="11"/>
    <w:bookmarkEnd w:id="12"/>
    <w:bookmarkEnd w:id="13"/>
    <w:bookmarkEnd w:id="17"/>
    <w:p w14:paraId="1F970244">
      <w:pPr>
        <w:snapToGrid w:val="0"/>
        <w:spacing w:line="360" w:lineRule="auto"/>
        <w:ind w:firstLine="480" w:firstLineChars="200"/>
        <w:rPr>
          <w:rFonts w:hint="eastAsia"/>
          <w:highlight w:val="none"/>
        </w:rPr>
      </w:pPr>
      <w:bookmarkStart w:id="32" w:name="_Toc487204778"/>
      <w:bookmarkStart w:id="33" w:name="_Toc128744991"/>
      <w:bookmarkStart w:id="34" w:name="_Toc6453"/>
      <w:r>
        <w:rPr>
          <w:rFonts w:hint="eastAsia"/>
          <w:highlight w:val="none"/>
        </w:rPr>
        <w:t>（一）凡有意参加的供应商，请于公告发布之日起至提交首次响应文件截止时间之前，在“行采家(</w:t>
      </w:r>
      <w:r>
        <w:rPr>
          <w:highlight w:val="none"/>
        </w:rPr>
        <w:fldChar w:fldCharType="begin"/>
      </w:r>
      <w:r>
        <w:rPr>
          <w:highlight w:val="none"/>
        </w:rPr>
        <w:instrText xml:space="preserve"> HYPERLINK "https://www.gec123.com/" </w:instrText>
      </w:r>
      <w:r>
        <w:rPr>
          <w:highlight w:val="none"/>
        </w:rPr>
        <w:fldChar w:fldCharType="separate"/>
      </w:r>
      <w:r>
        <w:rPr>
          <w:rFonts w:hint="eastAsia"/>
          <w:highlight w:val="none"/>
        </w:rPr>
        <w:t>https://www.gec123.com</w:t>
      </w:r>
      <w:r>
        <w:rPr>
          <w:rFonts w:hint="eastAsia"/>
          <w:highlight w:val="none"/>
        </w:rPr>
        <w:fldChar w:fldCharType="end"/>
      </w:r>
      <w:r>
        <w:rPr>
          <w:rFonts w:hint="eastAsia"/>
          <w:highlight w:val="none"/>
        </w:rPr>
        <w:t>）”上下载本项目</w:t>
      </w:r>
      <w:r>
        <w:rPr>
          <w:rFonts w:hint="eastAsia"/>
          <w:highlight w:val="none"/>
          <w:lang w:val="en-US" w:eastAsia="zh-CN"/>
        </w:rPr>
        <w:t>比选</w:t>
      </w:r>
      <w:r>
        <w:rPr>
          <w:rFonts w:hint="eastAsia"/>
          <w:highlight w:val="none"/>
        </w:rPr>
        <w:t>文件以及</w:t>
      </w:r>
      <w:r>
        <w:rPr>
          <w:rFonts w:hint="eastAsia"/>
          <w:highlight w:val="none"/>
          <w:lang w:val="en-US" w:eastAsia="zh-CN"/>
        </w:rPr>
        <w:t>比选</w:t>
      </w:r>
      <w:r>
        <w:rPr>
          <w:rFonts w:hint="eastAsia"/>
          <w:highlight w:val="none"/>
        </w:rPr>
        <w:t>前公布的所有项目资料，无论供应商下载或领取与否，均视为已知晓所有</w:t>
      </w:r>
      <w:r>
        <w:rPr>
          <w:rFonts w:hint="eastAsia"/>
          <w:highlight w:val="none"/>
          <w:lang w:val="en-US" w:eastAsia="zh-CN"/>
        </w:rPr>
        <w:t>比选</w:t>
      </w:r>
      <w:r>
        <w:rPr>
          <w:rFonts w:hint="eastAsia"/>
          <w:highlight w:val="none"/>
        </w:rPr>
        <w:t>实质性要求内容。</w:t>
      </w:r>
    </w:p>
    <w:p w14:paraId="7F3EBD7F">
      <w:pPr>
        <w:snapToGrid w:val="0"/>
        <w:spacing w:line="360" w:lineRule="auto"/>
        <w:ind w:firstLine="480" w:firstLineChars="200"/>
        <w:rPr>
          <w:rFonts w:hint="eastAsia"/>
          <w:highlight w:val="none"/>
        </w:rPr>
      </w:pPr>
      <w:r>
        <w:rPr>
          <w:rFonts w:hint="eastAsia"/>
          <w:highlight w:val="none"/>
        </w:rPr>
        <w:t>（二）</w:t>
      </w:r>
      <w:r>
        <w:rPr>
          <w:rFonts w:hint="eastAsia"/>
          <w:highlight w:val="none"/>
          <w:lang w:val="en-US" w:eastAsia="zh-CN"/>
        </w:rPr>
        <w:t>比选</w:t>
      </w:r>
      <w:r>
        <w:rPr>
          <w:rFonts w:hint="eastAsia"/>
          <w:highlight w:val="none"/>
        </w:rPr>
        <w:t>文件公告期限：</w:t>
      </w:r>
      <w:r>
        <w:rPr>
          <w:rFonts w:hint="eastAsia"/>
          <w:highlight w:val="none"/>
          <w:lang w:val="en-US" w:eastAsia="zh-CN"/>
        </w:rPr>
        <w:t>2025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 xml:space="preserve"> 25</w:t>
      </w:r>
      <w:r>
        <w:rPr>
          <w:rFonts w:hint="eastAsia"/>
          <w:highlight w:val="none"/>
        </w:rPr>
        <w:t>日至</w:t>
      </w:r>
      <w:r>
        <w:rPr>
          <w:rFonts w:hint="eastAsia"/>
          <w:highlight w:val="none"/>
          <w:lang w:val="en-US" w:eastAsia="zh-CN"/>
        </w:rPr>
        <w:t>2025</w:t>
      </w:r>
      <w:r>
        <w:rPr>
          <w:rFonts w:hint="eastAsia"/>
          <w:highlight w:val="none"/>
        </w:rPr>
        <w:t xml:space="preserve"> 年</w:t>
      </w:r>
      <w:r>
        <w:rPr>
          <w:rFonts w:hint="eastAsia"/>
          <w:highlight w:val="none"/>
          <w:lang w:val="en-US" w:eastAsia="zh-CN"/>
        </w:rPr>
        <w:t>7</w:t>
      </w:r>
      <w:r>
        <w:rPr>
          <w:rFonts w:hint="eastAsia"/>
          <w:highlight w:val="none"/>
        </w:rPr>
        <w:t>月</w:t>
      </w:r>
      <w:r>
        <w:rPr>
          <w:rFonts w:hint="eastAsia"/>
          <w:highlight w:val="none"/>
          <w:lang w:val="en-US" w:eastAsia="zh-CN"/>
        </w:rPr>
        <w:t xml:space="preserve"> 31 </w:t>
      </w:r>
      <w:r>
        <w:rPr>
          <w:rFonts w:hint="eastAsia"/>
          <w:highlight w:val="none"/>
        </w:rPr>
        <w:t>日。</w:t>
      </w:r>
    </w:p>
    <w:p w14:paraId="24F8A654">
      <w:pPr>
        <w:snapToGrid w:val="0"/>
        <w:spacing w:line="360" w:lineRule="auto"/>
        <w:ind w:firstLine="480" w:firstLineChars="200"/>
        <w:rPr>
          <w:rFonts w:hint="eastAsia"/>
          <w:highlight w:val="none"/>
        </w:rPr>
      </w:pPr>
      <w:r>
        <w:rPr>
          <w:rFonts w:hint="eastAsia"/>
          <w:highlight w:val="none"/>
        </w:rPr>
        <w:t>（三）文件购买费：0元。</w:t>
      </w:r>
    </w:p>
    <w:p w14:paraId="72119B49">
      <w:pPr>
        <w:snapToGrid w:val="0"/>
        <w:spacing w:line="360" w:lineRule="auto"/>
        <w:ind w:firstLine="480" w:firstLineChars="200"/>
        <w:rPr>
          <w:rFonts w:hint="eastAsia"/>
          <w:highlight w:val="none"/>
        </w:rPr>
      </w:pPr>
      <w:r>
        <w:rPr>
          <w:rFonts w:hint="eastAsia"/>
          <w:highlight w:val="none"/>
        </w:rPr>
        <w:t>（四）供应商须按时递交响应文件，其响应文件才被接受。</w:t>
      </w:r>
    </w:p>
    <w:p w14:paraId="287F3742">
      <w:pPr>
        <w:snapToGrid w:val="0"/>
        <w:spacing w:line="360" w:lineRule="auto"/>
        <w:ind w:firstLine="480" w:firstLineChars="200"/>
        <w:rPr>
          <w:rFonts w:hint="eastAsia"/>
          <w:highlight w:val="none"/>
        </w:rPr>
      </w:pPr>
      <w:r>
        <w:rPr>
          <w:rFonts w:hint="eastAsia"/>
          <w:highlight w:val="none"/>
        </w:rPr>
        <w:t>（五）响应文件由供应商资质文件、报价函两部分组成。</w:t>
      </w:r>
    </w:p>
    <w:p w14:paraId="33779CA5">
      <w:pPr>
        <w:snapToGrid w:val="0"/>
        <w:spacing w:line="360" w:lineRule="auto"/>
        <w:ind w:firstLine="480" w:firstLineChars="200"/>
        <w:rPr>
          <w:rFonts w:hint="eastAsia"/>
          <w:highlight w:val="none"/>
        </w:rPr>
      </w:pPr>
      <w:r>
        <w:rPr>
          <w:rFonts w:hint="eastAsia"/>
          <w:highlight w:val="none"/>
        </w:rPr>
        <w:t>1.资质文件应包含供应商企业营业执照副本（加盖公章）一份、具有履行合同所必需的设备和专业技术能力的书面声明一份；</w:t>
      </w:r>
    </w:p>
    <w:p w14:paraId="0EC12C3A">
      <w:pPr>
        <w:snapToGrid w:val="0"/>
        <w:spacing w:line="360" w:lineRule="auto"/>
        <w:ind w:firstLine="480" w:firstLineChars="200"/>
        <w:rPr>
          <w:rFonts w:hint="eastAsia"/>
          <w:highlight w:val="none"/>
        </w:rPr>
      </w:pPr>
      <w:r>
        <w:rPr>
          <w:rFonts w:hint="eastAsia"/>
          <w:highlight w:val="none"/>
        </w:rPr>
        <w:t>2.供应商报价不得有任何一项高于本文件要求的单项最高限价，且报价应包含税点为13个点的专用发票，否则为无效报价。</w:t>
      </w:r>
    </w:p>
    <w:p w14:paraId="23CA6F16">
      <w:pPr>
        <w:snapToGrid w:val="0"/>
        <w:spacing w:line="360" w:lineRule="auto"/>
        <w:ind w:firstLine="480" w:firstLineChars="200"/>
        <w:rPr>
          <w:rFonts w:hint="eastAsia"/>
          <w:highlight w:val="none"/>
        </w:rPr>
      </w:pPr>
      <w:r>
        <w:rPr>
          <w:rFonts w:hint="eastAsia"/>
          <w:highlight w:val="none"/>
        </w:rPr>
        <w:t>（六）供应商选取</w:t>
      </w:r>
    </w:p>
    <w:p w14:paraId="28145372">
      <w:pPr>
        <w:snapToGrid w:val="0"/>
        <w:spacing w:line="360" w:lineRule="auto"/>
        <w:ind w:firstLine="480" w:firstLineChars="200"/>
        <w:rPr>
          <w:rFonts w:hint="eastAsia"/>
          <w:highlight w:val="none"/>
        </w:rPr>
      </w:pPr>
      <w:r>
        <w:rPr>
          <w:rFonts w:hint="eastAsia"/>
          <w:highlight w:val="none"/>
        </w:rPr>
        <w:t>本次</w:t>
      </w:r>
      <w:r>
        <w:rPr>
          <w:rFonts w:hint="eastAsia"/>
          <w:highlight w:val="none"/>
          <w:lang w:val="en-US" w:eastAsia="zh-CN"/>
        </w:rPr>
        <w:t>比选</w:t>
      </w:r>
      <w:r>
        <w:rPr>
          <w:rFonts w:hint="eastAsia"/>
          <w:highlight w:val="none"/>
        </w:rPr>
        <w:t>规则为最低价中选，在满足服务质量要求的前提下，报价最低的单位中选本次项目。</w:t>
      </w:r>
    </w:p>
    <w:p w14:paraId="42C8AA94">
      <w:pPr>
        <w:snapToGrid w:val="0"/>
        <w:spacing w:line="360" w:lineRule="auto"/>
        <w:ind w:firstLine="480" w:firstLineChars="200"/>
        <w:rPr>
          <w:rFonts w:hint="eastAsia"/>
          <w:highlight w:val="none"/>
        </w:rPr>
      </w:pPr>
      <w:r>
        <w:rPr>
          <w:rFonts w:hint="eastAsia"/>
          <w:highlight w:val="none"/>
        </w:rPr>
        <w:t>（七）递交响应文件地点：重庆市九龙坡区半山东路8号附1号</w:t>
      </w:r>
    </w:p>
    <w:p w14:paraId="2744DA77">
      <w:pPr>
        <w:snapToGrid w:val="0"/>
        <w:spacing w:line="360" w:lineRule="auto"/>
        <w:ind w:firstLine="480" w:firstLineChars="200"/>
        <w:rPr>
          <w:rFonts w:hint="eastAsia"/>
          <w:highlight w:val="none"/>
        </w:rPr>
      </w:pPr>
      <w:r>
        <w:rPr>
          <w:rFonts w:hint="eastAsia"/>
          <w:highlight w:val="none"/>
        </w:rPr>
        <w:t>（八）响应文件递交开始时间：2025年7月</w:t>
      </w:r>
      <w:r>
        <w:rPr>
          <w:rFonts w:hint="eastAsia"/>
          <w:highlight w:val="none"/>
          <w:lang w:val="en-US" w:eastAsia="zh-CN"/>
        </w:rPr>
        <w:t xml:space="preserve"> 31 </w:t>
      </w:r>
      <w:r>
        <w:rPr>
          <w:rFonts w:hint="eastAsia"/>
          <w:highlight w:val="none"/>
        </w:rPr>
        <w:t>日</w:t>
      </w:r>
      <w:r>
        <w:rPr>
          <w:rFonts w:hint="eastAsia"/>
          <w:highlight w:val="none"/>
          <w:lang w:val="en-US" w:eastAsia="zh-CN"/>
        </w:rPr>
        <w:t>9</w:t>
      </w:r>
      <w:r>
        <w:rPr>
          <w:rFonts w:hint="eastAsia"/>
          <w:highlight w:val="none"/>
        </w:rPr>
        <w:t>时00分(北京时间）；</w:t>
      </w:r>
    </w:p>
    <w:p w14:paraId="177DD3E3">
      <w:pPr>
        <w:snapToGrid w:val="0"/>
        <w:spacing w:line="360" w:lineRule="auto"/>
        <w:ind w:firstLine="480" w:firstLineChars="200"/>
        <w:rPr>
          <w:rFonts w:hint="eastAsia"/>
          <w:highlight w:val="none"/>
        </w:rPr>
      </w:pPr>
      <w:r>
        <w:rPr>
          <w:rFonts w:hint="eastAsia"/>
          <w:highlight w:val="none"/>
        </w:rPr>
        <w:t>（九）响应文件递交截止时间：2025年</w:t>
      </w:r>
      <w:r>
        <w:rPr>
          <w:rFonts w:hint="eastAsia"/>
          <w:highlight w:val="none"/>
          <w:lang w:val="en-US" w:eastAsia="zh-CN"/>
        </w:rPr>
        <w:t>7</w:t>
      </w:r>
      <w:r>
        <w:rPr>
          <w:rFonts w:hint="eastAsia"/>
          <w:highlight w:val="none"/>
        </w:rPr>
        <w:t>月</w:t>
      </w:r>
      <w:r>
        <w:rPr>
          <w:rFonts w:hint="eastAsia"/>
          <w:highlight w:val="none"/>
          <w:lang w:val="en-US" w:eastAsia="zh-CN"/>
        </w:rPr>
        <w:t xml:space="preserve"> 31 </w:t>
      </w:r>
      <w:r>
        <w:rPr>
          <w:rFonts w:hint="eastAsia"/>
          <w:highlight w:val="none"/>
        </w:rPr>
        <w:t>日</w:t>
      </w:r>
      <w:r>
        <w:rPr>
          <w:rFonts w:hint="eastAsia"/>
          <w:highlight w:val="none"/>
          <w:lang w:val="en-US" w:eastAsia="zh-CN"/>
        </w:rPr>
        <w:t>17</w:t>
      </w:r>
      <w:r>
        <w:rPr>
          <w:rFonts w:hint="eastAsia"/>
          <w:highlight w:val="none"/>
        </w:rPr>
        <w:t>时00分(北京时间）；</w:t>
      </w:r>
    </w:p>
    <w:p w14:paraId="513657F9">
      <w:pPr>
        <w:snapToGrid w:val="0"/>
        <w:spacing w:line="360" w:lineRule="auto"/>
        <w:ind w:firstLine="480" w:firstLineChars="200"/>
        <w:rPr>
          <w:rFonts w:hint="eastAsia"/>
          <w:highlight w:val="none"/>
        </w:rPr>
      </w:pPr>
      <w:r>
        <w:rPr>
          <w:rFonts w:hint="eastAsia"/>
          <w:highlight w:val="none"/>
        </w:rPr>
        <w:t>（十）响应文件开启时间：2025年7月</w:t>
      </w:r>
      <w:r>
        <w:rPr>
          <w:rFonts w:hint="eastAsia"/>
          <w:highlight w:val="none"/>
          <w:lang w:val="en-US" w:eastAsia="zh-CN"/>
        </w:rPr>
        <w:t xml:space="preserve"> 31 </w:t>
      </w:r>
      <w:r>
        <w:rPr>
          <w:rFonts w:hint="eastAsia"/>
          <w:highlight w:val="none"/>
        </w:rPr>
        <w:t>日</w:t>
      </w:r>
      <w:r>
        <w:rPr>
          <w:rFonts w:hint="eastAsia"/>
          <w:highlight w:val="none"/>
          <w:lang w:val="en-US" w:eastAsia="zh-CN"/>
        </w:rPr>
        <w:t xml:space="preserve"> 17 </w:t>
      </w:r>
      <w:r>
        <w:rPr>
          <w:rFonts w:hint="eastAsia"/>
          <w:highlight w:val="none"/>
        </w:rPr>
        <w:t>时</w:t>
      </w:r>
      <w:r>
        <w:rPr>
          <w:rFonts w:hint="eastAsia"/>
          <w:highlight w:val="none"/>
          <w:lang w:val="en-US" w:eastAsia="zh-CN"/>
        </w:rPr>
        <w:t xml:space="preserve"> 10</w:t>
      </w:r>
      <w:bookmarkStart w:id="50" w:name="_GoBack"/>
      <w:bookmarkEnd w:id="50"/>
      <w:r>
        <w:rPr>
          <w:rFonts w:hint="eastAsia"/>
          <w:highlight w:val="none"/>
          <w:lang w:val="en-US" w:eastAsia="zh-CN"/>
        </w:rPr>
        <w:t xml:space="preserve"> </w:t>
      </w:r>
      <w:r>
        <w:rPr>
          <w:rFonts w:hint="eastAsia"/>
          <w:highlight w:val="none"/>
        </w:rPr>
        <w:t>分(北京时间）；</w:t>
      </w:r>
    </w:p>
    <w:p w14:paraId="2CD9C140">
      <w:pPr>
        <w:pStyle w:val="18"/>
        <w:rPr>
          <w:rFonts w:hint="eastAsia"/>
          <w:highlight w:val="none"/>
        </w:rPr>
      </w:pPr>
      <w:r>
        <w:rPr>
          <w:rFonts w:hint="eastAsia" w:cs="宋体"/>
          <w:b w:val="0"/>
          <w:bCs w:val="0"/>
          <w:highlight w:val="none"/>
        </w:rPr>
        <w:t xml:space="preserve">    （十一）</w:t>
      </w:r>
      <w:r>
        <w:rPr>
          <w:rFonts w:hint="eastAsia" w:ascii="宋体" w:hAnsi="宋体" w:eastAsia="宋体" w:cs="宋体"/>
          <w:b w:val="0"/>
          <w:bCs w:val="0"/>
          <w:highlight w:val="none"/>
        </w:rPr>
        <w:t>响应文件开启地点：具体地点由九龙检测中心确定，投标人无须参加。</w:t>
      </w:r>
    </w:p>
    <w:p w14:paraId="38D78D44">
      <w:pPr>
        <w:pStyle w:val="5"/>
        <w:spacing w:before="0" w:after="0" w:line="360" w:lineRule="auto"/>
        <w:ind w:firstLine="482" w:firstLineChars="200"/>
        <w:rPr>
          <w:rFonts w:hint="eastAsia" w:ascii="宋体" w:hAnsi="宋体" w:cs="宋体"/>
          <w:sz w:val="24"/>
          <w:szCs w:val="24"/>
          <w:highlight w:val="none"/>
          <w:lang w:val="en-US"/>
        </w:rPr>
      </w:pPr>
      <w:bookmarkStart w:id="35" w:name="_Toc28595"/>
      <w:bookmarkStart w:id="36" w:name="_Toc22356"/>
      <w:bookmarkStart w:id="37" w:name="_Toc487204775"/>
      <w:bookmarkStart w:id="38" w:name="_Toc11293"/>
      <w:bookmarkStart w:id="39" w:name="_Toc826"/>
      <w:r>
        <w:rPr>
          <w:rFonts w:hint="eastAsia" w:ascii="宋体" w:hAnsi="宋体" w:cs="宋体"/>
          <w:sz w:val="24"/>
          <w:szCs w:val="24"/>
          <w:highlight w:val="none"/>
        </w:rPr>
        <w:t>五、</w:t>
      </w:r>
      <w:r>
        <w:rPr>
          <w:rFonts w:hint="eastAsia" w:ascii="宋体" w:hAnsi="宋体" w:cs="宋体"/>
          <w:sz w:val="24"/>
          <w:szCs w:val="24"/>
          <w:highlight w:val="none"/>
          <w:lang w:val="en-US" w:eastAsia="zh-CN"/>
        </w:rPr>
        <w:t>比选</w:t>
      </w:r>
      <w:r>
        <w:rPr>
          <w:rFonts w:hint="eastAsia" w:ascii="宋体" w:hAnsi="宋体" w:cs="宋体"/>
          <w:sz w:val="24"/>
          <w:szCs w:val="24"/>
          <w:highlight w:val="none"/>
        </w:rPr>
        <w:t>保证金</w:t>
      </w:r>
      <w:bookmarkEnd w:id="35"/>
      <w:bookmarkEnd w:id="36"/>
      <w:bookmarkEnd w:id="37"/>
      <w:bookmarkStart w:id="40" w:name="_Toc487204776"/>
      <w:bookmarkStart w:id="41" w:name="_Toc24666"/>
      <w:r>
        <w:rPr>
          <w:rFonts w:hint="eastAsia" w:ascii="宋体" w:hAnsi="宋体" w:cs="宋体"/>
          <w:sz w:val="24"/>
          <w:szCs w:val="24"/>
          <w:highlight w:val="none"/>
        </w:rPr>
        <w:t>：</w:t>
      </w:r>
      <w:r>
        <w:rPr>
          <w:rFonts w:hint="eastAsia" w:ascii="宋体" w:hAnsi="宋体" w:cs="宋体"/>
          <w:sz w:val="24"/>
          <w:szCs w:val="24"/>
          <w:highlight w:val="none"/>
          <w:lang w:val="en-US"/>
        </w:rPr>
        <w:t>不采用。</w:t>
      </w:r>
      <w:bookmarkEnd w:id="38"/>
      <w:bookmarkEnd w:id="39"/>
    </w:p>
    <w:p w14:paraId="40533B73">
      <w:pPr>
        <w:pStyle w:val="5"/>
        <w:spacing w:before="0" w:after="0" w:line="360" w:lineRule="auto"/>
        <w:ind w:firstLine="482" w:firstLineChars="200"/>
        <w:rPr>
          <w:rFonts w:hint="eastAsia" w:ascii="宋体" w:hAnsi="宋体" w:cs="宋体"/>
          <w:sz w:val="24"/>
          <w:szCs w:val="24"/>
          <w:highlight w:val="none"/>
          <w:lang w:val="en-US"/>
        </w:rPr>
      </w:pPr>
      <w:r>
        <w:rPr>
          <w:rFonts w:ascii="宋体" w:hAnsi="宋体" w:cs="宋体"/>
          <w:sz w:val="24"/>
          <w:szCs w:val="24"/>
          <w:highlight w:val="none"/>
          <w:lang w:val="en-US"/>
        </w:rPr>
        <w:t>六、发布公告的媒介</w:t>
      </w:r>
    </w:p>
    <w:p w14:paraId="541C8B22">
      <w:pPr>
        <w:ind w:firstLine="480" w:firstLineChars="200"/>
        <w:rPr>
          <w:rFonts w:hint="eastAsia"/>
          <w:highlight w:val="none"/>
        </w:rPr>
      </w:pPr>
      <w:r>
        <w:rPr>
          <w:highlight w:val="none"/>
        </w:rPr>
        <w:t>本</w:t>
      </w:r>
      <w:r>
        <w:rPr>
          <w:rFonts w:hint="eastAsia"/>
          <w:highlight w:val="none"/>
          <w:lang w:val="en-US" w:eastAsia="zh-CN"/>
        </w:rPr>
        <w:t>比选</w:t>
      </w:r>
      <w:r>
        <w:rPr>
          <w:highlight w:val="none"/>
        </w:rPr>
        <w:t>公告在行采家（https://www.gec123.com/）网上发布。</w:t>
      </w:r>
    </w:p>
    <w:p w14:paraId="661287D1">
      <w:pPr>
        <w:pStyle w:val="5"/>
        <w:spacing w:before="0" w:after="0" w:line="360" w:lineRule="auto"/>
        <w:ind w:firstLine="482" w:firstLineChars="200"/>
        <w:rPr>
          <w:rFonts w:hint="eastAsia" w:ascii="宋体" w:hAnsi="宋体" w:cs="宋体"/>
          <w:sz w:val="24"/>
          <w:szCs w:val="24"/>
          <w:highlight w:val="none"/>
        </w:rPr>
      </w:pPr>
      <w:bookmarkStart w:id="42" w:name="_Toc28176"/>
      <w:bookmarkStart w:id="43" w:name="_Toc448"/>
      <w:bookmarkStart w:id="44" w:name="_Toc25945"/>
      <w:r>
        <w:rPr>
          <w:rFonts w:hint="eastAsia" w:ascii="宋体" w:hAnsi="宋体" w:cs="宋体"/>
          <w:sz w:val="24"/>
          <w:szCs w:val="24"/>
          <w:highlight w:val="none"/>
          <w:lang w:val="en-US"/>
        </w:rPr>
        <w:t>七</w:t>
      </w:r>
      <w:r>
        <w:rPr>
          <w:rFonts w:hint="eastAsia" w:ascii="宋体" w:hAnsi="宋体" w:cs="宋体"/>
          <w:sz w:val="24"/>
          <w:szCs w:val="24"/>
          <w:highlight w:val="none"/>
        </w:rPr>
        <w:t>、</w:t>
      </w:r>
      <w:bookmarkEnd w:id="40"/>
      <w:bookmarkEnd w:id="41"/>
      <w:bookmarkEnd w:id="42"/>
      <w:bookmarkEnd w:id="43"/>
      <w:bookmarkEnd w:id="44"/>
      <w:r>
        <w:rPr>
          <w:rFonts w:hint="eastAsia" w:ascii="宋体" w:hAnsi="宋体" w:cs="宋体"/>
          <w:sz w:val="24"/>
          <w:szCs w:val="24"/>
          <w:highlight w:val="none"/>
        </w:rPr>
        <w:t>其他有关规定</w:t>
      </w:r>
    </w:p>
    <w:p w14:paraId="6FF14F6A">
      <w:pPr>
        <w:snapToGrid w:val="0"/>
        <w:spacing w:line="360" w:lineRule="auto"/>
        <w:ind w:firstLine="480" w:firstLineChars="200"/>
        <w:rPr>
          <w:rFonts w:hint="eastAsia"/>
          <w:highlight w:val="none"/>
        </w:rPr>
      </w:pPr>
      <w:r>
        <w:rPr>
          <w:rFonts w:hint="eastAsia"/>
          <w:highlight w:val="none"/>
        </w:rPr>
        <w:t>（一）单位负责人为同一人或者存在直接控股、管理关系的不同供应商，不得参加同一合同项下的采购活动，否则均为无效响应。</w:t>
      </w:r>
    </w:p>
    <w:p w14:paraId="17808454">
      <w:pPr>
        <w:snapToGrid w:val="0"/>
        <w:spacing w:line="360" w:lineRule="auto"/>
        <w:ind w:firstLine="480" w:firstLineChars="200"/>
        <w:rPr>
          <w:rFonts w:hint="eastAsia"/>
          <w:highlight w:val="none"/>
        </w:rPr>
      </w:pPr>
      <w:r>
        <w:rPr>
          <w:rFonts w:hint="eastAsia"/>
          <w:highlight w:val="none"/>
        </w:rPr>
        <w:t>（二）为采购项目提供整体设计、规范编制或者项目管理、监理、检测等服务的供应商，不得再参加该采购项目的其他采购活动，否则均为无效响应。</w:t>
      </w:r>
    </w:p>
    <w:p w14:paraId="386156DE">
      <w:pPr>
        <w:snapToGrid w:val="0"/>
        <w:spacing w:line="360" w:lineRule="auto"/>
        <w:ind w:firstLine="480" w:firstLineChars="200"/>
        <w:rPr>
          <w:rFonts w:hint="eastAsia"/>
          <w:highlight w:val="none"/>
        </w:rPr>
      </w:pPr>
      <w:r>
        <w:rPr>
          <w:rFonts w:hint="eastAsia"/>
          <w:highlight w:val="none"/>
        </w:rPr>
        <w:t>（三）本项目的补遗文件（如果有）一律在“行采家(</w:t>
      </w:r>
      <w:r>
        <w:rPr>
          <w:highlight w:val="none"/>
        </w:rPr>
        <w:fldChar w:fldCharType="begin"/>
      </w:r>
      <w:r>
        <w:rPr>
          <w:highlight w:val="none"/>
        </w:rPr>
        <w:instrText xml:space="preserve"> HYPERLINK "https://www.gec123.com/" </w:instrText>
      </w:r>
      <w:r>
        <w:rPr>
          <w:highlight w:val="none"/>
        </w:rPr>
        <w:fldChar w:fldCharType="separate"/>
      </w:r>
      <w:r>
        <w:rPr>
          <w:rFonts w:hint="eastAsia"/>
          <w:highlight w:val="none"/>
        </w:rPr>
        <w:t>https://www.gec123.com</w:t>
      </w:r>
      <w:r>
        <w:rPr>
          <w:rFonts w:hint="eastAsia"/>
          <w:highlight w:val="none"/>
        </w:rPr>
        <w:fldChar w:fldCharType="end"/>
      </w:r>
      <w:r>
        <w:rPr>
          <w:rFonts w:hint="eastAsia"/>
          <w:highlight w:val="none"/>
        </w:rPr>
        <w:t>）”上发布，请各供应商注意下载；无论供应商下载或领取与否，均视同供应商已知晓本项目补遗文件（如果有）的内容。</w:t>
      </w:r>
    </w:p>
    <w:p w14:paraId="094E6003">
      <w:pPr>
        <w:snapToGrid w:val="0"/>
        <w:spacing w:line="360" w:lineRule="auto"/>
        <w:ind w:firstLine="480" w:firstLineChars="200"/>
        <w:rPr>
          <w:rFonts w:hint="eastAsia"/>
          <w:highlight w:val="none"/>
        </w:rPr>
      </w:pPr>
      <w:r>
        <w:rPr>
          <w:rFonts w:hint="eastAsia"/>
          <w:highlight w:val="none"/>
        </w:rPr>
        <w:t>（四）超过响应文件截止时间递交的响应文件，恕不接收。</w:t>
      </w:r>
    </w:p>
    <w:p w14:paraId="1EC61302">
      <w:pPr>
        <w:snapToGrid w:val="0"/>
        <w:spacing w:line="360" w:lineRule="auto"/>
        <w:ind w:firstLine="480" w:firstLineChars="200"/>
        <w:rPr>
          <w:rFonts w:hint="eastAsia"/>
          <w:highlight w:val="none"/>
        </w:rPr>
      </w:pPr>
      <w:r>
        <w:rPr>
          <w:rFonts w:hint="eastAsia"/>
          <w:highlight w:val="none"/>
        </w:rPr>
        <w:t>（五）</w:t>
      </w:r>
      <w:r>
        <w:rPr>
          <w:rFonts w:hint="eastAsia"/>
          <w:highlight w:val="none"/>
          <w:lang w:val="en-US" w:eastAsia="zh-CN"/>
        </w:rPr>
        <w:t>比选</w:t>
      </w:r>
      <w:r>
        <w:rPr>
          <w:rFonts w:hint="eastAsia"/>
          <w:highlight w:val="none"/>
        </w:rPr>
        <w:t>费用：无论</w:t>
      </w:r>
      <w:r>
        <w:rPr>
          <w:rFonts w:hint="eastAsia"/>
          <w:highlight w:val="none"/>
          <w:lang w:val="en-US" w:eastAsia="zh-CN"/>
        </w:rPr>
        <w:t>比选</w:t>
      </w:r>
      <w:r>
        <w:rPr>
          <w:rFonts w:hint="eastAsia"/>
          <w:highlight w:val="none"/>
        </w:rPr>
        <w:t>结果如何，供应商参与本项目</w:t>
      </w:r>
      <w:r>
        <w:rPr>
          <w:rFonts w:hint="eastAsia"/>
          <w:highlight w:val="none"/>
          <w:lang w:val="en-US" w:eastAsia="zh-CN"/>
        </w:rPr>
        <w:t>比</w:t>
      </w:r>
      <w:r>
        <w:rPr>
          <w:rFonts w:hint="eastAsia"/>
          <w:highlight w:val="none"/>
        </w:rPr>
        <w:t>价的所有费用均应由供应商自行承担。</w:t>
      </w:r>
    </w:p>
    <w:p w14:paraId="2FD3E4E1">
      <w:pPr>
        <w:snapToGrid w:val="0"/>
        <w:spacing w:line="360" w:lineRule="auto"/>
        <w:ind w:firstLine="480" w:firstLineChars="200"/>
        <w:rPr>
          <w:rFonts w:hint="eastAsia"/>
          <w:highlight w:val="none"/>
        </w:rPr>
      </w:pPr>
      <w:r>
        <w:rPr>
          <w:rFonts w:hint="eastAsia"/>
          <w:highlight w:val="none"/>
        </w:rPr>
        <w:t>（六）本项目不接受合同分包。</w:t>
      </w:r>
    </w:p>
    <w:p w14:paraId="6F006B92">
      <w:pPr>
        <w:snapToGrid w:val="0"/>
        <w:spacing w:line="360" w:lineRule="auto"/>
        <w:ind w:firstLine="480" w:firstLineChars="200"/>
        <w:rPr>
          <w:rFonts w:hint="eastAsia"/>
          <w:highlight w:val="none"/>
        </w:rPr>
      </w:pPr>
      <w:r>
        <w:rPr>
          <w:rFonts w:hint="eastAsia"/>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7E2BA617">
      <w:pPr>
        <w:pStyle w:val="5"/>
        <w:spacing w:before="0" w:after="0" w:line="360" w:lineRule="auto"/>
        <w:rPr>
          <w:rFonts w:hint="eastAsia" w:ascii="宋体" w:hAnsi="宋体" w:cs="宋体"/>
          <w:sz w:val="24"/>
          <w:szCs w:val="24"/>
          <w:highlight w:val="none"/>
        </w:rPr>
      </w:pPr>
      <w:bookmarkStart w:id="45" w:name="_Toc373860294"/>
      <w:bookmarkStart w:id="46" w:name="_Toc76462321"/>
      <w:bookmarkStart w:id="47" w:name="_Toc26208"/>
      <w:bookmarkStart w:id="48" w:name="_Toc6019"/>
      <w:bookmarkStart w:id="49" w:name="_Toc15236"/>
      <w:r>
        <w:rPr>
          <w:rFonts w:hint="eastAsia" w:ascii="宋体" w:hAnsi="宋体" w:cs="宋体"/>
          <w:sz w:val="24"/>
          <w:szCs w:val="24"/>
          <w:highlight w:val="none"/>
        </w:rPr>
        <w:t>七</w:t>
      </w:r>
      <w:bookmarkEnd w:id="45"/>
      <w:bookmarkEnd w:id="46"/>
      <w:r>
        <w:rPr>
          <w:rFonts w:hint="eastAsia" w:ascii="宋体" w:hAnsi="宋体" w:cs="宋体"/>
          <w:sz w:val="24"/>
          <w:szCs w:val="24"/>
          <w:highlight w:val="none"/>
        </w:rPr>
        <w:t>、联系方式</w:t>
      </w:r>
      <w:bookmarkEnd w:id="47"/>
      <w:bookmarkEnd w:id="48"/>
      <w:bookmarkEnd w:id="49"/>
    </w:p>
    <w:p w14:paraId="6B8FA97A">
      <w:pPr>
        <w:snapToGrid w:val="0"/>
        <w:spacing w:line="360" w:lineRule="auto"/>
        <w:ind w:firstLine="480" w:firstLineChars="200"/>
        <w:rPr>
          <w:rFonts w:hint="eastAsia"/>
          <w:highlight w:val="none"/>
        </w:rPr>
      </w:pPr>
      <w:r>
        <w:rPr>
          <w:rFonts w:hint="eastAsia"/>
          <w:highlight w:val="none"/>
        </w:rPr>
        <w:t>（一）采购人：重庆市九龙建设工程质量检测中心股份有限公司</w:t>
      </w:r>
    </w:p>
    <w:p w14:paraId="0165A788">
      <w:pPr>
        <w:snapToGrid w:val="0"/>
        <w:spacing w:line="360" w:lineRule="auto"/>
        <w:ind w:firstLine="480" w:firstLineChars="200"/>
        <w:rPr>
          <w:rFonts w:hint="eastAsia"/>
          <w:highlight w:val="none"/>
        </w:rPr>
      </w:pPr>
      <w:r>
        <w:rPr>
          <w:rFonts w:hint="eastAsia"/>
          <w:highlight w:val="none"/>
        </w:rPr>
        <w:t>联系人：尹老师</w:t>
      </w:r>
    </w:p>
    <w:p w14:paraId="33D8C9C6">
      <w:pPr>
        <w:snapToGrid w:val="0"/>
        <w:spacing w:line="360" w:lineRule="auto"/>
        <w:ind w:firstLine="480" w:firstLineChars="200"/>
        <w:rPr>
          <w:rFonts w:hint="eastAsia"/>
          <w:highlight w:val="none"/>
        </w:rPr>
      </w:pPr>
      <w:r>
        <w:rPr>
          <w:rFonts w:hint="eastAsia"/>
          <w:highlight w:val="none"/>
        </w:rPr>
        <w:t>电话：68522313</w:t>
      </w:r>
    </w:p>
    <w:p w14:paraId="1EC181B5">
      <w:pPr>
        <w:snapToGrid w:val="0"/>
        <w:spacing w:line="360" w:lineRule="auto"/>
        <w:ind w:firstLine="480" w:firstLineChars="200"/>
        <w:rPr>
          <w:rFonts w:hint="eastAsia"/>
          <w:highlight w:val="none"/>
        </w:rPr>
      </w:pPr>
      <w:r>
        <w:rPr>
          <w:rFonts w:hint="eastAsia"/>
          <w:highlight w:val="none"/>
        </w:rPr>
        <w:t>地址：重庆市九龙坡区半山东路8号附1号</w:t>
      </w:r>
    </w:p>
    <w:bookmarkEnd w:id="32"/>
    <w:bookmarkEnd w:id="33"/>
    <w:bookmarkEnd w:id="34"/>
    <w:p w14:paraId="0099B464">
      <w:pPr>
        <w:spacing w:line="360" w:lineRule="auto"/>
        <w:ind w:firstLine="480" w:firstLineChars="200"/>
        <w:rPr>
          <w:rFonts w:hint="eastAsia"/>
          <w:highlight w:val="none"/>
        </w:rPr>
        <w:sectPr>
          <w:headerReference r:id="rId7" w:type="default"/>
          <w:footerReference r:id="rId8" w:type="default"/>
          <w:pgSz w:w="11907" w:h="16840"/>
          <w:pgMar w:top="1134" w:right="1191" w:bottom="1134" w:left="1304" w:header="454" w:footer="567" w:gutter="0"/>
          <w:pgNumType w:fmt="numberInDash"/>
          <w:cols w:space="720" w:num="1"/>
          <w:docGrid w:linePitch="381" w:charSpace="-5735"/>
        </w:sectPr>
      </w:pPr>
    </w:p>
    <w:p w14:paraId="649ECB39">
      <w:pPr>
        <w:tabs>
          <w:tab w:val="left" w:pos="810"/>
        </w:tabs>
        <w:snapToGrid w:val="0"/>
        <w:spacing w:line="400" w:lineRule="exact"/>
        <w:jc w:val="left"/>
        <w:rPr>
          <w:rFonts w:hint="default"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eastAsia="zh-CN"/>
        </w:rPr>
        <w:tab/>
      </w:r>
      <w:r>
        <w:rPr>
          <w:rFonts w:hint="eastAsia" w:ascii="仿宋" w:hAnsi="仿宋" w:eastAsia="仿宋" w:cs="仿宋"/>
          <w:b/>
          <w:bCs/>
          <w:sz w:val="32"/>
          <w:szCs w:val="32"/>
          <w:highlight w:val="none"/>
          <w:lang w:val="en-US" w:eastAsia="zh-CN"/>
        </w:rPr>
        <w:t>附件：</w:t>
      </w:r>
    </w:p>
    <w:p w14:paraId="5D84E7D3">
      <w:pPr>
        <w:snapToGrid w:val="0"/>
        <w:spacing w:line="400" w:lineRule="exact"/>
        <w:jc w:val="center"/>
        <w:rPr>
          <w:rFonts w:hint="eastAsia" w:ascii="仿宋" w:hAnsi="仿宋" w:eastAsia="仿宋" w:cs="仿宋"/>
          <w:b/>
          <w:bCs/>
          <w:sz w:val="40"/>
          <w:szCs w:val="40"/>
          <w:highlight w:val="none"/>
        </w:rPr>
      </w:pPr>
    </w:p>
    <w:p w14:paraId="483ED570">
      <w:pPr>
        <w:snapToGrid w:val="0"/>
        <w:spacing w:line="400" w:lineRule="exact"/>
        <w:jc w:val="center"/>
        <w:rPr>
          <w:rFonts w:ascii="仿宋" w:hAnsi="仿宋" w:eastAsia="仿宋" w:cs="仿宋"/>
          <w:b/>
          <w:bCs/>
          <w:sz w:val="40"/>
          <w:szCs w:val="40"/>
          <w:highlight w:val="none"/>
        </w:rPr>
      </w:pPr>
      <w:r>
        <w:rPr>
          <w:rFonts w:hint="eastAsia" w:ascii="仿宋" w:hAnsi="仿宋" w:eastAsia="仿宋" w:cs="仿宋"/>
          <w:b/>
          <w:bCs/>
          <w:sz w:val="40"/>
          <w:szCs w:val="40"/>
          <w:highlight w:val="none"/>
        </w:rPr>
        <w:t>设备采购合同</w:t>
      </w:r>
    </w:p>
    <w:p w14:paraId="57A9551A">
      <w:pPr>
        <w:snapToGrid w:val="0"/>
        <w:spacing w:line="400" w:lineRule="exact"/>
        <w:rPr>
          <w:rFonts w:ascii="仿宋" w:hAnsi="仿宋" w:eastAsia="仿宋" w:cs="仿宋"/>
          <w:b/>
          <w:bCs/>
          <w:szCs w:val="28"/>
          <w:highlight w:val="none"/>
          <w:u w:val="single"/>
        </w:rPr>
      </w:pPr>
    </w:p>
    <w:p w14:paraId="4A1D8F47">
      <w:pPr>
        <w:tabs>
          <w:tab w:val="left" w:pos="4320"/>
        </w:tabs>
        <w:snapToGrid w:val="0"/>
        <w:spacing w:line="360" w:lineRule="auto"/>
        <w:ind w:left="5509" w:hanging="4722" w:hangingChars="1960"/>
        <w:rPr>
          <w:rFonts w:ascii="仿宋" w:hAnsi="仿宋" w:eastAsia="仿宋" w:cs="仿宋"/>
          <w:szCs w:val="28"/>
          <w:highlight w:val="none"/>
          <w:u w:val="single"/>
        </w:rPr>
      </w:pPr>
      <w:r>
        <w:rPr>
          <w:rFonts w:hint="eastAsia" w:ascii="仿宋" w:hAnsi="仿宋" w:eastAsia="仿宋" w:cs="仿宋"/>
          <w:b/>
          <w:bCs/>
          <w:szCs w:val="28"/>
          <w:highlight w:val="none"/>
        </w:rPr>
        <w:t>甲方（需方)：</w:t>
      </w:r>
      <w:r>
        <w:rPr>
          <w:rFonts w:hint="eastAsia" w:ascii="仿宋" w:hAnsi="仿宋" w:eastAsia="仿宋" w:cs="仿宋"/>
          <w:b/>
          <w:bCs/>
          <w:szCs w:val="28"/>
          <w:highlight w:val="none"/>
          <w:u w:val="single"/>
        </w:rPr>
        <w:t>重庆市九龙建设工程质量检测中心</w:t>
      </w:r>
      <w:r>
        <w:rPr>
          <w:rFonts w:hint="eastAsia" w:ascii="仿宋" w:hAnsi="仿宋" w:eastAsia="仿宋" w:cs="仿宋"/>
          <w:b/>
          <w:bCs/>
          <w:szCs w:val="28"/>
          <w:highlight w:val="none"/>
          <w:u w:val="single"/>
          <w:lang w:val="en-US" w:eastAsia="zh-CN"/>
        </w:rPr>
        <w:t>股份</w:t>
      </w:r>
      <w:r>
        <w:rPr>
          <w:rFonts w:hint="eastAsia" w:ascii="仿宋" w:hAnsi="仿宋" w:eastAsia="仿宋" w:cs="仿宋"/>
          <w:b/>
          <w:bCs/>
          <w:szCs w:val="28"/>
          <w:highlight w:val="none"/>
          <w:u w:val="single"/>
        </w:rPr>
        <w:t>有限公司</w:t>
      </w:r>
    </w:p>
    <w:p w14:paraId="747B09DE">
      <w:pPr>
        <w:snapToGrid w:val="0"/>
        <w:spacing w:line="400" w:lineRule="exact"/>
        <w:rPr>
          <w:rFonts w:hint="default" w:ascii="仿宋" w:hAnsi="仿宋" w:eastAsia="仿宋" w:cs="仿宋"/>
          <w:b/>
          <w:bCs/>
          <w:szCs w:val="28"/>
          <w:highlight w:val="none"/>
          <w:u w:val="single"/>
          <w:lang w:val="en-US" w:eastAsia="zh-CN"/>
        </w:rPr>
      </w:pPr>
      <w:r>
        <w:rPr>
          <w:rFonts w:hint="eastAsia" w:ascii="仿宋" w:hAnsi="仿宋" w:eastAsia="仿宋" w:cs="仿宋"/>
          <w:b/>
          <w:bCs/>
          <w:szCs w:val="28"/>
          <w:highlight w:val="none"/>
        </w:rPr>
        <w:t>乙方（供方)：</w:t>
      </w:r>
      <w:r>
        <w:rPr>
          <w:rFonts w:hint="eastAsia" w:ascii="仿宋" w:hAnsi="仿宋" w:eastAsia="仿宋" w:cs="仿宋"/>
          <w:b/>
          <w:bCs/>
          <w:szCs w:val="28"/>
          <w:highlight w:val="none"/>
          <w:u w:val="single"/>
          <w:lang w:val="en-US" w:eastAsia="zh-CN"/>
        </w:rPr>
        <w:t xml:space="preserve">                                          </w:t>
      </w:r>
    </w:p>
    <w:p w14:paraId="0C69DBA6">
      <w:pPr>
        <w:snapToGrid w:val="0"/>
        <w:rPr>
          <w:rFonts w:ascii="仿宋" w:hAnsi="仿宋" w:eastAsia="仿宋" w:cs="仿宋"/>
          <w:b/>
          <w:bCs/>
          <w:sz w:val="24"/>
          <w:szCs w:val="24"/>
          <w:highlight w:val="none"/>
          <w:u w:val="single"/>
        </w:rPr>
      </w:pPr>
    </w:p>
    <w:p w14:paraId="074AE656">
      <w:pPr>
        <w:snapToGrid w:val="0"/>
        <w:spacing w:line="500" w:lineRule="exact"/>
        <w:ind w:firstLine="435"/>
        <w:rPr>
          <w:rFonts w:ascii="仿宋" w:hAnsi="仿宋" w:eastAsia="仿宋" w:cs="仿宋"/>
          <w:szCs w:val="28"/>
          <w:highlight w:val="none"/>
        </w:rPr>
      </w:pPr>
      <w:r>
        <w:rPr>
          <w:rFonts w:hint="eastAsia" w:ascii="仿宋" w:hAnsi="仿宋" w:eastAsia="仿宋" w:cs="仿宋"/>
          <w:szCs w:val="28"/>
          <w:highlight w:val="none"/>
        </w:rPr>
        <w:t>为了增强供方和需方的责任感，确保双方的利益，经过供需双方充分协商，根据《中华人民共和国民法典》及相关法律法规的规定，特订立本合同，以便共同遵守。双方约定如下：</w:t>
      </w:r>
    </w:p>
    <w:p w14:paraId="1E6AC5B9">
      <w:pPr>
        <w:snapToGrid w:val="0"/>
        <w:spacing w:line="500" w:lineRule="exact"/>
        <w:outlineLvl w:val="0"/>
        <w:rPr>
          <w:rFonts w:ascii="仿宋" w:hAnsi="仿宋" w:eastAsia="仿宋" w:cs="仿宋"/>
          <w:b/>
          <w:bCs/>
          <w:szCs w:val="28"/>
          <w:highlight w:val="none"/>
        </w:rPr>
      </w:pPr>
      <w:r>
        <w:rPr>
          <w:rFonts w:hint="eastAsia" w:ascii="仿宋" w:hAnsi="仿宋" w:eastAsia="仿宋" w:cs="仿宋"/>
          <w:b/>
          <w:bCs/>
          <w:szCs w:val="28"/>
          <w:highlight w:val="none"/>
        </w:rPr>
        <w:t>第一条、供方供应的设备（以下简称“设备”）名称、规格</w:t>
      </w:r>
      <w:r>
        <w:rPr>
          <w:rFonts w:ascii="仿宋" w:hAnsi="仿宋" w:eastAsia="仿宋" w:cs="仿宋"/>
          <w:b/>
          <w:bCs/>
          <w:szCs w:val="28"/>
          <w:highlight w:val="none"/>
        </w:rPr>
        <w:t>/</w:t>
      </w:r>
      <w:r>
        <w:rPr>
          <w:rFonts w:hint="eastAsia" w:ascii="仿宋" w:hAnsi="仿宋" w:eastAsia="仿宋" w:cs="仿宋"/>
          <w:b/>
          <w:bCs/>
          <w:szCs w:val="28"/>
          <w:highlight w:val="none"/>
        </w:rPr>
        <w:t>型号、厂家、数量及金额</w:t>
      </w:r>
      <w:r>
        <w:rPr>
          <w:rFonts w:hint="eastAsia" w:ascii="仿宋" w:hAnsi="仿宋" w:eastAsia="仿宋" w:cs="仿宋"/>
          <w:b/>
          <w:bCs/>
          <w:szCs w:val="28"/>
          <w:highlight w:val="none"/>
          <w:lang w:val="en-US" w:eastAsia="zh-CN"/>
        </w:rPr>
        <w:t>等详情见附件一。</w:t>
      </w:r>
    </w:p>
    <w:p w14:paraId="43349023">
      <w:pPr>
        <w:tabs>
          <w:tab w:val="right" w:pos="8306"/>
        </w:tabs>
        <w:snapToGrid w:val="0"/>
        <w:spacing w:line="500" w:lineRule="exact"/>
        <w:outlineLvl w:val="0"/>
        <w:rPr>
          <w:rFonts w:ascii="仿宋" w:hAnsi="仿宋" w:eastAsia="仿宋" w:cs="仿宋"/>
          <w:b/>
          <w:szCs w:val="28"/>
          <w:highlight w:val="none"/>
        </w:rPr>
      </w:pPr>
      <w:r>
        <w:rPr>
          <w:rFonts w:hint="eastAsia" w:ascii="仿宋" w:hAnsi="仿宋" w:eastAsia="仿宋" w:cs="仿宋"/>
          <w:b/>
          <w:bCs/>
          <w:szCs w:val="28"/>
          <w:highlight w:val="none"/>
        </w:rPr>
        <w:t>第二条</w:t>
      </w:r>
      <w:r>
        <w:rPr>
          <w:rFonts w:hint="eastAsia" w:ascii="仿宋" w:hAnsi="仿宋" w:eastAsia="仿宋" w:cs="仿宋"/>
          <w:b/>
          <w:szCs w:val="28"/>
          <w:highlight w:val="none"/>
        </w:rPr>
        <w:t>、交货时间</w:t>
      </w:r>
      <w:r>
        <w:rPr>
          <w:rFonts w:ascii="仿宋" w:hAnsi="仿宋" w:eastAsia="仿宋" w:cs="仿宋"/>
          <w:b/>
          <w:szCs w:val="28"/>
          <w:highlight w:val="none"/>
        </w:rPr>
        <w:tab/>
      </w:r>
    </w:p>
    <w:p w14:paraId="5714E0B5">
      <w:pPr>
        <w:tabs>
          <w:tab w:val="left" w:pos="0"/>
        </w:tabs>
        <w:snapToGrid w:val="0"/>
        <w:spacing w:line="500" w:lineRule="exact"/>
        <w:ind w:firstLine="480" w:firstLineChars="200"/>
        <w:rPr>
          <w:rFonts w:ascii="仿宋" w:hAnsi="仿宋" w:eastAsia="仿宋" w:cs="仿宋"/>
          <w:b/>
          <w:bCs/>
          <w:szCs w:val="28"/>
          <w:highlight w:val="none"/>
        </w:rPr>
      </w:pPr>
      <w:r>
        <w:rPr>
          <w:rFonts w:hint="eastAsia" w:ascii="仿宋" w:hAnsi="仿宋" w:eastAsia="仿宋" w:cs="仿宋"/>
          <w:bCs/>
          <w:szCs w:val="28"/>
          <w:highlight w:val="none"/>
        </w:rPr>
        <w:t>供方在本合同签订后</w:t>
      </w:r>
      <w:r>
        <w:rPr>
          <w:rFonts w:hint="eastAsia" w:ascii="仿宋" w:hAnsi="仿宋" w:eastAsia="仿宋" w:cs="仿宋"/>
          <w:bCs/>
          <w:szCs w:val="28"/>
          <w:highlight w:val="none"/>
          <w:u w:val="single"/>
          <w:lang w:val="en-US" w:eastAsia="zh-CN"/>
        </w:rPr>
        <w:t xml:space="preserve">    </w:t>
      </w:r>
      <w:r>
        <w:rPr>
          <w:rFonts w:hint="eastAsia" w:ascii="仿宋" w:hAnsi="仿宋" w:eastAsia="仿宋" w:cs="仿宋"/>
          <w:bCs/>
          <w:szCs w:val="28"/>
          <w:highlight w:val="none"/>
        </w:rPr>
        <w:t>个工作日内负责送货至需方指定地点</w:t>
      </w:r>
      <w:r>
        <w:rPr>
          <w:rFonts w:ascii="仿宋" w:hAnsi="仿宋" w:eastAsia="仿宋" w:cs="仿宋"/>
          <w:bCs/>
          <w:szCs w:val="28"/>
          <w:highlight w:val="none"/>
        </w:rPr>
        <w:t>，运费由供方承担</w:t>
      </w:r>
      <w:r>
        <w:rPr>
          <w:rFonts w:hint="eastAsia" w:ascii="仿宋" w:hAnsi="仿宋" w:eastAsia="仿宋" w:cs="仿宋"/>
          <w:bCs/>
          <w:szCs w:val="28"/>
          <w:highlight w:val="none"/>
        </w:rPr>
        <w:t>；到货后，</w:t>
      </w:r>
      <w:r>
        <w:rPr>
          <w:rFonts w:hint="eastAsia" w:ascii="仿宋" w:hAnsi="仿宋" w:eastAsia="仿宋" w:cs="仿宋"/>
          <w:bCs/>
          <w:szCs w:val="28"/>
          <w:highlight w:val="none"/>
          <w:u w:val="single"/>
          <w:lang w:val="en-US" w:eastAsia="zh-CN"/>
        </w:rPr>
        <w:t xml:space="preserve">    </w:t>
      </w:r>
      <w:r>
        <w:rPr>
          <w:rFonts w:hint="eastAsia" w:ascii="仿宋" w:hAnsi="仿宋" w:eastAsia="仿宋" w:cs="仿宋"/>
          <w:bCs/>
          <w:szCs w:val="28"/>
          <w:highlight w:val="none"/>
        </w:rPr>
        <w:t>个工作日内按照需方要求进行安装、调试完成，经需方验收合格并交付需方正常使用。</w:t>
      </w:r>
    </w:p>
    <w:p w14:paraId="43976A92">
      <w:pPr>
        <w:snapToGrid w:val="0"/>
        <w:spacing w:line="500" w:lineRule="exact"/>
        <w:ind w:left="843" w:hanging="723" w:hangingChars="300"/>
        <w:outlineLvl w:val="0"/>
        <w:rPr>
          <w:rFonts w:ascii="仿宋" w:hAnsi="仿宋" w:eastAsia="仿宋" w:cs="仿宋"/>
          <w:b/>
          <w:bCs/>
          <w:szCs w:val="28"/>
          <w:highlight w:val="none"/>
        </w:rPr>
      </w:pPr>
      <w:r>
        <w:rPr>
          <w:rFonts w:hint="eastAsia" w:ascii="仿宋" w:hAnsi="仿宋" w:eastAsia="仿宋" w:cs="仿宋"/>
          <w:b/>
          <w:bCs/>
          <w:szCs w:val="28"/>
          <w:highlight w:val="none"/>
        </w:rPr>
        <w:t>第</w:t>
      </w:r>
      <w:r>
        <w:rPr>
          <w:rFonts w:ascii="仿宋" w:hAnsi="仿宋" w:eastAsia="仿宋" w:cs="仿宋"/>
          <w:b/>
          <w:bCs/>
          <w:szCs w:val="28"/>
          <w:highlight w:val="none"/>
        </w:rPr>
        <w:t>三</w:t>
      </w:r>
      <w:r>
        <w:rPr>
          <w:rFonts w:hint="eastAsia" w:ascii="仿宋" w:hAnsi="仿宋" w:eastAsia="仿宋" w:cs="仿宋"/>
          <w:b/>
          <w:bCs/>
          <w:szCs w:val="28"/>
          <w:highlight w:val="none"/>
        </w:rPr>
        <w:t>条、交货</w:t>
      </w:r>
    </w:p>
    <w:p w14:paraId="52F6BEC9">
      <w:pPr>
        <w:tabs>
          <w:tab w:val="left" w:pos="0"/>
        </w:tabs>
        <w:snapToGrid w:val="0"/>
        <w:spacing w:line="500" w:lineRule="exact"/>
        <w:ind w:firstLine="480" w:firstLineChars="200"/>
        <w:rPr>
          <w:rFonts w:hint="eastAsia" w:ascii="仿宋" w:hAnsi="仿宋" w:eastAsia="仿宋" w:cs="仿宋"/>
          <w:b/>
          <w:bCs/>
          <w:szCs w:val="28"/>
          <w:highlight w:val="none"/>
        </w:rPr>
      </w:pPr>
      <w:r>
        <w:rPr>
          <w:rFonts w:hint="eastAsia" w:ascii="仿宋" w:hAnsi="仿宋" w:eastAsia="仿宋" w:cs="仿宋"/>
          <w:bCs/>
          <w:szCs w:val="28"/>
          <w:highlight w:val="none"/>
        </w:rPr>
        <w:t>需方指定设备交货及安装地址：</w:t>
      </w:r>
      <w:r>
        <w:rPr>
          <w:rFonts w:hint="eastAsia" w:ascii="仿宋" w:hAnsi="仿宋" w:eastAsia="仿宋" w:cs="仿宋"/>
          <w:b/>
          <w:bCs/>
          <w:color w:val="171A1D"/>
          <w:szCs w:val="28"/>
          <w:highlight w:val="none"/>
          <w:u w:val="single"/>
          <w:shd w:val="clear" w:color="auto" w:fill="FFFFFF"/>
        </w:rPr>
        <w:t>重庆市九龙坡区半山东路8号附1号</w:t>
      </w:r>
      <w:r>
        <w:rPr>
          <w:rFonts w:hint="eastAsia" w:ascii="仿宋" w:hAnsi="仿宋" w:eastAsia="仿宋" w:cs="仿宋"/>
          <w:b/>
          <w:bCs/>
          <w:szCs w:val="28"/>
          <w:highlight w:val="none"/>
        </w:rPr>
        <w:t>。</w:t>
      </w:r>
    </w:p>
    <w:p w14:paraId="75DD390A">
      <w:pPr>
        <w:tabs>
          <w:tab w:val="left" w:pos="0"/>
        </w:tabs>
        <w:snapToGrid w:val="0"/>
        <w:spacing w:line="500" w:lineRule="exact"/>
        <w:rPr>
          <w:sz w:val="21"/>
          <w:szCs w:val="21"/>
          <w:highlight w:val="none"/>
        </w:rPr>
      </w:pPr>
      <w:r>
        <w:rPr>
          <w:rFonts w:ascii="仿宋" w:hAnsi="仿宋" w:eastAsia="仿宋" w:cs="仿宋"/>
          <w:b/>
          <w:bCs/>
          <w:szCs w:val="28"/>
          <w:highlight w:val="none"/>
        </w:rPr>
        <w:t>第四条、</w:t>
      </w:r>
      <w:r>
        <w:rPr>
          <w:rFonts w:hint="eastAsia" w:ascii="仿宋" w:hAnsi="仿宋" w:eastAsia="仿宋" w:cs="仿宋"/>
          <w:b/>
          <w:bCs/>
          <w:szCs w:val="28"/>
          <w:highlight w:val="none"/>
        </w:rPr>
        <w:t>操作培训</w:t>
      </w:r>
    </w:p>
    <w:p w14:paraId="4C99BDC5">
      <w:pPr>
        <w:spacing w:line="500" w:lineRule="exact"/>
        <w:ind w:firstLine="480" w:firstLineChars="200"/>
        <w:rPr>
          <w:rFonts w:ascii="仿宋" w:hAnsi="仿宋" w:eastAsia="仿宋" w:cs="仿宋"/>
          <w:bCs/>
          <w:szCs w:val="28"/>
          <w:highlight w:val="none"/>
        </w:rPr>
      </w:pPr>
      <w:r>
        <w:rPr>
          <w:rFonts w:hint="eastAsia" w:ascii="仿宋" w:hAnsi="仿宋" w:eastAsia="仿宋" w:cs="仿宋"/>
          <w:bCs/>
          <w:szCs w:val="28"/>
          <w:highlight w:val="none"/>
        </w:rPr>
        <w:t>所购设备安装调试完毕并能够正常运行后，供货方免费对采购方设备操作人员进行操作培训，使其能够正确操作新购设备，并且供货方需提供日常咨询，在线为采购方提供指导。</w:t>
      </w:r>
    </w:p>
    <w:p w14:paraId="3F77A040">
      <w:pPr>
        <w:snapToGrid w:val="0"/>
        <w:spacing w:line="500" w:lineRule="exact"/>
        <w:outlineLvl w:val="0"/>
        <w:rPr>
          <w:rFonts w:ascii="仿宋" w:hAnsi="仿宋" w:eastAsia="仿宋" w:cs="仿宋"/>
          <w:b/>
          <w:bCs/>
          <w:szCs w:val="28"/>
          <w:highlight w:val="none"/>
        </w:rPr>
      </w:pPr>
      <w:r>
        <w:rPr>
          <w:rFonts w:hint="eastAsia" w:ascii="仿宋" w:hAnsi="仿宋" w:eastAsia="仿宋" w:cs="仿宋"/>
          <w:b/>
          <w:bCs/>
          <w:szCs w:val="28"/>
          <w:highlight w:val="none"/>
        </w:rPr>
        <w:t>第</w:t>
      </w:r>
      <w:r>
        <w:rPr>
          <w:rFonts w:ascii="仿宋" w:hAnsi="仿宋" w:eastAsia="仿宋" w:cs="仿宋"/>
          <w:b/>
          <w:bCs/>
          <w:szCs w:val="28"/>
          <w:highlight w:val="none"/>
        </w:rPr>
        <w:t>五</w:t>
      </w:r>
      <w:r>
        <w:rPr>
          <w:rFonts w:hint="eastAsia" w:ascii="仿宋" w:hAnsi="仿宋" w:eastAsia="仿宋" w:cs="仿宋"/>
          <w:b/>
          <w:bCs/>
          <w:szCs w:val="28"/>
          <w:highlight w:val="none"/>
        </w:rPr>
        <w:t>条、付款及开票方式</w:t>
      </w:r>
    </w:p>
    <w:p w14:paraId="2D063D46">
      <w:pPr>
        <w:snapToGrid w:val="0"/>
        <w:spacing w:line="500" w:lineRule="exact"/>
        <w:ind w:firstLine="560"/>
        <w:outlineLvl w:val="0"/>
        <w:rPr>
          <w:rFonts w:hint="eastAsia" w:ascii="仿宋" w:hAnsi="仿宋" w:eastAsia="仿宋" w:cs="仿宋"/>
          <w:bCs/>
          <w:szCs w:val="28"/>
          <w:highlight w:val="none"/>
          <w:lang w:val="en-US" w:eastAsia="zh-CN"/>
        </w:rPr>
      </w:pPr>
      <w:r>
        <w:rPr>
          <w:rFonts w:hint="eastAsia" w:ascii="仿宋" w:hAnsi="仿宋" w:eastAsia="仿宋" w:cs="仿宋"/>
          <w:bCs/>
          <w:szCs w:val="28"/>
          <w:highlight w:val="none"/>
          <w:lang w:val="en-US" w:eastAsia="zh-CN"/>
        </w:rPr>
        <w:t>1、本合同总价为</w:t>
      </w:r>
      <w:r>
        <w:rPr>
          <w:rFonts w:hint="eastAsia" w:ascii="仿宋" w:hAnsi="仿宋" w:eastAsia="仿宋" w:cs="仿宋"/>
          <w:bCs/>
          <w:szCs w:val="28"/>
          <w:highlight w:val="none"/>
          <w:u w:val="single"/>
          <w:lang w:val="en-US" w:eastAsia="zh-CN"/>
        </w:rPr>
        <w:t xml:space="preserve">       </w:t>
      </w:r>
      <w:r>
        <w:rPr>
          <w:rFonts w:hint="eastAsia" w:ascii="仿宋" w:hAnsi="仿宋" w:eastAsia="仿宋" w:cs="仿宋"/>
          <w:bCs/>
          <w:szCs w:val="28"/>
          <w:highlight w:val="none"/>
          <w:lang w:val="en-US" w:eastAsia="zh-CN"/>
        </w:rPr>
        <w:t>元。（大写：</w:t>
      </w:r>
      <w:r>
        <w:rPr>
          <w:rFonts w:hint="eastAsia" w:ascii="仿宋" w:hAnsi="仿宋" w:eastAsia="仿宋" w:cs="仿宋"/>
          <w:bCs/>
          <w:szCs w:val="28"/>
          <w:highlight w:val="none"/>
          <w:u w:val="single"/>
          <w:lang w:val="en-US" w:eastAsia="zh-CN"/>
        </w:rPr>
        <w:t xml:space="preserve">         元整</w:t>
      </w:r>
      <w:r>
        <w:rPr>
          <w:rFonts w:hint="eastAsia" w:ascii="仿宋" w:hAnsi="仿宋" w:eastAsia="仿宋" w:cs="仿宋"/>
          <w:bCs/>
          <w:szCs w:val="28"/>
          <w:highlight w:val="none"/>
          <w:lang w:val="en-US" w:eastAsia="zh-CN"/>
        </w:rPr>
        <w:t xml:space="preserve"> ）</w:t>
      </w:r>
    </w:p>
    <w:p w14:paraId="0B6E6282">
      <w:pPr>
        <w:snapToGrid w:val="0"/>
        <w:spacing w:line="500" w:lineRule="exact"/>
        <w:ind w:firstLine="560"/>
        <w:outlineLvl w:val="0"/>
        <w:rPr>
          <w:rFonts w:ascii="仿宋" w:hAnsi="仿宋" w:eastAsia="仿宋" w:cs="仿宋"/>
          <w:bCs/>
          <w:szCs w:val="28"/>
          <w:highlight w:val="none"/>
        </w:rPr>
      </w:pPr>
      <w:r>
        <w:rPr>
          <w:rFonts w:hint="eastAsia" w:ascii="仿宋" w:hAnsi="仿宋" w:eastAsia="仿宋" w:cs="仿宋"/>
          <w:bCs/>
          <w:szCs w:val="28"/>
          <w:highlight w:val="none"/>
          <w:lang w:val="en-US" w:eastAsia="zh-CN"/>
        </w:rPr>
        <w:t>2、</w:t>
      </w:r>
      <w:r>
        <w:rPr>
          <w:rFonts w:hint="eastAsia" w:ascii="仿宋" w:hAnsi="仿宋" w:eastAsia="仿宋" w:cs="仿宋"/>
          <w:bCs/>
          <w:szCs w:val="28"/>
          <w:highlight w:val="none"/>
        </w:rPr>
        <w:t>设备到货并安装调试、操作培训完成合格后</w:t>
      </w:r>
      <w:r>
        <w:rPr>
          <w:rFonts w:ascii="仿宋" w:hAnsi="仿宋" w:eastAsia="仿宋" w:cs="仿宋"/>
          <w:bCs/>
          <w:szCs w:val="28"/>
          <w:highlight w:val="none"/>
        </w:rPr>
        <w:t>，</w:t>
      </w:r>
      <w:r>
        <w:rPr>
          <w:rFonts w:hint="eastAsia" w:ascii="仿宋" w:hAnsi="仿宋" w:eastAsia="仿宋" w:cs="仿宋"/>
          <w:bCs/>
          <w:szCs w:val="28"/>
          <w:highlight w:val="none"/>
        </w:rPr>
        <w:t>三个月内重庆市九龙建设工程质量检测中心</w:t>
      </w:r>
      <w:r>
        <w:rPr>
          <w:rFonts w:hint="eastAsia" w:ascii="仿宋" w:hAnsi="仿宋" w:eastAsia="仿宋" w:cs="仿宋"/>
          <w:bCs/>
          <w:szCs w:val="28"/>
          <w:highlight w:val="none"/>
          <w:lang w:val="en-US" w:eastAsia="zh-CN"/>
        </w:rPr>
        <w:t>股份</w:t>
      </w:r>
      <w:r>
        <w:rPr>
          <w:rFonts w:hint="eastAsia" w:ascii="仿宋" w:hAnsi="仿宋" w:eastAsia="仿宋" w:cs="仿宋"/>
          <w:bCs/>
          <w:szCs w:val="28"/>
          <w:highlight w:val="none"/>
        </w:rPr>
        <w:t>有限公司支付给</w:t>
      </w:r>
      <w:r>
        <w:rPr>
          <w:rFonts w:hint="eastAsia" w:ascii="仿宋" w:hAnsi="仿宋" w:eastAsia="仿宋" w:cs="仿宋"/>
          <w:b/>
          <w:bCs w:val="0"/>
          <w:szCs w:val="28"/>
          <w:highlight w:val="none"/>
          <w:u w:val="single"/>
          <w:lang w:val="en-US" w:eastAsia="zh-CN"/>
        </w:rPr>
        <w:t xml:space="preserve">               </w:t>
      </w:r>
      <w:r>
        <w:rPr>
          <w:rFonts w:hint="eastAsia" w:ascii="仿宋" w:hAnsi="仿宋" w:eastAsia="仿宋" w:cs="仿宋"/>
          <w:b/>
          <w:bCs/>
          <w:szCs w:val="28"/>
          <w:highlight w:val="none"/>
          <w:u w:val="single"/>
          <w:lang w:val="en-US" w:eastAsia="zh-CN"/>
        </w:rPr>
        <w:t>公司</w:t>
      </w:r>
      <w:r>
        <w:rPr>
          <w:rFonts w:hint="eastAsia" w:ascii="仿宋" w:hAnsi="仿宋" w:eastAsia="仿宋" w:cs="仿宋"/>
          <w:bCs/>
          <w:szCs w:val="28"/>
          <w:highlight w:val="none"/>
        </w:rPr>
        <w:t>合同金额的</w:t>
      </w:r>
      <w:r>
        <w:rPr>
          <w:rFonts w:hint="eastAsia" w:ascii="仿宋" w:hAnsi="仿宋" w:eastAsia="仿宋" w:cs="仿宋"/>
          <w:bCs/>
          <w:szCs w:val="28"/>
          <w:highlight w:val="none"/>
          <w:u w:val="single"/>
          <w:lang w:val="en-US" w:eastAsia="zh-CN"/>
        </w:rPr>
        <w:t xml:space="preserve"> 90 </w:t>
      </w:r>
      <w:r>
        <w:rPr>
          <w:rFonts w:hint="eastAsia" w:ascii="仿宋" w:hAnsi="仿宋" w:eastAsia="仿宋" w:cs="仿宋"/>
          <w:bCs/>
          <w:szCs w:val="28"/>
          <w:highlight w:val="none"/>
          <w:u w:val="none"/>
        </w:rPr>
        <w:t>%</w:t>
      </w:r>
      <w:r>
        <w:rPr>
          <w:rFonts w:ascii="仿宋" w:hAnsi="仿宋" w:eastAsia="仿宋" w:cs="仿宋"/>
          <w:bCs/>
          <w:szCs w:val="28"/>
          <w:highlight w:val="none"/>
          <w:u w:val="none"/>
        </w:rPr>
        <w:t>即</w:t>
      </w:r>
      <w:r>
        <w:rPr>
          <w:rFonts w:hint="eastAsia" w:ascii="仿宋" w:hAnsi="仿宋" w:eastAsia="仿宋" w:cs="仿宋"/>
          <w:bCs/>
          <w:szCs w:val="28"/>
          <w:highlight w:val="none"/>
          <w:u w:val="single"/>
          <w:lang w:eastAsia="zh-CN"/>
        </w:rPr>
        <w:t>¥</w:t>
      </w:r>
      <w:r>
        <w:rPr>
          <w:rFonts w:hint="eastAsia" w:ascii="仿宋" w:hAnsi="仿宋" w:eastAsia="仿宋" w:cs="仿宋"/>
          <w:bCs/>
          <w:szCs w:val="28"/>
          <w:highlight w:val="none"/>
          <w:u w:val="single"/>
          <w:lang w:val="en-US" w:eastAsia="zh-CN"/>
        </w:rPr>
        <w:t xml:space="preserve">        </w:t>
      </w:r>
      <w:r>
        <w:rPr>
          <w:rFonts w:ascii="仿宋" w:hAnsi="仿宋" w:eastAsia="仿宋" w:cs="仿宋"/>
          <w:bCs/>
          <w:szCs w:val="28"/>
          <w:highlight w:val="none"/>
          <w:u w:val="single"/>
        </w:rPr>
        <w:t>元</w:t>
      </w:r>
      <w:r>
        <w:rPr>
          <w:rFonts w:hint="eastAsia" w:ascii="仿宋" w:hAnsi="仿宋" w:eastAsia="仿宋" w:cs="仿宋"/>
          <w:bCs/>
          <w:szCs w:val="28"/>
          <w:highlight w:val="none"/>
          <w:u w:val="single"/>
          <w:lang w:val="en-US" w:eastAsia="zh-CN"/>
        </w:rPr>
        <w:t>(</w:t>
      </w:r>
      <w:r>
        <w:rPr>
          <w:rFonts w:ascii="仿宋" w:hAnsi="仿宋" w:eastAsia="仿宋" w:cs="仿宋"/>
          <w:bCs/>
          <w:szCs w:val="28"/>
          <w:highlight w:val="none"/>
          <w:u w:val="single"/>
        </w:rPr>
        <w:t>大写：人民币</w:t>
      </w:r>
      <w:r>
        <w:rPr>
          <w:rFonts w:hint="eastAsia" w:ascii="仿宋" w:hAnsi="仿宋" w:eastAsia="仿宋" w:cs="仿宋"/>
          <w:bCs/>
          <w:szCs w:val="28"/>
          <w:highlight w:val="none"/>
          <w:u w:val="single"/>
        </w:rPr>
        <w:t>：</w:t>
      </w:r>
      <w:r>
        <w:rPr>
          <w:rFonts w:hint="eastAsia" w:ascii="仿宋" w:hAnsi="仿宋" w:eastAsia="仿宋" w:cs="仿宋"/>
          <w:bCs/>
          <w:szCs w:val="28"/>
          <w:highlight w:val="none"/>
          <w:u w:val="single"/>
          <w:lang w:val="en-US" w:eastAsia="zh-CN"/>
        </w:rPr>
        <w:t xml:space="preserve">          元整)</w:t>
      </w:r>
      <w:r>
        <w:rPr>
          <w:rFonts w:hint="eastAsia" w:ascii="仿宋" w:hAnsi="仿宋" w:eastAsia="仿宋" w:cs="仿宋"/>
          <w:bCs/>
          <w:szCs w:val="28"/>
          <w:highlight w:val="none"/>
        </w:rPr>
        <w:t>货款，剩余合同金额</w:t>
      </w:r>
      <w:r>
        <w:rPr>
          <w:rFonts w:hint="eastAsia" w:ascii="仿宋" w:hAnsi="仿宋" w:eastAsia="仿宋" w:cs="仿宋"/>
          <w:bCs/>
          <w:szCs w:val="28"/>
          <w:highlight w:val="none"/>
          <w:u w:val="single"/>
          <w:lang w:val="en-US" w:eastAsia="zh-CN"/>
        </w:rPr>
        <w:t xml:space="preserve"> 10 </w:t>
      </w:r>
      <w:r>
        <w:rPr>
          <w:rFonts w:hint="eastAsia" w:ascii="仿宋" w:hAnsi="仿宋" w:eastAsia="仿宋" w:cs="仿宋"/>
          <w:bCs/>
          <w:szCs w:val="28"/>
          <w:highlight w:val="none"/>
          <w:u w:val="none"/>
        </w:rPr>
        <w:t>%</w:t>
      </w:r>
      <w:r>
        <w:rPr>
          <w:rFonts w:ascii="仿宋" w:hAnsi="仿宋" w:eastAsia="仿宋" w:cs="仿宋"/>
          <w:bCs/>
          <w:szCs w:val="28"/>
          <w:highlight w:val="none"/>
          <w:u w:val="none"/>
        </w:rPr>
        <w:t>即</w:t>
      </w:r>
      <w:r>
        <w:rPr>
          <w:rFonts w:hint="eastAsia" w:ascii="仿宋" w:hAnsi="仿宋" w:eastAsia="仿宋" w:cs="仿宋"/>
          <w:bCs/>
          <w:szCs w:val="28"/>
          <w:highlight w:val="none"/>
          <w:u w:val="single"/>
          <w:lang w:eastAsia="zh-CN"/>
        </w:rPr>
        <w:t>¥</w:t>
      </w:r>
      <w:r>
        <w:rPr>
          <w:rFonts w:hint="eastAsia" w:ascii="仿宋" w:hAnsi="仿宋" w:eastAsia="仿宋" w:cs="仿宋"/>
          <w:bCs/>
          <w:szCs w:val="28"/>
          <w:highlight w:val="none"/>
          <w:u w:val="single"/>
          <w:lang w:val="en-US" w:eastAsia="zh-CN"/>
        </w:rPr>
        <w:t xml:space="preserve">     </w:t>
      </w:r>
      <w:r>
        <w:rPr>
          <w:rFonts w:hint="eastAsia" w:ascii="仿宋" w:hAnsi="仿宋" w:eastAsia="仿宋" w:cs="仿宋"/>
          <w:bCs/>
          <w:szCs w:val="28"/>
          <w:highlight w:val="none"/>
          <w:u w:val="single"/>
        </w:rPr>
        <w:t>元</w:t>
      </w:r>
      <w:r>
        <w:rPr>
          <w:rFonts w:hint="eastAsia" w:ascii="仿宋" w:hAnsi="仿宋" w:eastAsia="仿宋" w:cs="仿宋"/>
          <w:bCs/>
          <w:szCs w:val="28"/>
          <w:highlight w:val="none"/>
          <w:u w:val="single"/>
          <w:lang w:val="en-US" w:eastAsia="zh-CN"/>
        </w:rPr>
        <w:t>(</w:t>
      </w:r>
      <w:r>
        <w:rPr>
          <w:rFonts w:ascii="仿宋" w:hAnsi="仿宋" w:eastAsia="仿宋" w:cs="仿宋"/>
          <w:bCs/>
          <w:szCs w:val="28"/>
          <w:highlight w:val="none"/>
          <w:u w:val="single"/>
        </w:rPr>
        <w:t>大写：人民币</w:t>
      </w:r>
      <w:r>
        <w:rPr>
          <w:rFonts w:hint="eastAsia" w:ascii="仿宋" w:hAnsi="仿宋" w:eastAsia="仿宋" w:cs="仿宋"/>
          <w:bCs/>
          <w:szCs w:val="28"/>
          <w:highlight w:val="none"/>
          <w:u w:val="single"/>
        </w:rPr>
        <w:t>：</w:t>
      </w:r>
      <w:r>
        <w:rPr>
          <w:rFonts w:hint="eastAsia" w:ascii="仿宋" w:hAnsi="仿宋" w:eastAsia="仿宋" w:cs="仿宋"/>
          <w:bCs/>
          <w:szCs w:val="28"/>
          <w:highlight w:val="none"/>
          <w:u w:val="single"/>
          <w:lang w:val="en-US" w:eastAsia="zh-CN"/>
        </w:rPr>
        <w:t xml:space="preserve">               元整)</w:t>
      </w:r>
      <w:r>
        <w:rPr>
          <w:rFonts w:hint="eastAsia" w:ascii="仿宋" w:hAnsi="仿宋" w:eastAsia="仿宋" w:cs="仿宋"/>
          <w:bCs/>
          <w:szCs w:val="28"/>
          <w:highlight w:val="none"/>
        </w:rPr>
        <w:t>货款作</w:t>
      </w:r>
      <w:r>
        <w:rPr>
          <w:rFonts w:ascii="仿宋" w:hAnsi="仿宋" w:eastAsia="仿宋" w:cs="仿宋"/>
          <w:bCs/>
          <w:szCs w:val="28"/>
          <w:highlight w:val="none"/>
        </w:rPr>
        <w:t>为</w:t>
      </w:r>
      <w:r>
        <w:rPr>
          <w:rFonts w:hint="eastAsia" w:ascii="仿宋" w:hAnsi="仿宋" w:eastAsia="仿宋" w:cs="仿宋"/>
          <w:bCs/>
          <w:szCs w:val="28"/>
          <w:highlight w:val="none"/>
        </w:rPr>
        <w:t>质保金</w:t>
      </w:r>
      <w:r>
        <w:rPr>
          <w:rFonts w:hint="eastAsia" w:ascii="仿宋" w:hAnsi="仿宋" w:eastAsia="仿宋" w:cs="仿宋"/>
          <w:bCs/>
          <w:szCs w:val="28"/>
          <w:highlight w:val="none"/>
          <w:lang w:eastAsia="zh-CN"/>
        </w:rPr>
        <w:t>，</w:t>
      </w:r>
      <w:r>
        <w:rPr>
          <w:rFonts w:hint="eastAsia" w:ascii="仿宋" w:hAnsi="仿宋" w:eastAsia="仿宋" w:cs="仿宋"/>
          <w:bCs/>
          <w:szCs w:val="28"/>
          <w:highlight w:val="none"/>
        </w:rPr>
        <w:t>从设备验收合格之日起算，</w:t>
      </w:r>
      <w:r>
        <w:rPr>
          <w:rFonts w:hint="eastAsia" w:ascii="仿宋" w:hAnsi="仿宋" w:eastAsia="仿宋" w:cs="仿宋"/>
          <w:bCs/>
          <w:szCs w:val="28"/>
          <w:highlight w:val="none"/>
          <w:lang w:eastAsia="zh-CN"/>
        </w:rPr>
        <w:t>叁</w:t>
      </w:r>
      <w:r>
        <w:rPr>
          <w:rFonts w:hint="eastAsia" w:ascii="仿宋" w:hAnsi="仿宋" w:eastAsia="仿宋" w:cs="仿宋"/>
          <w:bCs/>
          <w:szCs w:val="28"/>
          <w:highlight w:val="none"/>
        </w:rPr>
        <w:t>年后无任何质量问题一次性付清余款。</w:t>
      </w:r>
      <w:r>
        <w:rPr>
          <w:rFonts w:ascii="仿宋" w:hAnsi="仿宋" w:eastAsia="仿宋" w:cs="仿宋"/>
          <w:bCs/>
          <w:szCs w:val="28"/>
          <w:highlight w:val="none"/>
        </w:rPr>
        <w:t>需</w:t>
      </w:r>
      <w:r>
        <w:rPr>
          <w:rFonts w:hint="eastAsia" w:ascii="仿宋" w:hAnsi="仿宋" w:eastAsia="仿宋" w:cs="仿宋"/>
          <w:bCs/>
          <w:szCs w:val="28"/>
          <w:highlight w:val="none"/>
        </w:rPr>
        <w:t>方在支付本合同款项前，</w:t>
      </w:r>
      <w:r>
        <w:rPr>
          <w:rFonts w:ascii="仿宋" w:hAnsi="仿宋" w:eastAsia="仿宋" w:cs="仿宋"/>
          <w:bCs/>
          <w:szCs w:val="28"/>
          <w:highlight w:val="none"/>
        </w:rPr>
        <w:t>供</w:t>
      </w:r>
      <w:r>
        <w:rPr>
          <w:rFonts w:hint="eastAsia" w:ascii="仿宋" w:hAnsi="仿宋" w:eastAsia="仿宋" w:cs="仿宋"/>
          <w:bCs/>
          <w:szCs w:val="28"/>
          <w:highlight w:val="none"/>
        </w:rPr>
        <w:t>方需提前开具</w:t>
      </w:r>
      <w:r>
        <w:rPr>
          <w:rFonts w:hint="eastAsia" w:ascii="仿宋" w:hAnsi="仿宋" w:eastAsia="仿宋" w:cs="仿宋"/>
          <w:bCs/>
          <w:szCs w:val="28"/>
          <w:highlight w:val="none"/>
          <w:u w:val="single"/>
          <w:lang w:val="en-US" w:eastAsia="zh-CN"/>
        </w:rPr>
        <w:t xml:space="preserve">    </w:t>
      </w:r>
      <w:r>
        <w:rPr>
          <w:rFonts w:hint="eastAsia" w:ascii="仿宋" w:hAnsi="仿宋" w:eastAsia="仿宋" w:cs="仿宋"/>
          <w:bCs/>
          <w:szCs w:val="28"/>
          <w:highlight w:val="none"/>
          <w:lang w:val="en-US" w:eastAsia="zh-CN"/>
        </w:rPr>
        <w:t>%</w:t>
      </w:r>
      <w:r>
        <w:rPr>
          <w:rFonts w:hint="eastAsia" w:ascii="仿宋" w:hAnsi="仿宋" w:eastAsia="仿宋" w:cs="仿宋"/>
          <w:bCs/>
          <w:szCs w:val="28"/>
          <w:highlight w:val="none"/>
        </w:rPr>
        <w:t>等额增值税</w:t>
      </w:r>
      <w:r>
        <w:rPr>
          <w:rFonts w:ascii="仿宋" w:hAnsi="仿宋" w:eastAsia="仿宋" w:cs="仿宋"/>
          <w:bCs/>
          <w:szCs w:val="28"/>
          <w:highlight w:val="none"/>
        </w:rPr>
        <w:t>专用</w:t>
      </w:r>
      <w:r>
        <w:rPr>
          <w:rFonts w:hint="eastAsia" w:ascii="仿宋" w:hAnsi="仿宋" w:eastAsia="仿宋" w:cs="仿宋"/>
          <w:bCs/>
          <w:szCs w:val="28"/>
          <w:highlight w:val="none"/>
        </w:rPr>
        <w:t>发票给</w:t>
      </w:r>
      <w:r>
        <w:rPr>
          <w:rFonts w:ascii="仿宋" w:hAnsi="仿宋" w:eastAsia="仿宋" w:cs="仿宋"/>
          <w:bCs/>
          <w:szCs w:val="28"/>
          <w:highlight w:val="none"/>
        </w:rPr>
        <w:t>需</w:t>
      </w:r>
      <w:r>
        <w:rPr>
          <w:rFonts w:hint="eastAsia" w:ascii="仿宋" w:hAnsi="仿宋" w:eastAsia="仿宋" w:cs="仿宋"/>
          <w:bCs/>
          <w:szCs w:val="28"/>
          <w:highlight w:val="none"/>
        </w:rPr>
        <w:t>方，</w:t>
      </w:r>
      <w:r>
        <w:rPr>
          <w:rFonts w:ascii="仿宋" w:hAnsi="仿宋" w:eastAsia="仿宋" w:cs="仿宋"/>
          <w:bCs/>
          <w:szCs w:val="28"/>
          <w:highlight w:val="none"/>
        </w:rPr>
        <w:t>需</w:t>
      </w:r>
      <w:r>
        <w:rPr>
          <w:rFonts w:hint="eastAsia" w:ascii="仿宋" w:hAnsi="仿宋" w:eastAsia="仿宋" w:cs="仿宋"/>
          <w:bCs/>
          <w:szCs w:val="28"/>
          <w:highlight w:val="none"/>
        </w:rPr>
        <w:t>方核对无误后按合同约定支付相应合同款项，否则</w:t>
      </w:r>
      <w:r>
        <w:rPr>
          <w:rFonts w:ascii="仿宋" w:hAnsi="仿宋" w:eastAsia="仿宋" w:cs="仿宋"/>
          <w:bCs/>
          <w:szCs w:val="28"/>
          <w:highlight w:val="none"/>
        </w:rPr>
        <w:t>需</w:t>
      </w:r>
      <w:r>
        <w:rPr>
          <w:rFonts w:hint="eastAsia" w:ascii="仿宋" w:hAnsi="仿宋" w:eastAsia="仿宋" w:cs="仿宋"/>
          <w:bCs/>
          <w:szCs w:val="28"/>
          <w:highlight w:val="none"/>
        </w:rPr>
        <w:t>方有权拒绝支付合同价款且不承担任何违约责任。</w:t>
      </w:r>
    </w:p>
    <w:p w14:paraId="49FDD702">
      <w:pPr>
        <w:snapToGrid w:val="0"/>
        <w:spacing w:line="500" w:lineRule="exact"/>
        <w:ind w:firstLine="560"/>
        <w:outlineLvl w:val="0"/>
        <w:rPr>
          <w:rFonts w:ascii="仿宋" w:hAnsi="仿宋" w:eastAsia="仿宋" w:cs="仿宋"/>
          <w:bCs/>
          <w:szCs w:val="28"/>
          <w:highlight w:val="none"/>
        </w:rPr>
      </w:pPr>
      <w:r>
        <w:rPr>
          <w:rFonts w:hint="eastAsia" w:ascii="仿宋" w:hAnsi="仿宋" w:eastAsia="仿宋" w:cs="仿宋"/>
          <w:bCs/>
          <w:szCs w:val="28"/>
          <w:highlight w:val="none"/>
        </w:rPr>
        <w:t>乙方指定接收本合同项下</w:t>
      </w:r>
      <w:r>
        <w:rPr>
          <w:rFonts w:ascii="仿宋" w:hAnsi="仿宋" w:eastAsia="仿宋" w:cs="仿宋"/>
          <w:bCs/>
          <w:szCs w:val="28"/>
          <w:highlight w:val="none"/>
        </w:rPr>
        <w:t>货款</w:t>
      </w:r>
      <w:r>
        <w:rPr>
          <w:rFonts w:hint="eastAsia" w:ascii="仿宋" w:hAnsi="仿宋" w:eastAsia="仿宋" w:cs="仿宋"/>
          <w:bCs/>
          <w:szCs w:val="28"/>
          <w:highlight w:val="none"/>
        </w:rPr>
        <w:t>的账户信息如下：</w:t>
      </w:r>
    </w:p>
    <w:p w14:paraId="2681B56A">
      <w:pPr>
        <w:snapToGrid w:val="0"/>
        <w:spacing w:line="500" w:lineRule="exact"/>
        <w:ind w:firstLine="480" w:firstLineChars="200"/>
        <w:outlineLvl w:val="0"/>
        <w:rPr>
          <w:rFonts w:hint="default" w:ascii="仿宋" w:hAnsi="仿宋" w:eastAsia="仿宋" w:cs="仿宋"/>
          <w:bCs/>
          <w:szCs w:val="28"/>
          <w:highlight w:val="none"/>
          <w:u w:val="single"/>
          <w:lang w:val="en-US" w:eastAsia="zh-CN"/>
        </w:rPr>
      </w:pPr>
      <w:r>
        <w:rPr>
          <w:rFonts w:hint="eastAsia" w:ascii="仿宋" w:hAnsi="仿宋" w:eastAsia="仿宋" w:cs="仿宋"/>
          <w:bCs/>
          <w:szCs w:val="28"/>
          <w:highlight w:val="none"/>
        </w:rPr>
        <w:t>开户行：</w:t>
      </w:r>
      <w:r>
        <w:rPr>
          <w:rFonts w:hint="eastAsia" w:ascii="仿宋" w:hAnsi="仿宋" w:eastAsia="仿宋" w:cs="仿宋"/>
          <w:bCs/>
          <w:szCs w:val="28"/>
          <w:highlight w:val="none"/>
          <w:u w:val="single"/>
          <w:lang w:val="en-US" w:eastAsia="zh-CN"/>
        </w:rPr>
        <w:t xml:space="preserve">                         </w:t>
      </w:r>
    </w:p>
    <w:p w14:paraId="5FD85276">
      <w:pPr>
        <w:snapToGrid w:val="0"/>
        <w:spacing w:line="500" w:lineRule="exact"/>
        <w:ind w:firstLine="480" w:firstLineChars="200"/>
        <w:outlineLvl w:val="0"/>
        <w:rPr>
          <w:rFonts w:hint="default" w:ascii="仿宋" w:hAnsi="仿宋" w:eastAsia="仿宋" w:cs="仿宋"/>
          <w:bCs/>
          <w:szCs w:val="28"/>
          <w:highlight w:val="none"/>
          <w:u w:val="single"/>
          <w:lang w:val="en-US" w:eastAsia="zh-CN"/>
        </w:rPr>
      </w:pPr>
      <w:r>
        <w:rPr>
          <w:rFonts w:hint="eastAsia" w:ascii="仿宋" w:hAnsi="仿宋" w:eastAsia="仿宋" w:cs="仿宋"/>
          <w:bCs/>
          <w:szCs w:val="28"/>
          <w:highlight w:val="none"/>
        </w:rPr>
        <w:t>户名：</w:t>
      </w:r>
      <w:r>
        <w:rPr>
          <w:rFonts w:hint="eastAsia" w:ascii="仿宋" w:hAnsi="仿宋" w:eastAsia="仿宋" w:cs="仿宋"/>
          <w:bCs/>
          <w:szCs w:val="28"/>
          <w:highlight w:val="none"/>
          <w:u w:val="single"/>
          <w:lang w:val="en-US" w:eastAsia="zh-CN"/>
        </w:rPr>
        <w:t xml:space="preserve">                           </w:t>
      </w:r>
    </w:p>
    <w:p w14:paraId="5EE90746">
      <w:pPr>
        <w:snapToGrid w:val="0"/>
        <w:spacing w:line="500" w:lineRule="exact"/>
        <w:ind w:firstLine="480" w:firstLineChars="200"/>
        <w:outlineLvl w:val="0"/>
        <w:rPr>
          <w:rFonts w:hint="default" w:ascii="仿宋" w:hAnsi="仿宋" w:eastAsia="仿宋" w:cs="仿宋"/>
          <w:bCs/>
          <w:szCs w:val="28"/>
          <w:highlight w:val="none"/>
          <w:u w:val="single"/>
          <w:lang w:val="en-US" w:eastAsia="zh-CN"/>
        </w:rPr>
      </w:pPr>
      <w:r>
        <w:rPr>
          <w:rFonts w:hint="eastAsia" w:ascii="仿宋" w:hAnsi="仿宋" w:eastAsia="仿宋" w:cs="仿宋"/>
          <w:bCs/>
          <w:szCs w:val="28"/>
          <w:highlight w:val="none"/>
        </w:rPr>
        <w:t>银行账号：</w:t>
      </w:r>
      <w:r>
        <w:rPr>
          <w:rFonts w:hint="eastAsia" w:ascii="仿宋" w:hAnsi="仿宋" w:eastAsia="仿宋" w:cs="仿宋"/>
          <w:bCs/>
          <w:szCs w:val="28"/>
          <w:highlight w:val="none"/>
          <w:u w:val="single"/>
          <w:lang w:val="en-US" w:eastAsia="zh-CN"/>
        </w:rPr>
        <w:t xml:space="preserve">                       </w:t>
      </w:r>
    </w:p>
    <w:p w14:paraId="59F51EE9">
      <w:pPr>
        <w:snapToGrid w:val="0"/>
        <w:spacing w:line="500" w:lineRule="exact"/>
        <w:ind w:firstLine="480" w:firstLineChars="200"/>
        <w:outlineLvl w:val="0"/>
        <w:rPr>
          <w:rFonts w:ascii="仿宋" w:hAnsi="仿宋" w:eastAsia="仿宋" w:cs="仿宋"/>
          <w:b/>
          <w:bCs/>
          <w:szCs w:val="28"/>
          <w:highlight w:val="none"/>
        </w:rPr>
      </w:pPr>
      <w:r>
        <w:rPr>
          <w:rFonts w:hint="eastAsia" w:ascii="仿宋" w:hAnsi="仿宋" w:eastAsia="仿宋" w:cs="仿宋"/>
          <w:bCs/>
          <w:szCs w:val="28"/>
          <w:highlight w:val="none"/>
        </w:rPr>
        <w:t>上述信息由乙方提供并保证其真实性，如需变更，应至少提前五个工作日书面告知甲方，否则一切后果由乙方自行承担。</w:t>
      </w:r>
    </w:p>
    <w:p w14:paraId="7014A4A6">
      <w:pPr>
        <w:widowControl/>
        <w:spacing w:line="500" w:lineRule="exact"/>
        <w:jc w:val="left"/>
        <w:rPr>
          <w:rFonts w:ascii="仿宋" w:hAnsi="仿宋" w:eastAsia="仿宋" w:cs="仿宋"/>
          <w:bCs/>
          <w:szCs w:val="28"/>
          <w:highlight w:val="none"/>
        </w:rPr>
      </w:pPr>
      <w:r>
        <w:rPr>
          <w:rFonts w:ascii="仿宋" w:hAnsi="仿宋" w:eastAsia="仿宋" w:cs="仿宋"/>
          <w:b/>
          <w:bCs/>
          <w:szCs w:val="28"/>
          <w:highlight w:val="none"/>
        </w:rPr>
        <w:t>第六条、质量保证期</w:t>
      </w:r>
    </w:p>
    <w:p w14:paraId="32BCA18A">
      <w:pPr>
        <w:tabs>
          <w:tab w:val="left" w:pos="0"/>
        </w:tabs>
        <w:snapToGrid w:val="0"/>
        <w:spacing w:line="500" w:lineRule="exact"/>
        <w:ind w:firstLine="480" w:firstLineChars="200"/>
        <w:rPr>
          <w:rFonts w:ascii="仿宋" w:hAnsi="仿宋" w:eastAsia="仿宋" w:cs="仿宋"/>
          <w:bCs/>
          <w:szCs w:val="28"/>
          <w:highlight w:val="none"/>
        </w:rPr>
      </w:pPr>
      <w:r>
        <w:rPr>
          <w:rFonts w:hint="eastAsia" w:ascii="仿宋" w:hAnsi="仿宋" w:eastAsia="仿宋" w:cs="仿宋"/>
          <w:bCs/>
          <w:szCs w:val="28"/>
          <w:highlight w:val="none"/>
        </w:rPr>
        <w:t>1、.设备质量保证期为</w:t>
      </w:r>
      <w:r>
        <w:rPr>
          <w:rFonts w:hint="eastAsia" w:ascii="仿宋" w:hAnsi="仿宋" w:eastAsia="仿宋" w:cs="仿宋"/>
          <w:b/>
          <w:bCs/>
          <w:szCs w:val="28"/>
          <w:highlight w:val="none"/>
          <w:u w:val="single"/>
          <w:lang w:val="en-US" w:eastAsia="zh-CN"/>
        </w:rPr>
        <w:t xml:space="preserve"> 叁年 </w:t>
      </w:r>
      <w:r>
        <w:rPr>
          <w:rFonts w:hint="eastAsia" w:ascii="仿宋" w:hAnsi="仿宋" w:eastAsia="仿宋" w:cs="仿宋"/>
          <w:bCs/>
          <w:szCs w:val="28"/>
          <w:highlight w:val="none"/>
        </w:rPr>
        <w:t>年，自设备验收合格并交付需方正常使用之日起算，供方承诺设备在质保期内，若出现非因需方原因导致的质量问题，对问题产品包修、包退、包换。设备质量故障等问题由供方负责解决，使用者操作不当造成的损坏及消耗部件的正常损耗或磨损不在供方质保之列。</w:t>
      </w:r>
    </w:p>
    <w:p w14:paraId="5EADCB87">
      <w:pPr>
        <w:tabs>
          <w:tab w:val="left" w:pos="0"/>
        </w:tabs>
        <w:snapToGrid w:val="0"/>
        <w:spacing w:line="500" w:lineRule="exact"/>
        <w:ind w:firstLine="480" w:firstLineChars="200"/>
        <w:rPr>
          <w:rFonts w:hint="eastAsia" w:ascii="仿宋" w:hAnsi="仿宋" w:eastAsia="仿宋" w:cs="仿宋"/>
          <w:bCs/>
          <w:szCs w:val="28"/>
          <w:highlight w:val="none"/>
        </w:rPr>
      </w:pPr>
      <w:r>
        <w:rPr>
          <w:rFonts w:hint="eastAsia" w:ascii="仿宋" w:hAnsi="仿宋" w:eastAsia="仿宋" w:cs="仿宋"/>
          <w:bCs/>
          <w:szCs w:val="28"/>
          <w:highlight w:val="none"/>
        </w:rPr>
        <w:t>2、质量保证期内，接到使用方产品出现问题需要上门服务的通知后，厂家技术服务人员</w:t>
      </w:r>
      <w:r>
        <w:rPr>
          <w:rFonts w:hint="eastAsia" w:ascii="仿宋" w:hAnsi="仿宋" w:eastAsia="仿宋" w:cs="仿宋"/>
          <w:bCs/>
          <w:szCs w:val="28"/>
          <w:highlight w:val="none"/>
          <w:u w:val="single"/>
        </w:rPr>
        <w:t>2</w:t>
      </w:r>
      <w:r>
        <w:rPr>
          <w:rFonts w:hint="eastAsia" w:ascii="仿宋" w:hAnsi="仿宋" w:eastAsia="仿宋" w:cs="仿宋"/>
          <w:bCs/>
          <w:szCs w:val="28"/>
          <w:highlight w:val="none"/>
        </w:rPr>
        <w:t>小时内响应，</w:t>
      </w:r>
      <w:r>
        <w:rPr>
          <w:rFonts w:hint="eastAsia" w:ascii="仿宋" w:hAnsi="仿宋" w:eastAsia="仿宋" w:cs="仿宋"/>
          <w:bCs/>
          <w:szCs w:val="28"/>
          <w:highlight w:val="none"/>
          <w:u w:val="single"/>
        </w:rPr>
        <w:t>48</w:t>
      </w:r>
      <w:r>
        <w:rPr>
          <w:rFonts w:hint="eastAsia" w:ascii="仿宋" w:hAnsi="仿宋" w:eastAsia="仿宋" w:cs="仿宋"/>
          <w:bCs/>
          <w:szCs w:val="28"/>
          <w:highlight w:val="none"/>
        </w:rPr>
        <w:t>小时内到达用户现场进行维修，免费更换一切在正常情况下损坏的零配件，关键零部件在质量保证期内发生损坏进行维修或更换的，该部件的质量保证期应从恢复生产之日起计算。</w:t>
      </w:r>
    </w:p>
    <w:p w14:paraId="59254521">
      <w:pPr>
        <w:snapToGrid w:val="0"/>
        <w:spacing w:line="500" w:lineRule="exact"/>
        <w:ind w:left="843" w:hanging="723" w:hangingChars="300"/>
        <w:outlineLvl w:val="0"/>
        <w:rPr>
          <w:rFonts w:ascii="仿宋" w:hAnsi="仿宋" w:eastAsia="仿宋" w:cs="仿宋"/>
          <w:b/>
          <w:szCs w:val="28"/>
          <w:highlight w:val="none"/>
        </w:rPr>
      </w:pPr>
      <w:r>
        <w:rPr>
          <w:rFonts w:hint="eastAsia" w:ascii="仿宋" w:hAnsi="仿宋" w:eastAsia="仿宋" w:cs="仿宋"/>
          <w:b/>
          <w:szCs w:val="28"/>
          <w:highlight w:val="none"/>
        </w:rPr>
        <w:t>第</w:t>
      </w:r>
      <w:r>
        <w:rPr>
          <w:rFonts w:ascii="仿宋" w:hAnsi="仿宋" w:eastAsia="仿宋" w:cs="仿宋"/>
          <w:b/>
          <w:szCs w:val="28"/>
          <w:highlight w:val="none"/>
        </w:rPr>
        <w:t>七</w:t>
      </w:r>
      <w:r>
        <w:rPr>
          <w:rFonts w:hint="eastAsia" w:ascii="仿宋" w:hAnsi="仿宋" w:eastAsia="仿宋" w:cs="仿宋"/>
          <w:b/>
          <w:szCs w:val="28"/>
          <w:highlight w:val="none"/>
        </w:rPr>
        <w:t>条、质量保证</w:t>
      </w:r>
    </w:p>
    <w:p w14:paraId="55041123">
      <w:pPr>
        <w:snapToGrid w:val="0"/>
        <w:spacing w:line="500" w:lineRule="exact"/>
        <w:outlineLvl w:val="0"/>
        <w:rPr>
          <w:rFonts w:ascii="仿宋" w:hAnsi="仿宋" w:eastAsia="仿宋" w:cs="仿宋"/>
          <w:b/>
          <w:szCs w:val="28"/>
          <w:highlight w:val="none"/>
        </w:rPr>
      </w:pPr>
      <w:r>
        <w:rPr>
          <w:rFonts w:hint="eastAsia" w:ascii="仿宋" w:hAnsi="仿宋" w:eastAsia="仿宋" w:cs="仿宋"/>
          <w:bCs/>
          <w:szCs w:val="28"/>
          <w:highlight w:val="none"/>
        </w:rPr>
        <w:t xml:space="preserve">    </w:t>
      </w:r>
      <w:r>
        <w:rPr>
          <w:rFonts w:ascii="仿宋" w:hAnsi="仿宋" w:eastAsia="仿宋" w:cs="仿宋"/>
          <w:bCs/>
          <w:szCs w:val="28"/>
          <w:highlight w:val="none"/>
        </w:rPr>
        <w:t>1</w:t>
      </w:r>
      <w:r>
        <w:rPr>
          <w:rFonts w:hint="eastAsia" w:ascii="仿宋" w:hAnsi="仿宋" w:eastAsia="仿宋" w:cs="仿宋"/>
          <w:bCs/>
          <w:szCs w:val="28"/>
          <w:highlight w:val="none"/>
        </w:rPr>
        <w:t>、设备质量应符合</w:t>
      </w:r>
      <w:r>
        <w:rPr>
          <w:rFonts w:hint="eastAsia" w:ascii="仿宋" w:hAnsi="仿宋" w:eastAsia="仿宋" w:cs="仿宋"/>
          <w:szCs w:val="28"/>
          <w:highlight w:val="none"/>
        </w:rPr>
        <w:t>国家、重庆市</w:t>
      </w:r>
      <w:r>
        <w:rPr>
          <w:rFonts w:hint="eastAsia" w:ascii="仿宋" w:hAnsi="仿宋" w:eastAsia="仿宋" w:cs="仿宋"/>
          <w:bCs/>
          <w:szCs w:val="28"/>
          <w:highlight w:val="none"/>
        </w:rPr>
        <w:t>等</w:t>
      </w:r>
      <w:r>
        <w:rPr>
          <w:rFonts w:hint="eastAsia" w:ascii="仿宋" w:hAnsi="仿宋" w:eastAsia="仿宋" w:cs="仿宋"/>
          <w:szCs w:val="28"/>
          <w:highlight w:val="none"/>
        </w:rPr>
        <w:t>相关规范、标准中的最高要</w:t>
      </w:r>
      <w:r>
        <w:rPr>
          <w:rFonts w:hint="eastAsia" w:ascii="仿宋" w:hAnsi="仿宋" w:eastAsia="仿宋" w:cs="仿宋"/>
          <w:bCs/>
          <w:szCs w:val="28"/>
          <w:highlight w:val="none"/>
        </w:rPr>
        <w:t>求并满足需方要求，设备所具备功能必须与设备标示的和合同要求的技术参数相符。</w:t>
      </w:r>
    </w:p>
    <w:p w14:paraId="6A72B96F">
      <w:pPr>
        <w:snapToGrid w:val="0"/>
        <w:spacing w:line="500" w:lineRule="exact"/>
        <w:outlineLvl w:val="0"/>
        <w:rPr>
          <w:rFonts w:ascii="仿宋" w:hAnsi="仿宋" w:eastAsia="仿宋" w:cs="仿宋"/>
          <w:b/>
          <w:szCs w:val="28"/>
          <w:highlight w:val="none"/>
        </w:rPr>
      </w:pPr>
      <w:r>
        <w:rPr>
          <w:rFonts w:hint="eastAsia" w:ascii="仿宋" w:hAnsi="仿宋" w:eastAsia="仿宋" w:cs="仿宋"/>
          <w:bCs/>
          <w:szCs w:val="28"/>
          <w:highlight w:val="none"/>
        </w:rPr>
        <w:t xml:space="preserve">    </w:t>
      </w:r>
      <w:r>
        <w:rPr>
          <w:rFonts w:ascii="仿宋" w:hAnsi="仿宋" w:eastAsia="仿宋" w:cs="仿宋"/>
          <w:bCs/>
          <w:szCs w:val="28"/>
          <w:highlight w:val="none"/>
        </w:rPr>
        <w:t>2</w:t>
      </w:r>
      <w:r>
        <w:rPr>
          <w:rFonts w:hint="eastAsia" w:ascii="仿宋" w:hAnsi="仿宋" w:eastAsia="仿宋" w:cs="仿宋"/>
          <w:bCs/>
          <w:szCs w:val="28"/>
          <w:highlight w:val="none"/>
        </w:rPr>
        <w:t>、主机、配件等应均为全新原装正品，假一赔十。</w:t>
      </w:r>
    </w:p>
    <w:p w14:paraId="601E93BC">
      <w:pPr>
        <w:snapToGrid w:val="0"/>
        <w:spacing w:line="500" w:lineRule="exact"/>
        <w:ind w:left="843" w:hanging="723" w:hangingChars="300"/>
        <w:outlineLvl w:val="0"/>
        <w:rPr>
          <w:rFonts w:ascii="仿宋" w:hAnsi="仿宋" w:eastAsia="仿宋" w:cs="仿宋"/>
          <w:b/>
          <w:szCs w:val="28"/>
          <w:highlight w:val="none"/>
        </w:rPr>
      </w:pPr>
      <w:r>
        <w:rPr>
          <w:rFonts w:hint="eastAsia" w:ascii="仿宋" w:hAnsi="仿宋" w:eastAsia="仿宋" w:cs="仿宋"/>
          <w:b/>
          <w:szCs w:val="28"/>
          <w:highlight w:val="none"/>
        </w:rPr>
        <w:t>第</w:t>
      </w:r>
      <w:r>
        <w:rPr>
          <w:rFonts w:ascii="仿宋" w:hAnsi="仿宋" w:eastAsia="仿宋" w:cs="仿宋"/>
          <w:b/>
          <w:szCs w:val="28"/>
          <w:highlight w:val="none"/>
        </w:rPr>
        <w:t>八</w:t>
      </w:r>
      <w:r>
        <w:rPr>
          <w:rFonts w:hint="eastAsia" w:ascii="仿宋" w:hAnsi="仿宋" w:eastAsia="仿宋" w:cs="仿宋"/>
          <w:b/>
          <w:szCs w:val="28"/>
          <w:highlight w:val="none"/>
        </w:rPr>
        <w:t>条、包装及运输</w:t>
      </w:r>
    </w:p>
    <w:p w14:paraId="10CAABD5">
      <w:pPr>
        <w:snapToGrid w:val="0"/>
        <w:spacing w:line="500" w:lineRule="exact"/>
        <w:rPr>
          <w:rFonts w:ascii="仿宋" w:hAnsi="仿宋" w:eastAsia="仿宋" w:cs="仿宋"/>
          <w:bCs/>
          <w:szCs w:val="28"/>
          <w:highlight w:val="none"/>
        </w:rPr>
      </w:pPr>
      <w:r>
        <w:rPr>
          <w:rFonts w:hint="eastAsia" w:ascii="仿宋" w:hAnsi="仿宋" w:eastAsia="仿宋" w:cs="仿宋"/>
          <w:bCs/>
          <w:szCs w:val="28"/>
          <w:highlight w:val="none"/>
        </w:rPr>
        <w:t xml:space="preserve">    供方所提供的货物符合运输标准，包装物不回收。</w:t>
      </w:r>
    </w:p>
    <w:p w14:paraId="623BBBF5">
      <w:pPr>
        <w:snapToGrid w:val="0"/>
        <w:spacing w:line="500" w:lineRule="exact"/>
        <w:outlineLvl w:val="0"/>
        <w:rPr>
          <w:rFonts w:ascii="仿宋" w:hAnsi="仿宋" w:eastAsia="仿宋" w:cs="仿宋"/>
          <w:b/>
          <w:szCs w:val="28"/>
          <w:highlight w:val="none"/>
        </w:rPr>
      </w:pPr>
      <w:r>
        <w:rPr>
          <w:rFonts w:hint="eastAsia" w:ascii="仿宋" w:hAnsi="仿宋" w:eastAsia="仿宋" w:cs="仿宋"/>
          <w:b/>
          <w:szCs w:val="28"/>
          <w:highlight w:val="none"/>
        </w:rPr>
        <w:t>第</w:t>
      </w:r>
      <w:r>
        <w:rPr>
          <w:rFonts w:ascii="仿宋" w:hAnsi="仿宋" w:eastAsia="仿宋" w:cs="仿宋"/>
          <w:b/>
          <w:szCs w:val="28"/>
          <w:highlight w:val="none"/>
        </w:rPr>
        <w:t>九</w:t>
      </w:r>
      <w:r>
        <w:rPr>
          <w:rFonts w:hint="eastAsia" w:ascii="仿宋" w:hAnsi="仿宋" w:eastAsia="仿宋" w:cs="仿宋"/>
          <w:b/>
          <w:szCs w:val="28"/>
          <w:highlight w:val="none"/>
        </w:rPr>
        <w:t>条、不可抗力情况</w:t>
      </w:r>
    </w:p>
    <w:p w14:paraId="34B43DCC">
      <w:pPr>
        <w:snapToGrid w:val="0"/>
        <w:spacing w:line="500" w:lineRule="exact"/>
        <w:outlineLvl w:val="0"/>
        <w:rPr>
          <w:rFonts w:ascii="仿宋" w:hAnsi="仿宋" w:eastAsia="仿宋" w:cs="仿宋"/>
          <w:b/>
          <w:szCs w:val="28"/>
          <w:highlight w:val="none"/>
        </w:rPr>
      </w:pPr>
      <w:r>
        <w:rPr>
          <w:rFonts w:hint="eastAsia" w:ascii="仿宋" w:hAnsi="仿宋" w:eastAsia="仿宋" w:cs="仿宋"/>
          <w:bCs/>
          <w:szCs w:val="28"/>
          <w:highlight w:val="none"/>
        </w:rPr>
        <w:t xml:space="preserve">    </w:t>
      </w:r>
      <w:r>
        <w:rPr>
          <w:rFonts w:ascii="仿宋" w:hAnsi="仿宋" w:eastAsia="仿宋" w:cs="仿宋"/>
          <w:bCs/>
          <w:szCs w:val="28"/>
          <w:highlight w:val="none"/>
        </w:rPr>
        <w:t>1</w:t>
      </w:r>
      <w:r>
        <w:rPr>
          <w:rFonts w:hint="eastAsia" w:ascii="仿宋" w:hAnsi="仿宋" w:eastAsia="仿宋" w:cs="仿宋"/>
          <w:bCs/>
          <w:szCs w:val="28"/>
          <w:highlight w:val="none"/>
        </w:rPr>
        <w:t>.</w:t>
      </w:r>
      <w:r>
        <w:rPr>
          <w:rFonts w:hint="eastAsia" w:ascii="仿宋" w:hAnsi="仿宋" w:eastAsia="仿宋" w:cs="仿宋"/>
          <w:bCs/>
          <w:szCs w:val="28"/>
          <w:highlight w:val="none"/>
          <w:lang w:val="en-US" w:eastAsia="zh-CN"/>
        </w:rPr>
        <w:t xml:space="preserve"> </w:t>
      </w:r>
      <w:r>
        <w:rPr>
          <w:rFonts w:hint="eastAsia" w:ascii="仿宋" w:hAnsi="仿宋" w:eastAsia="仿宋" w:cs="仿宋"/>
          <w:bCs/>
          <w:szCs w:val="28"/>
          <w:highlight w:val="none"/>
        </w:rPr>
        <w:t>约定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克服的。</w:t>
      </w:r>
    </w:p>
    <w:p w14:paraId="0589F326">
      <w:pPr>
        <w:snapToGrid w:val="0"/>
        <w:spacing w:line="500" w:lineRule="exact"/>
        <w:outlineLvl w:val="0"/>
        <w:rPr>
          <w:rFonts w:ascii="仿宋" w:hAnsi="仿宋" w:eastAsia="仿宋" w:cs="仿宋"/>
          <w:b/>
          <w:szCs w:val="28"/>
          <w:highlight w:val="none"/>
        </w:rPr>
      </w:pPr>
      <w:r>
        <w:rPr>
          <w:rFonts w:hint="eastAsia" w:ascii="仿宋" w:hAnsi="仿宋" w:eastAsia="仿宋" w:cs="仿宋"/>
          <w:bCs/>
          <w:szCs w:val="28"/>
          <w:highlight w:val="none"/>
        </w:rPr>
        <w:t xml:space="preserve">    </w:t>
      </w:r>
      <w:r>
        <w:rPr>
          <w:rFonts w:ascii="仿宋" w:hAnsi="仿宋" w:eastAsia="仿宋" w:cs="仿宋"/>
          <w:bCs/>
          <w:szCs w:val="28"/>
          <w:highlight w:val="none"/>
        </w:rPr>
        <w:t xml:space="preserve">2. </w:t>
      </w:r>
      <w:r>
        <w:rPr>
          <w:rFonts w:hint="eastAsia" w:ascii="仿宋" w:hAnsi="仿宋" w:eastAsia="仿宋" w:cs="仿宋"/>
          <w:bCs/>
          <w:szCs w:val="28"/>
          <w:highlight w:val="none"/>
        </w:rPr>
        <w:t>受阻一方应在不可抗力发生后尽快用电话、传真等通知对方，并于事故发生后</w:t>
      </w:r>
      <w:r>
        <w:rPr>
          <w:rFonts w:ascii="仿宋" w:hAnsi="仿宋" w:eastAsia="仿宋" w:cs="仿宋"/>
          <w:bCs/>
          <w:szCs w:val="28"/>
          <w:highlight w:val="none"/>
          <w:u w:val="single"/>
        </w:rPr>
        <w:t>14</w:t>
      </w:r>
      <w:r>
        <w:rPr>
          <w:rFonts w:hint="eastAsia" w:ascii="仿宋" w:hAnsi="仿宋" w:eastAsia="仿宋" w:cs="仿宋"/>
          <w:bCs/>
          <w:szCs w:val="28"/>
          <w:highlight w:val="none"/>
        </w:rPr>
        <w:t>天内将有关当局出具的证明文件用特快专递或挂号信寄对方审阅确认。一旦不可抗力事故的影响持续</w:t>
      </w:r>
      <w:r>
        <w:rPr>
          <w:rFonts w:ascii="仿宋" w:hAnsi="仿宋" w:eastAsia="仿宋" w:cs="仿宋"/>
          <w:bCs/>
          <w:szCs w:val="28"/>
          <w:highlight w:val="none"/>
          <w:u w:val="single"/>
        </w:rPr>
        <w:t>120</w:t>
      </w:r>
      <w:r>
        <w:rPr>
          <w:rFonts w:hint="eastAsia" w:ascii="仿宋" w:hAnsi="仿宋" w:eastAsia="仿宋" w:cs="仿宋"/>
          <w:bCs/>
          <w:szCs w:val="28"/>
          <w:highlight w:val="none"/>
        </w:rPr>
        <w:t>天以上，双方应通过友好协商在合理的时间内达成进一步履行合同的协议；</w:t>
      </w:r>
    </w:p>
    <w:p w14:paraId="15E38354">
      <w:pPr>
        <w:spacing w:line="500" w:lineRule="exact"/>
        <w:outlineLvl w:val="0"/>
        <w:rPr>
          <w:rFonts w:ascii="仿宋" w:hAnsi="仿宋" w:eastAsia="仿宋" w:cs="仿宋"/>
          <w:szCs w:val="28"/>
          <w:highlight w:val="none"/>
        </w:rPr>
      </w:pPr>
      <w:r>
        <w:rPr>
          <w:rFonts w:hint="eastAsia" w:ascii="仿宋" w:hAnsi="仿宋" w:eastAsia="仿宋" w:cs="仿宋"/>
          <w:b/>
          <w:szCs w:val="28"/>
          <w:highlight w:val="none"/>
        </w:rPr>
        <w:t>第</w:t>
      </w:r>
      <w:r>
        <w:rPr>
          <w:rFonts w:ascii="仿宋" w:hAnsi="仿宋" w:eastAsia="仿宋" w:cs="仿宋"/>
          <w:b/>
          <w:szCs w:val="28"/>
          <w:highlight w:val="none"/>
        </w:rPr>
        <w:t>十</w:t>
      </w:r>
      <w:r>
        <w:rPr>
          <w:rFonts w:hint="eastAsia" w:ascii="仿宋" w:hAnsi="仿宋" w:eastAsia="仿宋" w:cs="仿宋"/>
          <w:b/>
          <w:szCs w:val="28"/>
          <w:highlight w:val="none"/>
        </w:rPr>
        <w:t>条、违约责任及索赔</w:t>
      </w:r>
    </w:p>
    <w:p w14:paraId="47D2B391">
      <w:pPr>
        <w:numPr>
          <w:ilvl w:val="0"/>
          <w:numId w:val="2"/>
        </w:numPr>
        <w:spacing w:line="500" w:lineRule="exact"/>
        <w:rPr>
          <w:rFonts w:ascii="仿宋" w:hAnsi="仿宋" w:eastAsia="仿宋" w:cs="仿宋"/>
          <w:szCs w:val="28"/>
          <w:highlight w:val="none"/>
        </w:rPr>
      </w:pPr>
      <w:r>
        <w:rPr>
          <w:rFonts w:hint="eastAsia" w:ascii="仿宋" w:hAnsi="仿宋" w:eastAsia="仿宋" w:cs="仿宋"/>
          <w:szCs w:val="28"/>
          <w:highlight w:val="none"/>
        </w:rPr>
        <w:t>供货方责任：</w:t>
      </w:r>
    </w:p>
    <w:p w14:paraId="55ABDEE5">
      <w:pPr>
        <w:snapToGrid w:val="0"/>
        <w:spacing w:line="500" w:lineRule="exact"/>
        <w:ind w:firstLine="480" w:firstLineChars="200"/>
        <w:rPr>
          <w:rFonts w:ascii="仿宋" w:hAnsi="仿宋" w:eastAsia="仿宋" w:cs="仿宋"/>
          <w:szCs w:val="28"/>
          <w:highlight w:val="none"/>
        </w:rPr>
      </w:pPr>
      <w:r>
        <w:rPr>
          <w:rFonts w:ascii="仿宋" w:hAnsi="仿宋" w:eastAsia="仿宋" w:cs="仿宋"/>
          <w:bCs/>
          <w:szCs w:val="28"/>
          <w:highlight w:val="none"/>
        </w:rPr>
        <w:t>a</w:t>
      </w:r>
      <w:r>
        <w:rPr>
          <w:rFonts w:hint="eastAsia" w:ascii="仿宋" w:hAnsi="仿宋" w:eastAsia="仿宋" w:cs="仿宋"/>
          <w:bCs/>
          <w:szCs w:val="28"/>
          <w:highlight w:val="none"/>
        </w:rPr>
        <w:t>、如供方迟延将安装、调试完成、验收合格的“设备”交付需方正常使用或未按需方要求的时间到达现场进行维修，供方每天应向需方支付本合同总金额</w:t>
      </w:r>
      <w:r>
        <w:rPr>
          <w:rFonts w:ascii="仿宋" w:hAnsi="仿宋" w:eastAsia="仿宋" w:cs="仿宋"/>
          <w:bCs/>
          <w:szCs w:val="28"/>
          <w:highlight w:val="none"/>
          <w:u w:val="single"/>
        </w:rPr>
        <w:t>1%</w:t>
      </w:r>
      <w:r>
        <w:rPr>
          <w:rFonts w:hint="eastAsia" w:ascii="仿宋" w:hAnsi="仿宋" w:eastAsia="仿宋" w:cs="仿宋"/>
          <w:bCs/>
          <w:szCs w:val="28"/>
          <w:highlight w:val="none"/>
        </w:rPr>
        <w:t>的违约金并赔偿需方及第三方由此遭受的实际损失</w:t>
      </w:r>
      <w:r>
        <w:rPr>
          <w:rFonts w:ascii="仿宋" w:hAnsi="仿宋" w:eastAsia="仿宋" w:cs="仿宋"/>
          <w:bCs/>
          <w:szCs w:val="28"/>
          <w:highlight w:val="none"/>
        </w:rPr>
        <w:t>，逾期超过十五日的，甲方有权单方解除合同且不承担责任</w:t>
      </w:r>
      <w:r>
        <w:rPr>
          <w:rFonts w:hint="eastAsia" w:ascii="仿宋" w:hAnsi="仿宋" w:eastAsia="仿宋" w:cs="仿宋"/>
          <w:bCs/>
          <w:szCs w:val="28"/>
          <w:highlight w:val="none"/>
        </w:rPr>
        <w:t>。</w:t>
      </w:r>
      <w:r>
        <w:rPr>
          <w:rFonts w:ascii="仿宋" w:hAnsi="仿宋" w:eastAsia="仿宋" w:cs="仿宋"/>
          <w:bCs/>
          <w:szCs w:val="28"/>
          <w:highlight w:val="none"/>
        </w:rPr>
        <w:br w:type="textWrapping"/>
      </w:r>
      <w:r>
        <w:rPr>
          <w:rFonts w:hint="eastAsia" w:ascii="仿宋" w:hAnsi="仿宋" w:eastAsia="仿宋" w:cs="仿宋"/>
          <w:bCs/>
          <w:szCs w:val="28"/>
          <w:highlight w:val="none"/>
        </w:rPr>
        <w:t xml:space="preserve">    </w:t>
      </w:r>
      <w:r>
        <w:rPr>
          <w:rFonts w:ascii="仿宋" w:hAnsi="仿宋" w:eastAsia="仿宋" w:cs="仿宋"/>
          <w:bCs/>
          <w:szCs w:val="28"/>
          <w:highlight w:val="none"/>
        </w:rPr>
        <w:t>b</w:t>
      </w:r>
      <w:r>
        <w:rPr>
          <w:rFonts w:hint="eastAsia" w:ascii="仿宋" w:hAnsi="仿宋" w:eastAsia="仿宋" w:cs="仿宋"/>
          <w:bCs/>
          <w:szCs w:val="28"/>
          <w:highlight w:val="none"/>
        </w:rPr>
        <w:t>、供方所交设备的品种、型号、规格、质量等不符合本合同的约定的，如系供方自行发现并提出的，由供货方负责更换，并承担因调换或退货等支付的费用；如系需方发现并提出的，则按假冒伪劣产品处理，假一赔十，即供方按合同总金额的十倍赔偿需方损失；</w:t>
      </w:r>
      <w:r>
        <w:rPr>
          <w:rFonts w:hint="eastAsia" w:ascii="仿宋" w:hAnsi="仿宋" w:eastAsia="仿宋" w:cs="仿宋"/>
          <w:szCs w:val="28"/>
          <w:highlight w:val="none"/>
        </w:rPr>
        <w:t>本合同约定的各节点期限不予延长</w:t>
      </w:r>
      <w:r>
        <w:rPr>
          <w:rFonts w:hint="eastAsia" w:ascii="仿宋" w:hAnsi="仿宋" w:eastAsia="仿宋" w:cs="仿宋"/>
          <w:bCs/>
          <w:szCs w:val="28"/>
          <w:highlight w:val="none"/>
        </w:rPr>
        <w:t>。</w:t>
      </w:r>
      <w:r>
        <w:rPr>
          <w:rFonts w:ascii="仿宋" w:hAnsi="仿宋" w:eastAsia="仿宋" w:cs="仿宋"/>
          <w:szCs w:val="28"/>
          <w:highlight w:val="none"/>
        </w:rPr>
        <w:br w:type="textWrapping"/>
      </w:r>
      <w:r>
        <w:rPr>
          <w:rFonts w:ascii="仿宋" w:hAnsi="仿宋" w:eastAsia="仿宋" w:cs="仿宋"/>
          <w:szCs w:val="28"/>
          <w:highlight w:val="none"/>
        </w:rPr>
        <w:t>c</w:t>
      </w:r>
      <w:r>
        <w:rPr>
          <w:rFonts w:hint="eastAsia" w:ascii="仿宋" w:hAnsi="仿宋" w:eastAsia="仿宋" w:cs="仿宋"/>
          <w:szCs w:val="28"/>
          <w:highlight w:val="none"/>
        </w:rPr>
        <w:t>、供方在本合同签订之日起</w:t>
      </w:r>
      <w:r>
        <w:rPr>
          <w:rFonts w:ascii="仿宋" w:hAnsi="仿宋" w:eastAsia="仿宋" w:cs="仿宋"/>
          <w:szCs w:val="28"/>
          <w:highlight w:val="none"/>
          <w:u w:val="single"/>
        </w:rPr>
        <w:t>15</w:t>
      </w:r>
      <w:r>
        <w:rPr>
          <w:rFonts w:hint="eastAsia" w:ascii="仿宋" w:hAnsi="仿宋" w:eastAsia="仿宋" w:cs="仿宋"/>
          <w:szCs w:val="28"/>
          <w:highlight w:val="none"/>
        </w:rPr>
        <w:t>个工作日内不能供货，应向需方支付不能供货部分货款</w:t>
      </w:r>
      <w:r>
        <w:rPr>
          <w:rFonts w:ascii="仿宋" w:hAnsi="仿宋" w:eastAsia="仿宋" w:cs="仿宋"/>
          <w:szCs w:val="28"/>
          <w:highlight w:val="none"/>
          <w:u w:val="single"/>
        </w:rPr>
        <w:t>20%</w:t>
      </w:r>
      <w:r>
        <w:rPr>
          <w:rFonts w:hint="eastAsia" w:ascii="仿宋" w:hAnsi="仿宋" w:eastAsia="仿宋" w:cs="仿宋"/>
          <w:szCs w:val="28"/>
          <w:highlight w:val="none"/>
        </w:rPr>
        <w:t>的违约金并赔偿需方及第三方由此遭受的实际损失；</w:t>
      </w:r>
    </w:p>
    <w:p w14:paraId="7573F971">
      <w:pPr>
        <w:snapToGrid w:val="0"/>
        <w:spacing w:line="500" w:lineRule="exact"/>
        <w:ind w:firstLine="480" w:firstLineChars="200"/>
        <w:rPr>
          <w:rFonts w:ascii="仿宋" w:hAnsi="仿宋" w:eastAsia="仿宋" w:cs="仿宋"/>
          <w:szCs w:val="28"/>
          <w:highlight w:val="none"/>
        </w:rPr>
      </w:pPr>
      <w:r>
        <w:rPr>
          <w:rFonts w:hint="eastAsia" w:ascii="仿宋" w:hAnsi="仿宋" w:eastAsia="仿宋" w:cs="仿宋"/>
          <w:szCs w:val="28"/>
          <w:highlight w:val="none"/>
        </w:rPr>
        <w:t>d、本合同金额为包干价格，包含安全文明费用、税费等供方完成本合同项下义务所需的一切费用。供方在供货及安装、调试过程中若发生任何安全事件，均与需方无关，由供方承担一切赔偿责任。</w:t>
      </w:r>
    </w:p>
    <w:p w14:paraId="093604DE">
      <w:pPr>
        <w:tabs>
          <w:tab w:val="left" w:pos="540"/>
        </w:tabs>
        <w:spacing w:line="500" w:lineRule="exact"/>
        <w:ind w:left="560" w:hanging="480" w:hangingChars="200"/>
        <w:rPr>
          <w:rFonts w:ascii="仿宋" w:hAnsi="仿宋" w:eastAsia="仿宋" w:cs="仿宋"/>
          <w:szCs w:val="28"/>
          <w:highlight w:val="none"/>
        </w:rPr>
      </w:pPr>
      <w:r>
        <w:rPr>
          <w:rFonts w:hint="eastAsia" w:ascii="仿宋" w:hAnsi="仿宋" w:eastAsia="仿宋" w:cs="仿宋"/>
          <w:szCs w:val="28"/>
          <w:highlight w:val="none"/>
        </w:rPr>
        <w:t xml:space="preserve">    </w:t>
      </w:r>
      <w:r>
        <w:rPr>
          <w:rFonts w:ascii="仿宋" w:hAnsi="仿宋" w:eastAsia="仿宋" w:cs="仿宋"/>
          <w:szCs w:val="28"/>
          <w:highlight w:val="none"/>
        </w:rPr>
        <w:t xml:space="preserve">2. </w:t>
      </w:r>
      <w:r>
        <w:rPr>
          <w:rFonts w:hint="eastAsia" w:ascii="仿宋" w:hAnsi="仿宋" w:eastAsia="仿宋" w:cs="仿宋"/>
          <w:szCs w:val="28"/>
          <w:highlight w:val="none"/>
        </w:rPr>
        <w:t>需求方责任：</w:t>
      </w:r>
    </w:p>
    <w:p w14:paraId="675F5320">
      <w:pPr>
        <w:tabs>
          <w:tab w:val="left" w:pos="540"/>
        </w:tabs>
        <w:spacing w:line="500" w:lineRule="exact"/>
        <w:ind w:firstLine="480" w:firstLineChars="200"/>
        <w:jc w:val="left"/>
        <w:rPr>
          <w:rFonts w:ascii="仿宋" w:hAnsi="仿宋" w:eastAsia="仿宋" w:cs="仿宋"/>
          <w:szCs w:val="28"/>
          <w:highlight w:val="none"/>
        </w:rPr>
      </w:pPr>
      <w:r>
        <w:rPr>
          <w:rFonts w:ascii="仿宋" w:hAnsi="仿宋" w:eastAsia="仿宋" w:cs="仿宋"/>
          <w:szCs w:val="28"/>
          <w:highlight w:val="none"/>
        </w:rPr>
        <w:t>a</w:t>
      </w:r>
      <w:r>
        <w:rPr>
          <w:rFonts w:hint="eastAsia" w:ascii="仿宋" w:hAnsi="仿宋" w:eastAsia="仿宋" w:cs="仿宋"/>
          <w:szCs w:val="28"/>
          <w:highlight w:val="none"/>
        </w:rPr>
        <w:t>、如需方因自身原因中途退货，应向供货方偿付退货部分的运输费用及退货部分货款</w:t>
      </w:r>
      <w:r>
        <w:rPr>
          <w:rFonts w:ascii="仿宋" w:hAnsi="仿宋" w:eastAsia="仿宋" w:cs="仿宋"/>
          <w:szCs w:val="28"/>
          <w:highlight w:val="none"/>
          <w:u w:val="single"/>
        </w:rPr>
        <w:t>20%</w:t>
      </w:r>
      <w:r>
        <w:rPr>
          <w:rFonts w:hint="eastAsia" w:ascii="仿宋" w:hAnsi="仿宋" w:eastAsia="仿宋" w:cs="仿宋"/>
          <w:szCs w:val="28"/>
          <w:highlight w:val="none"/>
        </w:rPr>
        <w:t>的违约金并赔偿供方及第三方由此遭受的实际损失。</w:t>
      </w:r>
    </w:p>
    <w:p w14:paraId="557CDFBC">
      <w:pPr>
        <w:tabs>
          <w:tab w:val="left" w:pos="540"/>
        </w:tabs>
        <w:spacing w:line="500" w:lineRule="exact"/>
        <w:ind w:firstLine="480" w:firstLineChars="200"/>
        <w:rPr>
          <w:rFonts w:ascii="仿宋" w:hAnsi="仿宋" w:eastAsia="仿宋" w:cs="仿宋"/>
          <w:szCs w:val="28"/>
          <w:highlight w:val="none"/>
        </w:rPr>
      </w:pPr>
      <w:r>
        <w:rPr>
          <w:rFonts w:ascii="仿宋" w:hAnsi="仿宋" w:eastAsia="仿宋" w:cs="仿宋"/>
          <w:szCs w:val="28"/>
          <w:highlight w:val="none"/>
        </w:rPr>
        <w:t>b</w:t>
      </w:r>
      <w:r>
        <w:rPr>
          <w:rFonts w:hint="eastAsia" w:ascii="仿宋" w:hAnsi="仿宋" w:eastAsia="仿宋" w:cs="仿宋"/>
          <w:szCs w:val="28"/>
          <w:highlight w:val="none"/>
        </w:rPr>
        <w:t>、其它约定双方友好协商解决。</w:t>
      </w:r>
    </w:p>
    <w:p w14:paraId="6DAF0735">
      <w:pPr>
        <w:snapToGrid w:val="0"/>
        <w:spacing w:line="500" w:lineRule="exact"/>
        <w:ind w:firstLine="480" w:firstLineChars="200"/>
        <w:rPr>
          <w:rFonts w:hint="eastAsia" w:ascii="仿宋" w:hAnsi="仿宋" w:eastAsia="仿宋" w:cs="仿宋"/>
          <w:szCs w:val="28"/>
          <w:highlight w:val="none"/>
        </w:rPr>
      </w:pPr>
      <w:r>
        <w:rPr>
          <w:rFonts w:hint="eastAsia" w:ascii="仿宋" w:hAnsi="仿宋" w:eastAsia="仿宋" w:cs="仿宋"/>
          <w:szCs w:val="28"/>
          <w:highlight w:val="none"/>
        </w:rPr>
        <w:t>c、按合同约定及时验收货物。</w:t>
      </w:r>
    </w:p>
    <w:p w14:paraId="6A7C6CDD">
      <w:pPr>
        <w:snapToGrid w:val="0"/>
        <w:spacing w:line="500" w:lineRule="exact"/>
        <w:ind w:firstLine="570"/>
        <w:rPr>
          <w:rFonts w:ascii="仿宋" w:hAnsi="仿宋" w:eastAsia="仿宋" w:cs="仿宋"/>
          <w:szCs w:val="28"/>
          <w:highlight w:val="none"/>
        </w:rPr>
      </w:pPr>
      <w:r>
        <w:rPr>
          <w:rFonts w:ascii="仿宋" w:hAnsi="仿宋" w:eastAsia="仿宋" w:cs="仿宋"/>
          <w:szCs w:val="28"/>
          <w:highlight w:val="none"/>
        </w:rPr>
        <w:t>3</w:t>
      </w:r>
      <w:r>
        <w:rPr>
          <w:rFonts w:hint="eastAsia" w:ascii="仿宋" w:hAnsi="仿宋" w:eastAsia="仿宋" w:cs="仿宋"/>
          <w:szCs w:val="28"/>
          <w:highlight w:val="none"/>
        </w:rPr>
        <w:t>.合同履行过程中，任何一方违约，违约方除支付守约方违约金及赔偿全部损失外，还应向守约方支付为取得该赔偿而付出的合理费用，该费用包括但不限于诉讼费、律师费、仲裁费、差旅费等。</w:t>
      </w:r>
    </w:p>
    <w:p w14:paraId="6557DB16">
      <w:pPr>
        <w:pStyle w:val="5"/>
        <w:ind w:firstLine="570"/>
        <w:rPr>
          <w:rFonts w:hint="eastAsia" w:ascii="仿宋" w:hAnsi="仿宋" w:eastAsia="仿宋" w:cs="仿宋"/>
          <w:b w:val="0"/>
          <w:bCs w:val="0"/>
          <w:kern w:val="2"/>
          <w:sz w:val="28"/>
          <w:szCs w:val="28"/>
          <w:highlight w:val="none"/>
          <w:lang w:val="en-US" w:eastAsia="zh-CN" w:bidi="ar-SA"/>
        </w:rPr>
      </w:pPr>
      <w:r>
        <w:rPr>
          <w:b w:val="0"/>
          <w:bCs w:val="0"/>
          <w:sz w:val="24"/>
          <w:szCs w:val="24"/>
          <w:highlight w:val="none"/>
        </w:rPr>
        <w:t>4</w:t>
      </w:r>
      <w:r>
        <w:rPr>
          <w:rFonts w:hint="eastAsia"/>
          <w:b w:val="0"/>
          <w:bCs w:val="0"/>
          <w:sz w:val="24"/>
          <w:szCs w:val="24"/>
          <w:highlight w:val="none"/>
        </w:rPr>
        <w:t>、</w:t>
      </w:r>
      <w:r>
        <w:rPr>
          <w:rFonts w:hint="eastAsia" w:ascii="仿宋" w:hAnsi="仿宋" w:eastAsia="仿宋" w:cs="仿宋"/>
          <w:b w:val="0"/>
          <w:bCs w:val="0"/>
          <w:kern w:val="2"/>
          <w:sz w:val="28"/>
          <w:szCs w:val="28"/>
          <w:highlight w:val="none"/>
          <w:lang w:val="en-US" w:eastAsia="zh-CN" w:bidi="ar-SA"/>
        </w:rPr>
        <w:t>需方若不能按时付款给供方(正当拒付或协商一致除外),需以逾期金额为基数按一年期贷款市场报价利率计算违约金。</w:t>
      </w:r>
    </w:p>
    <w:p w14:paraId="73F5DF32">
      <w:pPr>
        <w:spacing w:line="500" w:lineRule="exact"/>
        <w:outlineLvl w:val="0"/>
        <w:rPr>
          <w:rFonts w:ascii="仿宋" w:hAnsi="仿宋" w:eastAsia="仿宋" w:cs="仿宋"/>
          <w:b/>
          <w:szCs w:val="28"/>
          <w:highlight w:val="none"/>
        </w:rPr>
      </w:pPr>
      <w:r>
        <w:rPr>
          <w:rFonts w:hint="eastAsia" w:ascii="仿宋" w:hAnsi="仿宋" w:eastAsia="仿宋" w:cs="仿宋"/>
          <w:b/>
          <w:szCs w:val="28"/>
          <w:highlight w:val="none"/>
        </w:rPr>
        <w:t>第十</w:t>
      </w:r>
      <w:r>
        <w:rPr>
          <w:rFonts w:ascii="仿宋" w:hAnsi="仿宋" w:eastAsia="仿宋" w:cs="仿宋"/>
          <w:b/>
          <w:szCs w:val="28"/>
          <w:highlight w:val="none"/>
        </w:rPr>
        <w:t>一</w:t>
      </w:r>
      <w:r>
        <w:rPr>
          <w:rFonts w:hint="eastAsia" w:ascii="仿宋" w:hAnsi="仿宋" w:eastAsia="仿宋" w:cs="仿宋"/>
          <w:b/>
          <w:szCs w:val="28"/>
          <w:highlight w:val="none"/>
        </w:rPr>
        <w:t>条、解决合同纠纷的方式</w:t>
      </w:r>
    </w:p>
    <w:p w14:paraId="189B7079">
      <w:pPr>
        <w:spacing w:line="500" w:lineRule="exact"/>
        <w:rPr>
          <w:rFonts w:ascii="仿宋" w:hAnsi="仿宋" w:eastAsia="仿宋" w:cs="仿宋"/>
          <w:szCs w:val="28"/>
          <w:highlight w:val="none"/>
        </w:rPr>
      </w:pPr>
      <w:r>
        <w:rPr>
          <w:rFonts w:hint="eastAsia" w:ascii="仿宋" w:hAnsi="仿宋" w:eastAsia="仿宋" w:cs="仿宋"/>
          <w:szCs w:val="28"/>
          <w:highlight w:val="none"/>
        </w:rPr>
        <w:t xml:space="preserve">    本合同如发生纠纷，供、需双方应及时协商解决，经协商在</w:t>
      </w:r>
      <w:r>
        <w:rPr>
          <w:rFonts w:ascii="仿宋" w:hAnsi="仿宋" w:eastAsia="仿宋" w:cs="仿宋"/>
          <w:szCs w:val="28"/>
          <w:highlight w:val="none"/>
        </w:rPr>
        <w:t>60</w:t>
      </w:r>
      <w:r>
        <w:rPr>
          <w:rFonts w:hint="eastAsia" w:ascii="仿宋" w:hAnsi="仿宋" w:eastAsia="仿宋" w:cs="仿宋"/>
          <w:szCs w:val="28"/>
          <w:highlight w:val="none"/>
        </w:rPr>
        <w:t>天内不能达成协议时，按下列方式</w:t>
      </w:r>
      <w:r>
        <w:rPr>
          <w:rFonts w:hint="eastAsia" w:ascii="仿宋" w:hAnsi="仿宋" w:eastAsia="仿宋" w:cs="仿宋"/>
          <w:szCs w:val="28"/>
          <w:highlight w:val="none"/>
          <w:u w:val="single"/>
        </w:rPr>
        <w:t>（2）</w:t>
      </w:r>
      <w:r>
        <w:rPr>
          <w:rFonts w:hint="eastAsia" w:ascii="仿宋" w:hAnsi="仿宋" w:eastAsia="仿宋" w:cs="仿宋"/>
          <w:szCs w:val="28"/>
          <w:highlight w:val="none"/>
        </w:rPr>
        <w:t>解决：</w:t>
      </w:r>
    </w:p>
    <w:p w14:paraId="42FDC8D8">
      <w:pPr>
        <w:spacing w:line="500" w:lineRule="exact"/>
        <w:rPr>
          <w:rFonts w:ascii="仿宋" w:hAnsi="仿宋" w:eastAsia="仿宋" w:cs="仿宋"/>
          <w:szCs w:val="28"/>
          <w:highlight w:val="none"/>
        </w:rPr>
      </w:pPr>
      <w:r>
        <w:rPr>
          <w:rFonts w:hint="eastAsia" w:ascii="仿宋" w:hAnsi="仿宋" w:eastAsia="仿宋" w:cs="仿宋"/>
          <w:szCs w:val="28"/>
          <w:highlight w:val="none"/>
        </w:rPr>
        <w:t xml:space="preserve">   （</w:t>
      </w:r>
      <w:r>
        <w:rPr>
          <w:rFonts w:ascii="仿宋" w:hAnsi="仿宋" w:eastAsia="仿宋" w:cs="仿宋"/>
          <w:szCs w:val="28"/>
          <w:highlight w:val="none"/>
        </w:rPr>
        <w:t>1</w:t>
      </w:r>
      <w:r>
        <w:rPr>
          <w:rFonts w:hint="eastAsia" w:ascii="仿宋" w:hAnsi="仿宋" w:eastAsia="仿宋" w:cs="仿宋"/>
          <w:szCs w:val="28"/>
          <w:highlight w:val="none"/>
        </w:rPr>
        <w:t>）由重庆仲裁委员会（建设工程仲裁院</w:t>
      </w:r>
      <w:r>
        <w:rPr>
          <w:rFonts w:ascii="仿宋" w:hAnsi="仿宋" w:eastAsia="仿宋" w:cs="仿宋"/>
          <w:szCs w:val="28"/>
          <w:highlight w:val="none"/>
        </w:rPr>
        <w:t>)</w:t>
      </w:r>
      <w:r>
        <w:rPr>
          <w:rFonts w:hint="eastAsia" w:ascii="仿宋" w:hAnsi="仿宋" w:eastAsia="仿宋" w:cs="仿宋"/>
          <w:szCs w:val="28"/>
          <w:highlight w:val="none"/>
        </w:rPr>
        <w:t>仲裁解决；</w:t>
      </w:r>
    </w:p>
    <w:p w14:paraId="502231B3">
      <w:pPr>
        <w:spacing w:line="500" w:lineRule="exact"/>
        <w:rPr>
          <w:rFonts w:ascii="仿宋" w:hAnsi="仿宋" w:eastAsia="仿宋" w:cs="仿宋"/>
          <w:szCs w:val="28"/>
          <w:highlight w:val="none"/>
        </w:rPr>
      </w:pPr>
      <w:r>
        <w:rPr>
          <w:rFonts w:hint="eastAsia" w:ascii="仿宋" w:hAnsi="仿宋" w:eastAsia="仿宋" w:cs="仿宋"/>
          <w:szCs w:val="28"/>
          <w:highlight w:val="none"/>
        </w:rPr>
        <w:t xml:space="preserve">   （</w:t>
      </w:r>
      <w:r>
        <w:rPr>
          <w:rFonts w:ascii="仿宋" w:hAnsi="仿宋" w:eastAsia="仿宋" w:cs="仿宋"/>
          <w:szCs w:val="28"/>
          <w:highlight w:val="none"/>
        </w:rPr>
        <w:t>2</w:t>
      </w:r>
      <w:r>
        <w:rPr>
          <w:rFonts w:hint="eastAsia" w:ascii="仿宋" w:hAnsi="仿宋" w:eastAsia="仿宋" w:cs="仿宋"/>
          <w:szCs w:val="28"/>
          <w:highlight w:val="none"/>
        </w:rPr>
        <w:t>）依法向</w:t>
      </w:r>
      <w:r>
        <w:rPr>
          <w:rFonts w:hint="eastAsia" w:ascii="仿宋" w:hAnsi="仿宋" w:eastAsia="仿宋" w:cs="仿宋"/>
          <w:szCs w:val="28"/>
          <w:highlight w:val="none"/>
          <w:lang w:val="en-US" w:eastAsia="zh-CN"/>
        </w:rPr>
        <w:t>甲方所在地</w:t>
      </w:r>
      <w:r>
        <w:rPr>
          <w:rFonts w:hint="eastAsia" w:ascii="仿宋" w:hAnsi="仿宋" w:eastAsia="仿宋" w:cs="仿宋"/>
          <w:szCs w:val="28"/>
          <w:highlight w:val="none"/>
        </w:rPr>
        <w:t>人民法院起诉；</w:t>
      </w:r>
    </w:p>
    <w:p w14:paraId="59F0008D">
      <w:pPr>
        <w:spacing w:line="500" w:lineRule="exact"/>
        <w:outlineLvl w:val="0"/>
        <w:rPr>
          <w:rFonts w:ascii="仿宋" w:hAnsi="仿宋" w:eastAsia="仿宋" w:cs="仿宋"/>
          <w:b/>
          <w:szCs w:val="28"/>
          <w:highlight w:val="none"/>
        </w:rPr>
      </w:pPr>
      <w:r>
        <w:rPr>
          <w:rFonts w:hint="eastAsia" w:ascii="仿宋" w:hAnsi="仿宋" w:eastAsia="仿宋" w:cs="仿宋"/>
          <w:b/>
          <w:szCs w:val="28"/>
          <w:highlight w:val="none"/>
        </w:rPr>
        <w:t>第十</w:t>
      </w:r>
      <w:r>
        <w:rPr>
          <w:rFonts w:ascii="仿宋" w:hAnsi="仿宋" w:eastAsia="仿宋" w:cs="仿宋"/>
          <w:b/>
          <w:szCs w:val="28"/>
          <w:highlight w:val="none"/>
        </w:rPr>
        <w:t>二</w:t>
      </w:r>
      <w:r>
        <w:rPr>
          <w:rFonts w:hint="eastAsia" w:ascii="仿宋" w:hAnsi="仿宋" w:eastAsia="仿宋" w:cs="仿宋"/>
          <w:b/>
          <w:szCs w:val="28"/>
          <w:highlight w:val="none"/>
        </w:rPr>
        <w:t>条、合同的组成及修订</w:t>
      </w:r>
    </w:p>
    <w:p w14:paraId="5E0427D1">
      <w:pPr>
        <w:spacing w:line="500" w:lineRule="exact"/>
        <w:outlineLvl w:val="0"/>
        <w:rPr>
          <w:rFonts w:ascii="仿宋" w:hAnsi="仿宋" w:eastAsia="仿宋" w:cs="仿宋"/>
          <w:bCs/>
          <w:szCs w:val="28"/>
          <w:highlight w:val="none"/>
        </w:rPr>
      </w:pPr>
      <w:r>
        <w:rPr>
          <w:rFonts w:hint="eastAsia" w:ascii="仿宋" w:hAnsi="仿宋" w:eastAsia="仿宋" w:cs="仿宋"/>
          <w:bCs/>
          <w:szCs w:val="28"/>
          <w:highlight w:val="none"/>
        </w:rPr>
        <w:t xml:space="preserve">    </w:t>
      </w:r>
      <w:r>
        <w:rPr>
          <w:rFonts w:ascii="仿宋" w:hAnsi="仿宋" w:eastAsia="仿宋" w:cs="仿宋"/>
          <w:bCs/>
          <w:szCs w:val="28"/>
          <w:highlight w:val="none"/>
        </w:rPr>
        <w:t>1</w:t>
      </w:r>
      <w:r>
        <w:rPr>
          <w:rFonts w:hint="eastAsia" w:ascii="仿宋" w:hAnsi="仿宋" w:eastAsia="仿宋" w:cs="仿宋"/>
          <w:bCs/>
          <w:szCs w:val="28"/>
          <w:highlight w:val="none"/>
        </w:rPr>
        <w:t>、组成合同的文件及优先解释顺序如下：</w:t>
      </w:r>
    </w:p>
    <w:p w14:paraId="09BD9AA3">
      <w:pPr>
        <w:spacing w:line="500" w:lineRule="exact"/>
        <w:outlineLvl w:val="0"/>
        <w:rPr>
          <w:rFonts w:ascii="仿宋" w:hAnsi="仿宋" w:eastAsia="仿宋" w:cs="仿宋"/>
          <w:bCs/>
          <w:szCs w:val="28"/>
          <w:highlight w:val="none"/>
        </w:rPr>
      </w:pPr>
      <w:r>
        <w:rPr>
          <w:rFonts w:ascii="仿宋" w:hAnsi="仿宋" w:eastAsia="仿宋" w:cs="仿宋"/>
          <w:bCs/>
          <w:szCs w:val="28"/>
          <w:highlight w:val="none"/>
        </w:rPr>
        <w:t xml:space="preserve"> </w:t>
      </w:r>
      <w:r>
        <w:rPr>
          <w:rFonts w:hint="eastAsia" w:ascii="仿宋" w:hAnsi="仿宋" w:eastAsia="仿宋" w:cs="仿宋"/>
          <w:bCs/>
          <w:szCs w:val="28"/>
          <w:highlight w:val="none"/>
        </w:rPr>
        <w:t xml:space="preserve">     </w:t>
      </w:r>
      <w:r>
        <w:rPr>
          <w:rFonts w:ascii="仿宋" w:hAnsi="仿宋" w:eastAsia="仿宋" w:cs="仿宋"/>
          <w:bCs/>
          <w:szCs w:val="28"/>
          <w:highlight w:val="none"/>
        </w:rPr>
        <w:t>a.</w:t>
      </w:r>
      <w:r>
        <w:rPr>
          <w:rFonts w:hint="eastAsia" w:ascii="仿宋" w:hAnsi="仿宋" w:eastAsia="仿宋" w:cs="仿宋"/>
          <w:bCs/>
          <w:szCs w:val="28"/>
          <w:highlight w:val="none"/>
        </w:rPr>
        <w:t>本合同；</w:t>
      </w:r>
    </w:p>
    <w:p w14:paraId="585A80E7">
      <w:pPr>
        <w:spacing w:line="500" w:lineRule="exact"/>
        <w:ind w:firstLine="240" w:firstLineChars="100"/>
        <w:outlineLvl w:val="0"/>
        <w:rPr>
          <w:rFonts w:ascii="仿宋" w:hAnsi="仿宋" w:eastAsia="仿宋" w:cs="仿宋"/>
          <w:b/>
          <w:szCs w:val="28"/>
          <w:highlight w:val="none"/>
        </w:rPr>
      </w:pPr>
      <w:r>
        <w:rPr>
          <w:rFonts w:hint="eastAsia" w:ascii="仿宋" w:hAnsi="仿宋" w:eastAsia="仿宋" w:cs="仿宋"/>
          <w:szCs w:val="28"/>
          <w:highlight w:val="none"/>
        </w:rPr>
        <w:t xml:space="preserve">  </w:t>
      </w:r>
      <w:r>
        <w:rPr>
          <w:rFonts w:ascii="仿宋" w:hAnsi="仿宋" w:eastAsia="仿宋" w:cs="仿宋"/>
          <w:szCs w:val="28"/>
          <w:highlight w:val="none"/>
        </w:rPr>
        <w:t>2</w:t>
      </w:r>
      <w:r>
        <w:rPr>
          <w:rFonts w:hint="eastAsia" w:ascii="仿宋" w:hAnsi="仿宋" w:eastAsia="仿宋" w:cs="仿宋"/>
          <w:szCs w:val="28"/>
          <w:highlight w:val="none"/>
        </w:rPr>
        <w:t>、对本合同条款做出的任何改动，均须由双方签署书面的合同修改书；</w:t>
      </w:r>
    </w:p>
    <w:p w14:paraId="4162E1AC">
      <w:pPr>
        <w:spacing w:line="500" w:lineRule="exact"/>
        <w:outlineLvl w:val="0"/>
        <w:rPr>
          <w:rFonts w:ascii="仿宋" w:hAnsi="仿宋" w:eastAsia="仿宋" w:cs="仿宋"/>
          <w:b/>
          <w:szCs w:val="28"/>
          <w:highlight w:val="none"/>
        </w:rPr>
      </w:pPr>
      <w:r>
        <w:rPr>
          <w:rFonts w:hint="eastAsia" w:ascii="仿宋" w:hAnsi="仿宋" w:eastAsia="仿宋" w:cs="仿宋"/>
          <w:b/>
          <w:szCs w:val="28"/>
          <w:highlight w:val="none"/>
        </w:rPr>
        <w:t>第十</w:t>
      </w:r>
      <w:r>
        <w:rPr>
          <w:rFonts w:ascii="仿宋" w:hAnsi="仿宋" w:eastAsia="仿宋" w:cs="仿宋"/>
          <w:b/>
          <w:szCs w:val="28"/>
          <w:highlight w:val="none"/>
        </w:rPr>
        <w:t>三</w:t>
      </w:r>
      <w:r>
        <w:rPr>
          <w:rFonts w:hint="eastAsia" w:ascii="仿宋" w:hAnsi="仿宋" w:eastAsia="仿宋" w:cs="仿宋"/>
          <w:b/>
          <w:szCs w:val="28"/>
          <w:highlight w:val="none"/>
        </w:rPr>
        <w:t>条、合同执行</w:t>
      </w:r>
    </w:p>
    <w:p w14:paraId="07790362">
      <w:pPr>
        <w:tabs>
          <w:tab w:val="left" w:pos="360"/>
          <w:tab w:val="left" w:pos="840"/>
        </w:tabs>
        <w:spacing w:line="500" w:lineRule="exact"/>
        <w:ind w:left="420"/>
        <w:rPr>
          <w:rFonts w:ascii="仿宋" w:hAnsi="仿宋" w:eastAsia="仿宋" w:cs="仿宋"/>
          <w:szCs w:val="28"/>
          <w:highlight w:val="none"/>
        </w:rPr>
      </w:pPr>
      <w:r>
        <w:rPr>
          <w:rFonts w:hint="eastAsia" w:ascii="仿宋" w:hAnsi="仿宋" w:eastAsia="仿宋" w:cs="仿宋"/>
          <w:szCs w:val="28"/>
          <w:highlight w:val="none"/>
        </w:rPr>
        <w:t xml:space="preserve"> 1.合同附件具有与合同具有同等的法律效力。</w:t>
      </w:r>
    </w:p>
    <w:p w14:paraId="2F8781EC">
      <w:pPr>
        <w:tabs>
          <w:tab w:val="left" w:pos="0"/>
          <w:tab w:val="left" w:pos="840"/>
        </w:tabs>
        <w:spacing w:line="500" w:lineRule="exact"/>
        <w:ind w:firstLine="360" w:firstLineChars="150"/>
        <w:rPr>
          <w:rFonts w:ascii="仿宋" w:hAnsi="仿宋" w:eastAsia="仿宋" w:cs="仿宋"/>
          <w:szCs w:val="28"/>
          <w:highlight w:val="none"/>
        </w:rPr>
      </w:pPr>
      <w:r>
        <w:rPr>
          <w:rFonts w:hint="eastAsia" w:ascii="仿宋" w:hAnsi="仿宋" w:eastAsia="仿宋" w:cs="仿宋"/>
          <w:szCs w:val="28"/>
          <w:highlight w:val="none"/>
        </w:rPr>
        <w:t xml:space="preserve"> 2.</w:t>
      </w:r>
      <w:r>
        <w:rPr>
          <w:rFonts w:hint="eastAsia" w:ascii="仿宋" w:hAnsi="仿宋" w:eastAsia="仿宋" w:cs="仿宋"/>
          <w:szCs w:val="28"/>
          <w:highlight w:val="none"/>
          <w:shd w:val="clear" w:color="auto" w:fill="FFFFFF"/>
        </w:rPr>
        <w:t>如供方供货过程中出现重大安全事故，或引起重大投诉，则需方有权单方面终止本合同，另行确定第三方为设备的供方，所有损失由供方承担。</w:t>
      </w:r>
    </w:p>
    <w:p w14:paraId="028CD23E">
      <w:pPr>
        <w:tabs>
          <w:tab w:val="left" w:pos="0"/>
          <w:tab w:val="left" w:pos="840"/>
        </w:tabs>
        <w:spacing w:line="500" w:lineRule="exact"/>
        <w:ind w:firstLine="360" w:firstLineChars="150"/>
        <w:rPr>
          <w:rFonts w:ascii="仿宋" w:hAnsi="仿宋" w:eastAsia="仿宋" w:cs="仿宋"/>
          <w:szCs w:val="28"/>
          <w:highlight w:val="none"/>
        </w:rPr>
      </w:pPr>
      <w:r>
        <w:rPr>
          <w:rFonts w:hint="eastAsia" w:ascii="仿宋" w:hAnsi="仿宋" w:eastAsia="仿宋" w:cs="仿宋"/>
          <w:szCs w:val="28"/>
          <w:highlight w:val="none"/>
        </w:rPr>
        <w:t xml:space="preserve"> 3.</w:t>
      </w:r>
      <w:r>
        <w:rPr>
          <w:rFonts w:hint="eastAsia" w:ascii="仿宋" w:hAnsi="仿宋" w:eastAsia="仿宋" w:cs="仿宋"/>
          <w:szCs w:val="28"/>
          <w:highlight w:val="none"/>
          <w:shd w:val="clear" w:color="auto" w:fill="FFFFFF"/>
        </w:rPr>
        <w:t>本合同任何一方在符合法律和本合同约定条件下提出终止合同的要求，必须以书面方式通知对方，在合同终止前双方仍应履行本合同规定的各项义务，否则，须承担相应的违约责任。</w:t>
      </w:r>
    </w:p>
    <w:p w14:paraId="7E7F1B43">
      <w:pPr>
        <w:tabs>
          <w:tab w:val="left" w:pos="0"/>
        </w:tabs>
        <w:spacing w:line="500" w:lineRule="exact"/>
        <w:ind w:firstLine="360" w:firstLineChars="150"/>
        <w:rPr>
          <w:rFonts w:ascii="仿宋" w:hAnsi="仿宋" w:eastAsia="仿宋" w:cs="仿宋"/>
          <w:szCs w:val="28"/>
          <w:highlight w:val="none"/>
        </w:rPr>
      </w:pPr>
      <w:r>
        <w:rPr>
          <w:rFonts w:hint="eastAsia" w:ascii="仿宋" w:hAnsi="仿宋" w:eastAsia="仿宋" w:cs="仿宋"/>
          <w:szCs w:val="28"/>
          <w:highlight w:val="none"/>
        </w:rPr>
        <w:t xml:space="preserve"> 4.本合同一式</w:t>
      </w:r>
      <w:r>
        <w:rPr>
          <w:rFonts w:hint="eastAsia" w:ascii="仿宋" w:hAnsi="仿宋" w:eastAsia="仿宋" w:cs="仿宋"/>
          <w:szCs w:val="28"/>
          <w:highlight w:val="none"/>
          <w:u w:val="single"/>
          <w:lang w:val="en-US" w:eastAsia="zh-CN"/>
        </w:rPr>
        <w:t>贰</w:t>
      </w:r>
      <w:r>
        <w:rPr>
          <w:rFonts w:hint="eastAsia" w:ascii="仿宋" w:hAnsi="仿宋" w:eastAsia="仿宋" w:cs="仿宋"/>
          <w:szCs w:val="28"/>
          <w:highlight w:val="none"/>
        </w:rPr>
        <w:t>份，需方</w:t>
      </w:r>
      <w:r>
        <w:rPr>
          <w:rFonts w:hint="eastAsia" w:ascii="仿宋" w:hAnsi="仿宋" w:eastAsia="仿宋" w:cs="仿宋"/>
          <w:szCs w:val="28"/>
          <w:highlight w:val="none"/>
          <w:u w:val="single"/>
          <w:lang w:val="en-US" w:eastAsia="zh-CN"/>
        </w:rPr>
        <w:t>壹</w:t>
      </w:r>
      <w:r>
        <w:rPr>
          <w:rFonts w:hint="eastAsia" w:ascii="仿宋" w:hAnsi="仿宋" w:eastAsia="仿宋" w:cs="仿宋"/>
          <w:szCs w:val="28"/>
          <w:highlight w:val="none"/>
        </w:rPr>
        <w:t>份，供方</w:t>
      </w:r>
      <w:r>
        <w:rPr>
          <w:rFonts w:hint="eastAsia" w:ascii="仿宋" w:hAnsi="仿宋" w:eastAsia="仿宋" w:cs="仿宋"/>
          <w:szCs w:val="28"/>
          <w:highlight w:val="none"/>
          <w:u w:val="single"/>
          <w:lang w:val="en-US" w:eastAsia="zh-CN"/>
        </w:rPr>
        <w:t>壹</w:t>
      </w:r>
      <w:r>
        <w:rPr>
          <w:rFonts w:hint="eastAsia" w:ascii="仿宋" w:hAnsi="仿宋" w:eastAsia="仿宋" w:cs="仿宋"/>
          <w:szCs w:val="28"/>
          <w:highlight w:val="none"/>
        </w:rPr>
        <w:t>份。本合同经双方法定代表人或授权代表签字并加盖公章方可生效，每份具有同等法律效力。</w:t>
      </w:r>
    </w:p>
    <w:p w14:paraId="2A1659F0">
      <w:pPr>
        <w:tabs>
          <w:tab w:val="left" w:pos="360"/>
        </w:tabs>
        <w:spacing w:line="500" w:lineRule="exact"/>
        <w:ind w:left="420"/>
        <w:rPr>
          <w:rFonts w:ascii="仿宋" w:hAnsi="仿宋" w:eastAsia="仿宋" w:cs="仿宋"/>
          <w:szCs w:val="28"/>
          <w:highlight w:val="none"/>
        </w:rPr>
      </w:pPr>
      <w:r>
        <w:rPr>
          <w:rFonts w:hint="eastAsia" w:ascii="仿宋" w:hAnsi="仿宋" w:eastAsia="仿宋" w:cs="仿宋"/>
          <w:szCs w:val="28"/>
          <w:highlight w:val="none"/>
        </w:rPr>
        <w:t xml:space="preserve"> 5.合同未尽事宜，由双方友好协商解决。</w:t>
      </w:r>
    </w:p>
    <w:p w14:paraId="54680495">
      <w:pPr>
        <w:spacing w:line="500" w:lineRule="exact"/>
        <w:outlineLvl w:val="0"/>
        <w:rPr>
          <w:rFonts w:ascii="仿宋" w:hAnsi="仿宋" w:eastAsia="仿宋" w:cs="仿宋"/>
          <w:b/>
          <w:szCs w:val="28"/>
          <w:highlight w:val="none"/>
        </w:rPr>
      </w:pPr>
      <w:r>
        <w:rPr>
          <w:rFonts w:hint="eastAsia" w:ascii="仿宋" w:hAnsi="仿宋" w:eastAsia="仿宋" w:cs="仿宋"/>
          <w:b/>
          <w:szCs w:val="28"/>
          <w:highlight w:val="none"/>
        </w:rPr>
        <w:t>第十</w:t>
      </w:r>
      <w:r>
        <w:rPr>
          <w:rFonts w:ascii="仿宋" w:hAnsi="仿宋" w:eastAsia="仿宋" w:cs="仿宋"/>
          <w:b/>
          <w:szCs w:val="28"/>
          <w:highlight w:val="none"/>
        </w:rPr>
        <w:t>四</w:t>
      </w:r>
      <w:r>
        <w:rPr>
          <w:rFonts w:hint="eastAsia" w:ascii="仿宋" w:hAnsi="仿宋" w:eastAsia="仿宋" w:cs="仿宋"/>
          <w:b/>
          <w:szCs w:val="28"/>
          <w:highlight w:val="none"/>
        </w:rPr>
        <w:t>条、通知与送达</w:t>
      </w:r>
    </w:p>
    <w:p w14:paraId="3FFC14D8">
      <w:pPr>
        <w:spacing w:line="500" w:lineRule="exact"/>
        <w:outlineLvl w:val="0"/>
        <w:rPr>
          <w:rFonts w:ascii="仿宋" w:hAnsi="仿宋" w:eastAsia="仿宋" w:cs="仿宋"/>
          <w:b/>
          <w:szCs w:val="28"/>
          <w:highlight w:val="none"/>
        </w:rPr>
      </w:pPr>
      <w:r>
        <w:rPr>
          <w:rFonts w:hint="eastAsia" w:ascii="仿宋" w:hAnsi="仿宋" w:eastAsia="仿宋" w:cs="仿宋"/>
          <w:szCs w:val="28"/>
          <w:highlight w:val="none"/>
        </w:rPr>
        <w:t xml:space="preserve">    1.双方确认，因履行本合同之需要，一方向对方发送有关通知或者其他文件，如果受送达一方拒绝签收，或者送达一方认为必要时，送达一方可以按本合同尾部载明的地址、电话号码等相关信息，以邮政、快递、手机短信等方式送达，并且自发出之次日起视为已经送达。</w:t>
      </w:r>
    </w:p>
    <w:p w14:paraId="5BA810CE">
      <w:pPr>
        <w:spacing w:line="500" w:lineRule="exact"/>
        <w:outlineLvl w:val="0"/>
        <w:rPr>
          <w:rFonts w:ascii="仿宋" w:hAnsi="仿宋" w:eastAsia="仿宋" w:cs="仿宋"/>
          <w:b/>
          <w:szCs w:val="28"/>
          <w:highlight w:val="none"/>
        </w:rPr>
      </w:pPr>
      <w:r>
        <w:rPr>
          <w:rFonts w:hint="eastAsia" w:ascii="仿宋" w:hAnsi="仿宋" w:eastAsia="仿宋" w:cs="仿宋"/>
          <w:szCs w:val="28"/>
          <w:highlight w:val="none"/>
        </w:rPr>
        <w:t xml:space="preserve">    2.如果一方需变更地址或者相关信息的，应及时通知对方，在变更通知到达对方之前，视为没有变更。</w:t>
      </w:r>
    </w:p>
    <w:p w14:paraId="2B6B1C47">
      <w:pPr>
        <w:spacing w:line="500" w:lineRule="exact"/>
        <w:outlineLvl w:val="0"/>
        <w:rPr>
          <w:rFonts w:ascii="仿宋" w:hAnsi="仿宋" w:eastAsia="仿宋" w:cs="仿宋"/>
          <w:szCs w:val="28"/>
          <w:highlight w:val="none"/>
        </w:rPr>
      </w:pPr>
      <w:r>
        <w:rPr>
          <w:rFonts w:hint="eastAsia" w:ascii="仿宋" w:hAnsi="仿宋" w:eastAsia="仿宋" w:cs="仿宋"/>
          <w:szCs w:val="28"/>
          <w:highlight w:val="none"/>
        </w:rPr>
        <w:t xml:space="preserve">    3.因履行本合同发生争议申请仲裁（或提起诉讼）的，本条关于送达的约定适用于仲裁机构（或人民法院）对仲裁文书（法律文书）的送达。</w:t>
      </w:r>
    </w:p>
    <w:p w14:paraId="58BAD3C2">
      <w:pPr>
        <w:rPr>
          <w:rFonts w:hint="eastAsia" w:ascii="仿宋" w:hAnsi="仿宋" w:eastAsia="仿宋" w:cs="仿宋"/>
          <w:szCs w:val="28"/>
          <w:highlight w:val="none"/>
        </w:rPr>
      </w:pPr>
      <w:r>
        <w:rPr>
          <w:rFonts w:hint="eastAsia" w:ascii="仿宋" w:hAnsi="仿宋" w:eastAsia="仿宋" w:cs="仿宋"/>
          <w:szCs w:val="28"/>
          <w:highlight w:val="none"/>
        </w:rPr>
        <w:br w:type="page"/>
      </w:r>
    </w:p>
    <w:p w14:paraId="4B04347A">
      <w:pPr>
        <w:spacing w:line="500" w:lineRule="exact"/>
        <w:jc w:val="center"/>
        <w:outlineLvl w:val="0"/>
        <w:rPr>
          <w:rFonts w:hint="eastAsia" w:ascii="仿宋" w:hAnsi="仿宋" w:eastAsia="仿宋" w:cs="仿宋"/>
          <w:szCs w:val="28"/>
          <w:highlight w:val="none"/>
        </w:rPr>
      </w:pPr>
      <w:r>
        <w:rPr>
          <w:rFonts w:hint="eastAsia" w:ascii="仿宋" w:hAnsi="仿宋" w:eastAsia="仿宋" w:cs="仿宋"/>
          <w:szCs w:val="28"/>
          <w:highlight w:val="none"/>
        </w:rPr>
        <w:t>（此下无正文）</w:t>
      </w:r>
    </w:p>
    <w:p w14:paraId="309A6EE1">
      <w:pPr>
        <w:pStyle w:val="31"/>
        <w:rPr>
          <w:rFonts w:hint="eastAsia" w:ascii="仿宋" w:hAnsi="仿宋" w:eastAsia="仿宋" w:cs="仿宋"/>
          <w:szCs w:val="28"/>
          <w:highlight w:val="none"/>
        </w:rPr>
      </w:pPr>
    </w:p>
    <w:p w14:paraId="291E1C92">
      <w:pPr>
        <w:pStyle w:val="31"/>
        <w:rPr>
          <w:rFonts w:hint="eastAsia" w:ascii="仿宋" w:hAnsi="仿宋" w:eastAsia="仿宋" w:cs="仿宋"/>
          <w:szCs w:val="28"/>
          <w:highlight w:val="none"/>
          <w:lang w:val="en-US" w:eastAsia="zh-CN"/>
        </w:rPr>
      </w:pPr>
    </w:p>
    <w:p w14:paraId="25E327F6">
      <w:pPr>
        <w:spacing w:line="500" w:lineRule="exact"/>
        <w:jc w:val="center"/>
        <w:outlineLvl w:val="0"/>
        <w:rPr>
          <w:rFonts w:ascii="仿宋" w:hAnsi="仿宋" w:eastAsia="仿宋" w:cs="仿宋"/>
          <w:b/>
          <w:szCs w:val="28"/>
          <w:highlight w:val="none"/>
        </w:rPr>
      </w:pPr>
      <w:r>
        <w:rPr>
          <w:rFonts w:hint="eastAsia" w:ascii="仿宋" w:hAnsi="仿宋" w:eastAsia="仿宋" w:cs="仿宋"/>
          <w:szCs w:val="28"/>
          <w:highlight w:val="none"/>
        </w:rPr>
        <w:t>（本页无正文，为采购合同签署页）</w:t>
      </w:r>
    </w:p>
    <w:tbl>
      <w:tblPr>
        <w:tblStyle w:val="24"/>
        <w:tblW w:w="10203" w:type="dxa"/>
        <w:jc w:val="center"/>
        <w:tblLayout w:type="fixed"/>
        <w:tblCellMar>
          <w:top w:w="0" w:type="dxa"/>
          <w:left w:w="108" w:type="dxa"/>
          <w:bottom w:w="0" w:type="dxa"/>
          <w:right w:w="108" w:type="dxa"/>
        </w:tblCellMar>
      </w:tblPr>
      <w:tblGrid>
        <w:gridCol w:w="5436"/>
        <w:gridCol w:w="4767"/>
      </w:tblGrid>
      <w:tr w14:paraId="718981F7">
        <w:tblPrEx>
          <w:tblCellMar>
            <w:top w:w="0" w:type="dxa"/>
            <w:left w:w="108" w:type="dxa"/>
            <w:bottom w:w="0" w:type="dxa"/>
            <w:right w:w="108" w:type="dxa"/>
          </w:tblCellMar>
        </w:tblPrEx>
        <w:trPr>
          <w:trHeight w:val="1250" w:hRule="atLeast"/>
          <w:jc w:val="center"/>
        </w:trPr>
        <w:tc>
          <w:tcPr>
            <w:tcW w:w="5436" w:type="dxa"/>
            <w:vAlign w:val="center"/>
          </w:tcPr>
          <w:p w14:paraId="1847358D">
            <w:pPr>
              <w:tabs>
                <w:tab w:val="left" w:pos="987"/>
              </w:tabs>
              <w:ind w:left="964" w:hanging="964" w:hangingChars="400"/>
              <w:rPr>
                <w:rFonts w:hint="default" w:ascii="仿宋" w:hAnsi="仿宋" w:eastAsia="仿宋" w:cs="仿宋"/>
                <w:b/>
                <w:sz w:val="24"/>
                <w:szCs w:val="24"/>
                <w:highlight w:val="none"/>
                <w:u w:val="single"/>
                <w:lang w:val="en-US" w:eastAsia="zh-CN"/>
              </w:rPr>
            </w:pPr>
            <w:r>
              <w:rPr>
                <w:rFonts w:hint="eastAsia" w:ascii="仿宋" w:hAnsi="仿宋" w:eastAsia="仿宋" w:cs="仿宋"/>
                <w:b/>
                <w:sz w:val="24"/>
                <w:szCs w:val="24"/>
                <w:highlight w:val="none"/>
              </w:rPr>
              <w:t>供方：</w:t>
            </w:r>
            <w:r>
              <w:rPr>
                <w:rFonts w:hint="eastAsia" w:ascii="仿宋" w:hAnsi="仿宋" w:eastAsia="仿宋" w:cs="仿宋"/>
                <w:b/>
                <w:sz w:val="24"/>
                <w:szCs w:val="24"/>
                <w:highlight w:val="none"/>
                <w:u w:val="single"/>
                <w:lang w:val="en-US" w:eastAsia="zh-CN"/>
              </w:rPr>
              <w:t xml:space="preserve">                                  </w:t>
            </w:r>
          </w:p>
        </w:tc>
        <w:tc>
          <w:tcPr>
            <w:tcW w:w="4767" w:type="dxa"/>
            <w:vAlign w:val="center"/>
          </w:tcPr>
          <w:p w14:paraId="3B01EC80">
            <w:pPr>
              <w:tabs>
                <w:tab w:val="left" w:pos="1002"/>
              </w:tabs>
              <w:spacing w:line="500" w:lineRule="exact"/>
              <w:rPr>
                <w:rFonts w:hint="eastAsia" w:eastAsia="仿宋"/>
                <w:sz w:val="24"/>
                <w:szCs w:val="24"/>
                <w:highlight w:val="none"/>
                <w:u w:val="single"/>
                <w:lang w:eastAsia="zh-CN"/>
              </w:rPr>
            </w:pPr>
            <w:r>
              <w:rPr>
                <w:rFonts w:hint="eastAsia" w:ascii="仿宋" w:hAnsi="仿宋" w:eastAsia="仿宋" w:cs="仿宋"/>
                <w:b/>
                <w:sz w:val="24"/>
                <w:szCs w:val="24"/>
                <w:highlight w:val="none"/>
              </w:rPr>
              <w:t>需方：</w:t>
            </w:r>
            <w:r>
              <w:rPr>
                <w:rFonts w:hint="eastAsia" w:ascii="仿宋" w:hAnsi="仿宋" w:eastAsia="仿宋" w:cs="仿宋"/>
                <w:b/>
                <w:sz w:val="24"/>
                <w:szCs w:val="24"/>
                <w:highlight w:val="none"/>
                <w:u w:val="single"/>
              </w:rPr>
              <w:t>重庆市九龙建设工程质量检测</w:t>
            </w:r>
            <w:r>
              <w:rPr>
                <w:rFonts w:hint="eastAsia" w:ascii="仿宋" w:hAnsi="仿宋" w:eastAsia="仿宋" w:cs="仿宋"/>
                <w:b/>
                <w:sz w:val="24"/>
                <w:szCs w:val="24"/>
                <w:highlight w:val="none"/>
                <w:u w:val="single"/>
                <w:lang w:eastAsia="zh-CN"/>
              </w:rPr>
              <w:t>中心股份有限公司</w:t>
            </w:r>
          </w:p>
        </w:tc>
      </w:tr>
      <w:tr w14:paraId="72A500B0">
        <w:tblPrEx>
          <w:tblCellMar>
            <w:top w:w="0" w:type="dxa"/>
            <w:left w:w="108" w:type="dxa"/>
            <w:bottom w:w="0" w:type="dxa"/>
            <w:right w:w="108" w:type="dxa"/>
          </w:tblCellMar>
        </w:tblPrEx>
        <w:trPr>
          <w:trHeight w:val="1250" w:hRule="atLeast"/>
          <w:jc w:val="center"/>
        </w:trPr>
        <w:tc>
          <w:tcPr>
            <w:tcW w:w="5436" w:type="dxa"/>
            <w:vAlign w:val="center"/>
          </w:tcPr>
          <w:p w14:paraId="2DAE8928">
            <w:pPr>
              <w:tabs>
                <w:tab w:val="left" w:pos="972"/>
              </w:tabs>
              <w:ind w:left="843" w:hanging="843" w:hangingChars="350"/>
              <w:rPr>
                <w:rFonts w:hint="default" w:eastAsia="仿宋"/>
                <w:sz w:val="24"/>
                <w:szCs w:val="24"/>
                <w:highlight w:val="none"/>
                <w:u w:val="single"/>
                <w:lang w:val="en-US" w:eastAsia="zh-CN"/>
              </w:rPr>
            </w:pPr>
            <w:r>
              <w:rPr>
                <w:rFonts w:hint="eastAsia" w:ascii="仿宋" w:hAnsi="仿宋" w:eastAsia="仿宋" w:cs="仿宋"/>
                <w:b/>
                <w:sz w:val="24"/>
                <w:szCs w:val="24"/>
                <w:highlight w:val="none"/>
              </w:rPr>
              <w:t>地址：</w:t>
            </w:r>
            <w:r>
              <w:rPr>
                <w:rFonts w:hint="eastAsia" w:ascii="仿宋" w:hAnsi="仿宋" w:eastAsia="仿宋" w:cs="仿宋"/>
                <w:b/>
                <w:sz w:val="24"/>
                <w:szCs w:val="24"/>
                <w:highlight w:val="none"/>
                <w:u w:val="single"/>
                <w:lang w:val="en-US" w:eastAsia="zh-CN"/>
              </w:rPr>
              <w:t xml:space="preserve">                                  </w:t>
            </w:r>
          </w:p>
        </w:tc>
        <w:tc>
          <w:tcPr>
            <w:tcW w:w="4767" w:type="dxa"/>
            <w:vAlign w:val="center"/>
          </w:tcPr>
          <w:p w14:paraId="2B2DA98F">
            <w:pPr>
              <w:tabs>
                <w:tab w:val="left" w:pos="1017"/>
              </w:tabs>
              <w:rPr>
                <w:rFonts w:eastAsia="仿宋"/>
                <w:sz w:val="24"/>
                <w:szCs w:val="24"/>
                <w:highlight w:val="none"/>
                <w:u w:val="single"/>
              </w:rPr>
            </w:pPr>
            <w:r>
              <w:rPr>
                <w:rFonts w:hint="eastAsia" w:ascii="仿宋" w:hAnsi="仿宋" w:eastAsia="仿宋" w:cs="仿宋"/>
                <w:b/>
                <w:bCs/>
                <w:sz w:val="24"/>
                <w:szCs w:val="24"/>
                <w:highlight w:val="none"/>
              </w:rPr>
              <w:t>地址：</w:t>
            </w:r>
            <w:r>
              <w:rPr>
                <w:rFonts w:hint="eastAsia" w:ascii="仿宋" w:hAnsi="仿宋" w:eastAsia="仿宋" w:cs="仿宋"/>
                <w:b/>
                <w:sz w:val="24"/>
                <w:szCs w:val="24"/>
                <w:highlight w:val="none"/>
                <w:u w:val="single"/>
              </w:rPr>
              <w:t>重庆市九龙坡区半山东路8号附1号</w:t>
            </w:r>
          </w:p>
        </w:tc>
      </w:tr>
      <w:tr w14:paraId="2F7750F2">
        <w:tblPrEx>
          <w:tblCellMar>
            <w:top w:w="0" w:type="dxa"/>
            <w:left w:w="108" w:type="dxa"/>
            <w:bottom w:w="0" w:type="dxa"/>
            <w:right w:w="108" w:type="dxa"/>
          </w:tblCellMar>
        </w:tblPrEx>
        <w:trPr>
          <w:trHeight w:val="1038" w:hRule="atLeast"/>
          <w:jc w:val="center"/>
        </w:trPr>
        <w:tc>
          <w:tcPr>
            <w:tcW w:w="5436" w:type="dxa"/>
            <w:vAlign w:val="center"/>
          </w:tcPr>
          <w:p w14:paraId="11BF0715">
            <w:pPr>
              <w:tabs>
                <w:tab w:val="left" w:pos="972"/>
              </w:tabs>
              <w:ind w:left="843" w:hanging="843" w:hangingChars="350"/>
              <w:rPr>
                <w:rFonts w:ascii="仿宋" w:hAnsi="仿宋" w:eastAsia="仿宋" w:cs="仿宋"/>
                <w:b/>
                <w:sz w:val="24"/>
                <w:szCs w:val="24"/>
                <w:highlight w:val="none"/>
                <w:u w:val="single"/>
              </w:rPr>
            </w:pPr>
            <w:r>
              <w:rPr>
                <w:rFonts w:hint="eastAsia" w:ascii="仿宋" w:hAnsi="仿宋" w:eastAsia="仿宋" w:cs="仿宋"/>
                <w:b/>
                <w:sz w:val="24"/>
                <w:szCs w:val="24"/>
                <w:highlight w:val="none"/>
              </w:rPr>
              <w:t>法定代表人：</w:t>
            </w:r>
          </w:p>
        </w:tc>
        <w:tc>
          <w:tcPr>
            <w:tcW w:w="4767" w:type="dxa"/>
            <w:vAlign w:val="center"/>
          </w:tcPr>
          <w:p w14:paraId="7FEC0C4C">
            <w:pPr>
              <w:tabs>
                <w:tab w:val="left" w:pos="1017"/>
              </w:tabs>
              <w:rPr>
                <w:sz w:val="24"/>
                <w:szCs w:val="24"/>
                <w:highlight w:val="none"/>
                <w:u w:val="single"/>
              </w:rPr>
            </w:pPr>
            <w:r>
              <w:rPr>
                <w:rFonts w:hint="eastAsia" w:ascii="仿宋" w:hAnsi="仿宋" w:eastAsia="仿宋" w:cs="仿宋"/>
                <w:b/>
                <w:bCs/>
                <w:sz w:val="24"/>
                <w:szCs w:val="24"/>
                <w:highlight w:val="none"/>
              </w:rPr>
              <w:t>法定代表人：</w:t>
            </w:r>
          </w:p>
        </w:tc>
      </w:tr>
      <w:tr w14:paraId="29477356">
        <w:tblPrEx>
          <w:tblCellMar>
            <w:top w:w="0" w:type="dxa"/>
            <w:left w:w="108" w:type="dxa"/>
            <w:bottom w:w="0" w:type="dxa"/>
            <w:right w:w="108" w:type="dxa"/>
          </w:tblCellMar>
        </w:tblPrEx>
        <w:trPr>
          <w:trHeight w:val="793" w:hRule="atLeast"/>
          <w:jc w:val="center"/>
        </w:trPr>
        <w:tc>
          <w:tcPr>
            <w:tcW w:w="5436" w:type="dxa"/>
            <w:vAlign w:val="center"/>
          </w:tcPr>
          <w:p w14:paraId="452DBCEF">
            <w:pPr>
              <w:snapToGrid w:val="0"/>
              <w:spacing w:line="400" w:lineRule="exact"/>
              <w:rPr>
                <w:rFonts w:ascii="仿宋" w:hAnsi="仿宋" w:eastAsia="仿宋" w:cs="仿宋"/>
                <w:b/>
                <w:sz w:val="24"/>
                <w:szCs w:val="24"/>
                <w:highlight w:val="none"/>
              </w:rPr>
            </w:pPr>
            <w:r>
              <w:rPr>
                <w:rFonts w:hint="eastAsia" w:ascii="仿宋" w:hAnsi="仿宋" w:eastAsia="仿宋" w:cs="仿宋"/>
                <w:b/>
                <w:bCs/>
                <w:sz w:val="24"/>
                <w:szCs w:val="24"/>
                <w:highlight w:val="none"/>
              </w:rPr>
              <w:t>签订时间：   年  月  日</w:t>
            </w:r>
          </w:p>
        </w:tc>
        <w:tc>
          <w:tcPr>
            <w:tcW w:w="4767" w:type="dxa"/>
            <w:vAlign w:val="center"/>
          </w:tcPr>
          <w:p w14:paraId="00F46C66">
            <w:pPr>
              <w:snapToGrid w:val="0"/>
              <w:spacing w:line="400" w:lineRule="exact"/>
              <w:rPr>
                <w:rFonts w:ascii="仿宋" w:hAnsi="仿宋" w:eastAsia="仿宋" w:cs="仿宋"/>
                <w:b/>
                <w:sz w:val="24"/>
                <w:szCs w:val="24"/>
                <w:highlight w:val="none"/>
              </w:rPr>
            </w:pPr>
            <w:r>
              <w:rPr>
                <w:rFonts w:hint="eastAsia" w:ascii="仿宋" w:hAnsi="仿宋" w:eastAsia="仿宋" w:cs="仿宋"/>
                <w:b/>
                <w:bCs/>
                <w:sz w:val="24"/>
                <w:szCs w:val="24"/>
                <w:highlight w:val="none"/>
              </w:rPr>
              <w:t>签订时间：   年  月  日</w:t>
            </w:r>
          </w:p>
        </w:tc>
      </w:tr>
      <w:tr w14:paraId="403F634D">
        <w:tblPrEx>
          <w:tblCellMar>
            <w:top w:w="0" w:type="dxa"/>
            <w:left w:w="108" w:type="dxa"/>
            <w:bottom w:w="0" w:type="dxa"/>
            <w:right w:w="108" w:type="dxa"/>
          </w:tblCellMar>
        </w:tblPrEx>
        <w:trPr>
          <w:trHeight w:val="1068" w:hRule="atLeast"/>
          <w:jc w:val="center"/>
        </w:trPr>
        <w:tc>
          <w:tcPr>
            <w:tcW w:w="5436" w:type="dxa"/>
            <w:vAlign w:val="center"/>
          </w:tcPr>
          <w:p w14:paraId="0F5B3B2B">
            <w:pPr>
              <w:rPr>
                <w:rFonts w:hint="default" w:eastAsia="仿宋"/>
                <w:sz w:val="24"/>
                <w:szCs w:val="24"/>
                <w:highlight w:val="none"/>
                <w:u w:val="single"/>
                <w:lang w:val="en-US" w:eastAsia="zh-CN"/>
              </w:rPr>
            </w:pPr>
            <w:r>
              <w:rPr>
                <w:rFonts w:hint="eastAsia" w:ascii="仿宋" w:hAnsi="仿宋" w:eastAsia="仿宋" w:cs="仿宋"/>
                <w:b/>
                <w:sz w:val="24"/>
                <w:szCs w:val="24"/>
                <w:highlight w:val="none"/>
              </w:rPr>
              <w:t>电话：</w:t>
            </w:r>
            <w:r>
              <w:rPr>
                <w:rFonts w:hint="eastAsia" w:ascii="仿宋" w:hAnsi="仿宋" w:eastAsia="仿宋" w:cs="仿宋"/>
                <w:b/>
                <w:sz w:val="24"/>
                <w:szCs w:val="24"/>
                <w:highlight w:val="none"/>
                <w:u w:val="single"/>
                <w:lang w:val="en-US" w:eastAsia="zh-CN"/>
              </w:rPr>
              <w:t xml:space="preserve">                       </w:t>
            </w:r>
          </w:p>
        </w:tc>
        <w:tc>
          <w:tcPr>
            <w:tcW w:w="4767" w:type="dxa"/>
            <w:vAlign w:val="center"/>
          </w:tcPr>
          <w:p w14:paraId="2A770E52">
            <w:pPr>
              <w:rPr>
                <w:rFonts w:hint="default" w:eastAsia="仿宋"/>
                <w:sz w:val="24"/>
                <w:szCs w:val="24"/>
                <w:highlight w:val="none"/>
                <w:u w:val="single"/>
                <w:lang w:val="en-US" w:eastAsia="zh-CN"/>
              </w:rPr>
            </w:pPr>
            <w:r>
              <w:rPr>
                <w:rFonts w:hint="eastAsia" w:ascii="仿宋" w:hAnsi="仿宋" w:eastAsia="仿宋" w:cs="仿宋"/>
                <w:b/>
                <w:sz w:val="24"/>
                <w:szCs w:val="24"/>
                <w:highlight w:val="none"/>
              </w:rPr>
              <w:t>电话：</w:t>
            </w:r>
            <w:r>
              <w:rPr>
                <w:rFonts w:hint="eastAsia" w:ascii="仿宋" w:hAnsi="仿宋" w:eastAsia="仿宋" w:cs="仿宋"/>
                <w:b/>
                <w:sz w:val="24"/>
                <w:szCs w:val="24"/>
                <w:highlight w:val="none"/>
                <w:lang w:val="en-US" w:eastAsia="zh-CN"/>
              </w:rPr>
              <w:t>023-68522315</w:t>
            </w:r>
          </w:p>
        </w:tc>
      </w:tr>
      <w:tr w14:paraId="104AA194">
        <w:tblPrEx>
          <w:tblCellMar>
            <w:top w:w="0" w:type="dxa"/>
            <w:left w:w="108" w:type="dxa"/>
            <w:bottom w:w="0" w:type="dxa"/>
            <w:right w:w="108" w:type="dxa"/>
          </w:tblCellMar>
        </w:tblPrEx>
        <w:trPr>
          <w:trHeight w:val="793" w:hRule="atLeast"/>
          <w:jc w:val="center"/>
        </w:trPr>
        <w:tc>
          <w:tcPr>
            <w:tcW w:w="5436" w:type="dxa"/>
            <w:vAlign w:val="center"/>
          </w:tcPr>
          <w:p w14:paraId="48B7F05F">
            <w:pPr>
              <w:rPr>
                <w:rFonts w:hint="default" w:eastAsia="仿宋"/>
                <w:sz w:val="24"/>
                <w:szCs w:val="24"/>
                <w:highlight w:val="none"/>
                <w:u w:val="single"/>
                <w:lang w:val="en-US" w:eastAsia="zh-CN"/>
              </w:rPr>
            </w:pPr>
            <w:r>
              <w:rPr>
                <w:rFonts w:hint="eastAsia" w:ascii="仿宋" w:hAnsi="仿宋" w:eastAsia="仿宋" w:cs="仿宋"/>
                <w:b/>
                <w:sz w:val="24"/>
                <w:szCs w:val="24"/>
                <w:highlight w:val="none"/>
              </w:rPr>
              <w:t>传真：/</w:t>
            </w:r>
          </w:p>
        </w:tc>
        <w:tc>
          <w:tcPr>
            <w:tcW w:w="4767" w:type="dxa"/>
            <w:vAlign w:val="center"/>
          </w:tcPr>
          <w:p w14:paraId="24380E94">
            <w:pPr>
              <w:rPr>
                <w:rFonts w:eastAsia="仿宋"/>
                <w:sz w:val="24"/>
                <w:szCs w:val="24"/>
                <w:highlight w:val="none"/>
                <w:u w:val="single"/>
              </w:rPr>
            </w:pPr>
            <w:r>
              <w:rPr>
                <w:rFonts w:hint="eastAsia" w:ascii="仿宋" w:hAnsi="仿宋" w:eastAsia="仿宋" w:cs="仿宋"/>
                <w:b/>
                <w:sz w:val="24"/>
                <w:szCs w:val="24"/>
                <w:highlight w:val="none"/>
              </w:rPr>
              <w:t>传真：/</w:t>
            </w:r>
          </w:p>
        </w:tc>
      </w:tr>
      <w:tr w14:paraId="0CF24FE8">
        <w:tblPrEx>
          <w:tblCellMar>
            <w:top w:w="0" w:type="dxa"/>
            <w:left w:w="108" w:type="dxa"/>
            <w:bottom w:w="0" w:type="dxa"/>
            <w:right w:w="108" w:type="dxa"/>
          </w:tblCellMar>
        </w:tblPrEx>
        <w:trPr>
          <w:trHeight w:val="1250" w:hRule="atLeast"/>
          <w:jc w:val="center"/>
        </w:trPr>
        <w:tc>
          <w:tcPr>
            <w:tcW w:w="5436" w:type="dxa"/>
            <w:vAlign w:val="center"/>
          </w:tcPr>
          <w:p w14:paraId="5B83FDBE">
            <w:pPr>
              <w:tabs>
                <w:tab w:val="left" w:pos="1047"/>
              </w:tabs>
              <w:rPr>
                <w:rFonts w:hint="default" w:eastAsia="仿宋"/>
                <w:sz w:val="24"/>
                <w:szCs w:val="24"/>
                <w:highlight w:val="none"/>
                <w:u w:val="single"/>
                <w:lang w:val="en-US" w:eastAsia="zh-CN"/>
              </w:rPr>
            </w:pPr>
            <w:r>
              <w:rPr>
                <w:rFonts w:hint="eastAsia" w:ascii="仿宋" w:hAnsi="仿宋" w:eastAsia="仿宋" w:cs="仿宋"/>
                <w:b/>
                <w:sz w:val="24"/>
                <w:szCs w:val="24"/>
                <w:highlight w:val="none"/>
              </w:rPr>
              <w:t>开户行：</w:t>
            </w:r>
            <w:r>
              <w:rPr>
                <w:rFonts w:hint="eastAsia" w:ascii="仿宋" w:hAnsi="仿宋" w:eastAsia="仿宋" w:cs="仿宋"/>
                <w:b/>
                <w:sz w:val="24"/>
                <w:szCs w:val="24"/>
                <w:highlight w:val="none"/>
                <w:u w:val="single"/>
                <w:lang w:val="en-US" w:eastAsia="zh-CN"/>
              </w:rPr>
              <w:t xml:space="preserve">                     </w:t>
            </w:r>
          </w:p>
        </w:tc>
        <w:tc>
          <w:tcPr>
            <w:tcW w:w="4767" w:type="dxa"/>
            <w:vAlign w:val="center"/>
          </w:tcPr>
          <w:p w14:paraId="550C1701">
            <w:pPr>
              <w:tabs>
                <w:tab w:val="left" w:pos="1017"/>
              </w:tabs>
              <w:rPr>
                <w:rFonts w:ascii="仿宋" w:hAnsi="仿宋" w:eastAsia="仿宋" w:cs="仿宋"/>
                <w:b/>
                <w:sz w:val="24"/>
                <w:szCs w:val="24"/>
                <w:highlight w:val="none"/>
                <w:u w:val="single"/>
              </w:rPr>
            </w:pPr>
            <w:r>
              <w:rPr>
                <w:rFonts w:hint="eastAsia" w:ascii="仿宋" w:hAnsi="仿宋" w:eastAsia="仿宋" w:cs="仿宋"/>
                <w:b/>
                <w:sz w:val="24"/>
                <w:szCs w:val="24"/>
                <w:highlight w:val="none"/>
              </w:rPr>
              <w:t>开户行</w:t>
            </w:r>
            <w:r>
              <w:rPr>
                <w:rFonts w:ascii="仿宋" w:hAnsi="仿宋" w:eastAsia="仿宋" w:cs="仿宋"/>
                <w:b/>
                <w:sz w:val="24"/>
                <w:szCs w:val="24"/>
                <w:highlight w:val="none"/>
              </w:rPr>
              <w:t>:</w:t>
            </w:r>
            <w:r>
              <w:rPr>
                <w:rFonts w:hint="eastAsia" w:ascii="仿宋" w:hAnsi="仿宋" w:eastAsia="仿宋" w:cs="仿宋"/>
                <w:b/>
                <w:sz w:val="24"/>
                <w:szCs w:val="24"/>
                <w:highlight w:val="none"/>
                <w:u w:val="single"/>
                <w:lang w:eastAsia="zh-CN"/>
              </w:rPr>
              <w:t>中国银行九龙坡支行</w:t>
            </w:r>
            <w:r>
              <w:rPr>
                <w:rFonts w:hint="eastAsia" w:ascii="仿宋" w:hAnsi="仿宋" w:eastAsia="仿宋" w:cs="仿宋"/>
                <w:b/>
                <w:sz w:val="24"/>
                <w:szCs w:val="24"/>
                <w:highlight w:val="none"/>
                <w:u w:val="single"/>
              </w:rPr>
              <w:t xml:space="preserve"> </w:t>
            </w:r>
          </w:p>
        </w:tc>
      </w:tr>
      <w:tr w14:paraId="59FD5C0B">
        <w:tblPrEx>
          <w:tblCellMar>
            <w:top w:w="0" w:type="dxa"/>
            <w:left w:w="108" w:type="dxa"/>
            <w:bottom w:w="0" w:type="dxa"/>
            <w:right w:w="108" w:type="dxa"/>
          </w:tblCellMar>
        </w:tblPrEx>
        <w:trPr>
          <w:trHeight w:val="793" w:hRule="atLeast"/>
          <w:jc w:val="center"/>
        </w:trPr>
        <w:tc>
          <w:tcPr>
            <w:tcW w:w="5436" w:type="dxa"/>
            <w:vAlign w:val="center"/>
          </w:tcPr>
          <w:p w14:paraId="79B66768">
            <w:pPr>
              <w:rPr>
                <w:rFonts w:hint="default" w:eastAsia="仿宋"/>
                <w:sz w:val="24"/>
                <w:szCs w:val="24"/>
                <w:highlight w:val="none"/>
                <w:u w:val="single"/>
                <w:lang w:val="en-US" w:eastAsia="zh-CN"/>
              </w:rPr>
            </w:pPr>
            <w:r>
              <w:rPr>
                <w:rFonts w:hint="eastAsia" w:ascii="仿宋" w:hAnsi="仿宋" w:eastAsia="仿宋" w:cs="仿宋"/>
                <w:b/>
                <w:sz w:val="24"/>
                <w:szCs w:val="24"/>
                <w:highlight w:val="none"/>
              </w:rPr>
              <w:t>账号：</w:t>
            </w:r>
            <w:r>
              <w:rPr>
                <w:rFonts w:hint="eastAsia" w:ascii="仿宋" w:hAnsi="仿宋" w:eastAsia="仿宋" w:cs="仿宋"/>
                <w:b/>
                <w:sz w:val="24"/>
                <w:szCs w:val="24"/>
                <w:highlight w:val="none"/>
                <w:u w:val="single"/>
                <w:lang w:val="en-US" w:eastAsia="zh-CN"/>
              </w:rPr>
              <w:t xml:space="preserve">                       </w:t>
            </w:r>
          </w:p>
        </w:tc>
        <w:tc>
          <w:tcPr>
            <w:tcW w:w="4767" w:type="dxa"/>
            <w:vAlign w:val="center"/>
          </w:tcPr>
          <w:p w14:paraId="52952B38">
            <w:pPr>
              <w:tabs>
                <w:tab w:val="left" w:pos="7350"/>
              </w:tabs>
              <w:rPr>
                <w:rFonts w:eastAsia="仿宋"/>
                <w:sz w:val="24"/>
                <w:szCs w:val="24"/>
                <w:highlight w:val="none"/>
                <w:u w:val="single"/>
              </w:rPr>
            </w:pPr>
            <w:r>
              <w:rPr>
                <w:rFonts w:hint="eastAsia" w:ascii="仿宋" w:hAnsi="仿宋" w:eastAsia="仿宋" w:cs="仿宋"/>
                <w:b/>
                <w:sz w:val="24"/>
                <w:szCs w:val="24"/>
                <w:highlight w:val="none"/>
              </w:rPr>
              <w:t>账号：</w:t>
            </w:r>
            <w:r>
              <w:rPr>
                <w:rFonts w:hint="eastAsia" w:ascii="仿宋" w:hAnsi="仿宋" w:eastAsia="仿宋" w:cs="仿宋"/>
                <w:b/>
                <w:sz w:val="24"/>
                <w:szCs w:val="24"/>
                <w:highlight w:val="none"/>
                <w:u w:val="single"/>
                <w:lang w:eastAsia="zh-CN"/>
              </w:rPr>
              <w:t>114405393307</w:t>
            </w:r>
          </w:p>
        </w:tc>
      </w:tr>
    </w:tbl>
    <w:p w14:paraId="318A91A4">
      <w:pPr>
        <w:rPr>
          <w:highlight w:val="none"/>
        </w:rPr>
        <w:sectPr>
          <w:headerReference r:id="rId9" w:type="default"/>
          <w:footerReference r:id="rId10" w:type="default"/>
          <w:pgSz w:w="11906" w:h="16838"/>
          <w:pgMar w:top="1440" w:right="866" w:bottom="1118" w:left="1240" w:header="851" w:footer="992" w:gutter="0"/>
          <w:pgNumType w:fmt="numberInDash" w:start="5"/>
          <w:cols w:space="425" w:num="1"/>
          <w:docGrid w:type="lines" w:linePitch="312" w:charSpace="0"/>
        </w:sectPr>
      </w:pPr>
    </w:p>
    <w:p w14:paraId="53FD1EE1">
      <w:pPr>
        <w:spacing w:line="360" w:lineRule="auto"/>
        <w:jc w:val="both"/>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附件一：</w:t>
      </w:r>
    </w:p>
    <w:p w14:paraId="072F6EE1">
      <w:pPr>
        <w:spacing w:line="360" w:lineRule="auto"/>
        <w:jc w:val="center"/>
        <w:rPr>
          <w:rFonts w:hint="eastAsia" w:ascii="方正楷体_GBK" w:hAnsi="方正楷体_GBK" w:eastAsia="方正楷体_GBK" w:cs="方正楷体_GBK"/>
          <w:sz w:val="32"/>
          <w:szCs w:val="32"/>
          <w:highlight w:val="none"/>
          <w:lang w:val="en-US" w:eastAsia="zh-CN"/>
        </w:rPr>
      </w:pPr>
      <w:r>
        <w:rPr>
          <w:rFonts w:hint="eastAsia" w:ascii="宋体" w:hAnsi="宋体" w:eastAsia="宋体" w:cs="宋体"/>
          <w:i w:val="0"/>
          <w:iCs w:val="0"/>
          <w:color w:val="000000"/>
          <w:kern w:val="0"/>
          <w:sz w:val="28"/>
          <w:szCs w:val="28"/>
          <w:highlight w:val="none"/>
          <w:u w:val="none"/>
          <w:lang w:val="en-US" w:eastAsia="zh-CN" w:bidi="ar"/>
        </w:rPr>
        <w:t>设备清单</w:t>
      </w:r>
    </w:p>
    <w:p w14:paraId="17D7B5B5">
      <w:pPr>
        <w:spacing w:line="360" w:lineRule="auto"/>
        <w:jc w:val="both"/>
        <w:rPr>
          <w:rFonts w:hint="eastAsia" w:ascii="方正楷体_GBK" w:hAnsi="方正楷体_GBK" w:eastAsia="方正楷体_GBK" w:cs="方正楷体_GBK"/>
          <w:sz w:val="32"/>
          <w:szCs w:val="32"/>
          <w:highlight w:val="none"/>
          <w:lang w:val="en-US" w:eastAsia="zh-CN"/>
        </w:rPr>
      </w:pPr>
    </w:p>
    <w:p w14:paraId="5C148946">
      <w:pPr>
        <w:jc w:val="left"/>
        <w:rPr>
          <w:rFonts w:hint="eastAsia" w:ascii="方正小标宋_GBK" w:eastAsia="方正小标宋_GBK"/>
          <w:sz w:val="44"/>
          <w:szCs w:val="44"/>
          <w:highlight w:val="none"/>
        </w:rPr>
      </w:pPr>
    </w:p>
    <w:p w14:paraId="3BBE49DB">
      <w:pPr>
        <w:spacing w:line="360" w:lineRule="auto"/>
        <w:ind w:firstLine="480" w:firstLineChars="200"/>
        <w:rPr>
          <w:rFonts w:hint="eastAsia"/>
          <w:highlight w:val="none"/>
        </w:rPr>
      </w:pPr>
    </w:p>
    <w:sectPr>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21A3">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4B84CB4F">
                          <w:pPr>
                            <w:pStyle w:val="16"/>
                          </w:pPr>
                          <w:r>
                            <w:fldChar w:fldCharType="begin"/>
                          </w:r>
                          <w:r>
                            <w:instrText xml:space="preserve"> PAGE  \* MERGEFORMAT </w:instrText>
                          </w:r>
                          <w:r>
                            <w:fldChar w:fldCharType="separate"/>
                          </w:r>
                          <w:r>
                            <w:t>- 14 -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pFLs0AAA&#10;AAMBAAAPAAAAAAAAAAEAIAAAACIAAABkcnMvZG93bnJldi54bWxQSwECFAAUAAAACACHTuJATjhS&#10;V+0BAADSAwAADgAAAAAAAAABACAAAAAfAQAAZHJzL2Uyb0RvYy54bWxQSwUGAAAAAAYABgBZAQAA&#10;fgUAAAAA&#10;">
              <v:fill on="f" focussize="0,0"/>
              <v:stroke on="f"/>
              <v:imagedata o:title=""/>
              <o:lock v:ext="edit" text="t" aspectratio="t"/>
              <v:textbox inset="0mm,0mm,0mm,0mm" style="mso-fit-shape-to-text:t;">
                <w:txbxContent>
                  <w:p w14:paraId="4B84CB4F">
                    <w:pPr>
                      <w:pStyle w:val="16"/>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D97A6">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131445"/>
              <wp:effectExtent l="0" t="0" r="0" b="0"/>
              <wp:wrapNone/>
              <wp:docPr id="5" name="文本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14:paraId="10933321">
                          <w:pPr>
                            <w:pStyle w:val="16"/>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0.35pt;width:19.5pt;mso-position-horizontal:center;mso-position-horizontal-relative:margin;mso-wrap-style:none;z-index:251661312;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7FI4NAA&#10;AAADAQAADwAAAAAAAAABACAAAAAiAAAAZHJzL2Rvd25yZXYueG1sUEsBAhQAFAAAAAgAh07iQJar&#10;BNPuAQAA0wMAAA4AAAAAAAAAAQAgAAAAHwEAAGRycy9lMm9Eb2MueG1sUEsFBgAAAAAGAAYAWQEA&#10;AH8FAAAAAA==&#10;">
              <v:fill on="f" focussize="0,0"/>
              <v:stroke on="f"/>
              <v:imagedata o:title=""/>
              <o:lock v:ext="edit" text="t" aspectratio="t"/>
              <v:textbox inset="0mm,0mm,0mm,0mm" style="mso-fit-shape-to-text:t;">
                <w:txbxContent>
                  <w:p w14:paraId="10933321">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1321">
    <w:pPr>
      <w:pStyle w:val="16"/>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4" name="文本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14:paraId="6733949D">
                          <w:pPr>
                            <w:pStyle w:val="16"/>
                          </w:pPr>
                          <w:r>
                            <w:fldChar w:fldCharType="begin"/>
                          </w:r>
                          <w:r>
                            <w:instrText xml:space="preserve"> PAGE  \* MERGEFORMAT </w:instrText>
                          </w:r>
                          <w:r>
                            <w:fldChar w:fldCharType="separate"/>
                          </w:r>
                          <w:r>
                            <w:t>- 46 -</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pFLs0AAA&#10;AAMBAAAPAAAAAAAAAAEAIAAAACIAAABkcnMvZG93bnJldi54bWxQSwECFAAUAAAACACHTuJATG0S&#10;re0BAADTAwAADgAAAAAAAAABACAAAAAfAQAAZHJzL2Uyb0RvYy54bWxQSwUGAAAAAAYABgBZAQAA&#10;fgUAAAAA&#10;">
              <v:fill on="f" focussize="0,0"/>
              <v:stroke on="f"/>
              <v:imagedata o:title=""/>
              <o:lock v:ext="edit" text="t" aspectratio="t"/>
              <v:textbox inset="0mm,0mm,0mm,0mm" style="mso-fit-shape-to-text:t;">
                <w:txbxContent>
                  <w:p w14:paraId="6733949D">
                    <w:pPr>
                      <w:pStyle w:val="16"/>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4325">
    <w:pPr>
      <w:pStyle w:val="16"/>
      <w:tabs>
        <w:tab w:val="clear" w:pos="4153"/>
      </w:tabs>
      <w:jc w:val="both"/>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5505A">
                          <w:pPr>
                            <w:pStyle w:val="16"/>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15505A">
                    <w:pPr>
                      <w:pStyle w:val="16"/>
                    </w:pPr>
                    <w:r>
                      <w:fldChar w:fldCharType="begin"/>
                    </w:r>
                    <w:r>
                      <w:instrText xml:space="preserve"> PAGE  \* MERGEFORMAT </w:instrText>
                    </w:r>
                    <w:r>
                      <w:fldChar w:fldCharType="separate"/>
                    </w:r>
                    <w:r>
                      <w:t>- 5 -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C8C91">
                          <w:pPr>
                            <w:pStyle w:val="16"/>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0C8C91">
                    <w:pPr>
                      <w:pStyle w:val="16"/>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4C7F3">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6294">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F92FA">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D76A1">
    <w:pPr>
      <w:pStyle w:val="17"/>
      <w:pBdr>
        <w:bottom w:val="none" w:color="auto" w:sz="0" w:space="1"/>
      </w:pBdr>
      <w:ind w:firstLine="360" w:firstLineChars="2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780"/>
        </w:tabs>
        <w:ind w:left="780" w:hanging="36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8"/>
    <w:multiLevelType w:val="multilevel"/>
    <w:tmpl w:val="00000008"/>
    <w:lvl w:ilvl="0" w:tentative="0">
      <w:start w:val="1"/>
      <w:numFmt w:val="decimal"/>
      <w:pStyle w:val="7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zI0N2QwMTNmZGQ4ZWM4MWUzOTI5ZWVjMDE5OTcifQ=="/>
  </w:docVars>
  <w:rsids>
    <w:rsidRoot w:val="00E3648B"/>
    <w:rsid w:val="0000480E"/>
    <w:rsid w:val="00007C8A"/>
    <w:rsid w:val="00025FBA"/>
    <w:rsid w:val="000322AC"/>
    <w:rsid w:val="000725DB"/>
    <w:rsid w:val="000B32FD"/>
    <w:rsid w:val="000F0D7A"/>
    <w:rsid w:val="001516B9"/>
    <w:rsid w:val="00154A20"/>
    <w:rsid w:val="001A767F"/>
    <w:rsid w:val="001C389B"/>
    <w:rsid w:val="00226C58"/>
    <w:rsid w:val="00286166"/>
    <w:rsid w:val="002B0250"/>
    <w:rsid w:val="002B509A"/>
    <w:rsid w:val="002D25BB"/>
    <w:rsid w:val="002E06D4"/>
    <w:rsid w:val="003144F5"/>
    <w:rsid w:val="003518FB"/>
    <w:rsid w:val="00380AD0"/>
    <w:rsid w:val="003E02EA"/>
    <w:rsid w:val="003E208A"/>
    <w:rsid w:val="00426180"/>
    <w:rsid w:val="00440452"/>
    <w:rsid w:val="00485D56"/>
    <w:rsid w:val="004B3C46"/>
    <w:rsid w:val="004E3AD0"/>
    <w:rsid w:val="0050474F"/>
    <w:rsid w:val="005404E5"/>
    <w:rsid w:val="005639A5"/>
    <w:rsid w:val="005934BE"/>
    <w:rsid w:val="005C2ECC"/>
    <w:rsid w:val="005D121C"/>
    <w:rsid w:val="005F7621"/>
    <w:rsid w:val="0060328E"/>
    <w:rsid w:val="00734460"/>
    <w:rsid w:val="00755555"/>
    <w:rsid w:val="007A2509"/>
    <w:rsid w:val="007A77B9"/>
    <w:rsid w:val="007E1477"/>
    <w:rsid w:val="007F72A3"/>
    <w:rsid w:val="00854700"/>
    <w:rsid w:val="00862769"/>
    <w:rsid w:val="00876407"/>
    <w:rsid w:val="008D6776"/>
    <w:rsid w:val="008F064D"/>
    <w:rsid w:val="0094040C"/>
    <w:rsid w:val="009D20EC"/>
    <w:rsid w:val="009D36ED"/>
    <w:rsid w:val="009F587B"/>
    <w:rsid w:val="00A10E90"/>
    <w:rsid w:val="00A23996"/>
    <w:rsid w:val="00A61888"/>
    <w:rsid w:val="00AE5A3D"/>
    <w:rsid w:val="00B25F4B"/>
    <w:rsid w:val="00B51C8F"/>
    <w:rsid w:val="00B61055"/>
    <w:rsid w:val="00BA584E"/>
    <w:rsid w:val="00BA599F"/>
    <w:rsid w:val="00BC09F1"/>
    <w:rsid w:val="00C11B36"/>
    <w:rsid w:val="00C27C27"/>
    <w:rsid w:val="00C425C0"/>
    <w:rsid w:val="00C536FA"/>
    <w:rsid w:val="00C54130"/>
    <w:rsid w:val="00C56E12"/>
    <w:rsid w:val="00CA2BB4"/>
    <w:rsid w:val="00CF33BC"/>
    <w:rsid w:val="00D339BF"/>
    <w:rsid w:val="00D62FA5"/>
    <w:rsid w:val="00DE3FCE"/>
    <w:rsid w:val="00E019CF"/>
    <w:rsid w:val="00E3648B"/>
    <w:rsid w:val="00E4764A"/>
    <w:rsid w:val="00E6131B"/>
    <w:rsid w:val="00EB708A"/>
    <w:rsid w:val="00F343AA"/>
    <w:rsid w:val="00F57324"/>
    <w:rsid w:val="00F76671"/>
    <w:rsid w:val="00FC7590"/>
    <w:rsid w:val="00FD2F76"/>
    <w:rsid w:val="013F5D44"/>
    <w:rsid w:val="029F0FA8"/>
    <w:rsid w:val="03F422DA"/>
    <w:rsid w:val="04753A71"/>
    <w:rsid w:val="051B79A9"/>
    <w:rsid w:val="05220E2F"/>
    <w:rsid w:val="05AB2758"/>
    <w:rsid w:val="062453BC"/>
    <w:rsid w:val="06361764"/>
    <w:rsid w:val="07342561"/>
    <w:rsid w:val="09347878"/>
    <w:rsid w:val="09C645FB"/>
    <w:rsid w:val="0A1E307B"/>
    <w:rsid w:val="0A8D5F39"/>
    <w:rsid w:val="0AAB2942"/>
    <w:rsid w:val="0AC1354E"/>
    <w:rsid w:val="0B725A46"/>
    <w:rsid w:val="0BA334EF"/>
    <w:rsid w:val="0BA80A25"/>
    <w:rsid w:val="0C6D2399"/>
    <w:rsid w:val="0E255E50"/>
    <w:rsid w:val="10015C6C"/>
    <w:rsid w:val="113B4A52"/>
    <w:rsid w:val="11720C27"/>
    <w:rsid w:val="126B38A0"/>
    <w:rsid w:val="139748B1"/>
    <w:rsid w:val="13EC63BC"/>
    <w:rsid w:val="13F111F5"/>
    <w:rsid w:val="15C070CE"/>
    <w:rsid w:val="1787048B"/>
    <w:rsid w:val="17B00626"/>
    <w:rsid w:val="1826220B"/>
    <w:rsid w:val="18B711ED"/>
    <w:rsid w:val="18E5190D"/>
    <w:rsid w:val="18F20BDD"/>
    <w:rsid w:val="198E735A"/>
    <w:rsid w:val="19AB1C9B"/>
    <w:rsid w:val="1A5411D1"/>
    <w:rsid w:val="1A655C80"/>
    <w:rsid w:val="1AD856B8"/>
    <w:rsid w:val="1B1130D9"/>
    <w:rsid w:val="1EBA2EF4"/>
    <w:rsid w:val="1ED5254A"/>
    <w:rsid w:val="1F6258ED"/>
    <w:rsid w:val="1F8534B3"/>
    <w:rsid w:val="1FF12081"/>
    <w:rsid w:val="20742014"/>
    <w:rsid w:val="21042A9E"/>
    <w:rsid w:val="21FE64EE"/>
    <w:rsid w:val="2288155B"/>
    <w:rsid w:val="22C00CF5"/>
    <w:rsid w:val="246F302E"/>
    <w:rsid w:val="24705D17"/>
    <w:rsid w:val="24BC0882"/>
    <w:rsid w:val="26E841B8"/>
    <w:rsid w:val="26FC7303"/>
    <w:rsid w:val="2A7A5C2D"/>
    <w:rsid w:val="2A8675BA"/>
    <w:rsid w:val="2B5D643F"/>
    <w:rsid w:val="2BED5B4E"/>
    <w:rsid w:val="2BF72D9D"/>
    <w:rsid w:val="2D6A3D37"/>
    <w:rsid w:val="2DD42D3E"/>
    <w:rsid w:val="2F945E90"/>
    <w:rsid w:val="2FFE4252"/>
    <w:rsid w:val="31C26BC9"/>
    <w:rsid w:val="32560D2E"/>
    <w:rsid w:val="34D23635"/>
    <w:rsid w:val="35472BB0"/>
    <w:rsid w:val="357F059C"/>
    <w:rsid w:val="35FE5964"/>
    <w:rsid w:val="362D4551"/>
    <w:rsid w:val="3687363A"/>
    <w:rsid w:val="36B717F1"/>
    <w:rsid w:val="36F55647"/>
    <w:rsid w:val="38596388"/>
    <w:rsid w:val="389A0FAF"/>
    <w:rsid w:val="38DA3334"/>
    <w:rsid w:val="38E2243D"/>
    <w:rsid w:val="390F6F72"/>
    <w:rsid w:val="39541CAF"/>
    <w:rsid w:val="398F777C"/>
    <w:rsid w:val="3C671EBA"/>
    <w:rsid w:val="3D262A0D"/>
    <w:rsid w:val="3F407A89"/>
    <w:rsid w:val="3F444230"/>
    <w:rsid w:val="3F741CF1"/>
    <w:rsid w:val="3FFE6138"/>
    <w:rsid w:val="40A36E02"/>
    <w:rsid w:val="417706DE"/>
    <w:rsid w:val="431542ED"/>
    <w:rsid w:val="439A443F"/>
    <w:rsid w:val="43B65AD0"/>
    <w:rsid w:val="44260916"/>
    <w:rsid w:val="445721D7"/>
    <w:rsid w:val="44892078"/>
    <w:rsid w:val="45333ED7"/>
    <w:rsid w:val="45E266AE"/>
    <w:rsid w:val="46431172"/>
    <w:rsid w:val="48BA3481"/>
    <w:rsid w:val="48DA7D14"/>
    <w:rsid w:val="490270C2"/>
    <w:rsid w:val="492151FA"/>
    <w:rsid w:val="496343A9"/>
    <w:rsid w:val="49F96717"/>
    <w:rsid w:val="4A58168F"/>
    <w:rsid w:val="4ABD14F2"/>
    <w:rsid w:val="4B99257B"/>
    <w:rsid w:val="4C3677AE"/>
    <w:rsid w:val="4DC24624"/>
    <w:rsid w:val="4E9C5AF4"/>
    <w:rsid w:val="4F7F5615"/>
    <w:rsid w:val="4FB6171E"/>
    <w:rsid w:val="500B0223"/>
    <w:rsid w:val="525677B3"/>
    <w:rsid w:val="5402559F"/>
    <w:rsid w:val="56001D24"/>
    <w:rsid w:val="561E64DA"/>
    <w:rsid w:val="576D7FCF"/>
    <w:rsid w:val="57F0777E"/>
    <w:rsid w:val="58B23F52"/>
    <w:rsid w:val="59CA6800"/>
    <w:rsid w:val="5A650404"/>
    <w:rsid w:val="5AD37742"/>
    <w:rsid w:val="5ADB1AF7"/>
    <w:rsid w:val="5BDA06D6"/>
    <w:rsid w:val="5D861D7E"/>
    <w:rsid w:val="60F90953"/>
    <w:rsid w:val="61304170"/>
    <w:rsid w:val="61AB7E9F"/>
    <w:rsid w:val="62864468"/>
    <w:rsid w:val="62A6349C"/>
    <w:rsid w:val="62DF57A3"/>
    <w:rsid w:val="63AA43BE"/>
    <w:rsid w:val="657F0ED1"/>
    <w:rsid w:val="664D6E1D"/>
    <w:rsid w:val="678E4DC9"/>
    <w:rsid w:val="67FC244F"/>
    <w:rsid w:val="681542FE"/>
    <w:rsid w:val="68F100BA"/>
    <w:rsid w:val="68F22FB3"/>
    <w:rsid w:val="68F61B57"/>
    <w:rsid w:val="6B3C600C"/>
    <w:rsid w:val="6C8657F1"/>
    <w:rsid w:val="6D3B334F"/>
    <w:rsid w:val="6FB70357"/>
    <w:rsid w:val="6FDE5302"/>
    <w:rsid w:val="711A6178"/>
    <w:rsid w:val="726B5596"/>
    <w:rsid w:val="74E140B0"/>
    <w:rsid w:val="75617C3A"/>
    <w:rsid w:val="75784980"/>
    <w:rsid w:val="758766C2"/>
    <w:rsid w:val="7654576D"/>
    <w:rsid w:val="76714625"/>
    <w:rsid w:val="78125F0A"/>
    <w:rsid w:val="78414C61"/>
    <w:rsid w:val="78636697"/>
    <w:rsid w:val="7A267238"/>
    <w:rsid w:val="7A8279C3"/>
    <w:rsid w:val="7C5F46A2"/>
    <w:rsid w:val="7D605B8A"/>
    <w:rsid w:val="7D85048D"/>
    <w:rsid w:val="7DBF6D54"/>
    <w:rsid w:val="7DFB153C"/>
    <w:rsid w:val="7F41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33"/>
    <w:autoRedefine/>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4">
    <w:name w:val="heading 2"/>
    <w:basedOn w:val="1"/>
    <w:next w:val="1"/>
    <w:link w:val="34"/>
    <w:autoRedefine/>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5">
    <w:name w:val="heading 3"/>
    <w:basedOn w:val="1"/>
    <w:next w:val="1"/>
    <w:link w:val="35"/>
    <w:autoRedefine/>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方正仿宋_GBK" w:eastAsia="方正仿宋_GBK"/>
    </w:rPr>
  </w:style>
  <w:style w:type="paragraph" w:styleId="6">
    <w:name w:val="Normal Indent"/>
    <w:basedOn w:val="1"/>
    <w:next w:val="7"/>
    <w:autoRedefine/>
    <w:qFormat/>
    <w:uiPriority w:val="99"/>
    <w:pPr>
      <w:adjustRightInd w:val="0"/>
      <w:snapToGrid w:val="0"/>
      <w:spacing w:line="360" w:lineRule="auto"/>
      <w:ind w:firstLine="420"/>
    </w:pPr>
    <w:rPr>
      <w:szCs w:val="20"/>
    </w:rPr>
  </w:style>
  <w:style w:type="paragraph" w:styleId="7">
    <w:name w:val="Body Text"/>
    <w:basedOn w:val="1"/>
    <w:next w:val="1"/>
    <w:link w:val="36"/>
    <w:autoRedefine/>
    <w:unhideWhenUsed/>
    <w:qFormat/>
    <w:uiPriority w:val="99"/>
    <w:pPr>
      <w:spacing w:after="120"/>
    </w:pPr>
    <w:rPr>
      <w:rFonts w:ascii="Times New Roman" w:hAnsi="Times New Roman" w:cs="Times New Roman"/>
      <w:kern w:val="2"/>
      <w:sz w:val="28"/>
      <w:szCs w:val="28"/>
      <w:lang w:val="zh-CN"/>
    </w:rPr>
  </w:style>
  <w:style w:type="paragraph" w:styleId="8">
    <w:name w:val="Document Map"/>
    <w:basedOn w:val="1"/>
    <w:link w:val="37"/>
    <w:autoRedefine/>
    <w:semiHidden/>
    <w:qFormat/>
    <w:uiPriority w:val="99"/>
    <w:pPr>
      <w:shd w:val="clear" w:color="auto" w:fill="000080"/>
    </w:pPr>
    <w:rPr>
      <w:rFonts w:ascii="Times New Roman" w:hAnsi="Times New Roman" w:cs="Times New Roman"/>
      <w:sz w:val="2"/>
      <w:szCs w:val="2"/>
      <w:lang w:val="zh-CN"/>
    </w:rPr>
  </w:style>
  <w:style w:type="paragraph" w:styleId="9">
    <w:name w:val="annotation text"/>
    <w:basedOn w:val="1"/>
    <w:link w:val="38"/>
    <w:autoRedefine/>
    <w:unhideWhenUsed/>
    <w:qFormat/>
    <w:uiPriority w:val="99"/>
    <w:rPr>
      <w:rFonts w:ascii="Times New Roman" w:hAnsi="Times New Roman" w:cs="Times New Roman"/>
      <w:kern w:val="2"/>
      <w:sz w:val="28"/>
      <w:szCs w:val="28"/>
      <w:lang w:val="zh-CN"/>
    </w:rPr>
  </w:style>
  <w:style w:type="paragraph" w:styleId="10">
    <w:name w:val="Body Text Indent"/>
    <w:basedOn w:val="1"/>
    <w:link w:val="39"/>
    <w:autoRedefine/>
    <w:qFormat/>
    <w:uiPriority w:val="99"/>
    <w:pPr>
      <w:spacing w:line="700" w:lineRule="exact"/>
      <w:ind w:left="960"/>
    </w:pPr>
    <w:rPr>
      <w:rFonts w:ascii="Times New Roman" w:hAnsi="Times New Roman" w:cs="Times New Roman"/>
      <w:sz w:val="20"/>
      <w:szCs w:val="20"/>
      <w:lang w:val="zh-CN"/>
    </w:rPr>
  </w:style>
  <w:style w:type="paragraph" w:styleId="11">
    <w:name w:val="toc 3"/>
    <w:basedOn w:val="1"/>
    <w:next w:val="1"/>
    <w:autoRedefine/>
    <w:qFormat/>
    <w:uiPriority w:val="39"/>
    <w:pPr>
      <w:tabs>
        <w:tab w:val="right" w:leader="dot" w:pos="8303"/>
      </w:tabs>
      <w:spacing w:line="540" w:lineRule="exact"/>
      <w:ind w:left="1120" w:leftChars="400"/>
    </w:pPr>
  </w:style>
  <w:style w:type="paragraph" w:styleId="12">
    <w:name w:val="Plain Text"/>
    <w:basedOn w:val="1"/>
    <w:link w:val="40"/>
    <w:autoRedefine/>
    <w:qFormat/>
    <w:uiPriority w:val="99"/>
    <w:rPr>
      <w:rFonts w:hAnsi="Courier New" w:cs="Times New Roman"/>
      <w:sz w:val="21"/>
      <w:szCs w:val="21"/>
      <w:lang w:val="zh-CN"/>
    </w:rPr>
  </w:style>
  <w:style w:type="paragraph" w:styleId="13">
    <w:name w:val="Date"/>
    <w:basedOn w:val="1"/>
    <w:next w:val="1"/>
    <w:link w:val="41"/>
    <w:autoRedefine/>
    <w:qFormat/>
    <w:uiPriority w:val="99"/>
    <w:rPr>
      <w:rFonts w:ascii="Times New Roman" w:hAnsi="Times New Roman" w:cs="Times New Roman"/>
      <w:sz w:val="20"/>
      <w:szCs w:val="20"/>
      <w:lang w:val="zh-CN"/>
    </w:rPr>
  </w:style>
  <w:style w:type="paragraph" w:styleId="14">
    <w:name w:val="Body Text Indent 2"/>
    <w:basedOn w:val="1"/>
    <w:link w:val="42"/>
    <w:autoRedefine/>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5">
    <w:name w:val="Balloon Text"/>
    <w:basedOn w:val="1"/>
    <w:link w:val="43"/>
    <w:autoRedefine/>
    <w:semiHidden/>
    <w:qFormat/>
    <w:uiPriority w:val="99"/>
    <w:rPr>
      <w:rFonts w:ascii="Times New Roman" w:hAnsi="Times New Roman" w:cs="Times New Roman"/>
      <w:sz w:val="2"/>
      <w:szCs w:val="2"/>
      <w:lang w:val="zh-CN"/>
    </w:rPr>
  </w:style>
  <w:style w:type="paragraph" w:styleId="16">
    <w:name w:val="footer"/>
    <w:basedOn w:val="1"/>
    <w:link w:val="44"/>
    <w:autoRedefine/>
    <w:qFormat/>
    <w:uiPriority w:val="99"/>
    <w:pPr>
      <w:tabs>
        <w:tab w:val="center" w:pos="4153"/>
        <w:tab w:val="right" w:pos="8306"/>
      </w:tabs>
      <w:snapToGrid w:val="0"/>
    </w:pPr>
    <w:rPr>
      <w:rFonts w:ascii="Times New Roman" w:hAnsi="Times New Roman" w:cs="Times New Roman"/>
      <w:sz w:val="18"/>
      <w:szCs w:val="18"/>
      <w:lang w:val="zh-CN"/>
    </w:rPr>
  </w:style>
  <w:style w:type="paragraph" w:styleId="17">
    <w:name w:val="header"/>
    <w:basedOn w:val="1"/>
    <w:link w:val="45"/>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8">
    <w:name w:val="toc 1"/>
    <w:basedOn w:val="1"/>
    <w:next w:val="1"/>
    <w:autoRedefine/>
    <w:qFormat/>
    <w:uiPriority w:val="39"/>
    <w:pPr>
      <w:tabs>
        <w:tab w:val="right" w:leader="dot" w:pos="8303"/>
      </w:tabs>
      <w:spacing w:line="300" w:lineRule="exact"/>
    </w:pPr>
    <w:rPr>
      <w:rFonts w:ascii="仿宋_GB2312" w:hAnsi="华文中宋" w:eastAsia="仿宋_GB2312" w:cs="仿宋_GB2312"/>
      <w:b/>
      <w:bCs/>
    </w:rPr>
  </w:style>
  <w:style w:type="paragraph" w:styleId="19">
    <w:name w:val="toc 2"/>
    <w:basedOn w:val="1"/>
    <w:next w:val="1"/>
    <w:autoRedefine/>
    <w:qFormat/>
    <w:uiPriority w:val="39"/>
    <w:pPr>
      <w:tabs>
        <w:tab w:val="right" w:leader="dot" w:pos="8303"/>
      </w:tabs>
      <w:spacing w:line="360" w:lineRule="auto"/>
      <w:ind w:left="278"/>
    </w:pPr>
    <w:rPr>
      <w:rFonts w:ascii="仿宋_GB2312" w:hAnsi="华文中宋" w:eastAsia="仿宋_GB2312" w:cs="仿宋_GB2312"/>
    </w:rPr>
  </w:style>
  <w:style w:type="paragraph" w:styleId="20">
    <w:name w:val="Body Text 2"/>
    <w:basedOn w:val="1"/>
    <w:link w:val="46"/>
    <w:autoRedefine/>
    <w:unhideWhenUsed/>
    <w:qFormat/>
    <w:uiPriority w:val="99"/>
    <w:pPr>
      <w:spacing w:after="120" w:line="480" w:lineRule="auto"/>
    </w:pPr>
    <w:rPr>
      <w:rFonts w:cs="Times New Roman"/>
      <w:lang w:val="zh-CN"/>
    </w:rPr>
  </w:style>
  <w:style w:type="paragraph" w:styleId="21">
    <w:name w:val="Normal (Web)"/>
    <w:basedOn w:val="1"/>
    <w:autoRedefine/>
    <w:qFormat/>
    <w:uiPriority w:val="99"/>
    <w:pPr>
      <w:spacing w:before="100" w:beforeAutospacing="1" w:after="100" w:afterAutospacing="1"/>
    </w:pPr>
    <w:rPr>
      <w:color w:val="000000"/>
    </w:rPr>
  </w:style>
  <w:style w:type="paragraph" w:styleId="22">
    <w:name w:val="annotation subject"/>
    <w:basedOn w:val="9"/>
    <w:next w:val="9"/>
    <w:link w:val="47"/>
    <w:autoRedefine/>
    <w:unhideWhenUsed/>
    <w:qFormat/>
    <w:uiPriority w:val="99"/>
    <w:rPr>
      <w:b/>
      <w:bCs/>
    </w:rPr>
  </w:style>
  <w:style w:type="paragraph" w:styleId="23">
    <w:name w:val="Body Text First Indent"/>
    <w:basedOn w:val="7"/>
    <w:link w:val="48"/>
    <w:autoRedefine/>
    <w:qFormat/>
    <w:uiPriority w:val="0"/>
    <w:pPr>
      <w:ind w:firstLine="420"/>
    </w:pPr>
  </w:style>
  <w:style w:type="table" w:styleId="25">
    <w:name w:val="Table Grid"/>
    <w:basedOn w:val="24"/>
    <w:autoRedefine/>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22"/>
    <w:rPr>
      <w:b/>
    </w:rPr>
  </w:style>
  <w:style w:type="character" w:styleId="28">
    <w:name w:val="page number"/>
    <w:basedOn w:val="26"/>
    <w:autoRedefine/>
    <w:qFormat/>
    <w:uiPriority w:val="0"/>
    <w:rPr>
      <w:rFonts w:cs="Times New Roman"/>
    </w:rPr>
  </w:style>
  <w:style w:type="character" w:styleId="29">
    <w:name w:val="Hyperlink"/>
    <w:autoRedefine/>
    <w:qFormat/>
    <w:uiPriority w:val="99"/>
    <w:rPr>
      <w:rFonts w:cs="Times New Roman"/>
      <w:color w:val="0000FF"/>
      <w:u w:val="single"/>
    </w:rPr>
  </w:style>
  <w:style w:type="character" w:styleId="30">
    <w:name w:val="annotation reference"/>
    <w:autoRedefine/>
    <w:unhideWhenUsed/>
    <w:qFormat/>
    <w:uiPriority w:val="99"/>
    <w:rPr>
      <w:sz w:val="21"/>
      <w:szCs w:val="21"/>
    </w:rPr>
  </w:style>
  <w:style w:type="paragraph" w:customStyle="1" w:styleId="31">
    <w:name w:val="Default"/>
    <w:autoRedefine/>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标书正文1"/>
    <w:basedOn w:val="1"/>
    <w:autoRedefine/>
    <w:qFormat/>
    <w:uiPriority w:val="99"/>
    <w:pPr>
      <w:spacing w:line="520" w:lineRule="exact"/>
      <w:ind w:firstLine="640" w:firstLineChars="200"/>
    </w:pPr>
  </w:style>
  <w:style w:type="character" w:customStyle="1" w:styleId="33">
    <w:name w:val="标题 1 字符"/>
    <w:basedOn w:val="26"/>
    <w:link w:val="3"/>
    <w:autoRedefine/>
    <w:qFormat/>
    <w:uiPriority w:val="99"/>
    <w:rPr>
      <w:rFonts w:ascii="Times New Roman" w:hAnsi="Times New Roman" w:eastAsia="宋体" w:cs="Times New Roman"/>
      <w:b/>
      <w:bCs/>
      <w:kern w:val="44"/>
      <w:sz w:val="44"/>
      <w:szCs w:val="44"/>
      <w:lang w:val="zh-CN" w:eastAsia="zh-CN"/>
    </w:rPr>
  </w:style>
  <w:style w:type="character" w:customStyle="1" w:styleId="34">
    <w:name w:val="标题 2 字符"/>
    <w:basedOn w:val="26"/>
    <w:link w:val="4"/>
    <w:autoRedefine/>
    <w:qFormat/>
    <w:uiPriority w:val="99"/>
    <w:rPr>
      <w:rFonts w:ascii="Cambria" w:hAnsi="Cambria" w:eastAsia="宋体" w:cs="Times New Roman"/>
      <w:b/>
      <w:bCs/>
      <w:kern w:val="0"/>
      <w:sz w:val="32"/>
      <w:szCs w:val="32"/>
      <w:lang w:val="zh-CN" w:eastAsia="zh-CN"/>
    </w:rPr>
  </w:style>
  <w:style w:type="character" w:customStyle="1" w:styleId="35">
    <w:name w:val="标题 3 字符"/>
    <w:basedOn w:val="26"/>
    <w:link w:val="5"/>
    <w:autoRedefine/>
    <w:qFormat/>
    <w:uiPriority w:val="0"/>
    <w:rPr>
      <w:rFonts w:ascii="Times New Roman" w:hAnsi="Times New Roman" w:eastAsia="宋体" w:cs="Times New Roman"/>
      <w:b/>
      <w:bCs/>
      <w:kern w:val="0"/>
      <w:sz w:val="32"/>
      <w:szCs w:val="32"/>
      <w:lang w:val="zh-CN" w:eastAsia="zh-CN"/>
    </w:rPr>
  </w:style>
  <w:style w:type="character" w:customStyle="1" w:styleId="36">
    <w:name w:val="正文文本 字符"/>
    <w:basedOn w:val="26"/>
    <w:link w:val="7"/>
    <w:autoRedefine/>
    <w:qFormat/>
    <w:uiPriority w:val="99"/>
    <w:rPr>
      <w:rFonts w:ascii="Times New Roman" w:hAnsi="Times New Roman" w:eastAsia="宋体" w:cs="Times New Roman"/>
      <w:sz w:val="28"/>
      <w:szCs w:val="28"/>
      <w:lang w:val="zh-CN" w:eastAsia="zh-CN"/>
    </w:rPr>
  </w:style>
  <w:style w:type="character" w:customStyle="1" w:styleId="37">
    <w:name w:val="文档结构图 字符"/>
    <w:basedOn w:val="26"/>
    <w:link w:val="8"/>
    <w:autoRedefine/>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38">
    <w:name w:val="批注文字 字符"/>
    <w:basedOn w:val="26"/>
    <w:link w:val="9"/>
    <w:autoRedefine/>
    <w:qFormat/>
    <w:uiPriority w:val="99"/>
    <w:rPr>
      <w:rFonts w:ascii="Times New Roman" w:hAnsi="Times New Roman" w:eastAsia="宋体" w:cs="Times New Roman"/>
      <w:sz w:val="28"/>
      <w:szCs w:val="28"/>
      <w:lang w:val="zh-CN" w:eastAsia="zh-CN"/>
    </w:rPr>
  </w:style>
  <w:style w:type="character" w:customStyle="1" w:styleId="39">
    <w:name w:val="正文文本缩进 字符"/>
    <w:basedOn w:val="26"/>
    <w:link w:val="10"/>
    <w:autoRedefine/>
    <w:qFormat/>
    <w:uiPriority w:val="99"/>
    <w:rPr>
      <w:rFonts w:ascii="Times New Roman" w:hAnsi="Times New Roman" w:eastAsia="宋体" w:cs="Times New Roman"/>
      <w:kern w:val="0"/>
      <w:sz w:val="20"/>
      <w:szCs w:val="20"/>
      <w:lang w:val="zh-CN" w:eastAsia="zh-CN"/>
    </w:rPr>
  </w:style>
  <w:style w:type="character" w:customStyle="1" w:styleId="40">
    <w:name w:val="纯文本 字符"/>
    <w:basedOn w:val="26"/>
    <w:link w:val="12"/>
    <w:autoRedefine/>
    <w:qFormat/>
    <w:uiPriority w:val="99"/>
    <w:rPr>
      <w:rFonts w:ascii="宋体" w:hAnsi="Courier New" w:eastAsia="宋体" w:cs="Times New Roman"/>
      <w:kern w:val="0"/>
      <w:szCs w:val="21"/>
      <w:lang w:val="zh-CN" w:eastAsia="zh-CN"/>
    </w:rPr>
  </w:style>
  <w:style w:type="character" w:customStyle="1" w:styleId="41">
    <w:name w:val="日期 字符"/>
    <w:basedOn w:val="26"/>
    <w:link w:val="13"/>
    <w:autoRedefine/>
    <w:qFormat/>
    <w:uiPriority w:val="99"/>
    <w:rPr>
      <w:rFonts w:ascii="Times New Roman" w:hAnsi="Times New Roman" w:eastAsia="宋体" w:cs="Times New Roman"/>
      <w:kern w:val="0"/>
      <w:sz w:val="20"/>
      <w:szCs w:val="20"/>
      <w:lang w:val="zh-CN" w:eastAsia="zh-CN"/>
    </w:rPr>
  </w:style>
  <w:style w:type="character" w:customStyle="1" w:styleId="42">
    <w:name w:val="正文文本缩进 2 字符"/>
    <w:basedOn w:val="26"/>
    <w:link w:val="14"/>
    <w:autoRedefine/>
    <w:qFormat/>
    <w:uiPriority w:val="99"/>
    <w:rPr>
      <w:rFonts w:ascii="Times New Roman" w:hAnsi="Times New Roman" w:eastAsia="宋体" w:cs="Times New Roman"/>
      <w:sz w:val="28"/>
      <w:szCs w:val="28"/>
      <w:lang w:val="zh-CN" w:eastAsia="zh-CN"/>
    </w:rPr>
  </w:style>
  <w:style w:type="character" w:customStyle="1" w:styleId="43">
    <w:name w:val="批注框文本 字符"/>
    <w:basedOn w:val="26"/>
    <w:link w:val="15"/>
    <w:autoRedefine/>
    <w:semiHidden/>
    <w:qFormat/>
    <w:uiPriority w:val="99"/>
    <w:rPr>
      <w:rFonts w:ascii="Times New Roman" w:hAnsi="Times New Roman" w:eastAsia="宋体" w:cs="Times New Roman"/>
      <w:kern w:val="0"/>
      <w:sz w:val="2"/>
      <w:szCs w:val="2"/>
      <w:lang w:val="zh-CN" w:eastAsia="zh-CN"/>
    </w:rPr>
  </w:style>
  <w:style w:type="character" w:customStyle="1" w:styleId="44">
    <w:name w:val="页脚 字符"/>
    <w:basedOn w:val="26"/>
    <w:link w:val="16"/>
    <w:autoRedefine/>
    <w:qFormat/>
    <w:uiPriority w:val="99"/>
    <w:rPr>
      <w:rFonts w:ascii="Times New Roman" w:hAnsi="Times New Roman" w:eastAsia="宋体" w:cs="Times New Roman"/>
      <w:kern w:val="0"/>
      <w:sz w:val="18"/>
      <w:szCs w:val="18"/>
      <w:lang w:val="zh-CN" w:eastAsia="zh-CN"/>
    </w:rPr>
  </w:style>
  <w:style w:type="character" w:customStyle="1" w:styleId="45">
    <w:name w:val="页眉 字符"/>
    <w:basedOn w:val="26"/>
    <w:link w:val="17"/>
    <w:autoRedefine/>
    <w:qFormat/>
    <w:uiPriority w:val="0"/>
    <w:rPr>
      <w:rFonts w:ascii="Times New Roman" w:hAnsi="Times New Roman" w:eastAsia="宋体" w:cs="Times New Roman"/>
      <w:kern w:val="0"/>
      <w:sz w:val="18"/>
      <w:szCs w:val="18"/>
      <w:lang w:val="zh-CN" w:eastAsia="zh-CN"/>
    </w:rPr>
  </w:style>
  <w:style w:type="character" w:customStyle="1" w:styleId="46">
    <w:name w:val="正文文本 2 字符"/>
    <w:basedOn w:val="26"/>
    <w:link w:val="20"/>
    <w:autoRedefine/>
    <w:qFormat/>
    <w:uiPriority w:val="99"/>
    <w:rPr>
      <w:rFonts w:ascii="宋体" w:hAnsi="宋体" w:eastAsia="宋体" w:cs="Times New Roman"/>
      <w:kern w:val="0"/>
      <w:sz w:val="24"/>
      <w:lang w:val="zh-CN" w:eastAsia="zh-CN"/>
    </w:rPr>
  </w:style>
  <w:style w:type="character" w:customStyle="1" w:styleId="47">
    <w:name w:val="批注主题 字符"/>
    <w:basedOn w:val="38"/>
    <w:link w:val="22"/>
    <w:autoRedefine/>
    <w:qFormat/>
    <w:uiPriority w:val="99"/>
    <w:rPr>
      <w:rFonts w:ascii="Times New Roman" w:hAnsi="Times New Roman" w:eastAsia="宋体" w:cs="Times New Roman"/>
      <w:b/>
      <w:bCs/>
      <w:sz w:val="28"/>
      <w:szCs w:val="28"/>
      <w:lang w:val="zh-CN" w:eastAsia="zh-CN"/>
    </w:rPr>
  </w:style>
  <w:style w:type="character" w:customStyle="1" w:styleId="48">
    <w:name w:val="正文文本首行缩进 字符"/>
    <w:basedOn w:val="36"/>
    <w:link w:val="23"/>
    <w:autoRedefine/>
    <w:qFormat/>
    <w:uiPriority w:val="0"/>
    <w:rPr>
      <w:rFonts w:ascii="宋体" w:hAnsi="宋体" w:eastAsia="宋体" w:cs="宋体"/>
      <w:kern w:val="0"/>
      <w:sz w:val="24"/>
      <w:szCs w:val="28"/>
      <w:lang w:val="zh-CN" w:eastAsia="zh-CN"/>
    </w:rPr>
  </w:style>
  <w:style w:type="paragraph" w:customStyle="1" w:styleId="49">
    <w:name w:val="正文文本 21"/>
    <w:basedOn w:val="1"/>
    <w:autoRedefine/>
    <w:qFormat/>
    <w:uiPriority w:val="0"/>
    <w:pPr>
      <w:snapToGrid w:val="0"/>
      <w:spacing w:line="540" w:lineRule="exact"/>
    </w:pPr>
    <w:rPr>
      <w:rFonts w:eastAsia="方正仿宋_GBK"/>
      <w:color w:val="000000"/>
    </w:rPr>
  </w:style>
  <w:style w:type="paragraph" w:customStyle="1" w:styleId="5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1">
    <w:name w:val="emphasizedtitle1"/>
    <w:autoRedefine/>
    <w:qFormat/>
    <w:uiPriority w:val="99"/>
    <w:rPr>
      <w:rFonts w:ascii="Arial" w:hAnsi="Arial"/>
      <w:b/>
      <w:sz w:val="27"/>
    </w:rPr>
  </w:style>
  <w:style w:type="character" w:customStyle="1" w:styleId="52">
    <w:name w:val="font21"/>
    <w:autoRedefine/>
    <w:qFormat/>
    <w:uiPriority w:val="0"/>
    <w:rPr>
      <w:rFonts w:ascii="宋体" w:eastAsia="宋体" w:cs="宋体"/>
      <w:color w:val="000000"/>
      <w:sz w:val="20"/>
      <w:szCs w:val="20"/>
      <w:u w:val="none"/>
    </w:rPr>
  </w:style>
  <w:style w:type="character" w:customStyle="1" w:styleId="53">
    <w:name w:val="apple-converted-space"/>
    <w:autoRedefine/>
    <w:qFormat/>
    <w:uiPriority w:val="99"/>
    <w:rPr>
      <w:rFonts w:cs="Times New Roman"/>
    </w:rPr>
  </w:style>
  <w:style w:type="character" w:customStyle="1" w:styleId="54">
    <w:name w:val="active"/>
    <w:autoRedefine/>
    <w:qFormat/>
    <w:uiPriority w:val="0"/>
    <w:rPr>
      <w:shd w:val="clear" w:color="auto" w:fill="EC3535"/>
    </w:rPr>
  </w:style>
  <w:style w:type="character" w:customStyle="1" w:styleId="55">
    <w:name w:val="样式 (中文) 仿宋_GB2312 小四 行距: 固定值 22 磅 Char"/>
    <w:link w:val="56"/>
    <w:autoRedefine/>
    <w:qFormat/>
    <w:uiPriority w:val="0"/>
    <w:rPr>
      <w:rFonts w:eastAsia="仿宋_GB2312"/>
      <w:sz w:val="24"/>
    </w:rPr>
  </w:style>
  <w:style w:type="paragraph" w:customStyle="1" w:styleId="56">
    <w:name w:val="样式 (中文) 仿宋_GB2312 小四 行距: 固定值 22 磅"/>
    <w:basedOn w:val="1"/>
    <w:link w:val="55"/>
    <w:autoRedefine/>
    <w:qFormat/>
    <w:uiPriority w:val="0"/>
    <w:pPr>
      <w:spacing w:line="400" w:lineRule="exact"/>
      <w:ind w:firstLine="150" w:firstLineChars="150"/>
    </w:pPr>
    <w:rPr>
      <w:rFonts w:eastAsia="仿宋_GB2312" w:asciiTheme="minorHAnsi" w:hAnsiTheme="minorHAnsi" w:cstheme="minorBidi"/>
      <w:kern w:val="2"/>
    </w:rPr>
  </w:style>
  <w:style w:type="character" w:customStyle="1" w:styleId="57">
    <w:name w:val="maincontenttable"/>
    <w:autoRedefine/>
    <w:qFormat/>
    <w:uiPriority w:val="99"/>
    <w:rPr>
      <w:rFonts w:cs="Times New Roman"/>
    </w:rPr>
  </w:style>
  <w:style w:type="paragraph" w:customStyle="1" w:styleId="58">
    <w:name w:val="Char1 Char Char Char"/>
    <w:basedOn w:val="1"/>
    <w:autoRedefine/>
    <w:qFormat/>
    <w:uiPriority w:val="99"/>
    <w:rPr>
      <w:rFonts w:ascii="Tahoma" w:hAnsi="Tahoma" w:cs="Tahoma"/>
      <w:sz w:val="30"/>
      <w:szCs w:val="30"/>
    </w:rPr>
  </w:style>
  <w:style w:type="paragraph" w:customStyle="1" w:styleId="59">
    <w:name w:val="Char Char Char Char Char Char Char Char Char Char"/>
    <w:basedOn w:val="1"/>
    <w:autoRedefine/>
    <w:qFormat/>
    <w:uiPriority w:val="99"/>
    <w:pPr>
      <w:tabs>
        <w:tab w:val="left" w:pos="360"/>
      </w:tabs>
      <w:ind w:left="360" w:hanging="360" w:hangingChars="200"/>
    </w:pPr>
  </w:style>
  <w:style w:type="paragraph" w:customStyle="1" w:styleId="60">
    <w:name w:val="op_exactqa_s_prop"/>
    <w:basedOn w:val="1"/>
    <w:autoRedefine/>
    <w:qFormat/>
    <w:uiPriority w:val="99"/>
  </w:style>
  <w:style w:type="paragraph" w:customStyle="1" w:styleId="61">
    <w:name w:val="Char"/>
    <w:basedOn w:val="1"/>
    <w:autoRedefine/>
    <w:qFormat/>
    <w:uiPriority w:val="99"/>
    <w:pPr>
      <w:spacing w:after="160" w:line="240" w:lineRule="exact"/>
    </w:pPr>
    <w:rPr>
      <w:rFonts w:ascii="Verdana" w:hAnsi="Verdana" w:eastAsia="仿宋_GB2312" w:cs="Verdana"/>
      <w:lang w:eastAsia="en-US"/>
    </w:rPr>
  </w:style>
  <w:style w:type="paragraph" w:customStyle="1" w:styleId="62">
    <w:name w:val="图例"/>
    <w:basedOn w:val="1"/>
    <w:autoRedefine/>
    <w:qFormat/>
    <w:uiPriority w:val="0"/>
    <w:pPr>
      <w:spacing w:before="120" w:after="120" w:line="360" w:lineRule="auto"/>
      <w:jc w:val="center"/>
    </w:pPr>
    <w:rPr>
      <w:rFonts w:eastAsia="仿宋_GB2312"/>
      <w:b/>
    </w:rPr>
  </w:style>
  <w:style w:type="paragraph" w:customStyle="1" w:styleId="63">
    <w:name w:val="Char Char Char Char"/>
    <w:basedOn w:val="1"/>
    <w:autoRedefine/>
    <w:qFormat/>
    <w:uiPriority w:val="99"/>
    <w:pPr>
      <w:spacing w:after="160" w:line="240" w:lineRule="exact"/>
    </w:pPr>
    <w:rPr>
      <w:rFonts w:ascii="Verdana" w:hAnsi="Verdana" w:cs="Verdana"/>
      <w:sz w:val="20"/>
      <w:szCs w:val="20"/>
      <w:lang w:eastAsia="en-US"/>
    </w:rPr>
  </w:style>
  <w:style w:type="paragraph" w:customStyle="1" w:styleId="64">
    <w:name w:val="_Style 7"/>
    <w:basedOn w:val="1"/>
    <w:autoRedefine/>
    <w:qFormat/>
    <w:uiPriority w:val="0"/>
    <w:pPr>
      <w:ind w:firstLine="200" w:firstLineChars="200"/>
    </w:pPr>
    <w:rPr>
      <w:rFonts w:ascii="等线" w:eastAsia="等线" w:cs="Times New Roman"/>
      <w:sz w:val="21"/>
      <w:szCs w:val="22"/>
    </w:rPr>
  </w:style>
  <w:style w:type="paragraph" w:customStyle="1" w:styleId="65">
    <w:name w:val="xl40"/>
    <w:basedOn w:val="1"/>
    <w:autoRedefine/>
    <w:qFormat/>
    <w:uiPriority w:val="99"/>
    <w:pPr>
      <w:pBdr>
        <w:left w:val="single" w:color="auto" w:sz="4" w:space="0"/>
        <w:right w:val="single" w:color="auto" w:sz="4" w:space="0"/>
      </w:pBdr>
      <w:spacing w:before="100" w:beforeAutospacing="1" w:after="100" w:afterAutospacing="1"/>
      <w:jc w:val="center"/>
    </w:pPr>
  </w:style>
  <w:style w:type="paragraph" w:customStyle="1" w:styleId="66">
    <w:name w:val="列表段落1"/>
    <w:basedOn w:val="1"/>
    <w:autoRedefine/>
    <w:unhideWhenUsed/>
    <w:qFormat/>
    <w:uiPriority w:val="99"/>
    <w:pPr>
      <w:ind w:firstLine="420" w:firstLineChars="200"/>
    </w:pPr>
  </w:style>
  <w:style w:type="paragraph" w:customStyle="1" w:styleId="67">
    <w:name w:val="1"/>
    <w:basedOn w:val="1"/>
    <w:next w:val="12"/>
    <w:autoRedefine/>
    <w:qFormat/>
    <w:uiPriority w:val="0"/>
    <w:rPr>
      <w:rFonts w:hAnsi="Courier New"/>
      <w:sz w:val="21"/>
      <w:szCs w:val="21"/>
    </w:rPr>
  </w:style>
  <w:style w:type="paragraph" w:customStyle="1" w:styleId="68">
    <w:name w:val="列出段落2"/>
    <w:basedOn w:val="1"/>
    <w:autoRedefine/>
    <w:unhideWhenUsed/>
    <w:qFormat/>
    <w:uiPriority w:val="99"/>
    <w:pPr>
      <w:ind w:firstLine="420" w:firstLineChars="200"/>
    </w:pPr>
  </w:style>
  <w:style w:type="paragraph" w:customStyle="1" w:styleId="69">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0">
    <w:name w:val="列出段落1"/>
    <w:basedOn w:val="1"/>
    <w:autoRedefine/>
    <w:qFormat/>
    <w:uiPriority w:val="99"/>
    <w:pPr>
      <w:ind w:firstLine="420" w:firstLineChars="200"/>
    </w:pPr>
    <w:rPr>
      <w:rFonts w:ascii="Calibri" w:hAnsi="Calibri"/>
      <w:sz w:val="21"/>
      <w:szCs w:val="22"/>
    </w:rPr>
  </w:style>
  <w:style w:type="paragraph" w:customStyle="1" w:styleId="7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标题 5（有编号）（绿盟科技）"/>
    <w:basedOn w:val="1"/>
    <w:next w:val="1"/>
    <w:autoRedefine/>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3">
    <w:name w:val="样式 样式 首行缩进:  2 字符 + 首行缩进:  2 字符"/>
    <w:basedOn w:val="1"/>
    <w:autoRedefine/>
    <w:qFormat/>
    <w:uiPriority w:val="0"/>
    <w:pPr>
      <w:numPr>
        <w:ilvl w:val="0"/>
        <w:numId w:val="1"/>
      </w:numPr>
      <w:tabs>
        <w:tab w:val="clear" w:pos="1230"/>
      </w:tabs>
      <w:spacing w:line="360" w:lineRule="auto"/>
      <w:ind w:firstLine="480" w:firstLineChars="200"/>
    </w:pPr>
    <w:rPr>
      <w:szCs w:val="20"/>
    </w:rPr>
  </w:style>
  <w:style w:type="character" w:customStyle="1" w:styleId="74">
    <w:name w:val="NormalCharacter"/>
    <w:autoRedefine/>
    <w:qFormat/>
    <w:uiPriority w:val="0"/>
    <w:rPr>
      <w:rFonts w:ascii="Calibri" w:hAnsi="Calibri" w:eastAsia="宋体"/>
    </w:rPr>
  </w:style>
  <w:style w:type="paragraph" w:styleId="75">
    <w:name w:val="List Paragraph"/>
    <w:basedOn w:val="1"/>
    <w:autoRedefine/>
    <w:qFormat/>
    <w:uiPriority w:val="99"/>
    <w:pPr>
      <w:widowControl w:val="0"/>
      <w:ind w:firstLine="420" w:firstLineChars="200"/>
      <w:jc w:val="both"/>
    </w:pPr>
    <w:rPr>
      <w:rFonts w:ascii="Calibri" w:hAnsi="Calibri" w:cs="Times New Roman"/>
      <w:kern w:val="2"/>
      <w:sz w:val="21"/>
    </w:rPr>
  </w:style>
  <w:style w:type="paragraph" w:customStyle="1" w:styleId="76">
    <w:name w:val="Normal_6b1eb2b1-915e-4520-a4ad-e896fdd76176"/>
    <w:next w:val="3"/>
    <w:autoRedefine/>
    <w:qFormat/>
    <w:uiPriority w:val="0"/>
    <w:rPr>
      <w:rFonts w:ascii="Times New Roman" w:hAnsi="Times New Roman" w:eastAsia="宋体" w:cs="Times New Roman"/>
      <w:sz w:val="21"/>
      <w:lang w:val="en-US" w:eastAsia="zh-CN" w:bidi="ar-SA"/>
    </w:rPr>
  </w:style>
  <w:style w:type="character" w:customStyle="1" w:styleId="77">
    <w:name w:val="font31"/>
    <w:basedOn w:val="26"/>
    <w:autoRedefine/>
    <w:qFormat/>
    <w:uiPriority w:val="0"/>
    <w:rPr>
      <w:rFonts w:hint="eastAsia" w:ascii="微软雅黑" w:hAnsi="微软雅黑" w:eastAsia="微软雅黑" w:cs="微软雅黑"/>
      <w:color w:val="000000"/>
      <w:sz w:val="19"/>
      <w:szCs w:val="19"/>
      <w:u w:val="none"/>
    </w:rPr>
  </w:style>
  <w:style w:type="paragraph" w:customStyle="1" w:styleId="78">
    <w:name w:val="样式5"/>
    <w:basedOn w:val="79"/>
    <w:autoRedefine/>
    <w:qFormat/>
    <w:uiPriority w:val="0"/>
    <w:pPr>
      <w:outlineLvl w:val="1"/>
    </w:pPr>
    <w:rPr>
      <w:snapToGrid w:val="0"/>
      <w:color w:val="000000"/>
      <w:kern w:val="0"/>
      <w:sz w:val="24"/>
      <w:szCs w:val="24"/>
    </w:rPr>
  </w:style>
  <w:style w:type="paragraph" w:customStyle="1" w:styleId="79">
    <w:name w:val="样式1"/>
    <w:basedOn w:val="3"/>
    <w:autoRedefine/>
    <w:qFormat/>
    <w:uiPriority w:val="0"/>
    <w:pPr>
      <w:snapToGrid/>
      <w:jc w:val="both"/>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B5009-B4C9-FB4E-9480-C727C9A8B43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4358</Words>
  <Characters>4575</Characters>
  <Lines>64</Lines>
  <Paragraphs>64</Paragraphs>
  <TotalTime>39</TotalTime>
  <ScaleCrop>false</ScaleCrop>
  <LinksUpToDate>false</LinksUpToDate>
  <CharactersWithSpaces>5026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2022-07-04T08:46:00Z</dcterms:created>
  <dc:creator>Haowen Yang</dc:creator>
  <cp:lastModifiedBy>俊杰</cp:lastModifiedBy>
  <cp:lastPrinted>2025-07-24T02:55:00Z</cp:lastPrinted>
  <dcterms:modified xsi:type="dcterms:W3CDTF">2025-07-25T06:48:00Z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642768418D5042C380100AE40BF1C4E5_13</vt:lpwstr>
  </property>
  <property fmtid="{D5CDD505-2E9C-101B-9397-08002B2CF9AE}" pid="4" name="KSOTemplateDocerSaveRecord">
    <vt:lpwstr>eyJoZGlkIjoiMTk4YzI0N2QwMTNmZGQ4ZWM4MWUzOTI5ZWVjMDE5OTciLCJ1c2VySWQiOiIyNTY3MTE1MzIifQ==</vt:lpwstr>
  </property>
</Properties>
</file>