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587F9">
      <w:pPr>
        <w:spacing w:line="1600" w:lineRule="exact"/>
        <w:jc w:val="center"/>
        <w:outlineLvl w:val="0"/>
        <w:rPr>
          <w:rFonts w:hint="default" w:ascii="Times New Roman" w:hAnsi="Times New Roman" w:eastAsia="仿宋" w:cs="Times New Roman"/>
          <w:bCs/>
          <w:color w:val="auto"/>
          <w:sz w:val="96"/>
          <w:szCs w:val="96"/>
          <w:highlight w:val="none"/>
          <w:lang w:eastAsia="zh-CN"/>
        </w:rPr>
      </w:pPr>
    </w:p>
    <w:p w14:paraId="2A99CF93">
      <w:pPr>
        <w:widowControl w:val="0"/>
        <w:spacing w:line="240" w:lineRule="auto"/>
        <w:ind w:firstLine="0" w:firstLineChars="0"/>
        <w:jc w:val="center"/>
        <w:rPr>
          <w:rFonts w:hint="default" w:ascii="Times New Roman" w:hAnsi="Times New Roman" w:eastAsia="方正仿宋_GBK" w:cs="Times New Roman"/>
          <w:b/>
          <w:bCs/>
          <w:sz w:val="100"/>
          <w:szCs w:val="100"/>
        </w:rPr>
      </w:pPr>
      <w:r>
        <w:rPr>
          <w:rFonts w:hint="default" w:ascii="Times New Roman" w:hAnsi="Times New Roman" w:eastAsia="方正仿宋_GBK" w:cs="Times New Roman"/>
          <w:b/>
          <w:bCs/>
          <w:sz w:val="100"/>
          <w:szCs w:val="100"/>
        </w:rPr>
        <w:t>行采家-电子竞采</w:t>
      </w:r>
    </w:p>
    <w:p w14:paraId="326A94C7">
      <w:pPr>
        <w:widowControl w:val="0"/>
        <w:spacing w:line="240" w:lineRule="auto"/>
        <w:ind w:firstLine="0" w:firstLineChars="0"/>
        <w:jc w:val="center"/>
        <w:rPr>
          <w:rFonts w:hint="default" w:ascii="Times New Roman" w:hAnsi="Times New Roman" w:eastAsia="方正仿宋_GBK" w:cs="Times New Roman"/>
          <w:sz w:val="100"/>
          <w:szCs w:val="100"/>
        </w:rPr>
      </w:pPr>
      <w:r>
        <w:rPr>
          <w:rFonts w:hint="default" w:ascii="Times New Roman" w:hAnsi="Times New Roman" w:eastAsia="方正仿宋_GBK" w:cs="Times New Roman"/>
          <w:b/>
          <w:bCs/>
          <w:sz w:val="100"/>
          <w:szCs w:val="100"/>
        </w:rPr>
        <w:t>网上</w:t>
      </w:r>
      <w:r>
        <w:rPr>
          <w:rFonts w:hint="eastAsia" w:eastAsia="方正仿宋_GBK" w:cs="Times New Roman"/>
          <w:b/>
          <w:bCs/>
          <w:sz w:val="100"/>
          <w:szCs w:val="100"/>
          <w:lang w:eastAsia="zh-CN"/>
        </w:rPr>
        <w:t>询</w:t>
      </w:r>
      <w:r>
        <w:rPr>
          <w:rFonts w:hint="default" w:ascii="Times New Roman" w:hAnsi="Times New Roman" w:eastAsia="方正仿宋_GBK" w:cs="Times New Roman"/>
          <w:b/>
          <w:bCs/>
          <w:sz w:val="100"/>
          <w:szCs w:val="100"/>
        </w:rPr>
        <w:t>比采购文件</w:t>
      </w:r>
    </w:p>
    <w:p w14:paraId="737D9D4B">
      <w:pPr>
        <w:spacing w:line="1600" w:lineRule="exact"/>
        <w:jc w:val="center"/>
        <w:outlineLvl w:val="0"/>
        <w:rPr>
          <w:rFonts w:hint="default" w:ascii="Times New Roman" w:hAnsi="Times New Roman" w:eastAsia="仿宋" w:cs="Times New Roman"/>
          <w:bCs/>
          <w:color w:val="auto"/>
          <w:sz w:val="96"/>
          <w:szCs w:val="96"/>
          <w:highlight w:val="none"/>
        </w:rPr>
      </w:pPr>
      <w:r>
        <w:rPr>
          <w:rFonts w:hint="default" w:ascii="Times New Roman" w:hAnsi="Times New Roman" w:eastAsia="方正仿宋_GBK" w:cs="Times New Roman"/>
          <w:b/>
          <w:bCs/>
          <w:sz w:val="48"/>
          <w:szCs w:val="48"/>
        </w:rPr>
        <w:t>（综合评分法）</w:t>
      </w:r>
    </w:p>
    <w:p w14:paraId="188FF3A1">
      <w:pPr>
        <w:pStyle w:val="8"/>
        <w:spacing w:line="500" w:lineRule="exact"/>
        <w:ind w:left="0"/>
        <w:jc w:val="center"/>
        <w:rPr>
          <w:rFonts w:hint="default" w:ascii="Times New Roman" w:hAnsi="Times New Roman" w:eastAsia="仿宋" w:cs="Times New Roman"/>
          <w:bCs/>
          <w:color w:val="auto"/>
          <w:sz w:val="32"/>
          <w:highlight w:val="none"/>
        </w:rPr>
      </w:pPr>
    </w:p>
    <w:p w14:paraId="408B44C9">
      <w:pPr>
        <w:pStyle w:val="8"/>
        <w:spacing w:line="500" w:lineRule="exact"/>
        <w:ind w:left="0"/>
        <w:jc w:val="center"/>
        <w:rPr>
          <w:rFonts w:hint="default" w:ascii="Times New Roman" w:hAnsi="Times New Roman" w:eastAsia="仿宋" w:cs="Times New Roman"/>
          <w:bCs/>
          <w:color w:val="auto"/>
          <w:sz w:val="32"/>
          <w:highlight w:val="none"/>
        </w:rPr>
      </w:pPr>
    </w:p>
    <w:p w14:paraId="5165D7A3">
      <w:pPr>
        <w:pStyle w:val="8"/>
        <w:spacing w:line="500" w:lineRule="exact"/>
        <w:ind w:left="0"/>
        <w:jc w:val="center"/>
        <w:rPr>
          <w:rFonts w:hint="default" w:ascii="Times New Roman" w:hAnsi="Times New Roman" w:eastAsia="仿宋" w:cs="Times New Roman"/>
          <w:bCs/>
          <w:color w:val="auto"/>
          <w:sz w:val="32"/>
          <w:highlight w:val="none"/>
        </w:rPr>
      </w:pPr>
    </w:p>
    <w:p w14:paraId="738CCABD">
      <w:pPr>
        <w:pStyle w:val="8"/>
        <w:spacing w:line="500" w:lineRule="exact"/>
        <w:ind w:left="0"/>
        <w:jc w:val="center"/>
        <w:rPr>
          <w:rFonts w:hint="default" w:ascii="Times New Roman" w:hAnsi="Times New Roman" w:eastAsia="仿宋" w:cs="Times New Roman"/>
          <w:bCs/>
          <w:color w:val="auto"/>
          <w:sz w:val="32"/>
          <w:highlight w:val="none"/>
        </w:rPr>
      </w:pPr>
    </w:p>
    <w:p w14:paraId="51832A70">
      <w:pPr>
        <w:pStyle w:val="8"/>
        <w:spacing w:line="500" w:lineRule="exact"/>
        <w:ind w:left="0"/>
        <w:rPr>
          <w:rFonts w:hint="default" w:ascii="Times New Roman" w:hAnsi="Times New Roman" w:eastAsia="仿宋" w:cs="Times New Roman"/>
          <w:bCs/>
          <w:color w:val="auto"/>
          <w:sz w:val="32"/>
          <w:highlight w:val="none"/>
        </w:rPr>
      </w:pPr>
    </w:p>
    <w:p w14:paraId="2E6DA54B">
      <w:pPr>
        <w:jc w:val="distribute"/>
        <w:rPr>
          <w:rFonts w:hint="default" w:ascii="Times New Roman" w:hAnsi="Times New Roman" w:eastAsia="仿宋" w:cs="Times New Roman"/>
          <w:b w:val="0"/>
          <w:bCs/>
          <w:color w:val="auto"/>
          <w:kern w:val="2"/>
          <w:sz w:val="30"/>
          <w:szCs w:val="30"/>
          <w:highlight w:val="none"/>
          <w:u w:val="single"/>
          <w:lang w:val="en-US" w:eastAsia="zh-CN" w:bidi="ar-SA"/>
        </w:rPr>
      </w:pPr>
    </w:p>
    <w:p w14:paraId="54409CB2">
      <w:pPr>
        <w:pStyle w:val="5"/>
        <w:jc w:val="both"/>
        <w:rPr>
          <w:rFonts w:hint="eastAsia" w:eastAsia="仿宋" w:cs="Times New Roman"/>
          <w:b w:val="0"/>
          <w:bCs/>
          <w:color w:val="auto"/>
          <w:kern w:val="2"/>
          <w:sz w:val="30"/>
          <w:szCs w:val="30"/>
          <w:highlight w:val="none"/>
          <w:u w:val="single"/>
          <w:lang w:val="en-US" w:eastAsia="zh-CN" w:bidi="ar-SA"/>
        </w:rPr>
      </w:pPr>
      <w:r>
        <w:rPr>
          <w:rFonts w:hint="default" w:ascii="Times New Roman" w:hAnsi="Times New Roman" w:eastAsia="仿宋" w:cs="Times New Roman"/>
          <w:b w:val="0"/>
          <w:bCs/>
          <w:color w:val="auto"/>
          <w:kern w:val="2"/>
          <w:sz w:val="30"/>
          <w:szCs w:val="30"/>
          <w:highlight w:val="none"/>
          <w:u w:val="none"/>
          <w:lang w:val="en-US" w:eastAsia="zh-CN" w:bidi="ar-SA"/>
        </w:rPr>
        <w:t>采购项目名称：</w:t>
      </w:r>
      <w:r>
        <w:rPr>
          <w:rFonts w:hint="eastAsia" w:eastAsia="仿宋" w:cs="Times New Roman"/>
          <w:b w:val="0"/>
          <w:bCs/>
          <w:color w:val="auto"/>
          <w:kern w:val="2"/>
          <w:sz w:val="30"/>
          <w:szCs w:val="30"/>
          <w:highlight w:val="none"/>
          <w:u w:val="single"/>
          <w:lang w:val="en-US" w:eastAsia="zh-CN" w:bidi="ar-SA"/>
        </w:rPr>
        <w:t>轨道18号线桥下空间地块建设中顺社区口袋公园</w:t>
      </w:r>
    </w:p>
    <w:p w14:paraId="0DF7BC9B">
      <w:pPr>
        <w:pStyle w:val="5"/>
        <w:jc w:val="both"/>
        <w:rPr>
          <w:rFonts w:hint="default" w:ascii="Times New Roman" w:hAnsi="Times New Roman" w:eastAsia="仿宋" w:cs="Times New Roman"/>
          <w:b w:val="0"/>
          <w:bCs/>
          <w:color w:val="auto"/>
          <w:kern w:val="2"/>
          <w:sz w:val="30"/>
          <w:szCs w:val="30"/>
          <w:highlight w:val="none"/>
          <w:u w:val="single"/>
          <w:lang w:val="en-US" w:eastAsia="zh-CN" w:bidi="ar-SA"/>
        </w:rPr>
      </w:pPr>
      <w:r>
        <w:rPr>
          <w:rFonts w:hint="default" w:ascii="Times New Roman" w:hAnsi="Times New Roman" w:eastAsia="仿宋" w:cs="Times New Roman"/>
          <w:b w:val="0"/>
          <w:bCs/>
          <w:color w:val="auto"/>
          <w:kern w:val="2"/>
          <w:sz w:val="30"/>
          <w:szCs w:val="30"/>
          <w:highlight w:val="none"/>
          <w:u w:val="none"/>
          <w:lang w:val="en-US" w:eastAsia="zh-CN" w:bidi="ar-SA"/>
        </w:rPr>
        <w:t>采   购   人：</w:t>
      </w:r>
      <w:r>
        <w:rPr>
          <w:rFonts w:hint="default" w:ascii="Times New Roman" w:hAnsi="Times New Roman" w:eastAsia="仿宋" w:cs="Times New Roman"/>
          <w:b w:val="0"/>
          <w:bCs/>
          <w:color w:val="auto"/>
          <w:kern w:val="2"/>
          <w:sz w:val="30"/>
          <w:szCs w:val="30"/>
          <w:highlight w:val="none"/>
          <w:u w:val="single"/>
          <w:lang w:val="en-US" w:eastAsia="zh-CN" w:bidi="ar-SA"/>
        </w:rPr>
        <w:t>重庆市大渡口区跳磴镇人民政府</w:t>
      </w:r>
    </w:p>
    <w:p w14:paraId="724AB60C">
      <w:pPr>
        <w:rPr>
          <w:rFonts w:hint="default" w:ascii="Times New Roman" w:hAnsi="Times New Roman" w:cs="Times New Roman"/>
          <w:bCs/>
          <w:color w:val="auto"/>
          <w:highlight w:val="none"/>
        </w:rPr>
      </w:pPr>
    </w:p>
    <w:p w14:paraId="2102D80A">
      <w:pPr>
        <w:snapToGrid w:val="0"/>
        <w:spacing w:line="500" w:lineRule="exact"/>
        <w:jc w:val="center"/>
        <w:rPr>
          <w:rFonts w:hint="default" w:ascii="Times New Roman" w:hAnsi="Times New Roman" w:eastAsia="仿宋" w:cs="Times New Roman"/>
          <w:bCs/>
          <w:color w:val="auto"/>
          <w:sz w:val="32"/>
          <w:highlight w:val="none"/>
        </w:rPr>
      </w:pPr>
    </w:p>
    <w:p w14:paraId="654D3388">
      <w:pPr>
        <w:pStyle w:val="2"/>
        <w:rPr>
          <w:rFonts w:hint="default"/>
        </w:rPr>
      </w:pPr>
    </w:p>
    <w:p w14:paraId="2D8B1B3F">
      <w:pPr>
        <w:snapToGrid w:val="0"/>
        <w:spacing w:line="500" w:lineRule="exact"/>
        <w:jc w:val="center"/>
        <w:rPr>
          <w:rFonts w:hint="default" w:ascii="Times New Roman" w:hAnsi="Times New Roman" w:eastAsia="仿宋" w:cs="Times New Roman"/>
          <w:bCs/>
          <w:color w:val="auto"/>
          <w:sz w:val="32"/>
          <w:highlight w:val="none"/>
        </w:rPr>
      </w:pPr>
      <w:r>
        <w:rPr>
          <w:rFonts w:hint="default" w:ascii="Times New Roman" w:hAnsi="Times New Roman" w:eastAsia="仿宋" w:cs="Times New Roman"/>
          <w:bCs/>
          <w:color w:val="auto"/>
          <w:sz w:val="32"/>
          <w:highlight w:val="none"/>
        </w:rPr>
        <w:t>二</w:t>
      </w:r>
      <w:r>
        <w:rPr>
          <w:rFonts w:hint="default" w:ascii="Times New Roman" w:hAnsi="Times New Roman" w:eastAsia="仿宋" w:cs="Times New Roman"/>
          <w:bCs/>
          <w:color w:val="auto"/>
          <w:sz w:val="32"/>
          <w:highlight w:val="none"/>
          <w:lang w:eastAsia="zh-CN"/>
        </w:rPr>
        <w:t>〇</w:t>
      </w:r>
      <w:r>
        <w:rPr>
          <w:rFonts w:hint="default" w:ascii="Times New Roman" w:hAnsi="Times New Roman" w:eastAsia="仿宋" w:cs="Times New Roman"/>
          <w:bCs/>
          <w:color w:val="auto"/>
          <w:sz w:val="32"/>
          <w:highlight w:val="none"/>
        </w:rPr>
        <w:t>二</w:t>
      </w:r>
      <w:r>
        <w:rPr>
          <w:rFonts w:hint="eastAsia" w:eastAsia="仿宋" w:cs="Times New Roman"/>
          <w:bCs/>
          <w:color w:val="auto"/>
          <w:sz w:val="32"/>
          <w:highlight w:val="none"/>
          <w:lang w:eastAsia="zh-CN"/>
        </w:rPr>
        <w:t>五</w:t>
      </w:r>
      <w:r>
        <w:rPr>
          <w:rFonts w:hint="default" w:ascii="Times New Roman" w:hAnsi="Times New Roman" w:eastAsia="仿宋" w:cs="Times New Roman"/>
          <w:bCs/>
          <w:color w:val="auto"/>
          <w:sz w:val="32"/>
          <w:highlight w:val="none"/>
        </w:rPr>
        <w:t>年</w:t>
      </w:r>
      <w:r>
        <w:rPr>
          <w:rFonts w:hint="eastAsia" w:eastAsia="仿宋" w:cs="Times New Roman"/>
          <w:bCs/>
          <w:color w:val="auto"/>
          <w:sz w:val="32"/>
          <w:highlight w:val="none"/>
          <w:lang w:eastAsia="zh-CN"/>
        </w:rPr>
        <w:t>十一</w:t>
      </w:r>
      <w:r>
        <w:rPr>
          <w:rFonts w:hint="default" w:ascii="Times New Roman" w:hAnsi="Times New Roman" w:eastAsia="仿宋" w:cs="Times New Roman"/>
          <w:bCs/>
          <w:color w:val="auto"/>
          <w:sz w:val="32"/>
          <w:highlight w:val="none"/>
        </w:rPr>
        <w:t>月</w:t>
      </w:r>
    </w:p>
    <w:p w14:paraId="18ABD59B">
      <w:pPr>
        <w:pStyle w:val="2"/>
        <w:jc w:val="center"/>
        <w:rPr>
          <w:rFonts w:hint="default" w:ascii="Times New Roman" w:hAnsi="Times New Roman" w:eastAsia="仿宋" w:cs="Times New Roman"/>
          <w:b/>
          <w:bCs/>
          <w:caps/>
          <w:color w:val="auto"/>
          <w:sz w:val="36"/>
          <w:szCs w:val="36"/>
          <w:highlight w:val="none"/>
        </w:rPr>
      </w:pPr>
      <w:r>
        <w:rPr>
          <w:rFonts w:hint="default" w:ascii="Times New Roman" w:hAnsi="Times New Roman" w:cs="Times New Roman"/>
          <w:color w:val="auto"/>
          <w:highlight w:val="none"/>
        </w:rPr>
        <w:br w:type="page"/>
      </w:r>
      <w:r>
        <w:rPr>
          <w:rFonts w:hint="default" w:ascii="Times New Roman" w:hAnsi="Times New Roman" w:eastAsia="仿宋" w:cs="Times New Roman"/>
          <w:b/>
          <w:bCs/>
          <w:caps/>
          <w:color w:val="auto"/>
          <w:sz w:val="36"/>
          <w:szCs w:val="36"/>
          <w:highlight w:val="none"/>
        </w:rPr>
        <w:t>目   录</w:t>
      </w:r>
    </w:p>
    <w:p w14:paraId="63EF17B0">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56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fldChar w:fldCharType="begin"/>
      </w:r>
      <w:r>
        <w:rPr>
          <w:rFonts w:hint="default" w:ascii="Times New Roman" w:hAnsi="Times New Roman" w:eastAsia="仿宋" w:cs="Times New Roman"/>
          <w:bCs/>
          <w:caps/>
          <w:color w:val="auto"/>
          <w:sz w:val="24"/>
          <w:szCs w:val="24"/>
          <w:highlight w:val="none"/>
        </w:rPr>
        <w:instrText xml:space="preserve"> TOC \o "1-3" \h \z </w:instrText>
      </w:r>
      <w:r>
        <w:rPr>
          <w:rFonts w:hint="default" w:ascii="Times New Roman" w:hAnsi="Times New Roman" w:eastAsia="仿宋" w:cs="Times New Roman"/>
          <w:bCs/>
          <w:caps/>
          <w:color w:val="auto"/>
          <w:sz w:val="24"/>
          <w:szCs w:val="24"/>
          <w:highlight w:val="none"/>
        </w:rPr>
        <w:fldChar w:fldCharType="separate"/>
      </w:r>
    </w:p>
    <w:p w14:paraId="22290A97">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fldChar w:fldCharType="begin"/>
      </w:r>
      <w:r>
        <w:rPr>
          <w:rFonts w:hint="default" w:ascii="Times New Roman" w:hAnsi="Times New Roman" w:eastAsia="仿宋" w:cs="Times New Roman"/>
          <w:bCs/>
          <w:caps/>
          <w:color w:val="auto"/>
          <w:sz w:val="24"/>
          <w:szCs w:val="24"/>
          <w:highlight w:val="none"/>
        </w:rPr>
        <w:instrText xml:space="preserve"> TOC \o "1-3" \h \z </w:instrText>
      </w:r>
      <w:r>
        <w:rPr>
          <w:rFonts w:hint="default" w:ascii="Times New Roman" w:hAnsi="Times New Roman" w:eastAsia="仿宋" w:cs="Times New Roman"/>
          <w:bCs/>
          <w:caps/>
          <w:color w:val="auto"/>
          <w:sz w:val="24"/>
          <w:szCs w:val="24"/>
          <w:highlight w:val="none"/>
        </w:rPr>
        <w:fldChar w:fldCharType="separate"/>
      </w:r>
      <w:r>
        <w:rPr>
          <w:rFonts w:hint="default" w:ascii="Times New Roman" w:hAnsi="Times New Roman" w:eastAsia="仿宋" w:cs="Times New Roman"/>
          <w:bCs/>
          <w:caps/>
          <w:color w:val="auto"/>
          <w:sz w:val="24"/>
          <w:szCs w:val="24"/>
          <w:highlight w:val="none"/>
        </w:rPr>
        <w:t>第一篇  采购邀请书</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default" w:ascii="Times New Roman" w:hAnsi="Times New Roman" w:eastAsia="仿宋" w:cs="Times New Roman"/>
          <w:bCs/>
          <w:caps/>
          <w:color w:val="auto"/>
          <w:sz w:val="24"/>
          <w:szCs w:val="24"/>
          <w:highlight w:val="none"/>
          <w:lang w:val="en-US" w:eastAsia="zh-CN"/>
        </w:rPr>
        <w:t>3</w:t>
      </w:r>
      <w:r>
        <w:rPr>
          <w:rFonts w:hint="default" w:ascii="Times New Roman" w:hAnsi="Times New Roman" w:eastAsia="仿宋" w:cs="Times New Roman"/>
          <w:bCs/>
          <w:caps/>
          <w:color w:val="auto"/>
          <w:sz w:val="24"/>
          <w:szCs w:val="24"/>
          <w:highlight w:val="none"/>
        </w:rPr>
        <w:t xml:space="preserve"> -</w:t>
      </w:r>
    </w:p>
    <w:p w14:paraId="22AC60CE">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第二篇  询比采购服务需求</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eastAsia" w:eastAsia="仿宋" w:cs="Times New Roman"/>
          <w:bCs/>
          <w:caps/>
          <w:color w:val="auto"/>
          <w:sz w:val="24"/>
          <w:szCs w:val="24"/>
          <w:highlight w:val="none"/>
          <w:lang w:val="en-US" w:eastAsia="zh-CN"/>
        </w:rPr>
        <w:t>5</w:t>
      </w:r>
      <w:r>
        <w:rPr>
          <w:rFonts w:hint="default" w:ascii="Times New Roman" w:hAnsi="Times New Roman" w:eastAsia="仿宋" w:cs="Times New Roman"/>
          <w:bCs/>
          <w:caps/>
          <w:color w:val="auto"/>
          <w:sz w:val="24"/>
          <w:szCs w:val="24"/>
          <w:highlight w:val="none"/>
        </w:rPr>
        <w:t xml:space="preserve"> -</w:t>
      </w:r>
    </w:p>
    <w:p w14:paraId="25524FB7">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2" w:hanging="482"/>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第三篇  询比采购商务、技术需求</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eastAsia" w:eastAsia="仿宋" w:cs="Times New Roman"/>
          <w:bCs/>
          <w:caps/>
          <w:color w:val="auto"/>
          <w:sz w:val="24"/>
          <w:szCs w:val="24"/>
          <w:highlight w:val="none"/>
          <w:lang w:val="en-US" w:eastAsia="zh-CN"/>
        </w:rPr>
        <w:t>7</w:t>
      </w:r>
      <w:r>
        <w:rPr>
          <w:rFonts w:hint="default" w:ascii="Times New Roman" w:hAnsi="Times New Roman" w:eastAsia="仿宋" w:cs="Times New Roman"/>
          <w:bCs/>
          <w:caps/>
          <w:color w:val="auto"/>
          <w:sz w:val="24"/>
          <w:szCs w:val="24"/>
          <w:highlight w:val="none"/>
        </w:rPr>
        <w:t xml:space="preserve"> -</w:t>
      </w:r>
    </w:p>
    <w:p w14:paraId="40D50C58">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第四篇  询比采购程序及方法、评审标准、响应无效和采购终止</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- 1</w:t>
      </w:r>
      <w:r>
        <w:rPr>
          <w:rFonts w:hint="eastAsia" w:eastAsia="仿宋" w:cs="Times New Roman"/>
          <w:bCs/>
          <w:caps/>
          <w:color w:val="auto"/>
          <w:sz w:val="24"/>
          <w:szCs w:val="24"/>
          <w:highlight w:val="none"/>
          <w:lang w:val="en-US" w:eastAsia="zh-CN"/>
        </w:rPr>
        <w:t>3</w:t>
      </w:r>
      <w:r>
        <w:rPr>
          <w:rFonts w:hint="default" w:ascii="Times New Roman" w:hAnsi="Times New Roman" w:eastAsia="仿宋" w:cs="Times New Roman"/>
          <w:bCs/>
          <w:caps/>
          <w:color w:val="auto"/>
          <w:sz w:val="24"/>
          <w:szCs w:val="24"/>
          <w:highlight w:val="none"/>
        </w:rPr>
        <w:t xml:space="preserve"> -</w:t>
      </w:r>
    </w:p>
    <w:p w14:paraId="5F03EEDC">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outlineLvl w:val="0"/>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第五篇  供应商须知</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- 1</w:t>
      </w:r>
      <w:r>
        <w:rPr>
          <w:rFonts w:hint="eastAsia" w:eastAsia="仿宋" w:cs="Times New Roman"/>
          <w:bCs/>
          <w:caps/>
          <w:color w:val="auto"/>
          <w:sz w:val="24"/>
          <w:szCs w:val="24"/>
          <w:highlight w:val="none"/>
          <w:lang w:val="en-US" w:eastAsia="zh-CN"/>
        </w:rPr>
        <w:t>8</w:t>
      </w:r>
      <w:r>
        <w:rPr>
          <w:rFonts w:hint="default" w:ascii="Times New Roman" w:hAnsi="Times New Roman" w:eastAsia="仿宋" w:cs="Times New Roman"/>
          <w:bCs/>
          <w:caps/>
          <w:color w:val="auto"/>
          <w:sz w:val="24"/>
          <w:szCs w:val="24"/>
          <w:highlight w:val="none"/>
        </w:rPr>
        <w:t xml:space="preserve"> -</w:t>
      </w:r>
    </w:p>
    <w:p w14:paraId="1983A3D8">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第六篇  采购合同</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- 2</w:t>
      </w:r>
      <w:r>
        <w:rPr>
          <w:rFonts w:hint="eastAsia" w:eastAsia="仿宋" w:cs="Times New Roman"/>
          <w:bCs/>
          <w:caps/>
          <w:color w:val="auto"/>
          <w:sz w:val="24"/>
          <w:szCs w:val="24"/>
          <w:highlight w:val="none"/>
          <w:lang w:val="en-US" w:eastAsia="zh-CN"/>
        </w:rPr>
        <w:t>0</w:t>
      </w:r>
      <w:r>
        <w:rPr>
          <w:rFonts w:hint="default" w:ascii="Times New Roman" w:hAnsi="Times New Roman" w:eastAsia="仿宋" w:cs="Times New Roman"/>
          <w:bCs/>
          <w:caps/>
          <w:color w:val="auto"/>
          <w:sz w:val="24"/>
          <w:szCs w:val="24"/>
          <w:highlight w:val="none"/>
        </w:rPr>
        <w:t xml:space="preserve"> -</w:t>
      </w:r>
    </w:p>
    <w:p w14:paraId="5919ACE7">
      <w:pPr>
        <w:pStyle w:val="19"/>
        <w:keepNext w:val="0"/>
        <w:keepLines w:val="0"/>
        <w:pageBreakBefore w:val="0"/>
        <w:widowControl w:val="0"/>
        <w:tabs>
          <w:tab w:val="right" w:leader="dot" w:pos="9412"/>
        </w:tabs>
        <w:kinsoku/>
        <w:wordWrap/>
        <w:overflowPunct/>
        <w:topLinePunct w:val="0"/>
        <w:autoSpaceDE/>
        <w:autoSpaceDN/>
        <w:bidi w:val="0"/>
        <w:adjustRightInd/>
        <w:snapToGrid/>
        <w:spacing w:line="480" w:lineRule="auto"/>
        <w:ind w:left="1040" w:hanging="480"/>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t>第七篇  响应文件编制要求</w:t>
      </w:r>
      <w:r>
        <w:rPr>
          <w:rFonts w:hint="default" w:ascii="Times New Roman" w:hAnsi="Times New Roman" w:eastAsia="仿宋" w:cs="Times New Roman"/>
          <w:bCs/>
          <w:caps/>
          <w:color w:val="auto"/>
          <w:sz w:val="24"/>
          <w:szCs w:val="24"/>
          <w:highlight w:val="none"/>
        </w:rPr>
        <w:tab/>
      </w:r>
      <w:r>
        <w:rPr>
          <w:rFonts w:hint="default" w:ascii="Times New Roman" w:hAnsi="Times New Roman" w:eastAsia="仿宋" w:cs="Times New Roman"/>
          <w:bCs/>
          <w:caps/>
          <w:color w:val="auto"/>
          <w:sz w:val="24"/>
          <w:szCs w:val="24"/>
          <w:highlight w:val="none"/>
        </w:rPr>
        <w:t xml:space="preserve">- </w:t>
      </w:r>
      <w:r>
        <w:rPr>
          <w:rFonts w:hint="eastAsia" w:eastAsia="仿宋" w:cs="Times New Roman"/>
          <w:bCs/>
          <w:caps/>
          <w:color w:val="auto"/>
          <w:sz w:val="24"/>
          <w:szCs w:val="24"/>
          <w:highlight w:val="none"/>
          <w:lang w:val="en-US" w:eastAsia="zh-CN"/>
        </w:rPr>
        <w:t>41</w:t>
      </w:r>
      <w:r>
        <w:rPr>
          <w:rFonts w:hint="default" w:ascii="Times New Roman" w:hAnsi="Times New Roman" w:eastAsia="仿宋" w:cs="Times New Roman"/>
          <w:bCs/>
          <w:caps/>
          <w:color w:val="auto"/>
          <w:sz w:val="24"/>
          <w:szCs w:val="24"/>
          <w:highlight w:val="none"/>
        </w:rPr>
        <w:t xml:space="preserve"> -</w:t>
      </w:r>
    </w:p>
    <w:p w14:paraId="467B0BB1">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仿宋" w:cs="Times New Roman"/>
          <w:bCs/>
          <w:caps/>
          <w:color w:val="auto"/>
          <w:sz w:val="24"/>
          <w:szCs w:val="24"/>
          <w:highlight w:val="none"/>
        </w:rPr>
      </w:pPr>
      <w:r>
        <w:rPr>
          <w:rFonts w:hint="default" w:ascii="Times New Roman" w:hAnsi="Times New Roman" w:eastAsia="仿宋" w:cs="Times New Roman"/>
          <w:bCs/>
          <w:caps/>
          <w:color w:val="auto"/>
          <w:sz w:val="24"/>
          <w:szCs w:val="24"/>
          <w:highlight w:val="none"/>
        </w:rPr>
        <w:fldChar w:fldCharType="end"/>
      </w:r>
    </w:p>
    <w:p w14:paraId="72FBA70C">
      <w:pPr>
        <w:pStyle w:val="19"/>
        <w:tabs>
          <w:tab w:val="right" w:leader="dot" w:pos="9402"/>
        </w:tabs>
        <w:spacing w:line="480" w:lineRule="exact"/>
        <w:ind w:left="560"/>
        <w:jc w:val="center"/>
        <w:rPr>
          <w:rFonts w:hint="default" w:ascii="Times New Roman" w:hAnsi="Times New Roman" w:eastAsia="仿宋" w:cs="Times New Roman"/>
          <w:bCs/>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397" w:footer="992" w:gutter="0"/>
          <w:pgNumType w:fmt="numberInDash" w:start="1"/>
          <w:cols w:space="720" w:num="1"/>
          <w:docGrid w:linePitch="380" w:charSpace="-5735"/>
        </w:sectPr>
      </w:pPr>
      <w:r>
        <w:rPr>
          <w:rFonts w:hint="default" w:ascii="Times New Roman" w:hAnsi="Times New Roman" w:eastAsia="仿宋" w:cs="Times New Roman"/>
          <w:bCs/>
          <w:caps/>
          <w:color w:val="auto"/>
          <w:sz w:val="24"/>
          <w:szCs w:val="24"/>
          <w:highlight w:val="none"/>
        </w:rPr>
        <w:fldChar w:fldCharType="end"/>
      </w:r>
    </w:p>
    <w:p w14:paraId="41B4052E">
      <w:pPr>
        <w:pStyle w:val="4"/>
        <w:spacing w:line="360" w:lineRule="auto"/>
        <w:jc w:val="center"/>
        <w:rPr>
          <w:rFonts w:hint="default" w:ascii="Times New Roman" w:hAnsi="Times New Roman" w:eastAsia="仿宋" w:cs="Times New Roman"/>
          <w:b/>
          <w:bCs w:val="0"/>
          <w:color w:val="auto"/>
          <w:szCs w:val="30"/>
          <w:highlight w:val="none"/>
        </w:rPr>
      </w:pPr>
      <w:bookmarkStart w:id="0" w:name="_Toc14018"/>
      <w:bookmarkStart w:id="1" w:name="_Toc12462"/>
      <w:bookmarkStart w:id="2" w:name="_Toc12789052"/>
      <w:bookmarkStart w:id="3" w:name="_Toc11641050"/>
      <w:bookmarkStart w:id="4" w:name="_Toc31869"/>
      <w:bookmarkStart w:id="5" w:name="_Toc18316"/>
      <w:bookmarkStart w:id="6" w:name="_Toc18603"/>
      <w:r>
        <w:rPr>
          <w:rFonts w:hint="default" w:ascii="Times New Roman" w:hAnsi="Times New Roman" w:eastAsia="仿宋" w:cs="Times New Roman"/>
          <w:b/>
          <w:bCs w:val="0"/>
          <w:color w:val="auto"/>
          <w:sz w:val="36"/>
          <w:szCs w:val="30"/>
          <w:highlight w:val="none"/>
        </w:rPr>
        <w:t>第一篇  采购邀请书</w:t>
      </w:r>
      <w:bookmarkEnd w:id="0"/>
      <w:bookmarkEnd w:id="1"/>
      <w:bookmarkEnd w:id="2"/>
      <w:bookmarkEnd w:id="3"/>
      <w:bookmarkEnd w:id="4"/>
      <w:bookmarkEnd w:id="5"/>
      <w:bookmarkEnd w:id="6"/>
    </w:p>
    <w:p w14:paraId="1B51578C">
      <w:pPr>
        <w:pStyle w:val="5"/>
        <w:spacing w:before="0" w:after="0" w:line="360" w:lineRule="auto"/>
        <w:rPr>
          <w:rFonts w:hint="default" w:ascii="Times New Roman" w:hAnsi="Times New Roman" w:eastAsia="仿宋" w:cs="Times New Roman"/>
          <w:b/>
          <w:bCs w:val="0"/>
          <w:color w:val="auto"/>
          <w:sz w:val="24"/>
          <w:szCs w:val="24"/>
          <w:highlight w:val="none"/>
          <w:lang w:eastAsia="zh-CN"/>
        </w:rPr>
      </w:pPr>
      <w:bookmarkStart w:id="7" w:name="_Toc313893526"/>
      <w:bookmarkStart w:id="8" w:name="_Toc17646"/>
      <w:bookmarkStart w:id="9" w:name="_Toc6244"/>
      <w:bookmarkStart w:id="10" w:name="_Toc3931"/>
      <w:bookmarkStart w:id="11" w:name="_Toc18206"/>
      <w:bookmarkStart w:id="12" w:name="_Toc31188"/>
      <w:bookmarkStart w:id="13" w:name="_Toc317775175"/>
      <w:r>
        <w:rPr>
          <w:rFonts w:hint="default" w:ascii="Times New Roman" w:hAnsi="Times New Roman" w:eastAsia="仿宋" w:cs="Times New Roman"/>
          <w:b/>
          <w:bCs w:val="0"/>
          <w:color w:val="auto"/>
          <w:sz w:val="24"/>
          <w:szCs w:val="24"/>
          <w:highlight w:val="none"/>
        </w:rPr>
        <w:t>一、</w:t>
      </w:r>
      <w:bookmarkEnd w:id="7"/>
      <w:bookmarkEnd w:id="8"/>
      <w:bookmarkEnd w:id="9"/>
      <w:bookmarkEnd w:id="10"/>
      <w:bookmarkEnd w:id="11"/>
      <w:bookmarkEnd w:id="12"/>
      <w:bookmarkEnd w:id="13"/>
      <w:r>
        <w:rPr>
          <w:rFonts w:hint="default" w:ascii="Times New Roman" w:hAnsi="Times New Roman" w:eastAsia="仿宋" w:cs="Times New Roman"/>
          <w:b/>
          <w:bCs w:val="0"/>
          <w:color w:val="auto"/>
          <w:sz w:val="24"/>
          <w:szCs w:val="24"/>
          <w:highlight w:val="none"/>
          <w:lang w:eastAsia="zh-CN"/>
        </w:rPr>
        <w:t>项目概况</w:t>
      </w:r>
    </w:p>
    <w:tbl>
      <w:tblPr>
        <w:tblStyle w:val="24"/>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965"/>
        <w:gridCol w:w="1965"/>
        <w:gridCol w:w="2263"/>
        <w:gridCol w:w="1525"/>
      </w:tblGrid>
      <w:tr w14:paraId="418C3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726" w:type="dxa"/>
            <w:noWrap w:val="0"/>
            <w:vAlign w:val="center"/>
          </w:tcPr>
          <w:p w14:paraId="4F0618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项目名称</w:t>
            </w:r>
          </w:p>
        </w:tc>
        <w:tc>
          <w:tcPr>
            <w:tcW w:w="1965" w:type="dxa"/>
            <w:noWrap w:val="0"/>
            <w:vAlign w:val="center"/>
          </w:tcPr>
          <w:p w14:paraId="7127173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eastAsia="zh-CN"/>
              </w:rPr>
              <w:t>建安工程费最高限价（元）</w:t>
            </w:r>
          </w:p>
        </w:tc>
        <w:tc>
          <w:tcPr>
            <w:tcW w:w="1965" w:type="dxa"/>
            <w:noWrap w:val="0"/>
            <w:vAlign w:val="center"/>
          </w:tcPr>
          <w:p w14:paraId="7151ED4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成交供应商数量（名）</w:t>
            </w:r>
          </w:p>
        </w:tc>
        <w:tc>
          <w:tcPr>
            <w:tcW w:w="2263" w:type="dxa"/>
            <w:noWrap w:val="0"/>
            <w:vAlign w:val="center"/>
          </w:tcPr>
          <w:p w14:paraId="2615F0C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采购标的对应的中小企业划分标准所属行业</w:t>
            </w:r>
          </w:p>
        </w:tc>
        <w:tc>
          <w:tcPr>
            <w:tcW w:w="1525" w:type="dxa"/>
            <w:noWrap w:val="0"/>
            <w:vAlign w:val="center"/>
          </w:tcPr>
          <w:p w14:paraId="0045905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备注</w:t>
            </w:r>
          </w:p>
        </w:tc>
      </w:tr>
      <w:tr w14:paraId="712F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726" w:type="dxa"/>
            <w:noWrap w:val="0"/>
            <w:vAlign w:val="center"/>
          </w:tcPr>
          <w:p w14:paraId="0AAB0915">
            <w:pPr>
              <w:snapToGrid w:val="0"/>
              <w:spacing w:line="360" w:lineRule="auto"/>
              <w:jc w:val="center"/>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轨道18号线桥下空间地块建设中顺社区口袋公园</w:t>
            </w:r>
          </w:p>
        </w:tc>
        <w:tc>
          <w:tcPr>
            <w:tcW w:w="1965" w:type="dxa"/>
            <w:noWrap w:val="0"/>
            <w:vAlign w:val="center"/>
          </w:tcPr>
          <w:p w14:paraId="460BE190">
            <w:pPr>
              <w:snapToGrid w:val="0"/>
              <w:spacing w:line="360" w:lineRule="auto"/>
              <w:jc w:val="center"/>
              <w:outlineLvl w:val="2"/>
              <w:rPr>
                <w:rFonts w:hint="default"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496532.76</w:t>
            </w:r>
          </w:p>
        </w:tc>
        <w:tc>
          <w:tcPr>
            <w:tcW w:w="1965" w:type="dxa"/>
            <w:noWrap w:val="0"/>
            <w:vAlign w:val="center"/>
          </w:tcPr>
          <w:p w14:paraId="73772763">
            <w:pPr>
              <w:snapToGrid w:val="0"/>
              <w:spacing w:line="360" w:lineRule="auto"/>
              <w:jc w:val="center"/>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p>
        </w:tc>
        <w:tc>
          <w:tcPr>
            <w:tcW w:w="2263" w:type="dxa"/>
            <w:noWrap w:val="0"/>
            <w:vAlign w:val="center"/>
          </w:tcPr>
          <w:p w14:paraId="03EC7589">
            <w:pPr>
              <w:snapToGrid w:val="0"/>
              <w:spacing w:line="360" w:lineRule="auto"/>
              <w:jc w:val="center"/>
              <w:outlineLvl w:val="2"/>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val="zh-CN" w:eastAsia="zh-CN"/>
              </w:rPr>
              <w:t>建筑业</w:t>
            </w:r>
          </w:p>
        </w:tc>
        <w:tc>
          <w:tcPr>
            <w:tcW w:w="1525" w:type="dxa"/>
            <w:noWrap w:val="0"/>
            <w:vAlign w:val="center"/>
          </w:tcPr>
          <w:p w14:paraId="46D8DAB1">
            <w:pPr>
              <w:snapToGrid w:val="0"/>
              <w:spacing w:line="360" w:lineRule="auto"/>
              <w:jc w:val="center"/>
              <w:outlineLvl w:val="2"/>
              <w:rPr>
                <w:rFonts w:hint="eastAsia" w:ascii="Times New Roman" w:hAnsi="Times New Roman" w:eastAsia="仿宋" w:cs="Times New Roman"/>
                <w:bCs/>
                <w:color w:val="auto"/>
                <w:sz w:val="24"/>
                <w:szCs w:val="24"/>
                <w:highlight w:val="none"/>
                <w:lang w:val="en-US" w:eastAsia="zh-CN"/>
              </w:rPr>
            </w:pPr>
          </w:p>
        </w:tc>
      </w:tr>
    </w:tbl>
    <w:p w14:paraId="4729CCE6">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bookmarkStart w:id="14" w:name="_Toc16666"/>
      <w:bookmarkStart w:id="15" w:name="_Toc27395"/>
      <w:bookmarkStart w:id="16" w:name="_Toc3102"/>
      <w:bookmarkStart w:id="17" w:name="_Toc15422"/>
      <w:bookmarkStart w:id="18" w:name="_Toc16987"/>
      <w:bookmarkStart w:id="19" w:name="_Toc373860293"/>
      <w:bookmarkStart w:id="20" w:name="_Toc317775178"/>
      <w:r>
        <w:rPr>
          <w:rFonts w:hint="default" w:ascii="Times New Roman" w:hAnsi="Times New Roman" w:eastAsia="仿宋" w:cs="Times New Roman"/>
          <w:b/>
          <w:bCs w:val="0"/>
          <w:color w:val="auto"/>
          <w:sz w:val="24"/>
          <w:szCs w:val="24"/>
          <w:highlight w:val="none"/>
        </w:rPr>
        <w:t>二、资金来源</w:t>
      </w:r>
      <w:bookmarkEnd w:id="14"/>
      <w:bookmarkEnd w:id="15"/>
      <w:bookmarkEnd w:id="16"/>
      <w:bookmarkEnd w:id="17"/>
      <w:bookmarkEnd w:id="18"/>
    </w:p>
    <w:p w14:paraId="39E6B87E">
      <w:pPr>
        <w:pStyle w:val="5"/>
        <w:pageBreakBefore w:val="0"/>
        <w:widowControl w:val="0"/>
        <w:kinsoku/>
        <w:wordWrap/>
        <w:overflowPunct/>
        <w:topLinePunct w:val="0"/>
        <w:autoSpaceDE/>
        <w:autoSpaceDN/>
        <w:bidi w:val="0"/>
        <w:spacing w:before="0" w:after="0" w:line="500" w:lineRule="exact"/>
        <w:ind w:firstLine="480" w:firstLineChars="200"/>
        <w:textAlignment w:val="auto"/>
        <w:rPr>
          <w:rFonts w:hint="default" w:ascii="Times New Roman" w:hAnsi="Times New Roman" w:eastAsia="仿宋" w:cs="Times New Roman"/>
          <w:b w:val="0"/>
          <w:bCs/>
          <w:color w:val="auto"/>
          <w:kern w:val="2"/>
          <w:sz w:val="24"/>
          <w:szCs w:val="24"/>
          <w:highlight w:val="none"/>
          <w:lang w:val="en-US" w:eastAsia="zh-CN" w:bidi="ar-SA"/>
        </w:rPr>
      </w:pPr>
      <w:bookmarkStart w:id="21" w:name="_Toc29191"/>
      <w:bookmarkStart w:id="22" w:name="_Toc7064"/>
      <w:bookmarkStart w:id="23" w:name="_Toc23147"/>
      <w:bookmarkStart w:id="24" w:name="_Toc10682"/>
      <w:bookmarkStart w:id="25" w:name="_Toc10320"/>
      <w:r>
        <w:rPr>
          <w:rFonts w:hint="default" w:ascii="Times New Roman" w:hAnsi="Times New Roman" w:eastAsia="仿宋" w:cs="Times New Roman"/>
          <w:b w:val="0"/>
          <w:bCs/>
          <w:color w:val="auto"/>
          <w:kern w:val="2"/>
          <w:sz w:val="24"/>
          <w:szCs w:val="24"/>
          <w:highlight w:val="none"/>
          <w:lang w:val="en-US" w:eastAsia="zh-CN" w:bidi="ar-SA"/>
        </w:rPr>
        <w:t>财政资金</w:t>
      </w:r>
    </w:p>
    <w:p w14:paraId="6C10931F">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三、供应商资格条件</w:t>
      </w:r>
      <w:bookmarkEnd w:id="21"/>
      <w:bookmarkEnd w:id="22"/>
      <w:bookmarkEnd w:id="23"/>
      <w:bookmarkEnd w:id="24"/>
      <w:bookmarkEnd w:id="25"/>
    </w:p>
    <w:p w14:paraId="389CA7F8">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bookmarkStart w:id="26" w:name="_Toc10163"/>
      <w:bookmarkStart w:id="27" w:name="_Toc1943"/>
      <w:bookmarkStart w:id="28" w:name="_Toc24841"/>
      <w:bookmarkStart w:id="29" w:name="_Toc27161"/>
      <w:bookmarkStart w:id="30" w:name="_Toc6817"/>
      <w:r>
        <w:rPr>
          <w:rFonts w:hint="default" w:ascii="Times New Roman" w:hAnsi="Times New Roman" w:eastAsia="仿宋" w:cs="Times New Roman"/>
          <w:bCs/>
          <w:color w:val="auto"/>
          <w:sz w:val="24"/>
          <w:szCs w:val="24"/>
          <w:highlight w:val="none"/>
        </w:rPr>
        <w:t>（一）满足《中华人民共和国政府采购法》第二十二条规定。</w:t>
      </w:r>
    </w:p>
    <w:p w14:paraId="204A4994">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1.具有独立承担民事责任的能力；</w:t>
      </w:r>
    </w:p>
    <w:p w14:paraId="57FC61B3">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2.具有良好的商业信誉和健全的财务会计制度；</w:t>
      </w:r>
    </w:p>
    <w:p w14:paraId="60C7DB4B">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3.具有履行合同所必需的设备和专业技术能力；</w:t>
      </w:r>
    </w:p>
    <w:p w14:paraId="34C6A43B">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4.有依法缴纳税收和社会保障资金的良好记录；</w:t>
      </w:r>
    </w:p>
    <w:p w14:paraId="3A487C07">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5.参加政府采购活动前三年内，在经营活动中没有重大违法记录；</w:t>
      </w:r>
    </w:p>
    <w:p w14:paraId="76697F5C">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6.法律、行政法规规定的其他条件。</w:t>
      </w:r>
    </w:p>
    <w:p w14:paraId="6F4B7D55">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（二）本项目的特定资格要求：</w:t>
      </w:r>
    </w:p>
    <w:p w14:paraId="3F55F243">
      <w:pPr>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1.供应商应具备建设行政主管部门颁发的</w:t>
      </w:r>
      <w:r>
        <w:rPr>
          <w:rFonts w:hint="eastAsia" w:eastAsia="仿宋" w:cs="Times New Roman"/>
          <w:bCs/>
          <w:color w:val="auto"/>
          <w:sz w:val="24"/>
          <w:szCs w:val="24"/>
          <w:highlight w:val="none"/>
          <w:lang w:val="en-US" w:eastAsia="zh-CN"/>
        </w:rPr>
        <w:t>市政</w:t>
      </w:r>
      <w:r>
        <w:rPr>
          <w:rFonts w:hint="eastAsia" w:ascii="Times New Roman" w:hAnsi="Times New Roman" w:eastAsia="仿宋" w:cs="Times New Roman"/>
          <w:bCs/>
          <w:color w:val="auto"/>
          <w:sz w:val="24"/>
          <w:szCs w:val="24"/>
          <w:highlight w:val="none"/>
          <w:lang w:val="en-US" w:eastAsia="zh-CN"/>
        </w:rPr>
        <w:t>工程</w:t>
      </w:r>
      <w:r>
        <w:rPr>
          <w:rFonts w:hint="eastAsia" w:eastAsia="仿宋" w:cs="Times New Roman"/>
          <w:bCs/>
          <w:color w:val="auto"/>
          <w:sz w:val="24"/>
          <w:szCs w:val="24"/>
          <w:highlight w:val="none"/>
          <w:lang w:val="en-US" w:eastAsia="zh-CN"/>
        </w:rPr>
        <w:t>或建筑工程</w:t>
      </w:r>
      <w:r>
        <w:rPr>
          <w:rFonts w:hint="eastAsia" w:ascii="Times New Roman" w:hAnsi="Times New Roman" w:eastAsia="仿宋" w:cs="Times New Roman"/>
          <w:bCs/>
          <w:color w:val="auto"/>
          <w:sz w:val="24"/>
          <w:szCs w:val="24"/>
          <w:highlight w:val="none"/>
          <w:lang w:val="en-US" w:eastAsia="zh-CN"/>
        </w:rPr>
        <w:t>施工总承包叁级及以上资质。(须提供有效的资质证书副本复印件并加盖供应商公章）</w:t>
      </w:r>
    </w:p>
    <w:p w14:paraId="3F4B329C">
      <w:pPr>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供应商应具备建设行政主管部门颁发的有效的安全生产许可证，企业主要负责人具备相应的由行政主管部门颁发的有效的安全生产考核合格证书。(须提供有效的许可证书及安全生产考核合格证书复印件并加盖供应商公章）</w:t>
      </w:r>
    </w:p>
    <w:p w14:paraId="1D490983">
      <w:pPr>
        <w:pStyle w:val="5"/>
        <w:pageBreakBefore w:val="0"/>
        <w:widowControl w:val="0"/>
        <w:numPr>
          <w:ilvl w:val="0"/>
          <w:numId w:val="1"/>
        </w:numPr>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询比采购有关说明</w:t>
      </w:r>
      <w:bookmarkEnd w:id="19"/>
      <w:bookmarkEnd w:id="26"/>
      <w:bookmarkEnd w:id="27"/>
      <w:bookmarkEnd w:id="28"/>
      <w:bookmarkEnd w:id="29"/>
      <w:bookmarkEnd w:id="30"/>
    </w:p>
    <w:bookmarkEnd w:id="20"/>
    <w:p w14:paraId="4A58106B">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bookmarkStart w:id="31" w:name="_Toc480466699"/>
      <w:bookmarkStart w:id="32" w:name="_Toc12776"/>
      <w:bookmarkStart w:id="33" w:name="_Toc18421"/>
      <w:bookmarkStart w:id="34" w:name="_Toc19908"/>
      <w:bookmarkStart w:id="35" w:name="_Toc17389"/>
      <w:bookmarkStart w:id="36" w:name="_Toc6862"/>
      <w:bookmarkStart w:id="37" w:name="_Toc5383"/>
      <w:bookmarkStart w:id="38" w:name="_Toc480466700"/>
      <w:r>
        <w:rPr>
          <w:rFonts w:hint="default" w:ascii="Times New Roman" w:hAnsi="Times New Roman" w:eastAsia="仿宋" w:cs="Times New Roman"/>
          <w:bCs/>
          <w:color w:val="auto"/>
          <w:sz w:val="24"/>
          <w:szCs w:val="24"/>
          <w:highlight w:val="none"/>
        </w:rPr>
        <w:t>（一）线上报价时间：公告发布后即可报价，报价截止时间202</w:t>
      </w:r>
      <w:r>
        <w:rPr>
          <w:rFonts w:hint="eastAsia"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rPr>
        <w:t>年</w:t>
      </w:r>
      <w:r>
        <w:rPr>
          <w:rFonts w:hint="eastAsia" w:eastAsia="仿宋" w:cs="Times New Roman"/>
          <w:bCs/>
          <w:color w:val="auto"/>
          <w:sz w:val="24"/>
          <w:szCs w:val="24"/>
          <w:highlight w:val="none"/>
          <w:lang w:val="en-US" w:eastAsia="zh-CN"/>
        </w:rPr>
        <w:t>11</w:t>
      </w:r>
      <w:r>
        <w:rPr>
          <w:rFonts w:hint="default" w:ascii="Times New Roman" w:hAnsi="Times New Roman" w:eastAsia="仿宋" w:cs="Times New Roman"/>
          <w:bCs/>
          <w:color w:val="auto"/>
          <w:sz w:val="24"/>
          <w:szCs w:val="24"/>
          <w:highlight w:val="none"/>
        </w:rPr>
        <w:t>月</w:t>
      </w:r>
      <w:r>
        <w:rPr>
          <w:rFonts w:hint="eastAsia" w:eastAsia="仿宋" w:cs="Times New Roman"/>
          <w:bCs/>
          <w:color w:val="auto"/>
          <w:sz w:val="24"/>
          <w:szCs w:val="24"/>
          <w:highlight w:val="none"/>
          <w:lang w:val="en-US" w:eastAsia="zh-CN"/>
        </w:rPr>
        <w:t>19</w:t>
      </w:r>
      <w:r>
        <w:rPr>
          <w:rFonts w:hint="default" w:ascii="Times New Roman" w:hAnsi="Times New Roman" w:eastAsia="仿宋" w:cs="Times New Roman"/>
          <w:bCs/>
          <w:color w:val="auto"/>
          <w:sz w:val="24"/>
          <w:szCs w:val="24"/>
          <w:highlight w:val="none"/>
        </w:rPr>
        <w:t>日</w:t>
      </w:r>
      <w:r>
        <w:rPr>
          <w:rFonts w:hint="eastAsia" w:eastAsia="仿宋" w:cs="Times New Roman"/>
          <w:bCs/>
          <w:color w:val="auto"/>
          <w:sz w:val="24"/>
          <w:szCs w:val="24"/>
          <w:highlight w:val="none"/>
          <w:lang w:val="en-US" w:eastAsia="zh-CN"/>
        </w:rPr>
        <w:t>14</w:t>
      </w:r>
      <w:bookmarkStart w:id="317" w:name="_GoBack"/>
      <w:bookmarkEnd w:id="317"/>
      <w:r>
        <w:rPr>
          <w:rFonts w:hint="default" w:ascii="Times New Roman" w:hAnsi="Times New Roman" w:eastAsia="仿宋" w:cs="Times New Roman"/>
          <w:bCs/>
          <w:color w:val="auto"/>
          <w:sz w:val="24"/>
          <w:szCs w:val="24"/>
          <w:highlight w:val="none"/>
        </w:rPr>
        <w:t>：</w:t>
      </w:r>
      <w:r>
        <w:rPr>
          <w:rFonts w:hint="eastAsia" w:eastAsia="仿宋" w:cs="Times New Roman"/>
          <w:bCs/>
          <w:color w:val="auto"/>
          <w:sz w:val="24"/>
          <w:szCs w:val="24"/>
          <w:highlight w:val="none"/>
          <w:lang w:val="en-US" w:eastAsia="zh-CN"/>
        </w:rPr>
        <w:t>0</w:t>
      </w:r>
      <w:r>
        <w:rPr>
          <w:rFonts w:hint="default" w:ascii="Times New Roman" w:hAnsi="Times New Roman" w:eastAsia="仿宋" w:cs="Times New Roman"/>
          <w:bCs/>
          <w:color w:val="auto"/>
          <w:sz w:val="24"/>
          <w:szCs w:val="24"/>
          <w:highlight w:val="none"/>
        </w:rPr>
        <w:t>0。</w:t>
      </w:r>
    </w:p>
    <w:p w14:paraId="3201E5ED">
      <w:pPr>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（二）线上报价要求：按本项目规定的时间在行采家·电子竞采（https://www.gec123.com/）进行一次性在线报价，未在规定时间内报价的供应商将失去成交供应商资格。 </w:t>
      </w:r>
    </w:p>
    <w:p w14:paraId="6B09BEC4">
      <w:pPr>
        <w:pStyle w:val="4"/>
        <w:pageBreakBefore w:val="0"/>
        <w:widowControl w:val="0"/>
        <w:kinsoku/>
        <w:wordWrap/>
        <w:overflowPunct/>
        <w:topLinePunct w:val="0"/>
        <w:autoSpaceDE/>
        <w:autoSpaceDN/>
        <w:bidi w:val="0"/>
        <w:adjustRightInd w:val="0"/>
        <w:snapToGrid w:val="0"/>
        <w:spacing w:before="0" w:after="0" w:line="500" w:lineRule="exact"/>
        <w:textAlignment w:val="auto"/>
        <w:rPr>
          <w:rFonts w:hint="default" w:ascii="Times New Roman" w:hAnsi="Times New Roman" w:eastAsia="仿宋" w:cs="Times New Roman"/>
          <w:color w:val="auto"/>
          <w:sz w:val="24"/>
          <w:highlight w:val="none"/>
        </w:rPr>
      </w:pPr>
      <w:r>
        <w:rPr>
          <w:rFonts w:hint="default" w:ascii="Times New Roman" w:hAnsi="Times New Roman" w:eastAsia="仿宋" w:cs="Times New Roman"/>
          <w:b/>
          <w:bCs w:val="0"/>
          <w:color w:val="auto"/>
          <w:sz w:val="24"/>
          <w:szCs w:val="24"/>
          <w:highlight w:val="none"/>
          <w:lang w:eastAsia="zh-CN"/>
        </w:rPr>
        <w:t>五</w:t>
      </w:r>
      <w:r>
        <w:rPr>
          <w:rFonts w:hint="default" w:ascii="Times New Roman" w:hAnsi="Times New Roman" w:eastAsia="仿宋" w:cs="Times New Roman"/>
          <w:b/>
          <w:bCs w:val="0"/>
          <w:color w:val="auto"/>
          <w:sz w:val="24"/>
          <w:szCs w:val="24"/>
          <w:highlight w:val="none"/>
        </w:rPr>
        <w:t>、</w:t>
      </w:r>
      <w:r>
        <w:rPr>
          <w:rFonts w:hint="default" w:ascii="Times New Roman" w:hAnsi="Times New Roman" w:eastAsia="仿宋" w:cs="Times New Roman"/>
          <w:color w:val="auto"/>
          <w:sz w:val="24"/>
          <w:highlight w:val="none"/>
        </w:rPr>
        <w:t>采购项目需落实的政府采购政策</w:t>
      </w:r>
    </w:p>
    <w:p w14:paraId="5FB69161">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49B3BCCE">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（二）按照财政部、工业和信息化部关于印发《政府采购促进中小企业发展管理办法》的通知（财库〔2020〕46号）的规定，落实促进中小企业发展政策。</w:t>
      </w:r>
    </w:p>
    <w:p w14:paraId="637D9591">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（三）按照《财政部、司法部关于政府采购支持监狱企业发展有关问题的通知》（财库〔2014〕68号）的规定，落实支持监狱企业发展政策。</w:t>
      </w:r>
    </w:p>
    <w:p w14:paraId="2A2DB6EE">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（四）按照《三部门联合发布关于促进残疾人就业政府采购政策的通知》（财库〔2017〕 141号）的规定，落实支持残疾人福利性单位发展政策。</w:t>
      </w:r>
    </w:p>
    <w:p w14:paraId="63F97BA8">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lang w:eastAsia="zh-CN"/>
        </w:rPr>
        <w:t>六、</w:t>
      </w:r>
      <w:r>
        <w:rPr>
          <w:rFonts w:hint="default" w:ascii="Times New Roman" w:hAnsi="Times New Roman" w:eastAsia="仿宋" w:cs="Times New Roman"/>
          <w:b/>
          <w:bCs w:val="0"/>
          <w:color w:val="auto"/>
          <w:sz w:val="24"/>
          <w:szCs w:val="24"/>
          <w:highlight w:val="none"/>
        </w:rPr>
        <w:t>其它有关规定</w:t>
      </w:r>
      <w:bookmarkEnd w:id="31"/>
      <w:bookmarkEnd w:id="32"/>
      <w:bookmarkEnd w:id="33"/>
      <w:bookmarkEnd w:id="34"/>
      <w:bookmarkEnd w:id="35"/>
      <w:bookmarkEnd w:id="36"/>
      <w:bookmarkEnd w:id="37"/>
    </w:p>
    <w:p w14:paraId="2FF62044">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（一）单位负责人为同一人或者存在直接控股、管理关系的不同供应商，不得参加同一合同项（分包）下的采购活动，否则均为响应无效。</w:t>
      </w:r>
    </w:p>
    <w:p w14:paraId="25EBC3B7">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（二）为采购项目提供整体设计、规范编制或者项目管理、监理、检测等服务的供应商，不得再参加该采购项目的其他采购活动。</w:t>
      </w:r>
    </w:p>
    <w:p w14:paraId="3269E8E2">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（三）同一合同项（分包）下为单一品目或非单一品目核心产品品牌的货物采购询比中，同一品牌有多家供应商参加询比采购，只能按照一家供应商计算，最终评审得分最高的供应商获得成交供应商推荐资格。</w:t>
      </w:r>
    </w:p>
    <w:p w14:paraId="53068F44">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（四）本项目的补遗文件（如果有）一律在“行采家·电子竞采”平台（https://www.gec123.com/xe/）上发布，请各供应商注意下载；无论供应商下载与否，均视同供应商已知晓本项目补遗文件（如果有）的内容。</w:t>
      </w:r>
    </w:p>
    <w:p w14:paraId="5317FE5E">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（五）询比采购费用：无论询比采购结果如何，供应商参与本项目询比采购的所有费用均应由供应商自行承担。</w:t>
      </w:r>
    </w:p>
    <w:p w14:paraId="5236655E">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（六）本项目不接受联合体参与询比采购</w:t>
      </w:r>
      <w:r>
        <w:rPr>
          <w:rFonts w:hint="default" w:ascii="Times New Roman" w:hAnsi="Times New Roman" w:eastAsia="仿宋" w:cs="Times New Roman"/>
          <w:bCs/>
          <w:color w:val="auto"/>
          <w:sz w:val="24"/>
          <w:szCs w:val="24"/>
          <w:highlight w:val="none"/>
          <w:lang w:eastAsia="zh-CN"/>
        </w:rPr>
        <w:t>，</w:t>
      </w:r>
      <w:r>
        <w:rPr>
          <w:rFonts w:hint="default" w:ascii="Times New Roman" w:hAnsi="Times New Roman" w:eastAsia="仿宋" w:cs="Times New Roman"/>
          <w:bCs/>
          <w:color w:val="auto"/>
          <w:sz w:val="24"/>
          <w:szCs w:val="24"/>
          <w:highlight w:val="none"/>
        </w:rPr>
        <w:t>否则按无效处理。</w:t>
      </w:r>
    </w:p>
    <w:p w14:paraId="729F4860">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（七）</w:t>
      </w:r>
      <w:r>
        <w:rPr>
          <w:rFonts w:hint="default" w:ascii="Times New Roman" w:hAnsi="Times New Roman" w:eastAsia="仿宋" w:cs="Times New Roman"/>
          <w:bCs/>
          <w:color w:val="auto"/>
          <w:sz w:val="24"/>
          <w:szCs w:val="24"/>
          <w:highlight w:val="none"/>
        </w:rPr>
        <w:t>本项目不接受合同分包，否则按无效处理。</w:t>
      </w:r>
    </w:p>
    <w:p w14:paraId="1EE2A3B0">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八</w:t>
      </w:r>
      <w:r>
        <w:rPr>
          <w:rFonts w:hint="default" w:ascii="Times New Roman" w:hAnsi="Times New Roman" w:eastAsia="仿宋" w:cs="Times New Roman"/>
          <w:bCs/>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4D80AAC7">
      <w:pPr>
        <w:pStyle w:val="5"/>
        <w:pageBreakBefore w:val="0"/>
        <w:widowControl w:val="0"/>
        <w:kinsoku/>
        <w:wordWrap/>
        <w:overflowPunct/>
        <w:topLinePunct w:val="0"/>
        <w:autoSpaceDE/>
        <w:autoSpaceDN/>
        <w:bidi w:val="0"/>
        <w:spacing w:before="0" w:after="0" w:line="500" w:lineRule="exact"/>
        <w:textAlignment w:val="auto"/>
        <w:rPr>
          <w:rFonts w:hint="default" w:ascii="Times New Roman" w:hAnsi="Times New Roman" w:eastAsia="仿宋" w:cs="Times New Roman"/>
          <w:b/>
          <w:bCs w:val="0"/>
          <w:color w:val="auto"/>
          <w:sz w:val="24"/>
          <w:szCs w:val="24"/>
          <w:highlight w:val="none"/>
        </w:rPr>
      </w:pPr>
      <w:bookmarkStart w:id="39" w:name="_Toc28515"/>
      <w:bookmarkStart w:id="40" w:name="_Toc10051"/>
      <w:bookmarkStart w:id="41" w:name="_Toc283"/>
      <w:bookmarkStart w:id="42" w:name="_Toc8188"/>
      <w:bookmarkStart w:id="43" w:name="_Toc13590"/>
      <w:r>
        <w:rPr>
          <w:rFonts w:hint="default" w:ascii="Times New Roman" w:hAnsi="Times New Roman" w:eastAsia="仿宋" w:cs="Times New Roman"/>
          <w:b/>
          <w:bCs w:val="0"/>
          <w:color w:val="auto"/>
          <w:sz w:val="24"/>
          <w:szCs w:val="24"/>
          <w:highlight w:val="none"/>
          <w:lang w:eastAsia="zh-CN"/>
        </w:rPr>
        <w:t>七</w:t>
      </w:r>
      <w:r>
        <w:rPr>
          <w:rFonts w:hint="default" w:ascii="Times New Roman" w:hAnsi="Times New Roman" w:eastAsia="仿宋" w:cs="Times New Roman"/>
          <w:b/>
          <w:bCs w:val="0"/>
          <w:color w:val="auto"/>
          <w:sz w:val="24"/>
          <w:szCs w:val="24"/>
          <w:highlight w:val="none"/>
        </w:rPr>
        <w:t>、联系方式</w:t>
      </w:r>
      <w:bookmarkEnd w:id="38"/>
      <w:bookmarkEnd w:id="39"/>
      <w:bookmarkEnd w:id="40"/>
      <w:bookmarkEnd w:id="41"/>
      <w:bookmarkEnd w:id="42"/>
      <w:bookmarkEnd w:id="43"/>
    </w:p>
    <w:p w14:paraId="67B9FE3E">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w:t>
      </w:r>
      <w:r>
        <w:rPr>
          <w:rFonts w:hint="default" w:ascii="Times New Roman" w:hAnsi="Times New Roman" w:eastAsia="仿宋" w:cs="Times New Roman"/>
          <w:bCs/>
          <w:color w:val="auto"/>
          <w:sz w:val="24"/>
          <w:szCs w:val="24"/>
          <w:highlight w:val="none"/>
          <w:lang w:val="en-US" w:eastAsia="zh-CN"/>
        </w:rPr>
        <w:t>重庆市大渡口区</w:t>
      </w:r>
      <w:r>
        <w:rPr>
          <w:rFonts w:hint="default" w:ascii="Times New Roman" w:hAnsi="Times New Roman" w:eastAsia="仿宋" w:cs="Times New Roman"/>
          <w:bCs/>
          <w:color w:val="auto"/>
          <w:sz w:val="24"/>
          <w:szCs w:val="24"/>
          <w:highlight w:val="none"/>
          <w:lang w:eastAsia="zh-CN"/>
        </w:rPr>
        <w:t>跳磴镇人民政府</w:t>
      </w:r>
      <w:r>
        <w:rPr>
          <w:rFonts w:hint="default" w:ascii="Times New Roman" w:hAnsi="Times New Roman" w:eastAsia="仿宋" w:cs="Times New Roman"/>
          <w:bCs/>
          <w:color w:val="auto"/>
          <w:sz w:val="24"/>
          <w:szCs w:val="24"/>
          <w:highlight w:val="none"/>
          <w:lang w:val="en-US" w:eastAsia="zh-CN"/>
        </w:rPr>
        <w:t xml:space="preserve"> </w:t>
      </w:r>
    </w:p>
    <w:p w14:paraId="723141A7">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联系人：</w:t>
      </w:r>
      <w:r>
        <w:rPr>
          <w:rFonts w:hint="eastAsia" w:eastAsia="仿宋" w:cs="Times New Roman"/>
          <w:bCs/>
          <w:color w:val="auto"/>
          <w:sz w:val="24"/>
          <w:szCs w:val="24"/>
          <w:highlight w:val="none"/>
          <w:lang w:eastAsia="zh-CN"/>
        </w:rPr>
        <w:t>李</w:t>
      </w:r>
      <w:r>
        <w:rPr>
          <w:rFonts w:hint="default" w:ascii="Times New Roman" w:hAnsi="Times New Roman" w:eastAsia="仿宋" w:cs="Times New Roman"/>
          <w:bCs/>
          <w:color w:val="auto"/>
          <w:sz w:val="24"/>
          <w:szCs w:val="24"/>
          <w:highlight w:val="none"/>
          <w:lang w:eastAsia="zh-CN"/>
        </w:rPr>
        <w:t>老师</w:t>
      </w:r>
      <w:r>
        <w:rPr>
          <w:rFonts w:hint="default" w:ascii="Times New Roman" w:hAnsi="Times New Roman" w:eastAsia="仿宋" w:cs="Times New Roman"/>
          <w:bCs/>
          <w:color w:val="auto"/>
          <w:sz w:val="24"/>
          <w:szCs w:val="24"/>
          <w:highlight w:val="none"/>
          <w:lang w:val="en-US" w:eastAsia="zh-CN"/>
        </w:rPr>
        <w:t xml:space="preserve"> </w:t>
      </w:r>
    </w:p>
    <w:p w14:paraId="5FF1190B">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电  话：</w:t>
      </w:r>
      <w:r>
        <w:rPr>
          <w:rFonts w:hint="default" w:ascii="Times New Roman" w:hAnsi="Times New Roman" w:eastAsia="仿宋" w:cs="Times New Roman"/>
          <w:bCs/>
          <w:color w:val="auto"/>
          <w:sz w:val="24"/>
          <w:szCs w:val="24"/>
          <w:highlight w:val="none"/>
          <w:lang w:val="en-US" w:eastAsia="zh-CN"/>
        </w:rPr>
        <w:t>023-68</w:t>
      </w:r>
      <w:r>
        <w:rPr>
          <w:rFonts w:hint="eastAsia" w:eastAsia="仿宋" w:cs="Times New Roman"/>
          <w:bCs/>
          <w:color w:val="auto"/>
          <w:sz w:val="24"/>
          <w:szCs w:val="24"/>
          <w:highlight w:val="none"/>
          <w:lang w:val="en-US" w:eastAsia="zh-CN"/>
        </w:rPr>
        <w:t>535376</w:t>
      </w:r>
    </w:p>
    <w:p w14:paraId="21F3D421">
      <w:pPr>
        <w:pageBreakBefore w:val="0"/>
        <w:widowControl w:val="0"/>
        <w:kinsoku/>
        <w:wordWrap/>
        <w:overflowPunct/>
        <w:topLinePunct w:val="0"/>
        <w:autoSpaceDE/>
        <w:autoSpaceDN/>
        <w:bidi w:val="0"/>
        <w:snapToGrid w:val="0"/>
        <w:spacing w:line="500" w:lineRule="exact"/>
        <w:ind w:firstLine="360" w:firstLineChars="150"/>
        <w:textAlignment w:val="auto"/>
        <w:rPr>
          <w:rFonts w:hint="default" w:ascii="Times New Roman" w:hAnsi="Times New Roman" w:eastAsia="仿宋" w:cs="Times New Roman"/>
          <w:b/>
          <w:bCs w:val="0"/>
          <w:color w:val="auto"/>
          <w:sz w:val="36"/>
          <w:szCs w:val="30"/>
          <w:highlight w:val="none"/>
        </w:rPr>
      </w:pPr>
      <w:r>
        <w:rPr>
          <w:rFonts w:hint="default" w:ascii="Times New Roman" w:hAnsi="Times New Roman" w:eastAsia="仿宋" w:cs="Times New Roman"/>
          <w:bCs/>
          <w:color w:val="auto"/>
          <w:sz w:val="24"/>
          <w:szCs w:val="24"/>
          <w:highlight w:val="none"/>
        </w:rPr>
        <w:t>地  址：重庆市大渡口区跳磴镇跳磴正街67号</w:t>
      </w:r>
      <w:bookmarkStart w:id="44" w:name="_Toc30073"/>
      <w:bookmarkStart w:id="45" w:name="_Toc266"/>
      <w:bookmarkStart w:id="46" w:name="_Toc16349"/>
      <w:bookmarkStart w:id="47" w:name="_Toc682"/>
      <w:bookmarkStart w:id="48" w:name="_Toc8654"/>
      <w:r>
        <w:rPr>
          <w:rFonts w:hint="default" w:ascii="Times New Roman" w:hAnsi="Times New Roman" w:eastAsia="仿宋" w:cs="Times New Roman"/>
          <w:b/>
          <w:bCs w:val="0"/>
          <w:color w:val="auto"/>
          <w:sz w:val="36"/>
          <w:szCs w:val="30"/>
          <w:highlight w:val="none"/>
        </w:rPr>
        <w:br w:type="page"/>
      </w:r>
    </w:p>
    <w:p w14:paraId="3EEC2D55">
      <w:pPr>
        <w:pStyle w:val="4"/>
        <w:spacing w:before="0" w:after="0" w:line="360" w:lineRule="auto"/>
        <w:jc w:val="center"/>
        <w:rPr>
          <w:rFonts w:hint="default" w:ascii="Times New Roman" w:hAnsi="Times New Roman" w:eastAsia="仿宋" w:cs="Times New Roman"/>
          <w:b/>
          <w:bCs w:val="0"/>
          <w:color w:val="auto"/>
          <w:sz w:val="30"/>
          <w:szCs w:val="30"/>
          <w:highlight w:val="none"/>
        </w:rPr>
      </w:pPr>
      <w:r>
        <w:rPr>
          <w:rFonts w:hint="default" w:ascii="Times New Roman" w:hAnsi="Times New Roman" w:eastAsia="仿宋" w:cs="Times New Roman"/>
          <w:b/>
          <w:bCs w:val="0"/>
          <w:color w:val="auto"/>
          <w:sz w:val="36"/>
          <w:szCs w:val="30"/>
          <w:highlight w:val="none"/>
        </w:rPr>
        <w:t>第二篇  询比采购服务需求</w:t>
      </w:r>
      <w:bookmarkEnd w:id="44"/>
      <w:bookmarkEnd w:id="45"/>
      <w:bookmarkEnd w:id="46"/>
      <w:bookmarkEnd w:id="47"/>
      <w:bookmarkEnd w:id="48"/>
    </w:p>
    <w:p w14:paraId="2932057F">
      <w:pPr>
        <w:keepNext w:val="0"/>
        <w:keepLines w:val="0"/>
        <w:pageBreakBefore w:val="0"/>
        <w:widowControl w:val="0"/>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rPr>
      </w:pPr>
      <w:bookmarkStart w:id="49" w:name="_Toc5644"/>
      <w:bookmarkStart w:id="50" w:name="_Toc16238"/>
      <w:bookmarkStart w:id="51" w:name="_Toc1342"/>
      <w:bookmarkStart w:id="52" w:name="_Toc22268"/>
      <w:bookmarkStart w:id="53" w:name="_Toc23236"/>
      <w:bookmarkStart w:id="54" w:name="_Toc15391"/>
      <w:bookmarkStart w:id="55" w:name="_Toc10742"/>
      <w:bookmarkStart w:id="56" w:name="_Toc24682"/>
      <w:bookmarkStart w:id="57" w:name="_Toc2484"/>
      <w:bookmarkStart w:id="58" w:name="_Toc28883"/>
      <w:bookmarkStart w:id="59" w:name="_Toc12789058"/>
      <w:bookmarkStart w:id="60" w:name="_Toc32762"/>
      <w:r>
        <w:rPr>
          <w:rFonts w:hint="default" w:ascii="Times New Roman" w:hAnsi="Times New Roman" w:eastAsia="仿宋" w:cs="Times New Roman"/>
          <w:b/>
          <w:bCs w:val="0"/>
          <w:color w:val="auto"/>
          <w:sz w:val="24"/>
          <w:szCs w:val="24"/>
          <w:highlight w:val="none"/>
        </w:rPr>
        <w:t>一、</w:t>
      </w:r>
      <w:bookmarkEnd w:id="49"/>
      <w:bookmarkEnd w:id="50"/>
      <w:bookmarkEnd w:id="51"/>
      <w:bookmarkEnd w:id="52"/>
      <w:bookmarkEnd w:id="53"/>
      <w:bookmarkEnd w:id="54"/>
      <w:bookmarkEnd w:id="55"/>
      <w:bookmarkEnd w:id="56"/>
      <w:bookmarkEnd w:id="57"/>
      <w:bookmarkEnd w:id="58"/>
      <w:bookmarkStart w:id="61" w:name="_Toc8106"/>
      <w:bookmarkStart w:id="62" w:name="_Toc9212"/>
      <w:bookmarkStart w:id="63" w:name="_Toc17922"/>
      <w:r>
        <w:rPr>
          <w:rFonts w:hint="default" w:ascii="Times New Roman" w:hAnsi="Times New Roman" w:eastAsia="仿宋" w:cs="Times New Roman"/>
          <w:b/>
          <w:bCs w:val="0"/>
          <w:color w:val="auto"/>
          <w:sz w:val="24"/>
          <w:szCs w:val="24"/>
          <w:highlight w:val="none"/>
        </w:rPr>
        <w:t>项目概况</w:t>
      </w:r>
      <w:bookmarkEnd w:id="61"/>
      <w:bookmarkEnd w:id="62"/>
      <w:bookmarkEnd w:id="63"/>
    </w:p>
    <w:p w14:paraId="75BD372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outlineLvl w:val="2"/>
        <w:rPr>
          <w:rFonts w:hint="default" w:ascii="Times New Roman" w:hAnsi="Times New Roman" w:eastAsia="仿宋" w:cs="Times New Roman"/>
          <w:bCs/>
          <w:color w:val="auto"/>
          <w:sz w:val="24"/>
          <w:szCs w:val="24"/>
          <w:highlight w:val="none"/>
          <w:lang w:val="en-US" w:eastAsia="zh-CN"/>
        </w:rPr>
      </w:pPr>
      <w:bookmarkStart w:id="64" w:name="_Toc10102"/>
      <w:bookmarkStart w:id="65" w:name="_Toc13701"/>
      <w:bookmarkStart w:id="66" w:name="_Toc10109"/>
      <w:r>
        <w:rPr>
          <w:rFonts w:hint="eastAsia" w:ascii="Times New Roman" w:hAnsi="Times New Roman" w:eastAsia="仿宋" w:cs="Times New Roman"/>
          <w:bCs/>
          <w:color w:val="auto"/>
          <w:sz w:val="24"/>
          <w:szCs w:val="24"/>
          <w:highlight w:val="none"/>
          <w:lang w:val="en-US" w:eastAsia="zh-CN"/>
        </w:rPr>
        <w:t>建设满足居民改善环境、休息休憩、便民生活于一体的口袋公园，拟启动中顺社区口袋公园建设项目，通过设置花草植物、增设座椅、健身器材等，提升路口景观，美化城市环境，总投资约</w:t>
      </w:r>
      <w:r>
        <w:rPr>
          <w:rFonts w:hint="eastAsia" w:eastAsia="仿宋" w:cs="Times New Roman"/>
          <w:bCs/>
          <w:color w:val="auto"/>
          <w:sz w:val="24"/>
          <w:szCs w:val="24"/>
          <w:highlight w:val="none"/>
          <w:lang w:val="en-US" w:eastAsia="zh-CN"/>
        </w:rPr>
        <w:t>5</w:t>
      </w:r>
      <w:r>
        <w:rPr>
          <w:rFonts w:hint="eastAsia" w:ascii="Times New Roman" w:hAnsi="Times New Roman" w:eastAsia="仿宋" w:cs="Times New Roman"/>
          <w:bCs/>
          <w:color w:val="auto"/>
          <w:sz w:val="24"/>
          <w:szCs w:val="24"/>
          <w:highlight w:val="none"/>
          <w:lang w:val="en-US" w:eastAsia="zh-CN"/>
        </w:rPr>
        <w:t>0万元。</w:t>
      </w:r>
    </w:p>
    <w:p w14:paraId="2E050DFE">
      <w:pPr>
        <w:keepNext w:val="0"/>
        <w:keepLines w:val="0"/>
        <w:pageBreakBefore w:val="0"/>
        <w:widowControl w:val="0"/>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二、</w:t>
      </w:r>
      <w:bookmarkEnd w:id="64"/>
      <w:bookmarkEnd w:id="65"/>
      <w:bookmarkEnd w:id="66"/>
      <w:r>
        <w:rPr>
          <w:rFonts w:hint="default" w:ascii="Times New Roman" w:hAnsi="Times New Roman" w:eastAsia="仿宋" w:cs="Times New Roman"/>
          <w:b/>
          <w:bCs w:val="0"/>
          <w:color w:val="auto"/>
          <w:sz w:val="24"/>
          <w:szCs w:val="24"/>
          <w:highlight w:val="none"/>
          <w:lang w:val="en-US" w:eastAsia="zh-CN"/>
        </w:rPr>
        <w:t>采购范围及内容</w:t>
      </w:r>
    </w:p>
    <w:p w14:paraId="7C226574">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480" w:firstLineChars="200"/>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以</w:t>
      </w:r>
      <w:r>
        <w:rPr>
          <w:rFonts w:hint="eastAsia" w:eastAsia="仿宋" w:cs="Times New Roman"/>
          <w:bCs/>
          <w:color w:val="auto"/>
          <w:sz w:val="24"/>
          <w:szCs w:val="24"/>
          <w:highlight w:val="none"/>
          <w:lang w:val="en-US" w:eastAsia="zh-CN"/>
        </w:rPr>
        <w:t>施工图设计</w:t>
      </w:r>
      <w:r>
        <w:rPr>
          <w:rFonts w:hint="default" w:ascii="Times New Roman" w:hAnsi="Times New Roman" w:eastAsia="仿宋" w:cs="Times New Roman"/>
          <w:bCs/>
          <w:color w:val="auto"/>
          <w:sz w:val="24"/>
          <w:szCs w:val="24"/>
          <w:highlight w:val="none"/>
          <w:lang w:val="en-US" w:eastAsia="zh-CN"/>
        </w:rPr>
        <w:t>所示的范围、</w:t>
      </w:r>
      <w:r>
        <w:rPr>
          <w:rFonts w:hint="eastAsia" w:eastAsia="仿宋" w:cs="Times New Roman"/>
          <w:bCs/>
          <w:color w:val="auto"/>
          <w:sz w:val="24"/>
          <w:szCs w:val="24"/>
          <w:highlight w:val="none"/>
          <w:lang w:val="en-US" w:eastAsia="zh-CN"/>
        </w:rPr>
        <w:t>工程量清单、</w:t>
      </w:r>
      <w:r>
        <w:rPr>
          <w:rFonts w:hint="default" w:ascii="Times New Roman" w:hAnsi="Times New Roman" w:eastAsia="仿宋" w:cs="Times New Roman"/>
          <w:bCs/>
          <w:color w:val="auto"/>
          <w:sz w:val="24"/>
          <w:szCs w:val="24"/>
          <w:highlight w:val="none"/>
          <w:lang w:val="en-US" w:eastAsia="zh-CN"/>
        </w:rPr>
        <w:t>询价文件、答疑、补遗等所示的全部工程以及采购单位指定的工作内容为准。</w:t>
      </w:r>
    </w:p>
    <w:p w14:paraId="236ED798">
      <w:pPr>
        <w:keepNext w:val="0"/>
        <w:keepLines w:val="0"/>
        <w:pageBreakBefore w:val="0"/>
        <w:widowControl w:val="0"/>
        <w:numPr>
          <w:ilvl w:val="0"/>
          <w:numId w:val="2"/>
        </w:numPr>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rPr>
      </w:pPr>
      <w:bookmarkStart w:id="67" w:name="_Toc16576"/>
      <w:bookmarkStart w:id="68" w:name="_Toc30069"/>
      <w:bookmarkStart w:id="69" w:name="_Toc12503"/>
      <w:bookmarkStart w:id="70" w:name="_Toc7715"/>
      <w:bookmarkStart w:id="71" w:name="_Toc31640"/>
      <w:bookmarkStart w:id="72" w:name="_Toc25688"/>
      <w:bookmarkStart w:id="73" w:name="_Toc20593"/>
      <w:bookmarkStart w:id="74" w:name="_Toc254"/>
      <w:r>
        <w:rPr>
          <w:rFonts w:hint="default" w:ascii="Times New Roman" w:hAnsi="Times New Roman" w:eastAsia="仿宋" w:cs="Times New Roman"/>
          <w:b/>
          <w:bCs w:val="0"/>
          <w:color w:val="auto"/>
          <w:sz w:val="24"/>
          <w:szCs w:val="24"/>
          <w:highlight w:val="none"/>
        </w:rPr>
        <w:t>其它</w:t>
      </w:r>
      <w:bookmarkEnd w:id="67"/>
      <w:bookmarkEnd w:id="68"/>
      <w:bookmarkEnd w:id="69"/>
      <w:bookmarkEnd w:id="70"/>
      <w:bookmarkEnd w:id="71"/>
      <w:bookmarkEnd w:id="72"/>
      <w:bookmarkEnd w:id="73"/>
      <w:bookmarkEnd w:id="74"/>
    </w:p>
    <w:p w14:paraId="61EE0780">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1.现场踏勘：请</w:t>
      </w:r>
      <w:r>
        <w:rPr>
          <w:rFonts w:hint="eastAsia" w:eastAsia="仿宋" w:cs="Times New Roman"/>
          <w:bCs/>
          <w:color w:val="auto"/>
          <w:sz w:val="24"/>
          <w:szCs w:val="24"/>
          <w:highlight w:val="none"/>
          <w:lang w:eastAsia="zh-CN"/>
        </w:rPr>
        <w:t>询比</w:t>
      </w:r>
      <w:r>
        <w:rPr>
          <w:rFonts w:hint="default" w:ascii="Times New Roman" w:hAnsi="Times New Roman" w:eastAsia="仿宋" w:cs="Times New Roman"/>
          <w:bCs/>
          <w:color w:val="auto"/>
          <w:sz w:val="24"/>
          <w:szCs w:val="24"/>
          <w:highlight w:val="none"/>
        </w:rPr>
        <w:t>供应商自行踏勘以充分了解工地位置、地质情况、进出场道路、拆迁干扰、储存空间、装卸限制、行车干扰及任何其它足以影响承包价格的情况，任何因忽视或误解工地情况而导致的索赔或工期延长申请将不获批准。开标时如未踏勘现场视为已踏勘，踏勘费用由磋商供应商自行承担。</w:t>
      </w:r>
    </w:p>
    <w:p w14:paraId="7FEAE442">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2.成交供应商在作业过程中不得损害业主的相关设施或妨碍辖区居民的正常生产工作秩序；</w:t>
      </w:r>
    </w:p>
    <w:p w14:paraId="246195FB">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3.施工所需设施、设备、用具等全部由成交供应商自行负责；</w:t>
      </w:r>
    </w:p>
    <w:p w14:paraId="755C668C">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4施工过程中不能阻断交通，以及施工过程中的一切安全责任由成交供应商自行负责；</w:t>
      </w:r>
    </w:p>
    <w:p w14:paraId="63A422C4">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5.施工过程中的用水、用电、临时占地和青苗补偿由成交供应商自行协调解决，并承担相应费用。</w:t>
      </w:r>
    </w:p>
    <w:p w14:paraId="62696156">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6</w:t>
      </w:r>
      <w:r>
        <w:rPr>
          <w:rFonts w:hint="default" w:ascii="Times New Roman" w:hAnsi="Times New Roman" w:eastAsia="仿宋" w:cs="Times New Roman"/>
          <w:bCs/>
          <w:color w:val="auto"/>
          <w:sz w:val="24"/>
          <w:szCs w:val="24"/>
          <w:highlight w:val="none"/>
        </w:rPr>
        <w:t>.承包人不得将合同的任何部分或采购方的任何权利、利益或责任转让、委派、许诺、安排给其他人；不得通过租用、借用他人资质证书承揽工程，承包人如有上述行为，发包人有权立即终止合同，承包人应承担由此引起的违约责任及相关法律法规责任。</w:t>
      </w:r>
    </w:p>
    <w:p w14:paraId="63E3703F">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7AE4C35D">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8</w:t>
      </w:r>
      <w:r>
        <w:rPr>
          <w:rFonts w:hint="default" w:ascii="Times New Roman" w:hAnsi="Times New Roman" w:eastAsia="仿宋" w:cs="Times New Roman"/>
          <w:bCs/>
          <w:color w:val="auto"/>
          <w:sz w:val="24"/>
          <w:szCs w:val="24"/>
          <w:highlight w:val="none"/>
        </w:rPr>
        <w:t>.因本项目建设地点为农村聚居点，考虑到建设过程中对村社的影响，为保证工程的顺利实施，成交供应商应主动协调处理影响村社的相关问题，并做好沟通解释工作。</w:t>
      </w:r>
    </w:p>
    <w:p w14:paraId="74EEA216">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9</w:t>
      </w:r>
      <w:r>
        <w:rPr>
          <w:rFonts w:hint="default" w:ascii="Times New Roman" w:hAnsi="Times New Roman" w:eastAsia="仿宋" w:cs="Times New Roman"/>
          <w:bCs/>
          <w:color w:val="auto"/>
          <w:sz w:val="24"/>
          <w:szCs w:val="24"/>
          <w:highlight w:val="none"/>
        </w:rPr>
        <w:t>.加强施工期间安全管理，发生的安全事故由成交人自行负责。</w:t>
      </w:r>
    </w:p>
    <w:p w14:paraId="7D612AEC">
      <w:pPr>
        <w:keepNext w:val="0"/>
        <w:keepLines w:val="0"/>
        <w:pageBreakBefore w:val="0"/>
        <w:widowControl w:val="0"/>
        <w:kinsoku/>
        <w:wordWrap/>
        <w:overflowPunct/>
        <w:topLinePunct w:val="0"/>
        <w:autoSpaceDE/>
        <w:autoSpaceDN/>
        <w:bidi w:val="0"/>
        <w:adjustRightInd/>
        <w:snapToGrid w:val="0"/>
        <w:spacing w:line="500" w:lineRule="exact"/>
        <w:ind w:firstLine="361" w:firstLineChars="150"/>
        <w:textAlignment w:val="auto"/>
        <w:outlineLvl w:val="2"/>
        <w:rPr>
          <w:rFonts w:hint="default" w:ascii="Times New Roman" w:hAnsi="Times New Roman" w:eastAsia="仿宋" w:cs="Times New Roman"/>
          <w:b/>
          <w:bCs w:val="0"/>
          <w:color w:val="auto"/>
          <w:sz w:val="24"/>
          <w:szCs w:val="24"/>
          <w:highlight w:val="none"/>
        </w:rPr>
      </w:pPr>
      <w:bookmarkStart w:id="75" w:name="_Toc15850"/>
      <w:r>
        <w:rPr>
          <w:rFonts w:hint="default" w:ascii="Times New Roman" w:hAnsi="Times New Roman" w:eastAsia="仿宋" w:cs="Times New Roman"/>
          <w:b/>
          <w:bCs w:val="0"/>
          <w:color w:val="auto"/>
          <w:sz w:val="24"/>
          <w:szCs w:val="24"/>
          <w:highlight w:val="none"/>
          <w:lang w:eastAsia="zh-CN"/>
        </w:rPr>
        <w:t>四、</w:t>
      </w:r>
      <w:r>
        <w:rPr>
          <w:rFonts w:hint="default" w:ascii="Times New Roman" w:hAnsi="Times New Roman" w:eastAsia="仿宋" w:cs="Times New Roman"/>
          <w:b/>
          <w:bCs w:val="0"/>
          <w:color w:val="auto"/>
          <w:sz w:val="24"/>
          <w:szCs w:val="24"/>
          <w:highlight w:val="none"/>
        </w:rPr>
        <w:t>安全生产</w:t>
      </w:r>
      <w:bookmarkEnd w:id="75"/>
    </w:p>
    <w:p w14:paraId="4A573922">
      <w:pPr>
        <w:keepNext w:val="0"/>
        <w:keepLines w:val="0"/>
        <w:pageBreakBefore w:val="0"/>
        <w:widowControl w:val="0"/>
        <w:kinsoku/>
        <w:wordWrap/>
        <w:overflowPunct/>
        <w:topLinePunct w:val="0"/>
        <w:autoSpaceDE/>
        <w:autoSpaceDN/>
        <w:bidi w:val="0"/>
        <w:adjustRightInd/>
        <w:snapToGrid w:val="0"/>
        <w:spacing w:line="500" w:lineRule="exact"/>
        <w:ind w:firstLine="360" w:firstLineChars="150"/>
        <w:textAlignment w:val="auto"/>
        <w:outlineLvl w:val="2"/>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成交供应商应遵守工程建设安全生产有关管理规定，严格按安全标准组织施工，采取必要的安全防护措施，消除事故隐患。成交供应商须负责施工现场及施工周边的施工人身安全、行人安全等，若发生安全事故，责任由供应商全部承担，采购人不承担任何责任。</w:t>
      </w:r>
    </w:p>
    <w:p w14:paraId="1C106A6E">
      <w:pPr>
        <w:rPr>
          <w:rFonts w:hint="default" w:ascii="Times New Roman" w:hAnsi="Times New Roman" w:eastAsia="仿宋" w:cs="Times New Roman"/>
          <w:bCs/>
          <w:color w:val="auto"/>
          <w:sz w:val="24"/>
          <w:szCs w:val="24"/>
          <w:highlight w:val="none"/>
        </w:rPr>
      </w:pPr>
    </w:p>
    <w:p w14:paraId="538565B6">
      <w:pPr>
        <w:pStyle w:val="2"/>
        <w:rPr>
          <w:rFonts w:hint="default" w:ascii="Times New Roman" w:hAnsi="Times New Roman" w:eastAsia="仿宋" w:cs="Times New Roman"/>
          <w:bCs/>
          <w:color w:val="auto"/>
          <w:sz w:val="24"/>
          <w:szCs w:val="24"/>
          <w:highlight w:val="none"/>
        </w:rPr>
      </w:pPr>
    </w:p>
    <w:p w14:paraId="2CD5FDD3">
      <w:pPr>
        <w:rPr>
          <w:rFonts w:hint="default" w:ascii="Times New Roman" w:hAnsi="Times New Roman" w:eastAsia="仿宋" w:cs="Times New Roman"/>
          <w:bCs/>
          <w:color w:val="auto"/>
          <w:sz w:val="24"/>
          <w:szCs w:val="24"/>
          <w:highlight w:val="none"/>
        </w:rPr>
      </w:pPr>
    </w:p>
    <w:p w14:paraId="000649A4">
      <w:pPr>
        <w:pStyle w:val="2"/>
        <w:rPr>
          <w:rFonts w:hint="default" w:ascii="Times New Roman" w:hAnsi="Times New Roman" w:eastAsia="仿宋" w:cs="Times New Roman"/>
          <w:bCs/>
          <w:color w:val="auto"/>
          <w:sz w:val="24"/>
          <w:szCs w:val="24"/>
          <w:highlight w:val="none"/>
        </w:rPr>
      </w:pPr>
    </w:p>
    <w:p w14:paraId="7CE47440">
      <w:pPr>
        <w:rPr>
          <w:rFonts w:hint="default" w:ascii="Times New Roman" w:hAnsi="Times New Roman" w:eastAsia="仿宋" w:cs="Times New Roman"/>
          <w:bCs/>
          <w:color w:val="auto"/>
          <w:sz w:val="24"/>
          <w:szCs w:val="24"/>
          <w:highlight w:val="none"/>
        </w:rPr>
      </w:pPr>
    </w:p>
    <w:p w14:paraId="1CE0D9BB">
      <w:pPr>
        <w:pStyle w:val="2"/>
        <w:rPr>
          <w:rFonts w:hint="default" w:ascii="Times New Roman" w:hAnsi="Times New Roman" w:eastAsia="仿宋" w:cs="Times New Roman"/>
          <w:bCs/>
          <w:color w:val="auto"/>
          <w:sz w:val="24"/>
          <w:szCs w:val="24"/>
          <w:highlight w:val="none"/>
        </w:rPr>
      </w:pPr>
    </w:p>
    <w:p w14:paraId="5B69B46E">
      <w:pPr>
        <w:rPr>
          <w:rFonts w:hint="default" w:ascii="Times New Roman" w:hAnsi="Times New Roman" w:eastAsia="仿宋" w:cs="Times New Roman"/>
          <w:bCs/>
          <w:color w:val="auto"/>
          <w:sz w:val="24"/>
          <w:szCs w:val="24"/>
          <w:highlight w:val="none"/>
        </w:rPr>
      </w:pPr>
    </w:p>
    <w:p w14:paraId="035DF538">
      <w:pPr>
        <w:pStyle w:val="2"/>
        <w:rPr>
          <w:rFonts w:hint="default" w:ascii="Times New Roman" w:hAnsi="Times New Roman" w:eastAsia="仿宋" w:cs="Times New Roman"/>
          <w:bCs/>
          <w:color w:val="auto"/>
          <w:sz w:val="24"/>
          <w:szCs w:val="24"/>
          <w:highlight w:val="none"/>
        </w:rPr>
      </w:pPr>
    </w:p>
    <w:p w14:paraId="0C9DD17C">
      <w:pPr>
        <w:rPr>
          <w:rFonts w:hint="default" w:ascii="Times New Roman" w:hAnsi="Times New Roman" w:eastAsia="仿宋" w:cs="Times New Roman"/>
          <w:bCs/>
          <w:color w:val="auto"/>
          <w:sz w:val="24"/>
          <w:szCs w:val="24"/>
          <w:highlight w:val="none"/>
        </w:rPr>
      </w:pPr>
    </w:p>
    <w:p w14:paraId="25FAA77E">
      <w:pPr>
        <w:pStyle w:val="2"/>
        <w:rPr>
          <w:rFonts w:hint="default" w:ascii="Times New Roman" w:hAnsi="Times New Roman" w:eastAsia="仿宋" w:cs="Times New Roman"/>
          <w:bCs/>
          <w:color w:val="auto"/>
          <w:sz w:val="24"/>
          <w:szCs w:val="24"/>
          <w:highlight w:val="none"/>
        </w:rPr>
      </w:pPr>
    </w:p>
    <w:p w14:paraId="2BAA2371">
      <w:pPr>
        <w:rPr>
          <w:rFonts w:hint="default" w:ascii="Times New Roman" w:hAnsi="Times New Roman" w:eastAsia="仿宋" w:cs="Times New Roman"/>
          <w:bCs/>
          <w:color w:val="auto"/>
          <w:sz w:val="24"/>
          <w:szCs w:val="24"/>
          <w:highlight w:val="none"/>
        </w:rPr>
      </w:pPr>
    </w:p>
    <w:p w14:paraId="16D9C6C0">
      <w:pPr>
        <w:pStyle w:val="2"/>
        <w:rPr>
          <w:rFonts w:hint="default" w:ascii="Times New Roman" w:hAnsi="Times New Roman" w:eastAsia="仿宋" w:cs="Times New Roman"/>
          <w:bCs/>
          <w:color w:val="auto"/>
          <w:sz w:val="24"/>
          <w:szCs w:val="24"/>
          <w:highlight w:val="none"/>
        </w:rPr>
      </w:pPr>
    </w:p>
    <w:p w14:paraId="0A783443">
      <w:pPr>
        <w:rPr>
          <w:rFonts w:hint="default" w:ascii="Times New Roman" w:hAnsi="Times New Roman" w:eastAsia="仿宋" w:cs="Times New Roman"/>
          <w:bCs/>
          <w:color w:val="auto"/>
          <w:sz w:val="24"/>
          <w:szCs w:val="24"/>
          <w:highlight w:val="none"/>
        </w:rPr>
      </w:pPr>
    </w:p>
    <w:p w14:paraId="6206B9B0">
      <w:pPr>
        <w:pStyle w:val="2"/>
        <w:rPr>
          <w:rFonts w:hint="default" w:ascii="Times New Roman" w:hAnsi="Times New Roman" w:eastAsia="仿宋" w:cs="Times New Roman"/>
          <w:bCs/>
          <w:color w:val="auto"/>
          <w:sz w:val="24"/>
          <w:szCs w:val="24"/>
          <w:highlight w:val="none"/>
        </w:rPr>
      </w:pPr>
    </w:p>
    <w:p w14:paraId="237070CF">
      <w:pPr>
        <w:rPr>
          <w:rFonts w:hint="default" w:ascii="Times New Roman" w:hAnsi="Times New Roman" w:eastAsia="仿宋" w:cs="Times New Roman"/>
          <w:bCs/>
          <w:color w:val="auto"/>
          <w:sz w:val="24"/>
          <w:szCs w:val="24"/>
          <w:highlight w:val="none"/>
        </w:rPr>
      </w:pPr>
    </w:p>
    <w:p w14:paraId="61C5D043">
      <w:pPr>
        <w:pStyle w:val="2"/>
        <w:rPr>
          <w:rFonts w:hint="default" w:ascii="Times New Roman" w:hAnsi="Times New Roman" w:eastAsia="仿宋" w:cs="Times New Roman"/>
          <w:bCs/>
          <w:color w:val="auto"/>
          <w:sz w:val="24"/>
          <w:szCs w:val="24"/>
          <w:highlight w:val="none"/>
        </w:rPr>
      </w:pPr>
    </w:p>
    <w:p w14:paraId="10F89827">
      <w:pPr>
        <w:rPr>
          <w:rFonts w:hint="default" w:ascii="Times New Roman" w:hAnsi="Times New Roman" w:eastAsia="仿宋" w:cs="Times New Roman"/>
          <w:bCs/>
          <w:color w:val="auto"/>
          <w:sz w:val="24"/>
          <w:szCs w:val="24"/>
          <w:highlight w:val="none"/>
        </w:rPr>
      </w:pPr>
    </w:p>
    <w:p w14:paraId="4097D6C6">
      <w:pPr>
        <w:pStyle w:val="2"/>
        <w:rPr>
          <w:rFonts w:hint="default" w:ascii="Times New Roman" w:hAnsi="Times New Roman" w:eastAsia="仿宋" w:cs="Times New Roman"/>
          <w:bCs/>
          <w:color w:val="auto"/>
          <w:sz w:val="24"/>
          <w:szCs w:val="24"/>
          <w:highlight w:val="none"/>
        </w:rPr>
      </w:pPr>
    </w:p>
    <w:p w14:paraId="763736BA">
      <w:pPr>
        <w:rPr>
          <w:rFonts w:hint="default" w:ascii="Times New Roman" w:hAnsi="Times New Roman" w:eastAsia="仿宋" w:cs="Times New Roman"/>
          <w:bCs/>
          <w:color w:val="auto"/>
          <w:sz w:val="24"/>
          <w:szCs w:val="24"/>
          <w:highlight w:val="none"/>
        </w:rPr>
      </w:pPr>
    </w:p>
    <w:p w14:paraId="78DD4539">
      <w:pPr>
        <w:pStyle w:val="2"/>
        <w:rPr>
          <w:rFonts w:hint="default" w:ascii="Times New Roman" w:hAnsi="Times New Roman" w:eastAsia="仿宋" w:cs="Times New Roman"/>
          <w:bCs/>
          <w:color w:val="auto"/>
          <w:sz w:val="24"/>
          <w:szCs w:val="24"/>
          <w:highlight w:val="none"/>
        </w:rPr>
      </w:pPr>
    </w:p>
    <w:p w14:paraId="4089ABDF">
      <w:pPr>
        <w:rPr>
          <w:rFonts w:hint="default" w:ascii="Times New Roman" w:hAnsi="Times New Roman" w:eastAsia="仿宋" w:cs="Times New Roman"/>
          <w:bCs/>
          <w:color w:val="auto"/>
          <w:sz w:val="24"/>
          <w:szCs w:val="24"/>
          <w:highlight w:val="none"/>
        </w:rPr>
      </w:pPr>
    </w:p>
    <w:p w14:paraId="3CB74BEF">
      <w:pPr>
        <w:pStyle w:val="2"/>
        <w:rPr>
          <w:rFonts w:hint="default" w:ascii="Times New Roman" w:hAnsi="Times New Roman" w:eastAsia="仿宋" w:cs="Times New Roman"/>
          <w:bCs/>
          <w:color w:val="auto"/>
          <w:sz w:val="24"/>
          <w:szCs w:val="24"/>
          <w:highlight w:val="none"/>
        </w:rPr>
      </w:pPr>
    </w:p>
    <w:p w14:paraId="4220E287">
      <w:pPr>
        <w:rPr>
          <w:rFonts w:hint="default" w:ascii="Times New Roman" w:hAnsi="Times New Roman" w:eastAsia="仿宋" w:cs="Times New Roman"/>
          <w:bCs/>
          <w:color w:val="auto"/>
          <w:sz w:val="24"/>
          <w:szCs w:val="24"/>
          <w:highlight w:val="none"/>
        </w:rPr>
      </w:pPr>
    </w:p>
    <w:p w14:paraId="2C9B8F08">
      <w:pPr>
        <w:rPr>
          <w:rFonts w:hint="default" w:ascii="Times New Roman" w:hAnsi="Times New Roman" w:eastAsia="仿宋" w:cs="Times New Roman"/>
          <w:bCs/>
          <w:color w:val="auto"/>
          <w:sz w:val="24"/>
          <w:szCs w:val="24"/>
          <w:highlight w:val="none"/>
        </w:rPr>
      </w:pPr>
    </w:p>
    <w:p w14:paraId="26570709">
      <w:pPr>
        <w:rPr>
          <w:rFonts w:hint="default" w:ascii="Times New Roman" w:hAnsi="Times New Roman" w:eastAsia="仿宋" w:cs="Times New Roman"/>
          <w:bCs/>
          <w:color w:val="auto"/>
          <w:sz w:val="24"/>
          <w:szCs w:val="24"/>
          <w:highlight w:val="none"/>
        </w:rPr>
      </w:pPr>
    </w:p>
    <w:p w14:paraId="679E4454">
      <w:pPr>
        <w:pStyle w:val="2"/>
        <w:rPr>
          <w:rFonts w:hint="default" w:ascii="Times New Roman" w:hAnsi="Times New Roman" w:eastAsia="仿宋" w:cs="Times New Roman"/>
          <w:bCs/>
          <w:color w:val="auto"/>
          <w:sz w:val="24"/>
          <w:szCs w:val="24"/>
          <w:highlight w:val="none"/>
        </w:rPr>
      </w:pPr>
    </w:p>
    <w:p w14:paraId="3DFB45EC">
      <w:pPr>
        <w:rPr>
          <w:rFonts w:hint="default" w:ascii="Times New Roman" w:hAnsi="Times New Roman" w:eastAsia="仿宋" w:cs="Times New Roman"/>
          <w:bCs/>
          <w:color w:val="auto"/>
          <w:sz w:val="24"/>
          <w:szCs w:val="24"/>
          <w:highlight w:val="none"/>
        </w:rPr>
      </w:pPr>
    </w:p>
    <w:p w14:paraId="22F1DAC3">
      <w:pPr>
        <w:pStyle w:val="2"/>
        <w:rPr>
          <w:rFonts w:hint="default" w:ascii="Times New Roman" w:hAnsi="Times New Roman" w:eastAsia="仿宋" w:cs="Times New Roman"/>
          <w:bCs/>
          <w:color w:val="auto"/>
          <w:sz w:val="24"/>
          <w:szCs w:val="24"/>
          <w:highlight w:val="none"/>
        </w:rPr>
      </w:pPr>
    </w:p>
    <w:p w14:paraId="71755D5F">
      <w:pPr>
        <w:rPr>
          <w:rFonts w:hint="default" w:ascii="Times New Roman" w:hAnsi="Times New Roman" w:eastAsia="仿宋" w:cs="Times New Roman"/>
          <w:bCs/>
          <w:color w:val="auto"/>
          <w:sz w:val="24"/>
          <w:szCs w:val="24"/>
          <w:highlight w:val="none"/>
        </w:rPr>
      </w:pPr>
    </w:p>
    <w:p w14:paraId="369D8A01">
      <w:pPr>
        <w:pStyle w:val="2"/>
        <w:rPr>
          <w:rFonts w:hint="default" w:ascii="Times New Roman" w:hAnsi="Times New Roman" w:eastAsia="仿宋" w:cs="Times New Roman"/>
          <w:bCs/>
          <w:color w:val="auto"/>
          <w:sz w:val="24"/>
          <w:szCs w:val="24"/>
          <w:highlight w:val="none"/>
        </w:rPr>
      </w:pPr>
    </w:p>
    <w:p w14:paraId="2AC2659F">
      <w:pPr>
        <w:rPr>
          <w:rFonts w:hint="default" w:ascii="Times New Roman" w:hAnsi="Times New Roman" w:eastAsia="仿宋" w:cs="Times New Roman"/>
          <w:bCs/>
          <w:color w:val="auto"/>
          <w:sz w:val="24"/>
          <w:szCs w:val="24"/>
          <w:highlight w:val="none"/>
        </w:rPr>
      </w:pPr>
    </w:p>
    <w:p w14:paraId="06662F24">
      <w:pPr>
        <w:pStyle w:val="2"/>
        <w:rPr>
          <w:rFonts w:hint="default" w:ascii="Times New Roman" w:hAnsi="Times New Roman" w:eastAsia="仿宋" w:cs="Times New Roman"/>
          <w:bCs/>
          <w:color w:val="auto"/>
          <w:sz w:val="24"/>
          <w:szCs w:val="24"/>
          <w:highlight w:val="none"/>
        </w:rPr>
      </w:pPr>
    </w:p>
    <w:p w14:paraId="02C8B274">
      <w:pPr>
        <w:rPr>
          <w:rFonts w:hint="default" w:ascii="Times New Roman" w:hAnsi="Times New Roman" w:eastAsia="仿宋" w:cs="Times New Roman"/>
          <w:bCs/>
          <w:color w:val="auto"/>
          <w:sz w:val="24"/>
          <w:szCs w:val="24"/>
          <w:highlight w:val="none"/>
        </w:rPr>
      </w:pPr>
    </w:p>
    <w:p w14:paraId="4AE584F2">
      <w:pPr>
        <w:pStyle w:val="2"/>
        <w:rPr>
          <w:rFonts w:hint="default"/>
        </w:rPr>
      </w:pPr>
    </w:p>
    <w:p w14:paraId="7718F616">
      <w:pPr>
        <w:pStyle w:val="2"/>
        <w:rPr>
          <w:rFonts w:hint="default" w:ascii="Times New Roman" w:hAnsi="Times New Roman" w:eastAsia="仿宋" w:cs="Times New Roman"/>
          <w:bCs/>
          <w:color w:val="auto"/>
          <w:sz w:val="24"/>
          <w:szCs w:val="24"/>
          <w:highlight w:val="none"/>
        </w:rPr>
      </w:pPr>
    </w:p>
    <w:p w14:paraId="1C360AFE">
      <w:pPr>
        <w:rPr>
          <w:rFonts w:hint="default" w:ascii="Times New Roman" w:hAnsi="Times New Roman" w:eastAsia="仿宋" w:cs="Times New Roman"/>
          <w:bCs/>
          <w:color w:val="auto"/>
          <w:sz w:val="24"/>
          <w:szCs w:val="24"/>
          <w:highlight w:val="none"/>
        </w:rPr>
      </w:pPr>
    </w:p>
    <w:p w14:paraId="58834609">
      <w:pPr>
        <w:pStyle w:val="2"/>
        <w:rPr>
          <w:rFonts w:hint="default" w:ascii="Times New Roman" w:hAnsi="Times New Roman" w:eastAsia="仿宋" w:cs="Times New Roman"/>
          <w:bCs/>
          <w:color w:val="auto"/>
          <w:sz w:val="24"/>
          <w:szCs w:val="24"/>
          <w:highlight w:val="none"/>
        </w:rPr>
      </w:pPr>
    </w:p>
    <w:p w14:paraId="3A5A95C3">
      <w:pPr>
        <w:rPr>
          <w:rFonts w:hint="default" w:ascii="Times New Roman" w:hAnsi="Times New Roman" w:eastAsia="仿宋" w:cs="Times New Roman"/>
          <w:bCs/>
          <w:color w:val="auto"/>
          <w:sz w:val="24"/>
          <w:szCs w:val="24"/>
          <w:highlight w:val="none"/>
        </w:rPr>
      </w:pPr>
    </w:p>
    <w:p w14:paraId="49296DE7">
      <w:pPr>
        <w:pStyle w:val="2"/>
        <w:rPr>
          <w:rFonts w:hint="default" w:ascii="Times New Roman" w:hAnsi="Times New Roman" w:eastAsia="仿宋" w:cs="Times New Roman"/>
          <w:bCs/>
          <w:color w:val="auto"/>
          <w:sz w:val="24"/>
          <w:szCs w:val="24"/>
          <w:highlight w:val="none"/>
        </w:rPr>
      </w:pPr>
    </w:p>
    <w:p w14:paraId="1C138B11">
      <w:pPr>
        <w:rPr>
          <w:rFonts w:hint="default"/>
        </w:rPr>
      </w:pPr>
    </w:p>
    <w:p w14:paraId="4ED9C137">
      <w:pPr>
        <w:pStyle w:val="2"/>
        <w:rPr>
          <w:rFonts w:hint="default" w:ascii="Times New Roman" w:hAnsi="Times New Roman" w:eastAsia="仿宋" w:cs="Times New Roman"/>
          <w:bCs/>
          <w:color w:val="auto"/>
          <w:sz w:val="24"/>
          <w:szCs w:val="24"/>
          <w:highlight w:val="none"/>
        </w:rPr>
      </w:pPr>
    </w:p>
    <w:p w14:paraId="52F88DAA">
      <w:pPr>
        <w:pStyle w:val="2"/>
        <w:rPr>
          <w:rFonts w:hint="default" w:ascii="Times New Roman" w:hAnsi="Times New Roman" w:eastAsia="仿宋" w:cs="Times New Roman"/>
          <w:bCs/>
          <w:color w:val="auto"/>
          <w:sz w:val="24"/>
          <w:szCs w:val="24"/>
          <w:highlight w:val="none"/>
        </w:rPr>
      </w:pPr>
    </w:p>
    <w:p w14:paraId="69F35AE9">
      <w:pPr>
        <w:rPr>
          <w:rFonts w:hint="default" w:ascii="Times New Roman" w:hAnsi="Times New Roman" w:eastAsia="仿宋" w:cs="Times New Roman"/>
          <w:bCs/>
          <w:color w:val="auto"/>
          <w:sz w:val="24"/>
          <w:szCs w:val="24"/>
          <w:highlight w:val="none"/>
        </w:rPr>
      </w:pPr>
    </w:p>
    <w:p w14:paraId="1BFEA247">
      <w:pPr>
        <w:pStyle w:val="2"/>
        <w:rPr>
          <w:rFonts w:hint="default"/>
        </w:rPr>
      </w:pPr>
    </w:p>
    <w:p w14:paraId="06D09E69">
      <w:pPr>
        <w:jc w:val="center"/>
        <w:rPr>
          <w:rStyle w:val="30"/>
          <w:rFonts w:hint="default" w:ascii="Times New Roman" w:hAnsi="Times New Roman" w:cs="Times New Roman"/>
          <w:b/>
          <w:bCs w:val="0"/>
          <w:color w:val="auto"/>
          <w:highlight w:val="none"/>
        </w:rPr>
      </w:pPr>
      <w:bookmarkStart w:id="76" w:name="_Toc4985"/>
      <w:bookmarkStart w:id="77" w:name="_Toc14350"/>
      <w:bookmarkStart w:id="78" w:name="_Toc1419"/>
      <w:bookmarkStart w:id="79" w:name="_Toc10507"/>
      <w:r>
        <w:rPr>
          <w:rStyle w:val="30"/>
          <w:rFonts w:hint="default" w:ascii="Times New Roman" w:hAnsi="Times New Roman" w:eastAsia="仿宋" w:cs="Times New Roman"/>
          <w:b/>
          <w:bCs w:val="0"/>
          <w:color w:val="auto"/>
          <w:sz w:val="36"/>
          <w:szCs w:val="36"/>
          <w:highlight w:val="none"/>
        </w:rPr>
        <w:t xml:space="preserve">第三篇  </w:t>
      </w:r>
      <w:bookmarkEnd w:id="59"/>
      <w:r>
        <w:rPr>
          <w:rStyle w:val="30"/>
          <w:rFonts w:hint="default" w:ascii="Times New Roman" w:hAnsi="Times New Roman" w:eastAsia="仿宋" w:cs="Times New Roman"/>
          <w:b/>
          <w:bCs w:val="0"/>
          <w:color w:val="auto"/>
          <w:sz w:val="36"/>
          <w:szCs w:val="36"/>
          <w:highlight w:val="none"/>
        </w:rPr>
        <w:t>询比采购商务、技术需求</w:t>
      </w:r>
    </w:p>
    <w:bookmarkEnd w:id="60"/>
    <w:bookmarkEnd w:id="76"/>
    <w:bookmarkEnd w:id="77"/>
    <w:bookmarkEnd w:id="78"/>
    <w:bookmarkEnd w:id="79"/>
    <w:p w14:paraId="1898E1F9">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80" w:name="_Toc3535"/>
      <w:r>
        <w:rPr>
          <w:rFonts w:hint="default" w:ascii="Times New Roman" w:hAnsi="Times New Roman" w:eastAsia="仿宋" w:cs="Times New Roman"/>
          <w:b/>
          <w:bCs w:val="0"/>
          <w:color w:val="auto"/>
          <w:sz w:val="24"/>
          <w:szCs w:val="24"/>
          <w:highlight w:val="none"/>
          <w:lang w:eastAsia="zh-CN"/>
        </w:rPr>
        <w:t>一、服务期、地点及质量要求</w:t>
      </w:r>
      <w:bookmarkEnd w:id="80"/>
    </w:p>
    <w:p w14:paraId="657C14F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（一）服务期：</w:t>
      </w:r>
      <w:r>
        <w:rPr>
          <w:rFonts w:hint="eastAsia" w:eastAsia="仿宋" w:cs="Times New Roman"/>
          <w:bCs/>
          <w:color w:val="auto"/>
          <w:sz w:val="24"/>
          <w:szCs w:val="24"/>
          <w:highlight w:val="none"/>
          <w:lang w:val="en-US" w:eastAsia="zh-CN"/>
        </w:rPr>
        <w:t>30</w:t>
      </w:r>
      <w:r>
        <w:rPr>
          <w:rFonts w:hint="default" w:ascii="Times New Roman" w:hAnsi="Times New Roman" w:eastAsia="仿宋" w:cs="Times New Roman"/>
          <w:bCs/>
          <w:color w:val="auto"/>
          <w:sz w:val="24"/>
          <w:szCs w:val="24"/>
          <w:highlight w:val="none"/>
          <w:lang w:val="en-US" w:eastAsia="zh-CN"/>
        </w:rPr>
        <w:t>日历天，开工日期以</w:t>
      </w:r>
      <w:r>
        <w:rPr>
          <w:rFonts w:hint="eastAsia" w:eastAsia="仿宋" w:cs="Times New Roman"/>
          <w:bCs/>
          <w:color w:val="auto"/>
          <w:sz w:val="24"/>
          <w:szCs w:val="24"/>
          <w:highlight w:val="none"/>
          <w:lang w:val="en-US" w:eastAsia="zh-CN"/>
        </w:rPr>
        <w:t>采购</w:t>
      </w:r>
      <w:r>
        <w:rPr>
          <w:rFonts w:hint="default" w:ascii="Times New Roman" w:hAnsi="Times New Roman" w:eastAsia="仿宋" w:cs="Times New Roman"/>
          <w:bCs/>
          <w:color w:val="auto"/>
          <w:sz w:val="24"/>
          <w:szCs w:val="24"/>
          <w:highlight w:val="none"/>
          <w:lang w:val="en-US" w:eastAsia="zh-CN"/>
        </w:rPr>
        <w:t>人正式通知为准</w:t>
      </w:r>
      <w:r>
        <w:rPr>
          <w:rFonts w:hint="default" w:ascii="Times New Roman" w:hAnsi="Times New Roman" w:eastAsia="仿宋" w:cs="Times New Roman"/>
          <w:bCs/>
          <w:color w:val="auto"/>
          <w:sz w:val="24"/>
          <w:szCs w:val="24"/>
          <w:highlight w:val="none"/>
          <w:lang w:eastAsia="zh-CN"/>
        </w:rPr>
        <w:t>。</w:t>
      </w:r>
    </w:p>
    <w:p w14:paraId="2B625C1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（二）服务地点：</w:t>
      </w:r>
      <w:r>
        <w:rPr>
          <w:rFonts w:hint="default" w:ascii="Times New Roman" w:hAnsi="Times New Roman" w:eastAsia="仿宋" w:cs="Times New Roman"/>
          <w:bCs/>
          <w:color w:val="auto"/>
          <w:sz w:val="24"/>
          <w:szCs w:val="24"/>
          <w:highlight w:val="none"/>
          <w:lang w:val="en-US" w:eastAsia="zh-CN"/>
        </w:rPr>
        <w:t>重庆市大渡口区跳磴镇。</w:t>
      </w:r>
    </w:p>
    <w:p w14:paraId="41E08267">
      <w:pPr>
        <w:keepNext w:val="0"/>
        <w:keepLines w:val="0"/>
        <w:pageBreakBefore w:val="0"/>
        <w:widowControl w:val="0"/>
        <w:kinsoku/>
        <w:wordWrap/>
        <w:overflowPunct/>
        <w:topLinePunct w:val="0"/>
        <w:autoSpaceDE/>
        <w:autoSpaceDN/>
        <w:bidi w:val="0"/>
        <w:snapToGrid w:val="0"/>
        <w:spacing w:line="500" w:lineRule="exact"/>
        <w:ind w:firstLine="540" w:firstLineChars="0"/>
        <w:textAlignment w:val="auto"/>
        <w:rPr>
          <w:rFonts w:hint="default" w:ascii="Times New Roman" w:hAnsi="Times New Roman" w:eastAsia="仿宋" w:cs="Times New Roman"/>
          <w:bCs/>
          <w:color w:val="auto"/>
          <w:sz w:val="24"/>
          <w:szCs w:val="24"/>
          <w:highlight w:val="none"/>
        </w:rPr>
      </w:pPr>
      <w:bookmarkStart w:id="81" w:name="_Toc18575"/>
      <w:bookmarkStart w:id="82" w:name="_Toc31229"/>
      <w:bookmarkStart w:id="83" w:name="_Toc27675"/>
      <w:bookmarkStart w:id="84" w:name="_Toc521399411"/>
      <w:bookmarkStart w:id="85" w:name="_Toc17573"/>
      <w:bookmarkStart w:id="86" w:name="_Toc2847"/>
      <w:bookmarkStart w:id="87" w:name="_Toc344475122"/>
      <w:bookmarkStart w:id="88" w:name="_Toc30780"/>
      <w:r>
        <w:rPr>
          <w:rFonts w:hint="default" w:ascii="Times New Roman" w:hAnsi="Times New Roman" w:eastAsia="仿宋" w:cs="Times New Roman"/>
          <w:bCs/>
          <w:color w:val="auto"/>
          <w:sz w:val="24"/>
          <w:szCs w:val="24"/>
          <w:highlight w:val="none"/>
        </w:rPr>
        <w:t>（三）工程质量、材料、施工等的特殊要求：</w:t>
      </w:r>
      <w:r>
        <w:rPr>
          <w:rFonts w:hint="eastAsia" w:ascii="Times New Roman" w:hAnsi="Times New Roman" w:eastAsia="仿宋" w:cs="Times New Roman"/>
          <w:bCs/>
          <w:color w:val="auto"/>
          <w:sz w:val="24"/>
          <w:szCs w:val="24"/>
          <w:highlight w:val="none"/>
        </w:rPr>
        <w:t>达到国家、行业和重庆市有关施工质量验收规范、技术规范、技术标准、规程、文件等相关规定。</w:t>
      </w:r>
    </w:p>
    <w:p w14:paraId="58D217E3">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89" w:name="_Toc6048"/>
      <w:bookmarkStart w:id="90" w:name="_Toc31816"/>
      <w:bookmarkStart w:id="91" w:name="_Toc4817"/>
      <w:bookmarkStart w:id="92" w:name="_Toc6867"/>
      <w:r>
        <w:rPr>
          <w:rFonts w:hint="default" w:ascii="Times New Roman" w:hAnsi="Times New Roman" w:eastAsia="仿宋" w:cs="Times New Roman"/>
          <w:b/>
          <w:bCs w:val="0"/>
          <w:color w:val="auto"/>
          <w:sz w:val="24"/>
          <w:szCs w:val="24"/>
          <w:highlight w:val="none"/>
          <w:lang w:eastAsia="zh-CN"/>
        </w:rPr>
        <w:t>二、报价要求</w:t>
      </w:r>
      <w:bookmarkEnd w:id="89"/>
      <w:bookmarkEnd w:id="90"/>
      <w:bookmarkEnd w:id="91"/>
      <w:bookmarkEnd w:id="92"/>
    </w:p>
    <w:p w14:paraId="21545AE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bookmarkStart w:id="93" w:name="_Toc20244"/>
      <w:bookmarkStart w:id="94" w:name="_Toc25186"/>
      <w:bookmarkStart w:id="95" w:name="_Toc18317"/>
      <w:bookmarkStart w:id="96" w:name="_Toc10200"/>
      <w:r>
        <w:rPr>
          <w:rFonts w:hint="eastAsia" w:ascii="Times New Roman" w:hAnsi="Times New Roman" w:eastAsia="仿宋" w:cs="Times New Roman"/>
          <w:bCs/>
          <w:color w:val="auto"/>
          <w:sz w:val="24"/>
          <w:szCs w:val="24"/>
          <w:highlight w:val="none"/>
          <w:lang w:val="en-US" w:eastAsia="zh-CN"/>
        </w:rPr>
        <w:t>（一）本工程采用工程量清单计价模式。本工程由供应商以</w:t>
      </w:r>
      <w:r>
        <w:rPr>
          <w:rFonts w:hint="eastAsia" w:eastAsia="仿宋" w:cs="Times New Roman"/>
          <w:bCs/>
          <w:color w:val="auto"/>
          <w:sz w:val="24"/>
          <w:szCs w:val="24"/>
          <w:highlight w:val="none"/>
          <w:lang w:val="en-US" w:eastAsia="zh-CN"/>
        </w:rPr>
        <w:t>询比</w:t>
      </w:r>
      <w:r>
        <w:rPr>
          <w:rFonts w:hint="eastAsia" w:ascii="Times New Roman" w:hAnsi="Times New Roman" w:eastAsia="仿宋" w:cs="Times New Roman"/>
          <w:bCs/>
          <w:color w:val="auto"/>
          <w:sz w:val="24"/>
          <w:szCs w:val="24"/>
          <w:highlight w:val="none"/>
          <w:lang w:val="en-US" w:eastAsia="zh-CN"/>
        </w:rPr>
        <w:t>文件、合同条件、工程量清单、</w:t>
      </w:r>
      <w:r>
        <w:rPr>
          <w:rFonts w:hint="eastAsia" w:eastAsia="仿宋" w:cs="Times New Roman"/>
          <w:bCs/>
          <w:color w:val="auto"/>
          <w:sz w:val="24"/>
          <w:szCs w:val="24"/>
          <w:highlight w:val="none"/>
          <w:lang w:val="en-US" w:eastAsia="zh-CN"/>
        </w:rPr>
        <w:t>施工图设计</w:t>
      </w:r>
      <w:r>
        <w:rPr>
          <w:rFonts w:hint="eastAsia" w:ascii="Times New Roman" w:hAnsi="Times New Roman" w:eastAsia="仿宋" w:cs="Times New Roman"/>
          <w:bCs/>
          <w:color w:val="auto"/>
          <w:sz w:val="24"/>
          <w:szCs w:val="24"/>
          <w:highlight w:val="none"/>
          <w:lang w:val="en-US" w:eastAsia="zh-CN"/>
        </w:rPr>
        <w:t>、现场踏勘情况、周边环境、国家技术和经济规范及标准、《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重庆市房屋建筑与装饰工程计价定额》（CQJZZSDE-2018）、《重庆市通用安装工程计价定额》（CQAZDE-2018）、《重庆市市政工程计价定额》（CQSZDE-2018）、《重庆市绿色建筑工程计价定额》（CQLSJZDE-2018）、《重庆市建设工程费用定额》（CQFYDE-2018）、《重庆市建设工程施工机械台班定额》（CQJXDE-2018）、《重庆市建设工程施工仪器仪表台班定额》（CQYQYBDE-2018）、《关于印发关于适用增值税新税率调整建设工程计价依据的通知》（渝建【2019】143号）以及相关配套文件等为依据，由供应商结合自身实力、市场行情自主合理报价。投标报价应包括完成采购范围内工程项目的人工费、材料费、机械费、企业管理费、利润、风险费用、措施费（含易撒漏物资密闭运输的费用及弃渣费用和安全文明施工费）、规费、税金、政策性文件规定的所有费用。采购人除此以外不支付其它费用。</w:t>
      </w:r>
    </w:p>
    <w:p w14:paraId="3D18F23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（二）固定综合单价</w:t>
      </w:r>
      <w:r>
        <w:rPr>
          <w:rFonts w:hint="eastAsia" w:eastAsia="仿宋" w:cs="Times New Roman"/>
          <w:bCs/>
          <w:color w:val="auto"/>
          <w:sz w:val="24"/>
          <w:szCs w:val="24"/>
          <w:highlight w:val="none"/>
          <w:lang w:val="en-US" w:eastAsia="zh-CN"/>
        </w:rPr>
        <w:t>部分</w:t>
      </w:r>
    </w:p>
    <w:p w14:paraId="00C74F82">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1.固定</w:t>
      </w:r>
      <w:r>
        <w:rPr>
          <w:rFonts w:hint="eastAsia" w:ascii="Times New Roman" w:hAnsi="Times New Roman" w:eastAsia="仿宋" w:cs="Times New Roman"/>
          <w:bCs/>
          <w:color w:val="auto"/>
          <w:sz w:val="24"/>
          <w:szCs w:val="24"/>
          <w:highlight w:val="none"/>
          <w:lang w:val="en-US" w:eastAsia="zh-CN"/>
        </w:rPr>
        <w:t>综合单价应包括完成该子项所需的人工费、材料费、机械费、管理费、利润、风险费用等除措施费、安全文明施工费、规费、税金外的所有费用。工程量清单中安全文明施工费、规费、税金为不可竞争费用，必须按</w:t>
      </w:r>
      <w:r>
        <w:rPr>
          <w:rFonts w:hint="eastAsia" w:eastAsia="仿宋" w:cs="Times New Roman"/>
          <w:bCs/>
          <w:color w:val="auto"/>
          <w:sz w:val="24"/>
          <w:szCs w:val="24"/>
          <w:highlight w:val="none"/>
          <w:lang w:val="en-US" w:eastAsia="zh-CN"/>
        </w:rPr>
        <w:t>询比</w:t>
      </w:r>
      <w:r>
        <w:rPr>
          <w:rFonts w:hint="eastAsia" w:ascii="Times New Roman" w:hAnsi="Times New Roman" w:eastAsia="仿宋" w:cs="Times New Roman"/>
          <w:bCs/>
          <w:color w:val="auto"/>
          <w:sz w:val="24"/>
          <w:szCs w:val="24"/>
          <w:highlight w:val="none"/>
          <w:lang w:val="en-US" w:eastAsia="zh-CN"/>
        </w:rPr>
        <w:t>文件要求填报，否则响应文件作无效响应处理</w:t>
      </w:r>
      <w:r>
        <w:rPr>
          <w:rFonts w:hint="default" w:ascii="Times New Roman" w:hAnsi="Times New Roman" w:eastAsia="仿宋" w:cs="Times New Roman"/>
          <w:bCs/>
          <w:color w:val="auto"/>
          <w:sz w:val="24"/>
          <w:szCs w:val="24"/>
          <w:highlight w:val="none"/>
          <w:lang w:val="en-US" w:eastAsia="zh-CN"/>
        </w:rPr>
        <w:t>。</w:t>
      </w:r>
    </w:p>
    <w:p w14:paraId="46EDE75B">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措施费：措施项目费包括组织措施费和技术措施费。</w:t>
      </w:r>
    </w:p>
    <w:p w14:paraId="364D0B2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1.施工组织措施项目费：采购人给出的施工组织措施项目清单仅供供应商参考，供应商在投标报价时可参照采购人给出的施工组织措施项目清单并结合本工程的实际情况和国家及重庆市相关管理规定自行增减项目，并进行报价。如果漏项或不报价，视为已包含在其他项目清单综合单价内。</w:t>
      </w:r>
      <w:r>
        <w:rPr>
          <w:rFonts w:hint="eastAsia" w:eastAsia="仿宋" w:cs="Times New Roman"/>
          <w:bCs/>
          <w:color w:val="auto"/>
          <w:sz w:val="24"/>
          <w:szCs w:val="24"/>
          <w:highlight w:val="none"/>
          <w:lang w:val="en-US" w:eastAsia="zh-CN"/>
        </w:rPr>
        <w:t>无论因设计变更或施工工艺变化等任何因素而引起实际措施费的变化，均按投标时施工组织措施项目费（除安全文明施工费外）的报价作为结算价。若投标清单出现明显错误且费率大于实际费率，应当按实调整</w:t>
      </w:r>
      <w:r>
        <w:rPr>
          <w:rFonts w:hint="eastAsia" w:ascii="Times New Roman" w:hAnsi="Times New Roman" w:eastAsia="仿宋" w:cs="Times New Roman"/>
          <w:bCs/>
          <w:color w:val="auto"/>
          <w:sz w:val="24"/>
          <w:szCs w:val="24"/>
          <w:highlight w:val="none"/>
          <w:lang w:val="en-US" w:eastAsia="zh-CN"/>
        </w:rPr>
        <w:t>。</w:t>
      </w:r>
    </w:p>
    <w:p w14:paraId="575761E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2.施工技术措施项目费：</w:t>
      </w:r>
    </w:p>
    <w:p w14:paraId="6685A1D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（1）技术措施清单中以项计列的项目，由供应商根据现场踏勘情况及本工程的实际情况结合自身施工经验及施工组织设计，以项为单位自行报价，包干使用，结算时不作调整。</w:t>
      </w:r>
    </w:p>
    <w:p w14:paraId="78934770">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技术措施清单中以项目编码、项目名称、项目特征、工程内容、工程量及计量单位列项的项目，投标供应商必须按采购人给出的施工技术措施项目清单进行报价，不得擅自变改采购人提供的施工技术措施项目清单中的序号、项目编码、项目名称、项目特征、工程内容、工程量及计量单位，否则响应文件作无效响应处理。</w:t>
      </w:r>
    </w:p>
    <w:p w14:paraId="4922CF7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（3）施工技术措施项目费以暂列金额形式计入报价的(如果有)，根据采购人核定的价格按实结算或按照工程变更或新增项目清单结算原则执行。</w:t>
      </w:r>
    </w:p>
    <w:p w14:paraId="3DFE426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安全文明施工费：按《重庆市建设工程安全文明施工费计取及使用管理规定》的通知渝建管〔2024〕38号文记取，《报价函》及工程量清单报价中的安全文明施工费必须按照采购人给出的暂定金额填报，否则视为对询比文件不作实质性响应，响应文件作无效响应处理。</w:t>
      </w:r>
    </w:p>
    <w:p w14:paraId="18A2AB4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4.</w:t>
      </w:r>
      <w:r>
        <w:rPr>
          <w:rFonts w:hint="eastAsia" w:ascii="Times New Roman" w:hAnsi="Times New Roman" w:eastAsia="仿宋" w:cs="Times New Roman"/>
          <w:bCs/>
          <w:color w:val="auto"/>
          <w:sz w:val="24"/>
          <w:szCs w:val="24"/>
          <w:highlight w:val="none"/>
          <w:lang w:val="en-US" w:eastAsia="zh-CN"/>
        </w:rPr>
        <w:t>规费：由投标供应商按国家及重庆市有关规定报价，包含在所报的总价内。</w:t>
      </w:r>
    </w:p>
    <w:p w14:paraId="05199507">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5.</w:t>
      </w:r>
      <w:r>
        <w:rPr>
          <w:rFonts w:hint="eastAsia" w:ascii="Times New Roman" w:hAnsi="Times New Roman" w:eastAsia="仿宋" w:cs="Times New Roman"/>
          <w:bCs/>
          <w:color w:val="auto"/>
          <w:sz w:val="24"/>
          <w:szCs w:val="24"/>
          <w:highlight w:val="none"/>
          <w:lang w:val="en-US" w:eastAsia="zh-CN"/>
        </w:rPr>
        <w:t>税金：投标供应商按《重庆市建设工程费用定额》（CQFYDE-2018）、渝建〔2019〕143号及相关规定进行填报，实施本合同工程需缴纳的一切税费由投标供应商承担，包含在所报的总额价内。</w:t>
      </w:r>
    </w:p>
    <w:p w14:paraId="1D0CBA6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（三）全费用综合单价</w:t>
      </w:r>
      <w:r>
        <w:rPr>
          <w:rFonts w:hint="eastAsia" w:eastAsia="仿宋" w:cs="Times New Roman"/>
          <w:bCs/>
          <w:color w:val="auto"/>
          <w:sz w:val="24"/>
          <w:szCs w:val="24"/>
          <w:highlight w:val="none"/>
          <w:lang w:val="en-US" w:eastAsia="zh-CN"/>
        </w:rPr>
        <w:t>部分</w:t>
      </w:r>
    </w:p>
    <w:p w14:paraId="14AF5FAF">
      <w:pPr>
        <w:keepNext w:val="0"/>
        <w:keepLines w:val="0"/>
        <w:pageBreakBefore w:val="0"/>
        <w:widowControl w:val="0"/>
        <w:kinsoku/>
        <w:wordWrap/>
        <w:overflowPunct/>
        <w:topLinePunct w:val="0"/>
        <w:bidi w:val="0"/>
        <w:spacing w:line="500" w:lineRule="exact"/>
        <w:ind w:firstLine="480" w:firstLineChars="200"/>
        <w:textAlignment w:val="auto"/>
        <w:rPr>
          <w:rFonts w:hint="eastAsia"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1.全</w:t>
      </w:r>
      <w:r>
        <w:rPr>
          <w:rFonts w:hint="eastAsia" w:ascii="Times New Roman" w:hAnsi="Times New Roman" w:eastAsia="仿宋" w:cs="Times New Roman"/>
          <w:bCs/>
          <w:color w:val="auto"/>
          <w:sz w:val="24"/>
          <w:szCs w:val="24"/>
          <w:highlight w:val="none"/>
          <w:lang w:val="en-US" w:eastAsia="zh-CN"/>
        </w:rPr>
        <w:t>费用综合单价包含人工费、材料费、施工机具使用费、措施费、企业管理费、利润、风险费、环卫费、安全文明施工费、规费、税金等所有费用</w:t>
      </w:r>
      <w:r>
        <w:rPr>
          <w:rFonts w:hint="eastAsia" w:eastAsia="仿宋" w:cs="Times New Roman"/>
          <w:bCs/>
          <w:color w:val="auto"/>
          <w:sz w:val="24"/>
          <w:szCs w:val="24"/>
          <w:highlight w:val="none"/>
          <w:lang w:val="en-US" w:eastAsia="zh-CN"/>
        </w:rPr>
        <w:t>。</w:t>
      </w:r>
    </w:p>
    <w:p w14:paraId="2DAFF4A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本工程渣场费暂定的全费用综合单价按13元/m³进行报价，各供应商必须按给定的暂定全费用综合单价进行报价，不得浮动，否则交由评标委员会作否决投标处理。结算时，渣场处置费全费用综合单价由采购人和监理人认质核价据实结算。若核定的全费用综合单价高于13元/m³，则按13元/m³进行结算；若核定的全费用综合单价低于13元/m³，则按核定的全费用综合单价进行结算。</w:t>
      </w:r>
    </w:p>
    <w:p w14:paraId="4A7D2D0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 xml:space="preserve"> 3 .全费用综合单价“余方弃置（增运12km）”，供应商在报价时按增运12km考虑，如实际外运距离有所减少，结算时按采购人、监理单位等各方核定的弃渣线路的运距进行等比例调整（例：若实际增运运距为8km，则该清单子项结算价为:综合单价磋商报价/12*实际方量*实际运距8km）。若实际运距超过12km，则结算时仍按增运运距12</w:t>
      </w:r>
      <w:r>
        <w:rPr>
          <w:rFonts w:hint="eastAsia" w:eastAsia="仿宋" w:cs="Times New Roman"/>
          <w:bCs/>
          <w:color w:val="auto"/>
          <w:sz w:val="24"/>
          <w:szCs w:val="24"/>
          <w:highlight w:val="none"/>
          <w:lang w:val="en-US" w:eastAsia="zh-CN"/>
        </w:rPr>
        <w:t>km</w:t>
      </w:r>
      <w:r>
        <w:rPr>
          <w:rFonts w:hint="eastAsia" w:ascii="Times New Roman" w:hAnsi="Times New Roman" w:eastAsia="仿宋" w:cs="Times New Roman"/>
          <w:bCs/>
          <w:color w:val="auto"/>
          <w:sz w:val="24"/>
          <w:szCs w:val="24"/>
          <w:highlight w:val="none"/>
          <w:lang w:val="en-US" w:eastAsia="zh-CN"/>
        </w:rPr>
        <w:t>计算，超过部分不予考虑。运距精确到小数点后一位。</w:t>
      </w:r>
    </w:p>
    <w:p w14:paraId="031CEE4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四</w:t>
      </w:r>
      <w:r>
        <w:rPr>
          <w:rFonts w:hint="eastAsia" w:ascii="Times New Roman" w:hAnsi="Times New Roman" w:eastAsia="仿宋" w:cs="Times New Roman"/>
          <w:bCs/>
          <w:color w:val="auto"/>
          <w:sz w:val="24"/>
          <w:szCs w:val="24"/>
          <w:highlight w:val="none"/>
          <w:lang w:val="en-US" w:eastAsia="zh-CN"/>
        </w:rPr>
        <w:t>）投标供应商的报价应是本工程合同段采购范围内的全部工程的报价，并以投标供应商在工程量清单中提出的单价或总价为依据。报价函中总报价与已标价工程量清单总报价必须一致，否则响应文件作无效响应处理。</w:t>
      </w:r>
    </w:p>
    <w:p w14:paraId="240B0B9B">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五</w:t>
      </w:r>
      <w:r>
        <w:rPr>
          <w:rFonts w:hint="eastAsia" w:ascii="Times New Roman" w:hAnsi="Times New Roman" w:eastAsia="仿宋" w:cs="Times New Roman"/>
          <w:bCs/>
          <w:color w:val="auto"/>
          <w:sz w:val="24"/>
          <w:szCs w:val="24"/>
          <w:highlight w:val="none"/>
          <w:lang w:val="en-US" w:eastAsia="zh-CN"/>
        </w:rPr>
        <w:t>）投标供应商应认真填写工程量清单中所列的本合同各工程子目的单价和总价。投标供应商没有填入单价和总价的工程子目，采购人将认为该子目的价款已包括在工程量清单其他子目的单价和总价中。成交供应商必须按采购人指令完成工程量清单中未填入单价或价格的子目，但不能得到结算与支付。投标供应商在工程量清单中多报的子目和单价或总价采购人将不予接受，并将被视为重大偏差，响应文件作无效响应处理。</w:t>
      </w:r>
    </w:p>
    <w:p w14:paraId="14DCA69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六</w:t>
      </w:r>
      <w:r>
        <w:rPr>
          <w:rFonts w:hint="eastAsia" w:ascii="Times New Roman" w:hAnsi="Times New Roman" w:eastAsia="仿宋" w:cs="Times New Roman"/>
          <w:bCs/>
          <w:color w:val="auto"/>
          <w:sz w:val="24"/>
          <w:szCs w:val="24"/>
          <w:highlight w:val="none"/>
          <w:lang w:val="en-US" w:eastAsia="zh-CN"/>
        </w:rPr>
        <w:t>）投标供应商在编制报价时不得改变工程量清单中的项目编码、项目名称、项目特征、计量单位及工程量，否则响应文件作无效响应处理。工程量清单中的“项目特征”描述不作为报价的唯一依据，投标供应商应根据分部分项工程量清单计价表中“项目特征”的描述结合询比文件中的投标供应商须知、技术标准和要求和对现场的勘察情况等一起阅读和理解并确定报价。</w:t>
      </w:r>
    </w:p>
    <w:p w14:paraId="5F2E73EE">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七</w:t>
      </w:r>
      <w:r>
        <w:rPr>
          <w:rFonts w:hint="eastAsia" w:ascii="Times New Roman" w:hAnsi="Times New Roman" w:eastAsia="仿宋" w:cs="Times New Roman"/>
          <w:bCs/>
          <w:color w:val="auto"/>
          <w:sz w:val="24"/>
          <w:szCs w:val="24"/>
          <w:highlight w:val="none"/>
          <w:lang w:val="en-US" w:eastAsia="zh-CN"/>
        </w:rPr>
        <w:t>）如发现工程量清单中的数量与图纸中数量不一致，应于规定的时间前书面通知采购人核查，除非采购人以补遗书的形式予以更正，否则，应以工程量清单中列出的数量为准。工程量清单中给出的工程量是作为报价确定的共同的基础，不能作为最终结算的依据。</w:t>
      </w:r>
    </w:p>
    <w:p w14:paraId="23FBC9E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八</w:t>
      </w:r>
      <w:r>
        <w:rPr>
          <w:rFonts w:hint="eastAsia" w:ascii="Times New Roman" w:hAnsi="Times New Roman" w:eastAsia="仿宋" w:cs="Times New Roman"/>
          <w:bCs/>
          <w:color w:val="auto"/>
          <w:sz w:val="24"/>
          <w:szCs w:val="24"/>
          <w:highlight w:val="none"/>
          <w:lang w:val="en-US" w:eastAsia="zh-CN"/>
        </w:rPr>
        <w:t>）采购人在工程量清单中所列出的价格（包括暂列金额、暂估价等），投标供应商不得修改。否则响应文件作无效响应处理。</w:t>
      </w:r>
    </w:p>
    <w:p w14:paraId="071E5C3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九</w:t>
      </w:r>
      <w:r>
        <w:rPr>
          <w:rFonts w:hint="eastAsia" w:ascii="Times New Roman" w:hAnsi="Times New Roman" w:eastAsia="仿宋" w:cs="Times New Roman"/>
          <w:bCs/>
          <w:color w:val="auto"/>
          <w:sz w:val="24"/>
          <w:szCs w:val="24"/>
          <w:highlight w:val="none"/>
          <w:lang w:val="en-US" w:eastAsia="zh-CN"/>
        </w:rPr>
        <w:t>）投标供应商应先到工地踏勘以充分了解工地位置、情况、道路、储存空间、装卸限制及任何其他足以影响承包价的情况，自行做好与施工现场其他单位及行政主管部门的协调工作，负责当地群众矛盾协调工作，做好施工成品的保护，因施工发生的一切施工成品损坏及其他相关经济、法律责任由施工单位自行承担，任何因忽视或误解工地情况而导致的索赔或工期延长申请将不被批准。</w:t>
      </w:r>
    </w:p>
    <w:p w14:paraId="4F4C830B">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十</w:t>
      </w:r>
      <w:r>
        <w:rPr>
          <w:rFonts w:hint="eastAsia" w:ascii="Times New Roman" w:hAnsi="Times New Roman" w:eastAsia="仿宋" w:cs="Times New Roman"/>
          <w:bCs/>
          <w:color w:val="auto"/>
          <w:sz w:val="24"/>
          <w:szCs w:val="24"/>
          <w:highlight w:val="none"/>
          <w:lang w:val="en-US" w:eastAsia="zh-CN"/>
        </w:rPr>
        <w:t>）投标供应商须严格按照询比文件一并发出的分部分项工程项目清单计价表逐项填报清单单价及总价，本项目设最高限价为人民币</w:t>
      </w:r>
      <w:r>
        <w:rPr>
          <w:rFonts w:hint="eastAsia" w:eastAsia="仿宋" w:cs="Times New Roman"/>
          <w:bCs/>
          <w:color w:val="auto"/>
          <w:sz w:val="24"/>
          <w:szCs w:val="24"/>
          <w:highlight w:val="none"/>
          <w:lang w:val="en-US" w:eastAsia="zh-CN"/>
        </w:rPr>
        <w:t>：肆拾玖万陆仟伍佰叁拾贰元柒角陆分</w:t>
      </w:r>
      <w:r>
        <w:rPr>
          <w:rFonts w:hint="eastAsia"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u w:val="single"/>
          <w:lang w:val="en-US" w:eastAsia="zh-CN"/>
        </w:rPr>
        <w:t>496532.76</w:t>
      </w:r>
      <w:r>
        <w:rPr>
          <w:rFonts w:hint="eastAsia" w:ascii="Times New Roman" w:hAnsi="Times New Roman" w:eastAsia="仿宋" w:cs="Times New Roman"/>
          <w:bCs/>
          <w:color w:val="auto"/>
          <w:sz w:val="24"/>
          <w:szCs w:val="24"/>
          <w:highlight w:val="none"/>
          <w:lang w:val="en-US" w:eastAsia="zh-CN"/>
        </w:rPr>
        <w:t>元）。其中措施项目费：</w:t>
      </w:r>
      <w:r>
        <w:rPr>
          <w:rFonts w:hint="default"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u w:val="single"/>
          <w:lang w:val="en-US" w:eastAsia="zh-CN"/>
        </w:rPr>
        <w:t>18141.05</w:t>
      </w:r>
      <w:r>
        <w:rPr>
          <w:rFonts w:hint="eastAsia" w:ascii="Times New Roman" w:hAnsi="Times New Roman" w:eastAsia="仿宋" w:cs="Times New Roman"/>
          <w:bCs/>
          <w:color w:val="auto"/>
          <w:sz w:val="24"/>
          <w:szCs w:val="24"/>
          <w:highlight w:val="none"/>
          <w:lang w:val="en-US" w:eastAsia="zh-CN"/>
        </w:rPr>
        <w:t>元(含安全文明施工费</w:t>
      </w:r>
      <w:r>
        <w:rPr>
          <w:rFonts w:hint="eastAsia" w:eastAsia="仿宋" w:cs="Times New Roman"/>
          <w:bCs/>
          <w:color w:val="auto"/>
          <w:sz w:val="24"/>
          <w:szCs w:val="24"/>
          <w:highlight w:val="none"/>
          <w:u w:val="single"/>
          <w:lang w:val="en-US" w:eastAsia="zh-CN"/>
        </w:rPr>
        <w:t>8962.5</w:t>
      </w:r>
      <w:r>
        <w:rPr>
          <w:rFonts w:hint="eastAsia" w:ascii="Times New Roman" w:hAnsi="Times New Roman" w:eastAsia="仿宋" w:cs="Times New Roman"/>
          <w:bCs/>
          <w:color w:val="auto"/>
          <w:sz w:val="24"/>
          <w:szCs w:val="24"/>
          <w:highlight w:val="none"/>
          <w:lang w:val="en-US" w:eastAsia="zh-CN"/>
        </w:rPr>
        <w:t>元）。竞标人的总报价、措施项目费总报价（含安全文明施工费）和每项清单的竞标单价均不得超过采购人发布的相应最高限价，否则按废标处理。</w:t>
      </w:r>
    </w:p>
    <w:p w14:paraId="16351CA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（十一）</w:t>
      </w:r>
      <w:r>
        <w:rPr>
          <w:rFonts w:hint="eastAsia" w:ascii="Times New Roman" w:hAnsi="Times New Roman" w:eastAsia="仿宋" w:cs="Times New Roman"/>
          <w:bCs/>
          <w:color w:val="auto"/>
          <w:sz w:val="24"/>
          <w:szCs w:val="24"/>
          <w:highlight w:val="none"/>
          <w:lang w:val="en-US" w:eastAsia="zh-CN"/>
        </w:rPr>
        <w:t>材料价格</w:t>
      </w:r>
    </w:p>
    <w:p w14:paraId="1ABA0EF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本工程所需材料、设备由成交供应商自行采购，所采购的材料必须符合国家规范标准及设计文件、磋商文件要求，并提供相应合格证明资料、质保书等，成交供应商采购材料、设备前应向采购人提交材料、设备采购计划表并经采购人和监理工程师（若有）签字确认后方可实施，如果成交供应商采购的材料、设备未经监理人（若有）和采购人验收直接用于施工，则采购人有权要求成交供应商无条件的更换至符合采购人要求，且成交供应商不得以此为由要求延长工期和增加费用。</w:t>
      </w:r>
    </w:p>
    <w:p w14:paraId="49451FA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2、本工程所需材料（含设备）价格由投标供应商参照重庆市建设工程造价管理总站发布的</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或工程造价管理机构发布的工程造价信息（造价信息引用时限为采购公告发布日期前一期），并结合市场行情及自身实力进行自主报价。本项目建筑安装材料价格风险按照《重庆市城乡建设委员会关于进一步加强建筑安装材料价格风险管控的指导意见》（渝建〔2018〕61号），因施工工期较短，成交后所有材料、设备按磋商报价包干使用，不作任何调整。</w:t>
      </w:r>
    </w:p>
    <w:p w14:paraId="7A1BA1F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材料、设备运输距离（包括二次或多次转运费）、运杂费、装卸费、运输损耗费、采购及保管费、检测试验和保险费由供应商根据自身情况及踏勘现场情况自行确定，成交后不调整。</w:t>
      </w:r>
    </w:p>
    <w:p w14:paraId="2A2BE1C7">
      <w:pPr>
        <w:keepNext w:val="0"/>
        <w:keepLines w:val="0"/>
        <w:pageBreakBefore w:val="0"/>
        <w:widowControl w:val="0"/>
        <w:numPr>
          <w:ilvl w:val="0"/>
          <w:numId w:val="0"/>
        </w:numPr>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（十二）</w:t>
      </w:r>
      <w:r>
        <w:rPr>
          <w:rFonts w:hint="eastAsia" w:ascii="Times New Roman" w:hAnsi="Times New Roman" w:eastAsia="仿宋" w:cs="Times New Roman"/>
          <w:bCs/>
          <w:color w:val="auto"/>
          <w:sz w:val="24"/>
          <w:szCs w:val="24"/>
          <w:highlight w:val="none"/>
          <w:lang w:val="en-US" w:eastAsia="zh-CN"/>
        </w:rPr>
        <w:t>人工价格：本工程人工单价参照重庆市建设工程造价总站主办的</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项目所在地最新一期的人工信息价格，成交后不再调整。</w:t>
      </w:r>
    </w:p>
    <w:p w14:paraId="44369E9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（十三）</w:t>
      </w:r>
      <w:r>
        <w:rPr>
          <w:rFonts w:hint="eastAsia" w:ascii="Times New Roman" w:hAnsi="Times New Roman" w:eastAsia="仿宋" w:cs="Times New Roman"/>
          <w:bCs/>
          <w:color w:val="auto"/>
          <w:sz w:val="24"/>
          <w:szCs w:val="24"/>
          <w:highlight w:val="none"/>
          <w:lang w:val="en-US" w:eastAsia="zh-CN"/>
        </w:rPr>
        <w:t>其他：</w:t>
      </w:r>
    </w:p>
    <w:p w14:paraId="5519F7D7">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1、本工程项目的投标报价采用工程量清单报价方式。本次投标报价是包含施工过程风险的报价，成交供应商在施工过程所需的施工风险处理费用及不可预见费用投标报价中已包含；</w:t>
      </w:r>
    </w:p>
    <w:p w14:paraId="0DF32B5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成交供应商在施工过程造成附近建筑物、构筑物地下管网及现场已完成的构件破坏，需要恢复或赔偿的费用由成交供应商承担。施工临时用水用电，场内水电安装管理费用及电讯线路费用由供应商自行承担，供应商在报价中考虑；</w:t>
      </w:r>
    </w:p>
    <w:p w14:paraId="229FFC3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3、施工期间要求成交供应商及时与其他单位做好施工配合工作，配合所需的相关费用需综合考虑在竞标报价中；</w:t>
      </w:r>
    </w:p>
    <w:p w14:paraId="388A770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4、供应商应充分考虑工程现场交通条件、工程量较大变化带来的风险和施工期不连贯等所有不利因素，在报价中综合考虑。</w:t>
      </w:r>
    </w:p>
    <w:p w14:paraId="73C61D50">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r>
        <w:rPr>
          <w:rFonts w:hint="default" w:ascii="Times New Roman" w:hAnsi="Times New Roman" w:eastAsia="仿宋" w:cs="Times New Roman"/>
          <w:b/>
          <w:bCs w:val="0"/>
          <w:color w:val="auto"/>
          <w:sz w:val="24"/>
          <w:szCs w:val="24"/>
          <w:highlight w:val="none"/>
          <w:lang w:eastAsia="zh-CN"/>
        </w:rPr>
        <w:t>三、结算原则</w:t>
      </w:r>
      <w:bookmarkEnd w:id="93"/>
      <w:bookmarkEnd w:id="94"/>
      <w:bookmarkEnd w:id="95"/>
      <w:bookmarkEnd w:id="96"/>
    </w:p>
    <w:p w14:paraId="1B317D72">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bookmarkStart w:id="97" w:name="_Toc24286"/>
      <w:r>
        <w:rPr>
          <w:rFonts w:hint="default" w:ascii="Times New Roman" w:hAnsi="Times New Roman" w:eastAsia="仿宋" w:cs="Times New Roman"/>
          <w:bCs/>
          <w:color w:val="auto"/>
          <w:sz w:val="24"/>
          <w:szCs w:val="24"/>
          <w:highlight w:val="none"/>
          <w:lang w:val="en-US" w:eastAsia="zh-CN"/>
        </w:rPr>
        <w:t>注：</w:t>
      </w:r>
      <w:r>
        <w:rPr>
          <w:rFonts w:hint="eastAsia" w:ascii="Times New Roman" w:hAnsi="Times New Roman" w:eastAsia="仿宋" w:cs="Times New Roman"/>
          <w:bCs/>
          <w:color w:val="auto"/>
          <w:sz w:val="24"/>
          <w:szCs w:val="24"/>
          <w:highlight w:val="none"/>
          <w:lang w:val="en-US" w:eastAsia="zh-CN"/>
        </w:rPr>
        <w:t>采购范围内部分按成交单价结算，合同金额均以人民币(元)为单位结算，</w:t>
      </w:r>
      <w:r>
        <w:rPr>
          <w:rFonts w:hint="default" w:ascii="Times New Roman" w:hAnsi="Times New Roman" w:eastAsia="仿宋" w:cs="Times New Roman"/>
          <w:bCs/>
          <w:color w:val="auto"/>
          <w:sz w:val="24"/>
          <w:szCs w:val="24"/>
          <w:highlight w:val="none"/>
          <w:lang w:val="en-US" w:eastAsia="zh-CN"/>
        </w:rPr>
        <w:t>本次采购工程量为暂定工程量，结算时据实结算。由此产生的风险，各投标供应商在投标报价时综合考虑。</w:t>
      </w:r>
    </w:p>
    <w:bookmarkEnd w:id="97"/>
    <w:p w14:paraId="48D7F57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bookmarkStart w:id="98" w:name="_Toc20963"/>
      <w:bookmarkStart w:id="99" w:name="_Toc8509"/>
      <w:bookmarkStart w:id="100" w:name="_Toc21631"/>
      <w:bookmarkStart w:id="101" w:name="_Toc30896"/>
      <w:r>
        <w:rPr>
          <w:rFonts w:hint="eastAsia" w:eastAsia="仿宋" w:cs="Times New Roman"/>
          <w:bCs/>
          <w:color w:val="auto"/>
          <w:sz w:val="24"/>
          <w:szCs w:val="24"/>
          <w:highlight w:val="none"/>
          <w:lang w:val="en-US" w:eastAsia="zh-CN"/>
        </w:rPr>
        <w:t>（一）固定综合单价部分</w:t>
      </w:r>
    </w:p>
    <w:p w14:paraId="0EAF3F8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结算总价=各分部分项工程结算价+措施项目费+其他项目费+规费+ 税金+分部分项工程量清单新增或变更等引起的增（减）子项结算价+合同约定的其他费用,具体结算办法如下：</w:t>
      </w:r>
    </w:p>
    <w:p w14:paraId="425C4ED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分部分项工程：</w:t>
      </w:r>
    </w:p>
    <w:p w14:paraId="3F1CF8F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1、按《市政工程工程量计算规范》（GB50857-2013）、《通用安装工程工程量计算规范》（GB50856-2013）、《重庆市建设工程工程量计算规则》（CQJLGZ－2013）约定的计量规则计算的实际合格工程量。</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2、子项综合单价以成交供应商投标报价时的分部分项工程量清单中子项成交综合单价为结算依据。</w:t>
      </w:r>
    </w:p>
    <w:p w14:paraId="7260890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措施项目：</w:t>
      </w:r>
    </w:p>
    <w:p w14:paraId="6AE8009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1、无论因设计变更或施工</w:t>
      </w:r>
      <w:r>
        <w:rPr>
          <w:rFonts w:hint="eastAsia" w:eastAsia="仿宋" w:cs="Times New Roman"/>
          <w:bCs/>
          <w:color w:val="auto"/>
          <w:sz w:val="24"/>
          <w:szCs w:val="24"/>
          <w:highlight w:val="none"/>
          <w:lang w:val="en-US" w:eastAsia="zh-CN"/>
        </w:rPr>
        <w:t>工艺</w:t>
      </w:r>
      <w:r>
        <w:rPr>
          <w:rFonts w:hint="eastAsia" w:ascii="Times New Roman" w:hAnsi="Times New Roman" w:eastAsia="仿宋" w:cs="Times New Roman"/>
          <w:bCs/>
          <w:color w:val="auto"/>
          <w:sz w:val="24"/>
          <w:szCs w:val="24"/>
          <w:highlight w:val="none"/>
          <w:lang w:val="en-US" w:eastAsia="zh-CN"/>
        </w:rPr>
        <w:t>变化等任何因素而引起实际措施费的变化，施工组织措施项目费均以投标时的施工组织措施项目费报价作为结算价（除安全文明施工费用外）。</w:t>
      </w:r>
    </w:p>
    <w:p w14:paraId="25D79D9F">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2、按《重庆市建设工程安全文明施工费计取及使用管理规定》的通知渝建管〔2024〕38号文记取。</w:t>
      </w:r>
    </w:p>
    <w:p w14:paraId="4F7406C1">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3、施工技术措施项目费：</w:t>
      </w:r>
    </w:p>
    <w:p w14:paraId="2791489C">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（1）技术措施清单中以项计列的项目，无论因设计变更或施工工艺变化等任何因素而引起实际措施费的变化，均按投标时施工技术措施项目费的报价作为结算价。</w:t>
      </w:r>
    </w:p>
    <w:p w14:paraId="4690E0DD">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（2）技术措施清单中以项目编码、项目名称、项目特征、工程内容、工程量及计量单位列项的项目，按照本章竣工结算原则（一）分部分项计算原则执行。</w:t>
      </w:r>
    </w:p>
    <w:p w14:paraId="6318341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其他项目：</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1、材料（工程设备）暂估价：按照计量原则约定及对应定额消耗量确定的数量乘以监理人（若有）、跟审单位（若有）、采购人根据市场行情认质核价确定的价格进行结算。</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2、本工程采用专业工程暂估价或暂列金额采购的，结算时按实结算。其中以暂列金额采购的施工内容实施与否由采购人决定。</w:t>
      </w:r>
    </w:p>
    <w:p w14:paraId="5D97728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3.</w:t>
      </w:r>
      <w:r>
        <w:rPr>
          <w:rFonts w:hint="eastAsia" w:ascii="Times New Roman" w:hAnsi="Times New Roman" w:eastAsia="仿宋" w:cs="Times New Roman"/>
          <w:bCs/>
          <w:color w:val="auto"/>
          <w:sz w:val="24"/>
          <w:szCs w:val="24"/>
          <w:highlight w:val="none"/>
          <w:lang w:val="en-US" w:eastAsia="zh-CN"/>
        </w:rPr>
        <w:t>3、暂列金额：采购人给出的暂列金额（如有）采购人有权全部使用、部分使用或完全不用；如需实施，须经过采购人确认，结算原则参照本询比文件结算条款执行，费用须经过采购人及结算审核单位审核。</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4、</w:t>
      </w:r>
      <w:r>
        <w:rPr>
          <w:rFonts w:hint="eastAsia" w:ascii="Times New Roman" w:hAnsi="Times New Roman" w:eastAsia="仿宋" w:cs="Times New Roman"/>
          <w:bCs/>
          <w:color w:val="auto"/>
          <w:sz w:val="24"/>
          <w:szCs w:val="24"/>
          <w:highlight w:val="none"/>
          <w:lang w:val="en-US" w:eastAsia="zh-CN"/>
        </w:rPr>
        <w:t>规费：按《重庆市建设工程费用定额》（CQFYDE-2018）执行。</w:t>
      </w:r>
      <w:r>
        <w:rPr>
          <w:rFonts w:hint="eastAsia" w:ascii="Times New Roman" w:hAnsi="Times New Roman" w:eastAsia="仿宋" w:cs="Times New Roman"/>
          <w:bCs/>
          <w:color w:val="auto"/>
          <w:sz w:val="24"/>
          <w:szCs w:val="24"/>
          <w:highlight w:val="none"/>
          <w:lang w:val="en-US" w:eastAsia="zh-CN"/>
        </w:rPr>
        <w:br w:type="textWrapping"/>
      </w:r>
      <w:r>
        <w:rPr>
          <w:rFonts w:hint="eastAsia" w:ascii="Times New Roman" w:hAnsi="Times New Roman" w:eastAsia="仿宋" w:cs="Times New Roman"/>
          <w:bCs/>
          <w:color w:val="auto"/>
          <w:sz w:val="24"/>
          <w:szCs w:val="24"/>
          <w:highlight w:val="none"/>
          <w:lang w:val="en-US" w:eastAsia="zh-CN"/>
        </w:rPr>
        <w:t xml:space="preserve">    </w:t>
      </w:r>
      <w:r>
        <w:rPr>
          <w:rFonts w:hint="eastAsia" w:eastAsia="仿宋" w:cs="Times New Roman"/>
          <w:bCs/>
          <w:color w:val="auto"/>
          <w:sz w:val="24"/>
          <w:szCs w:val="24"/>
          <w:highlight w:val="none"/>
          <w:lang w:val="en-US" w:eastAsia="zh-CN"/>
        </w:rPr>
        <w:t>5、</w:t>
      </w:r>
      <w:r>
        <w:rPr>
          <w:rFonts w:hint="eastAsia" w:ascii="Times New Roman" w:hAnsi="Times New Roman" w:eastAsia="仿宋" w:cs="Times New Roman"/>
          <w:bCs/>
          <w:color w:val="auto"/>
          <w:sz w:val="24"/>
          <w:szCs w:val="24"/>
          <w:highlight w:val="none"/>
          <w:lang w:val="en-US" w:eastAsia="zh-CN"/>
        </w:rPr>
        <w:t>税金：按《重庆市建设工程费用定额》（CQFYDE-2018）、《重庆市城乡建设委员会关于适用增值税新税率调整建设工程计价依据的通知》（渝建〔2019〕143号）规定执行，环境保护税按实结算。</w:t>
      </w:r>
    </w:p>
    <w:p w14:paraId="2CD06629">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6、</w:t>
      </w:r>
      <w:r>
        <w:rPr>
          <w:rFonts w:hint="eastAsia" w:ascii="Times New Roman" w:hAnsi="Times New Roman" w:eastAsia="仿宋" w:cs="Times New Roman"/>
          <w:bCs/>
          <w:color w:val="auto"/>
          <w:sz w:val="24"/>
          <w:szCs w:val="24"/>
          <w:highlight w:val="none"/>
          <w:lang w:val="en-US" w:eastAsia="zh-CN"/>
        </w:rPr>
        <w:t>工程施工中如因设计变更发生的工程量增减或实施项目发生变化，在工程结算时根据监理工程师（若有）和采购人共同确认的竣工图和工程变更进行调整。其价格按下列办法确定：</w:t>
      </w:r>
    </w:p>
    <w:p w14:paraId="30B3A5E7">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1</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、成交价工程量清单中有相同项目的，按相应项目单价执行；</w:t>
      </w:r>
    </w:p>
    <w:p w14:paraId="4129C6A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2</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、成交价工程量清单中有类似项目的，参照相应项目单价执行。</w:t>
      </w:r>
    </w:p>
    <w:p w14:paraId="12B12355">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3</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lang w:val="en-US" w:eastAsia="zh-CN"/>
        </w:rPr>
        <w:t>、已标价的工程量清单没有适用也没有类似于变更工程项目的，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重庆市房屋建筑与装饰工程计价定额》（CQJZZSDE-2018）、《重庆市通用安装工程计价定额》（CQAZDE-2018）、《重庆市市政工程计价定额》（CQSZDE-2018）、《重庆市绿色建筑工程计价定额》（CQLSJZDE-2018）、《重庆市建设工程费用定额》（CQFYDE-2018）、《重庆市建设工程施工机械台班定额》（CQJXDE-2018）、《重庆市建设工程施工仪器仪表台班定额》（CQYQYBDE-2018）、《关于印发关于适用增值税新税率调整建设工程计价依据的通知》（渝建【2019】143号）以及上述定额的综合解释及相关配套文件、磋商文件、合同等相关规定进行组价。中标价中没有的材料单价按施工期间重庆市建设工程造价总站主办的</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公布的信息价</w:t>
      </w:r>
      <w:r>
        <w:rPr>
          <w:rFonts w:hint="eastAsia" w:eastAsia="仿宋" w:cs="Times New Roman"/>
          <w:bCs/>
          <w:color w:val="auto"/>
          <w:sz w:val="24"/>
          <w:szCs w:val="24"/>
          <w:highlight w:val="none"/>
          <w:lang w:val="en-US" w:eastAsia="zh-CN"/>
        </w:rPr>
        <w:t>算术</w:t>
      </w:r>
      <w:r>
        <w:rPr>
          <w:rFonts w:hint="eastAsia" w:ascii="Times New Roman" w:hAnsi="Times New Roman" w:eastAsia="仿宋" w:cs="Times New Roman"/>
          <w:bCs/>
          <w:color w:val="auto"/>
          <w:sz w:val="24"/>
          <w:szCs w:val="24"/>
          <w:highlight w:val="none"/>
          <w:lang w:val="en-US" w:eastAsia="zh-CN"/>
        </w:rPr>
        <w:t>平均值执行，</w:t>
      </w:r>
      <w:r>
        <w:rPr>
          <w:rFonts w:hint="eastAsia" w:eastAsia="仿宋" w:cs="Times New Roman"/>
          <w:bCs/>
          <w:color w:val="auto"/>
          <w:sz w:val="24"/>
          <w:szCs w:val="24"/>
          <w:highlight w:val="none"/>
          <w:lang w:val="en-US" w:eastAsia="zh-CN"/>
        </w:rPr>
        <w:t>《重庆工程造价》</w:t>
      </w:r>
      <w:r>
        <w:rPr>
          <w:rFonts w:hint="eastAsia" w:ascii="Times New Roman" w:hAnsi="Times New Roman" w:eastAsia="仿宋" w:cs="Times New Roman"/>
          <w:bCs/>
          <w:color w:val="auto"/>
          <w:sz w:val="24"/>
          <w:szCs w:val="24"/>
          <w:highlight w:val="none"/>
          <w:lang w:val="en-US" w:eastAsia="zh-CN"/>
        </w:rPr>
        <w:t>没有的材料价格由中标人报采购人和监理人（若有）认质核价，最终结算综合单价以结算评审单位审核认定为准。</w:t>
      </w:r>
    </w:p>
    <w:p w14:paraId="35659515">
      <w:pPr>
        <w:pStyle w:val="2"/>
        <w:ind w:firstLine="480" w:firstLineChars="200"/>
        <w:rPr>
          <w:rFonts w:hint="eastAsia" w:ascii="Times New Roman" w:eastAsia="仿宋" w:cs="Times New Roman"/>
          <w:bCs/>
          <w:color w:val="auto"/>
          <w:sz w:val="24"/>
          <w:szCs w:val="24"/>
          <w:highlight w:val="none"/>
          <w:lang w:val="en-US" w:eastAsia="zh-CN"/>
        </w:rPr>
      </w:pPr>
      <w:r>
        <w:rPr>
          <w:rFonts w:hint="eastAsia" w:ascii="Times New Roman" w:eastAsia="仿宋" w:cs="Times New Roman"/>
          <w:bCs/>
          <w:color w:val="auto"/>
          <w:sz w:val="24"/>
          <w:szCs w:val="24"/>
          <w:highlight w:val="none"/>
          <w:lang w:val="en-US" w:eastAsia="zh-CN"/>
        </w:rPr>
        <w:t>（二）全费用综合单价部分</w:t>
      </w:r>
    </w:p>
    <w:p w14:paraId="6F54906C">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结算总价=子项综合单价以成交供应商投标报价时的分部分项工程量清单中子项成交综合单价为结算依据</w:t>
      </w:r>
      <w:r>
        <w:rPr>
          <w:rFonts w:hint="eastAsia" w:eastAsia="仿宋" w:cs="Times New Roman"/>
          <w:bCs/>
          <w:color w:val="auto"/>
          <w:sz w:val="24"/>
          <w:szCs w:val="24"/>
          <w:highlight w:val="none"/>
          <w:lang w:val="en-US" w:eastAsia="zh-CN"/>
        </w:rPr>
        <w:t>×实际合格工程量。</w:t>
      </w:r>
    </w:p>
    <w:p w14:paraId="2D21A082">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三</w:t>
      </w:r>
      <w:r>
        <w:rPr>
          <w:rFonts w:hint="eastAsia" w:ascii="Times New Roman" w:hAnsi="Times New Roman" w:eastAsia="仿宋" w:cs="Times New Roman"/>
          <w:bCs/>
          <w:color w:val="auto"/>
          <w:sz w:val="24"/>
          <w:szCs w:val="24"/>
          <w:highlight w:val="none"/>
          <w:lang w:val="en-US" w:eastAsia="zh-CN"/>
        </w:rPr>
        <w:t>）合同约定其他费用：</w:t>
      </w:r>
    </w:p>
    <w:p w14:paraId="7B376F4A">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1、采购人要求成交供应商完成合同以外施工范围内或施工范围外但与本施工项目有密切关系的零星项目，成交供应商应接受采购人施工要求。</w:t>
      </w:r>
    </w:p>
    <w:p w14:paraId="3C3C9816">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2、工程实施过程中，采购人有权对本项目具体实施工程进行合理调整，对此造成的工程量增加或减少，由此带来的风险已进入本合同中，承包人不能对此有任何异议或者要求经济补偿。</w:t>
      </w:r>
    </w:p>
    <w:p w14:paraId="1BA257A3">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四</w:t>
      </w:r>
      <w:r>
        <w:rPr>
          <w:rFonts w:hint="eastAsia" w:ascii="Times New Roman" w:hAnsi="Times New Roman" w:eastAsia="仿宋" w:cs="Times New Roman"/>
          <w:bCs/>
          <w:color w:val="auto"/>
          <w:sz w:val="24"/>
          <w:szCs w:val="24"/>
          <w:highlight w:val="none"/>
          <w:lang w:val="en-US" w:eastAsia="zh-CN"/>
        </w:rPr>
        <w:t>）本工程结算金额最终以结算审核单位审定的金额为准。</w:t>
      </w:r>
    </w:p>
    <w:p w14:paraId="1C30C0E4">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w:t>
      </w:r>
      <w:r>
        <w:rPr>
          <w:rFonts w:hint="eastAsia" w:eastAsia="仿宋" w:cs="Times New Roman"/>
          <w:bCs/>
          <w:color w:val="auto"/>
          <w:sz w:val="24"/>
          <w:szCs w:val="24"/>
          <w:highlight w:val="none"/>
          <w:lang w:val="en-US" w:eastAsia="zh-CN"/>
        </w:rPr>
        <w:t>五</w:t>
      </w:r>
      <w:r>
        <w:rPr>
          <w:rFonts w:hint="eastAsia" w:ascii="Times New Roman" w:hAnsi="Times New Roman" w:eastAsia="仿宋" w:cs="Times New Roman"/>
          <w:bCs/>
          <w:color w:val="auto"/>
          <w:sz w:val="24"/>
          <w:szCs w:val="24"/>
          <w:highlight w:val="none"/>
          <w:lang w:val="en-US" w:eastAsia="zh-CN"/>
        </w:rPr>
        <w:t>）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75165D0C">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val="en-US" w:eastAsia="zh-CN"/>
        </w:rPr>
      </w:pPr>
      <w:r>
        <w:rPr>
          <w:rFonts w:hint="default" w:ascii="Times New Roman" w:hAnsi="Times New Roman" w:eastAsia="仿宋" w:cs="Times New Roman"/>
          <w:b/>
          <w:bCs w:val="0"/>
          <w:color w:val="auto"/>
          <w:sz w:val="24"/>
          <w:szCs w:val="24"/>
          <w:highlight w:val="none"/>
          <w:lang w:val="en-US" w:eastAsia="zh-CN"/>
        </w:rPr>
        <w:t>四、付款方式</w:t>
      </w:r>
      <w:bookmarkEnd w:id="81"/>
      <w:bookmarkEnd w:id="82"/>
      <w:bookmarkEnd w:id="83"/>
      <w:bookmarkEnd w:id="84"/>
      <w:bookmarkEnd w:id="85"/>
      <w:bookmarkEnd w:id="86"/>
      <w:bookmarkEnd w:id="87"/>
      <w:bookmarkEnd w:id="88"/>
      <w:bookmarkEnd w:id="98"/>
      <w:bookmarkEnd w:id="99"/>
      <w:bookmarkEnd w:id="100"/>
      <w:bookmarkEnd w:id="101"/>
      <w:bookmarkStart w:id="102" w:name="_Toc344475123"/>
    </w:p>
    <w:bookmarkEnd w:id="102"/>
    <w:p w14:paraId="76113BA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1、本项目支付合同价款的50%作为工程预付款，</w:t>
      </w:r>
      <w:r>
        <w:rPr>
          <w:rFonts w:hint="eastAsia" w:ascii="Times New Roman" w:hAnsi="Times New Roman" w:eastAsia="仿宋" w:cs="Times New Roman"/>
          <w:bCs/>
          <w:color w:val="auto"/>
          <w:sz w:val="24"/>
          <w:szCs w:val="24"/>
          <w:highlight w:val="none"/>
          <w:lang w:val="en-US" w:eastAsia="zh-CN"/>
        </w:rPr>
        <w:t>在成交供</w:t>
      </w:r>
      <w:r>
        <w:rPr>
          <w:rFonts w:hint="eastAsia" w:ascii="Times New Roman" w:hAnsi="Times New Roman" w:eastAsia="仿宋" w:cs="Times New Roman"/>
          <w:bCs/>
          <w:color w:val="auto"/>
          <w:kern w:val="2"/>
          <w:sz w:val="24"/>
          <w:szCs w:val="24"/>
          <w:highlight w:val="none"/>
          <w:lang w:val="en-US" w:eastAsia="zh-CN" w:bidi="ar-SA"/>
        </w:rPr>
        <w:t>应商和采购人签订合同，且</w:t>
      </w:r>
      <w:r>
        <w:rPr>
          <w:rFonts w:hint="eastAsia" w:eastAsia="仿宋" w:cs="Times New Roman"/>
          <w:bCs/>
          <w:color w:val="auto"/>
          <w:kern w:val="2"/>
          <w:sz w:val="24"/>
          <w:szCs w:val="24"/>
          <w:highlight w:val="none"/>
          <w:lang w:val="en-US" w:eastAsia="zh-CN" w:bidi="ar-SA"/>
        </w:rPr>
        <w:t>成交</w:t>
      </w:r>
      <w:r>
        <w:rPr>
          <w:rFonts w:hint="default" w:ascii="Times New Roman" w:hAnsi="Times New Roman" w:eastAsia="仿宋" w:cs="Times New Roman"/>
          <w:bCs/>
          <w:color w:val="auto"/>
          <w:kern w:val="2"/>
          <w:sz w:val="24"/>
          <w:szCs w:val="24"/>
          <w:highlight w:val="none"/>
          <w:lang w:val="en-US" w:eastAsia="zh-CN" w:bidi="ar-SA"/>
        </w:rPr>
        <w:t>供应商提供与预付款同等额度的担保函后，采购人向</w:t>
      </w:r>
      <w:r>
        <w:rPr>
          <w:rFonts w:hint="eastAsia" w:eastAsia="仿宋" w:cs="Times New Roman"/>
          <w:bCs/>
          <w:color w:val="auto"/>
          <w:kern w:val="2"/>
          <w:sz w:val="24"/>
          <w:szCs w:val="24"/>
          <w:highlight w:val="none"/>
          <w:lang w:val="en-US" w:eastAsia="zh-CN" w:bidi="ar-SA"/>
        </w:rPr>
        <w:t>成交</w:t>
      </w:r>
      <w:r>
        <w:rPr>
          <w:rFonts w:hint="default" w:ascii="Times New Roman" w:hAnsi="Times New Roman" w:eastAsia="仿宋" w:cs="Times New Roman"/>
          <w:bCs/>
          <w:color w:val="auto"/>
          <w:kern w:val="2"/>
          <w:sz w:val="24"/>
          <w:szCs w:val="24"/>
          <w:highlight w:val="none"/>
          <w:lang w:val="en-US" w:eastAsia="zh-CN" w:bidi="ar-SA"/>
        </w:rPr>
        <w:t>供应商支付预付款。如</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lang w:val="en-US" w:eastAsia="zh-CN"/>
        </w:rPr>
        <w:t>供应商收到预付款后不履行相关义务，通过担保函收回已支付的预付款。</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lang w:val="en-US" w:eastAsia="zh-CN"/>
        </w:rPr>
        <w:t>供应商明确表达不需要预付款的，采购人不再支付预付款；</w:t>
      </w:r>
    </w:p>
    <w:p w14:paraId="414FF56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 xml:space="preserve">  预付款扣回的方式：无</w:t>
      </w:r>
    </w:p>
    <w:p w14:paraId="0F5997AE">
      <w:pPr>
        <w:keepNext w:val="0"/>
        <w:keepLines w:val="0"/>
        <w:pageBreakBefore w:val="0"/>
        <w:widowControl w:val="0"/>
        <w:kinsoku/>
        <w:wordWrap/>
        <w:overflowPunct/>
        <w:topLinePunct w:val="0"/>
        <w:autoSpaceDE/>
        <w:autoSpaceDN/>
        <w:bidi w:val="0"/>
        <w:adjustRightInd/>
        <w:snapToGrid w:val="0"/>
        <w:spacing w:line="500" w:lineRule="exact"/>
        <w:ind w:firstLine="540"/>
        <w:textAlignment w:val="auto"/>
        <w:rPr>
          <w:rFonts w:hint="default"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2</w:t>
      </w:r>
      <w:r>
        <w:rPr>
          <w:rFonts w:hint="default" w:ascii="Times New Roman" w:hAnsi="Times New Roman" w:eastAsia="仿宋" w:cs="Times New Roman"/>
          <w:bCs/>
          <w:color w:val="auto"/>
          <w:kern w:val="2"/>
          <w:sz w:val="24"/>
          <w:szCs w:val="24"/>
          <w:highlight w:val="none"/>
          <w:lang w:val="en-US" w:eastAsia="zh-CN" w:bidi="ar-SA"/>
        </w:rPr>
        <w:t>、工程</w:t>
      </w:r>
      <w:r>
        <w:rPr>
          <w:rFonts w:hint="eastAsia" w:eastAsia="仿宋" w:cs="Times New Roman"/>
          <w:bCs/>
          <w:color w:val="auto"/>
          <w:kern w:val="2"/>
          <w:sz w:val="24"/>
          <w:szCs w:val="24"/>
          <w:highlight w:val="none"/>
          <w:lang w:val="en-US" w:eastAsia="zh-CN" w:bidi="ar-SA"/>
        </w:rPr>
        <w:t>竣</w:t>
      </w:r>
      <w:r>
        <w:rPr>
          <w:rFonts w:hint="default" w:ascii="Times New Roman" w:hAnsi="Times New Roman" w:eastAsia="仿宋" w:cs="Times New Roman"/>
          <w:bCs/>
          <w:color w:val="auto"/>
          <w:kern w:val="2"/>
          <w:sz w:val="24"/>
          <w:szCs w:val="24"/>
          <w:highlight w:val="none"/>
          <w:lang w:val="en-US" w:eastAsia="zh-CN" w:bidi="ar-SA"/>
        </w:rPr>
        <w:t>工验收合格后采购人在30个工作日内向</w:t>
      </w:r>
      <w:r>
        <w:rPr>
          <w:rFonts w:hint="eastAsia" w:eastAsia="仿宋" w:cs="Times New Roman"/>
          <w:bCs/>
          <w:color w:val="auto"/>
          <w:kern w:val="2"/>
          <w:sz w:val="24"/>
          <w:szCs w:val="24"/>
          <w:highlight w:val="none"/>
          <w:lang w:val="en-US" w:eastAsia="zh-CN" w:bidi="ar-SA"/>
        </w:rPr>
        <w:t>成交</w:t>
      </w:r>
      <w:r>
        <w:rPr>
          <w:rFonts w:hint="default" w:ascii="Times New Roman" w:hAnsi="Times New Roman" w:eastAsia="仿宋" w:cs="Times New Roman"/>
          <w:bCs/>
          <w:color w:val="auto"/>
          <w:kern w:val="2"/>
          <w:sz w:val="24"/>
          <w:szCs w:val="24"/>
          <w:highlight w:val="none"/>
          <w:lang w:val="en-US" w:eastAsia="zh-CN" w:bidi="ar-SA"/>
        </w:rPr>
        <w:t>供应商支付至</w:t>
      </w:r>
      <w:r>
        <w:rPr>
          <w:rFonts w:hint="eastAsia" w:eastAsia="仿宋" w:cs="Times New Roman"/>
          <w:bCs/>
          <w:color w:val="auto"/>
          <w:kern w:val="2"/>
          <w:sz w:val="24"/>
          <w:szCs w:val="24"/>
          <w:highlight w:val="none"/>
          <w:lang w:val="en-US" w:eastAsia="zh-CN" w:bidi="ar-SA"/>
        </w:rPr>
        <w:t>签约</w:t>
      </w:r>
      <w:r>
        <w:rPr>
          <w:rFonts w:hint="default" w:ascii="Times New Roman" w:hAnsi="Times New Roman" w:eastAsia="仿宋" w:cs="Times New Roman"/>
          <w:bCs/>
          <w:color w:val="auto"/>
          <w:kern w:val="2"/>
          <w:sz w:val="24"/>
          <w:szCs w:val="24"/>
          <w:highlight w:val="none"/>
          <w:lang w:val="en-US" w:eastAsia="zh-CN" w:bidi="ar-SA"/>
        </w:rPr>
        <w:t>合同金额的80%；</w:t>
      </w:r>
    </w:p>
    <w:p w14:paraId="6142DE40">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kern w:val="2"/>
          <w:sz w:val="24"/>
          <w:szCs w:val="24"/>
          <w:highlight w:val="none"/>
          <w:lang w:val="en-US" w:eastAsia="zh-CN" w:bidi="ar-SA"/>
        </w:rPr>
        <w:t>3</w:t>
      </w:r>
      <w:r>
        <w:rPr>
          <w:rFonts w:hint="default" w:ascii="Times New Roman" w:hAnsi="Times New Roman" w:eastAsia="仿宋" w:cs="Times New Roman"/>
          <w:bCs/>
          <w:color w:val="auto"/>
          <w:kern w:val="2"/>
          <w:sz w:val="24"/>
          <w:szCs w:val="24"/>
          <w:highlight w:val="none"/>
          <w:lang w:val="en-US" w:eastAsia="zh-CN" w:bidi="ar-SA"/>
        </w:rPr>
        <w:t>、</w:t>
      </w:r>
      <w:r>
        <w:rPr>
          <w:rFonts w:hint="eastAsia" w:eastAsia="仿宋" w:cs="Times New Roman"/>
          <w:bCs/>
          <w:color w:val="auto"/>
          <w:kern w:val="2"/>
          <w:sz w:val="24"/>
          <w:szCs w:val="24"/>
          <w:highlight w:val="none"/>
          <w:lang w:val="en-US" w:eastAsia="zh-CN" w:bidi="ar-SA"/>
        </w:rPr>
        <w:t>完成</w:t>
      </w:r>
      <w:r>
        <w:rPr>
          <w:rFonts w:hint="default" w:ascii="Times New Roman" w:hAnsi="Times New Roman" w:eastAsia="仿宋" w:cs="Times New Roman"/>
          <w:bCs/>
          <w:color w:val="auto"/>
          <w:kern w:val="2"/>
          <w:sz w:val="24"/>
          <w:szCs w:val="24"/>
          <w:highlight w:val="none"/>
          <w:lang w:val="en-US" w:eastAsia="zh-CN" w:bidi="ar-SA"/>
        </w:rPr>
        <w:t>结算评审</w:t>
      </w:r>
      <w:r>
        <w:rPr>
          <w:rFonts w:hint="eastAsia" w:eastAsia="仿宋" w:cs="Times New Roman"/>
          <w:bCs/>
          <w:color w:val="auto"/>
          <w:kern w:val="2"/>
          <w:sz w:val="24"/>
          <w:szCs w:val="24"/>
          <w:highlight w:val="none"/>
          <w:lang w:val="en-US" w:eastAsia="zh-CN" w:bidi="ar-SA"/>
        </w:rPr>
        <w:t>且成交供应商按要求提交质量保证金</w:t>
      </w:r>
      <w:r>
        <w:rPr>
          <w:rFonts w:hint="default" w:ascii="Times New Roman" w:hAnsi="Times New Roman" w:eastAsia="仿宋" w:cs="Times New Roman"/>
          <w:bCs/>
          <w:color w:val="auto"/>
          <w:kern w:val="2"/>
          <w:sz w:val="24"/>
          <w:szCs w:val="24"/>
          <w:highlight w:val="none"/>
          <w:lang w:val="en-US" w:eastAsia="zh-CN" w:bidi="ar-SA"/>
        </w:rPr>
        <w:t>后采购人在30个工作日内</w:t>
      </w:r>
      <w:r>
        <w:rPr>
          <w:rFonts w:hint="default" w:ascii="Times New Roman" w:hAnsi="Times New Roman" w:eastAsia="仿宋" w:cs="Times New Roman"/>
          <w:bCs/>
          <w:color w:val="auto"/>
          <w:sz w:val="24"/>
          <w:szCs w:val="24"/>
          <w:highlight w:val="none"/>
          <w:lang w:val="en-US" w:eastAsia="zh-CN"/>
        </w:rPr>
        <w:t>向</w:t>
      </w:r>
      <w:r>
        <w:rPr>
          <w:rFonts w:hint="eastAsia" w:ascii="Times New Roman" w:hAnsi="Times New Roman" w:eastAsia="仿宋" w:cs="Times New Roman"/>
          <w:bCs/>
          <w:color w:val="auto"/>
          <w:sz w:val="24"/>
          <w:szCs w:val="24"/>
          <w:highlight w:val="none"/>
          <w:lang w:val="en-US" w:eastAsia="zh-CN"/>
        </w:rPr>
        <w:t>成交</w:t>
      </w:r>
      <w:r>
        <w:rPr>
          <w:rFonts w:hint="default" w:ascii="Times New Roman" w:hAnsi="Times New Roman" w:eastAsia="仿宋" w:cs="Times New Roman"/>
          <w:bCs/>
          <w:color w:val="auto"/>
          <w:sz w:val="24"/>
          <w:szCs w:val="24"/>
          <w:highlight w:val="none"/>
          <w:lang w:val="en-US" w:eastAsia="zh-CN"/>
        </w:rPr>
        <w:t>供应商支付至</w:t>
      </w:r>
      <w:r>
        <w:rPr>
          <w:rFonts w:hint="eastAsia" w:ascii="Times New Roman" w:hAnsi="Times New Roman" w:eastAsia="仿宋" w:cs="Times New Roman"/>
          <w:bCs/>
          <w:color w:val="auto"/>
          <w:sz w:val="24"/>
          <w:szCs w:val="24"/>
          <w:highlight w:val="none"/>
          <w:lang w:val="en-US" w:eastAsia="zh-CN"/>
        </w:rPr>
        <w:t>结算</w:t>
      </w:r>
      <w:r>
        <w:rPr>
          <w:rFonts w:hint="default" w:ascii="Times New Roman" w:hAnsi="Times New Roman" w:eastAsia="仿宋" w:cs="Times New Roman"/>
          <w:bCs/>
          <w:color w:val="auto"/>
          <w:sz w:val="24"/>
          <w:szCs w:val="24"/>
          <w:highlight w:val="none"/>
          <w:lang w:val="en-US" w:eastAsia="zh-CN"/>
        </w:rPr>
        <w:t>审定金额的</w:t>
      </w:r>
      <w:r>
        <w:rPr>
          <w:rFonts w:hint="eastAsia" w:ascii="Times New Roman" w:hAnsi="Times New Roman" w:eastAsia="仿宋" w:cs="Times New Roman"/>
          <w:bCs/>
          <w:color w:val="auto"/>
          <w:sz w:val="24"/>
          <w:szCs w:val="24"/>
          <w:highlight w:val="none"/>
          <w:lang w:val="en-US" w:eastAsia="zh-CN"/>
        </w:rPr>
        <w:t>100</w:t>
      </w:r>
      <w:r>
        <w:rPr>
          <w:rFonts w:hint="default" w:ascii="Times New Roman" w:hAnsi="Times New Roman" w:eastAsia="仿宋" w:cs="Times New Roman"/>
          <w:bCs/>
          <w:color w:val="auto"/>
          <w:sz w:val="24"/>
          <w:szCs w:val="24"/>
          <w:highlight w:val="none"/>
          <w:lang w:val="en-US" w:eastAsia="zh-CN"/>
        </w:rPr>
        <w:t>%；</w:t>
      </w:r>
    </w:p>
    <w:p w14:paraId="4BAE1F50">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lang w:val="en-US" w:eastAsia="zh-CN"/>
        </w:rPr>
        <w:t>注：以上均为无息支付，每次支付工程款时，乙方必须按甲方要求提供正规发票。</w:t>
      </w:r>
      <w:r>
        <w:rPr>
          <w:rFonts w:hint="eastAsia" w:ascii="Times New Roman" w:hAnsi="Times New Roman" w:eastAsia="仿宋" w:cs="Times New Roman"/>
          <w:bCs/>
          <w:color w:val="auto"/>
          <w:sz w:val="24"/>
          <w:szCs w:val="24"/>
          <w:highlight w:val="none"/>
          <w:lang w:val="en-US" w:eastAsia="zh-CN"/>
        </w:rPr>
        <w:t>注：因财政资金未到账，乙方须无条件接受支付顺延。</w:t>
      </w:r>
    </w:p>
    <w:p w14:paraId="630F0552">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03" w:name="_Toc7651"/>
      <w:r>
        <w:rPr>
          <w:rFonts w:hint="default" w:ascii="Times New Roman" w:hAnsi="Times New Roman" w:eastAsia="仿宋" w:cs="Times New Roman"/>
          <w:b/>
          <w:bCs w:val="0"/>
          <w:color w:val="auto"/>
          <w:sz w:val="24"/>
          <w:szCs w:val="24"/>
          <w:highlight w:val="none"/>
          <w:lang w:eastAsia="zh-CN"/>
        </w:rPr>
        <w:t>五、</w:t>
      </w:r>
      <w:bookmarkEnd w:id="103"/>
      <w:r>
        <w:rPr>
          <w:rFonts w:hint="eastAsia" w:ascii="宋体" w:hAnsi="宋体" w:eastAsia="宋体" w:cs="宋体"/>
          <w:b/>
          <w:color w:val="000000"/>
          <w:kern w:val="2"/>
          <w:sz w:val="22"/>
          <w:szCs w:val="18"/>
          <w:highlight w:val="none"/>
          <w:lang w:val="en-US" w:eastAsia="zh-CN" w:bidi="ar-SA"/>
        </w:rPr>
        <w:t>验收方式</w:t>
      </w:r>
    </w:p>
    <w:p w14:paraId="762D434E">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（一）有关材料到货后成交人应通知采购人对货物进行验收，货到验收时如与</w:t>
      </w:r>
      <w:r>
        <w:rPr>
          <w:rFonts w:hint="eastAsia" w:eastAsia="仿宋" w:cs="Times New Roman"/>
          <w:bCs/>
          <w:color w:val="auto"/>
          <w:sz w:val="24"/>
          <w:szCs w:val="24"/>
          <w:highlight w:val="none"/>
          <w:lang w:val="en-US" w:eastAsia="zh-CN"/>
        </w:rPr>
        <w:t>采购</w:t>
      </w:r>
      <w:r>
        <w:rPr>
          <w:rFonts w:hint="eastAsia" w:ascii="Times New Roman" w:hAnsi="Times New Roman" w:eastAsia="仿宋" w:cs="Times New Roman"/>
          <w:bCs/>
          <w:color w:val="auto"/>
          <w:sz w:val="24"/>
          <w:szCs w:val="24"/>
          <w:highlight w:val="none"/>
          <w:lang w:val="en-US" w:eastAsia="zh-CN"/>
        </w:rPr>
        <w:t>承诺的要求不一致，采购人可拒绝收货，成交人应负责赔偿采购人由此造成的一切损失。设备和材料验收合格后才能进行后续施工工作。</w:t>
      </w:r>
    </w:p>
    <w:p w14:paraId="2A53375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（二）工程</w:t>
      </w:r>
      <w:r>
        <w:rPr>
          <w:rFonts w:hint="eastAsia" w:eastAsia="仿宋" w:cs="Times New Roman"/>
          <w:bCs/>
          <w:color w:val="auto"/>
          <w:sz w:val="24"/>
          <w:szCs w:val="24"/>
          <w:highlight w:val="none"/>
          <w:lang w:val="en-US" w:eastAsia="zh-CN"/>
        </w:rPr>
        <w:t>竣</w:t>
      </w:r>
      <w:r>
        <w:rPr>
          <w:rFonts w:hint="eastAsia" w:ascii="Times New Roman" w:hAnsi="Times New Roman" w:eastAsia="仿宋" w:cs="Times New Roman"/>
          <w:bCs/>
          <w:color w:val="auto"/>
          <w:sz w:val="24"/>
          <w:szCs w:val="24"/>
          <w:highlight w:val="none"/>
          <w:lang w:val="en-US" w:eastAsia="zh-CN"/>
        </w:rPr>
        <w:t>工及验收，成交人应派遣有丰富经验和相应能力的工程师进行现场组织施工，并对施工操作不当或错误所导致的直接损失和间接损失承担全部赔偿责任。</w:t>
      </w:r>
    </w:p>
    <w:p w14:paraId="55813F5E">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（三）施工过程应遵照现行国家有关及规程规范进行施工，按照有关要求进行检查验收。成交人提供所有设备和材料应有完善的质量检测手段和质量保证体系，必须符合国家标准和行业标准。</w:t>
      </w:r>
    </w:p>
    <w:p w14:paraId="299F24E0">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（四）工程</w:t>
      </w:r>
      <w:r>
        <w:rPr>
          <w:rFonts w:hint="eastAsia" w:eastAsia="仿宋" w:cs="Times New Roman"/>
          <w:bCs/>
          <w:color w:val="auto"/>
          <w:sz w:val="24"/>
          <w:szCs w:val="24"/>
          <w:highlight w:val="none"/>
          <w:lang w:val="en-US" w:eastAsia="zh-CN"/>
        </w:rPr>
        <w:t>竣</w:t>
      </w:r>
      <w:r>
        <w:rPr>
          <w:rFonts w:hint="eastAsia" w:ascii="Times New Roman" w:hAnsi="Times New Roman" w:eastAsia="仿宋" w:cs="Times New Roman"/>
          <w:bCs/>
          <w:color w:val="auto"/>
          <w:sz w:val="24"/>
          <w:szCs w:val="24"/>
          <w:highlight w:val="none"/>
          <w:lang w:val="en-US" w:eastAsia="zh-CN"/>
        </w:rPr>
        <w:t>工后，按国家相关标准验收程序和规程进行验收，验收合格后双方认可签字。验收的相关费用由成交人负责。</w:t>
      </w:r>
      <w:bookmarkStart w:id="104" w:name="_Toc9100"/>
      <w:bookmarkStart w:id="105" w:name="_Toc8824"/>
      <w:bookmarkStart w:id="106" w:name="_Toc21133"/>
      <w:bookmarkStart w:id="107" w:name="_Toc24755"/>
      <w:bookmarkStart w:id="108" w:name="_Toc521399414"/>
      <w:bookmarkStart w:id="109" w:name="_Toc9978"/>
      <w:bookmarkStart w:id="110" w:name="_Toc18307"/>
      <w:bookmarkStart w:id="111" w:name="_Toc21179"/>
      <w:bookmarkStart w:id="112" w:name="_Toc20771"/>
      <w:bookmarkStart w:id="113" w:name="_Toc19857"/>
      <w:bookmarkStart w:id="114" w:name="_Toc9383"/>
    </w:p>
    <w:p w14:paraId="2637D2A0">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r>
        <w:rPr>
          <w:rFonts w:hint="eastAsia" w:ascii="Times New Roman" w:hAnsi="Times New Roman" w:eastAsia="仿宋" w:cs="Times New Roman"/>
          <w:b/>
          <w:bCs w:val="0"/>
          <w:color w:val="auto"/>
          <w:sz w:val="24"/>
          <w:szCs w:val="24"/>
          <w:highlight w:val="none"/>
          <w:lang w:eastAsia="zh-CN"/>
        </w:rPr>
        <w:t>六</w:t>
      </w:r>
      <w:r>
        <w:rPr>
          <w:rFonts w:hint="default" w:ascii="Times New Roman" w:hAnsi="Times New Roman" w:eastAsia="仿宋" w:cs="Times New Roman"/>
          <w:b/>
          <w:bCs w:val="0"/>
          <w:color w:val="auto"/>
          <w:sz w:val="24"/>
          <w:szCs w:val="24"/>
          <w:highlight w:val="none"/>
          <w:lang w:eastAsia="zh-CN"/>
        </w:rPr>
        <w:t>、</w:t>
      </w:r>
      <w:bookmarkEnd w:id="104"/>
      <w:bookmarkEnd w:id="105"/>
      <w:bookmarkEnd w:id="106"/>
      <w:bookmarkEnd w:id="107"/>
      <w:bookmarkEnd w:id="108"/>
      <w:bookmarkEnd w:id="109"/>
      <w:bookmarkEnd w:id="110"/>
      <w:bookmarkEnd w:id="111"/>
      <w:bookmarkEnd w:id="112"/>
      <w:bookmarkEnd w:id="113"/>
      <w:bookmarkEnd w:id="114"/>
      <w:r>
        <w:rPr>
          <w:rFonts w:hint="eastAsia" w:ascii="Times New Roman" w:hAnsi="Times New Roman" w:eastAsia="仿宋" w:cs="Times New Roman"/>
          <w:b/>
          <w:bCs w:val="0"/>
          <w:color w:val="auto"/>
          <w:sz w:val="24"/>
          <w:szCs w:val="24"/>
          <w:highlight w:val="none"/>
          <w:lang w:eastAsia="zh-CN"/>
        </w:rPr>
        <w:t>缺陷责任期与保修</w:t>
      </w:r>
    </w:p>
    <w:p w14:paraId="5EB598F3">
      <w:pPr>
        <w:keepNext w:val="0"/>
        <w:keepLines w:val="0"/>
        <w:pageBreakBefore w:val="0"/>
        <w:widowControl w:val="0"/>
        <w:kinsoku/>
        <w:wordWrap/>
        <w:overflowPunct/>
        <w:topLinePunct w:val="0"/>
        <w:bidi w:val="0"/>
        <w:spacing w:line="500" w:lineRule="exact"/>
        <w:ind w:firstLine="480" w:firstLineChars="200"/>
        <w:textAlignment w:val="auto"/>
        <w:rPr>
          <w:rFonts w:hint="eastAsia"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（一）</w:t>
      </w:r>
      <w:r>
        <w:rPr>
          <w:rFonts w:hint="eastAsia" w:eastAsia="仿宋" w:cs="Times New Roman"/>
          <w:bCs/>
          <w:color w:val="auto"/>
          <w:sz w:val="24"/>
          <w:szCs w:val="24"/>
          <w:highlight w:val="none"/>
          <w:lang w:eastAsia="zh-CN"/>
        </w:rPr>
        <w:t>质量保证金：</w:t>
      </w:r>
    </w:p>
    <w:p w14:paraId="7C139ED5">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Times New Roman" w:hAnsi="Times New Roman" w:eastAsia="仿宋" w:cs="Times New Roman"/>
          <w:bCs/>
          <w:color w:val="auto"/>
          <w:kern w:val="2"/>
          <w:sz w:val="24"/>
          <w:szCs w:val="24"/>
          <w:highlight w:val="none"/>
          <w:lang w:val="en-US" w:eastAsia="zh-CN" w:bidi="ar-SA"/>
        </w:rPr>
      </w:pPr>
      <w:r>
        <w:rPr>
          <w:rFonts w:hint="eastAsia" w:eastAsia="仿宋" w:cs="Times New Roman"/>
          <w:bCs/>
          <w:color w:val="auto"/>
          <w:sz w:val="24"/>
          <w:szCs w:val="24"/>
          <w:highlight w:val="none"/>
          <w:lang w:val="en-US" w:eastAsia="zh-CN"/>
        </w:rPr>
        <w:t>1、承</w:t>
      </w:r>
      <w:r>
        <w:rPr>
          <w:rFonts w:hint="eastAsia" w:ascii="Times New Roman" w:hAnsi="Times New Roman" w:eastAsia="仿宋" w:cs="Times New Roman"/>
          <w:bCs/>
          <w:color w:val="auto"/>
          <w:sz w:val="24"/>
          <w:szCs w:val="24"/>
          <w:highlight w:val="none"/>
          <w:lang w:val="en-US" w:eastAsia="zh-CN"/>
        </w:rPr>
        <w:t>包人提供质量保证金的方式:质量保证可采用保函或</w:t>
      </w:r>
      <w:r>
        <w:rPr>
          <w:rFonts w:hint="eastAsia" w:eastAsia="仿宋" w:cs="Times New Roman"/>
          <w:bCs/>
          <w:color w:val="auto"/>
          <w:sz w:val="24"/>
          <w:szCs w:val="24"/>
          <w:highlight w:val="none"/>
          <w:lang w:val="en-US" w:eastAsia="zh-CN"/>
        </w:rPr>
        <w:t>银行转账</w:t>
      </w:r>
      <w:r>
        <w:rPr>
          <w:rFonts w:hint="eastAsia" w:ascii="Times New Roman" w:hAnsi="Times New Roman" w:eastAsia="仿宋" w:cs="Times New Roman"/>
          <w:bCs/>
          <w:color w:val="auto"/>
          <w:sz w:val="24"/>
          <w:szCs w:val="24"/>
          <w:highlight w:val="none"/>
          <w:lang w:val="en-US" w:eastAsia="zh-CN"/>
        </w:rPr>
        <w:t>缴纳。采购保函方式</w:t>
      </w:r>
      <w:r>
        <w:rPr>
          <w:rFonts w:hint="eastAsia" w:ascii="Times New Roman" w:hAnsi="Times New Roman" w:eastAsia="仿宋" w:cs="Times New Roman"/>
          <w:bCs/>
          <w:color w:val="auto"/>
          <w:kern w:val="2"/>
          <w:sz w:val="24"/>
          <w:szCs w:val="24"/>
          <w:highlight w:val="none"/>
          <w:lang w:val="en-US" w:eastAsia="zh-CN" w:bidi="ar-SA"/>
        </w:rPr>
        <w:t>的，包括银行保函、保证保险和担保保函，其示范文本详见合同附件。成交供应商提交的质量保证金保函应严格执行其示范文本，不得对示范文本中的实质性内容进行修改，具体要求：质量保证金保函的开立人应当是具有相应资格的银行、保险机构、融资担保公司，其信用资质、履约能力、担保能力、赔付流程、安全保密等应符合工程保函业务条件。质量保证金保函应合法合规，符合</w:t>
      </w:r>
      <w:r>
        <w:rPr>
          <w:rFonts w:hint="eastAsia" w:eastAsia="仿宋" w:cs="Times New Roman"/>
          <w:bCs/>
          <w:color w:val="auto"/>
          <w:kern w:val="2"/>
          <w:sz w:val="24"/>
          <w:szCs w:val="24"/>
          <w:highlight w:val="none"/>
          <w:lang w:val="en-US" w:eastAsia="zh-CN" w:bidi="ar-SA"/>
        </w:rPr>
        <w:t>相应</w:t>
      </w:r>
      <w:r>
        <w:rPr>
          <w:rFonts w:hint="eastAsia" w:ascii="Times New Roman" w:hAnsi="Times New Roman" w:eastAsia="仿宋" w:cs="Times New Roman"/>
          <w:bCs/>
          <w:color w:val="auto"/>
          <w:kern w:val="2"/>
          <w:sz w:val="24"/>
          <w:szCs w:val="24"/>
          <w:highlight w:val="none"/>
          <w:lang w:val="en-US" w:eastAsia="zh-CN" w:bidi="ar-SA"/>
        </w:rPr>
        <w:t>行政监督部门、行业主管部门和金融监管部门的相关规定，满足采购文件约定要求。成交供应商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成交供应商对所提交的质量保证金保函的真实性、合法性、有效性负责。</w:t>
      </w:r>
    </w:p>
    <w:p w14:paraId="2913CF86">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2、质量保证金金额：结算审定价的3%。</w:t>
      </w:r>
    </w:p>
    <w:p w14:paraId="2FAF68CB">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eastAsia"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3、提交时间：完成结算审核后14天内。</w:t>
      </w:r>
    </w:p>
    <w:p w14:paraId="335D74F6">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仿宋" w:cs="Times New Roman"/>
          <w:bCs/>
          <w:color w:val="auto"/>
          <w:kern w:val="2"/>
          <w:sz w:val="24"/>
          <w:szCs w:val="24"/>
          <w:highlight w:val="none"/>
          <w:lang w:val="en-US" w:eastAsia="zh-CN" w:bidi="ar-SA"/>
        </w:rPr>
      </w:pPr>
      <w:r>
        <w:rPr>
          <w:rFonts w:hint="eastAsia" w:ascii="Times New Roman" w:hAnsi="Times New Roman" w:eastAsia="仿宋" w:cs="Times New Roman"/>
          <w:bCs/>
          <w:color w:val="auto"/>
          <w:kern w:val="2"/>
          <w:sz w:val="24"/>
          <w:szCs w:val="24"/>
          <w:highlight w:val="none"/>
          <w:lang w:val="en-US" w:eastAsia="zh-CN" w:bidi="ar-SA"/>
        </w:rPr>
        <w:t>4、退还时间：质保期满验收合格后14天内采购人无息退还给成交供应商。</w:t>
      </w:r>
    </w:p>
    <w:p w14:paraId="21F27CCC">
      <w:pPr>
        <w:pStyle w:val="12"/>
        <w:keepNext w:val="0"/>
        <w:keepLines w:val="0"/>
        <w:pageBreakBefore w:val="0"/>
        <w:widowControl w:val="0"/>
        <w:kinsoku/>
        <w:wordWrap/>
        <w:overflowPunct/>
        <w:topLinePunct w:val="0"/>
        <w:bidi w:val="0"/>
        <w:spacing w:line="500" w:lineRule="exact"/>
        <w:ind w:left="0" w:leftChars="0" w:firstLine="480" w:firstLineChars="200"/>
        <w:textAlignment w:val="auto"/>
        <w:rPr>
          <w:rFonts w:hint="default" w:ascii="Times New Roman" w:hAnsi="Times New Roman" w:eastAsia="仿宋" w:cs="Times New Roman"/>
          <w:bCs/>
          <w:color w:val="auto"/>
          <w:kern w:val="2"/>
          <w:sz w:val="24"/>
          <w:szCs w:val="24"/>
          <w:highlight w:val="none"/>
          <w:lang w:val="en-US" w:eastAsia="zh-CN" w:bidi="ar-SA"/>
        </w:rPr>
      </w:pPr>
      <w:r>
        <w:rPr>
          <w:rFonts w:hint="default" w:ascii="Times New Roman" w:hAnsi="Times New Roman" w:eastAsia="仿宋" w:cs="Times New Roman"/>
          <w:bCs/>
          <w:color w:val="auto"/>
          <w:kern w:val="2"/>
          <w:sz w:val="24"/>
          <w:szCs w:val="24"/>
          <w:highlight w:val="none"/>
          <w:lang w:val="en-US" w:eastAsia="zh-CN" w:bidi="ar-SA"/>
        </w:rPr>
        <w:t>（二）</w:t>
      </w:r>
      <w:r>
        <w:rPr>
          <w:rFonts w:hint="eastAsia" w:eastAsia="仿宋" w:cs="Times New Roman"/>
          <w:bCs/>
          <w:color w:val="auto"/>
          <w:kern w:val="2"/>
          <w:sz w:val="24"/>
          <w:szCs w:val="24"/>
          <w:highlight w:val="none"/>
          <w:lang w:val="en-US" w:eastAsia="zh-CN" w:bidi="ar-SA"/>
        </w:rPr>
        <w:t>保修：</w:t>
      </w:r>
      <w:r>
        <w:rPr>
          <w:rFonts w:hint="eastAsia" w:ascii="Times New Roman" w:hAnsi="Times New Roman" w:eastAsia="仿宋" w:cs="Times New Roman"/>
          <w:bCs/>
          <w:color w:val="auto"/>
          <w:sz w:val="24"/>
          <w:szCs w:val="24"/>
          <w:highlight w:val="none"/>
          <w:lang w:val="en-US" w:eastAsia="zh-CN"/>
        </w:rPr>
        <w:t>缺陷责任期为</w:t>
      </w:r>
      <w:r>
        <w:rPr>
          <w:rFonts w:hint="eastAsia"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lang w:val="en-US" w:eastAsia="zh-CN"/>
        </w:rPr>
        <w:t>年，自工程</w:t>
      </w:r>
      <w:r>
        <w:rPr>
          <w:rFonts w:hint="eastAsia" w:eastAsia="仿宋" w:cs="Times New Roman"/>
          <w:bCs/>
          <w:color w:val="auto"/>
          <w:sz w:val="24"/>
          <w:szCs w:val="24"/>
          <w:highlight w:val="none"/>
          <w:lang w:val="en-US" w:eastAsia="zh-CN"/>
        </w:rPr>
        <w:t>竣</w:t>
      </w:r>
      <w:r>
        <w:rPr>
          <w:rFonts w:hint="eastAsia" w:ascii="Times New Roman" w:hAnsi="Times New Roman" w:eastAsia="仿宋" w:cs="Times New Roman"/>
          <w:bCs/>
          <w:color w:val="auto"/>
          <w:sz w:val="24"/>
          <w:szCs w:val="24"/>
          <w:highlight w:val="none"/>
          <w:lang w:val="en-US" w:eastAsia="zh-CN"/>
        </w:rPr>
        <w:t>工验收合格之日起计算。其他约定详合</w:t>
      </w:r>
      <w:r>
        <w:rPr>
          <w:rFonts w:hint="eastAsia" w:ascii="Times New Roman" w:hAnsi="Times New Roman" w:eastAsia="仿宋" w:cs="Times New Roman"/>
          <w:bCs/>
          <w:color w:val="auto"/>
          <w:kern w:val="2"/>
          <w:sz w:val="24"/>
          <w:szCs w:val="24"/>
          <w:highlight w:val="none"/>
          <w:lang w:val="en-US" w:eastAsia="zh-CN" w:bidi="ar-SA"/>
        </w:rPr>
        <w:t>同附件1《工程质量保修书》。</w:t>
      </w:r>
    </w:p>
    <w:p w14:paraId="57A5C0CB">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15" w:name="_Toc24174"/>
      <w:bookmarkStart w:id="116" w:name="_Toc5258"/>
      <w:bookmarkStart w:id="117" w:name="_Toc1075"/>
      <w:bookmarkStart w:id="118" w:name="_Toc29547"/>
      <w:bookmarkStart w:id="119" w:name="_Toc31063"/>
      <w:bookmarkStart w:id="120" w:name="_Toc22360"/>
      <w:bookmarkStart w:id="121" w:name="_Toc24816"/>
      <w:bookmarkStart w:id="122" w:name="_Toc13503"/>
      <w:bookmarkStart w:id="123" w:name="_Toc658"/>
      <w:bookmarkStart w:id="124" w:name="_Toc521399413"/>
      <w:bookmarkStart w:id="125" w:name="_Toc31654"/>
      <w:bookmarkStart w:id="126" w:name="_Toc31694"/>
      <w:bookmarkStart w:id="127" w:name="_Toc6899"/>
      <w:bookmarkStart w:id="128" w:name="_Toc2914"/>
      <w:bookmarkStart w:id="129" w:name="_Toc17561"/>
      <w:r>
        <w:rPr>
          <w:rFonts w:hint="eastAsia" w:eastAsia="仿宋" w:cs="Times New Roman"/>
          <w:b/>
          <w:bCs w:val="0"/>
          <w:color w:val="auto"/>
          <w:sz w:val="24"/>
          <w:szCs w:val="24"/>
          <w:highlight w:val="none"/>
          <w:lang w:eastAsia="zh-CN"/>
        </w:rPr>
        <w:t>七</w:t>
      </w:r>
      <w:r>
        <w:rPr>
          <w:rFonts w:hint="default" w:ascii="Times New Roman" w:hAnsi="Times New Roman" w:eastAsia="仿宋" w:cs="Times New Roman"/>
          <w:b/>
          <w:bCs w:val="0"/>
          <w:color w:val="auto"/>
          <w:sz w:val="24"/>
          <w:szCs w:val="24"/>
          <w:highlight w:val="none"/>
          <w:lang w:eastAsia="zh-CN"/>
        </w:rPr>
        <w:t>、不可抗力</w:t>
      </w:r>
      <w:bookmarkEnd w:id="115"/>
      <w:bookmarkEnd w:id="116"/>
      <w:bookmarkEnd w:id="117"/>
      <w:bookmarkEnd w:id="118"/>
      <w:bookmarkEnd w:id="119"/>
      <w:bookmarkEnd w:id="120"/>
    </w:p>
    <w:p w14:paraId="65BCBD27">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1.如一旦有构成不可抗力的事件发生，且签约方被认为无力履行全部或部分合同中规定的职责，签约方需以书面形式通知采购</w:t>
      </w:r>
      <w:r>
        <w:rPr>
          <w:rFonts w:hint="eastAsia" w:eastAsia="仿宋" w:cs="Times New Roman"/>
          <w:bCs/>
          <w:color w:val="auto"/>
          <w:sz w:val="24"/>
          <w:szCs w:val="24"/>
          <w:highlight w:val="none"/>
          <w:lang w:eastAsia="zh-CN"/>
        </w:rPr>
        <w:t>人</w:t>
      </w:r>
      <w:r>
        <w:rPr>
          <w:rFonts w:hint="default" w:ascii="Times New Roman" w:hAnsi="Times New Roman" w:eastAsia="仿宋" w:cs="Times New Roman"/>
          <w:bCs/>
          <w:color w:val="auto"/>
          <w:sz w:val="24"/>
          <w:szCs w:val="24"/>
          <w:highlight w:val="none"/>
        </w:rPr>
        <w:t>并告知有关细节，按《大渡口区政府采购暂行办法》办理。</w:t>
      </w:r>
    </w:p>
    <w:p w14:paraId="798FDD89">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2.本条款中的不可抗力应解释为大自然、战争（无论是否公开宣战）、入侵、暴动、叛乱，或其它具有相似性质的事件。</w:t>
      </w:r>
    </w:p>
    <w:p w14:paraId="63593FA4">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30" w:name="_Toc22276"/>
      <w:bookmarkStart w:id="131" w:name="_Toc9607"/>
      <w:bookmarkStart w:id="132" w:name="_Toc10046"/>
      <w:bookmarkStart w:id="133" w:name="_Toc26014"/>
      <w:bookmarkStart w:id="134" w:name="_Toc18509"/>
      <w:bookmarkStart w:id="135" w:name="_Toc2703"/>
      <w:r>
        <w:rPr>
          <w:rFonts w:hint="default" w:ascii="Times New Roman" w:hAnsi="Times New Roman" w:eastAsia="仿宋" w:cs="Times New Roman"/>
          <w:b/>
          <w:bCs w:val="0"/>
          <w:color w:val="auto"/>
          <w:sz w:val="24"/>
          <w:szCs w:val="24"/>
          <w:highlight w:val="none"/>
          <w:lang w:eastAsia="zh-CN"/>
        </w:rPr>
        <w:t>八、转让</w:t>
      </w:r>
      <w:bookmarkEnd w:id="130"/>
      <w:bookmarkEnd w:id="131"/>
      <w:bookmarkEnd w:id="132"/>
      <w:bookmarkEnd w:id="133"/>
      <w:bookmarkEnd w:id="134"/>
      <w:bookmarkEnd w:id="135"/>
    </w:p>
    <w:p w14:paraId="1317230F">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承包人不得将合同的任何部分或卖方的任何权利，利益或责任转让，委派，许诺，安排给其他人，除非有采购人的书面同意。</w:t>
      </w:r>
    </w:p>
    <w:bookmarkEnd w:id="121"/>
    <w:bookmarkEnd w:id="122"/>
    <w:bookmarkEnd w:id="123"/>
    <w:bookmarkEnd w:id="124"/>
    <w:bookmarkEnd w:id="125"/>
    <w:bookmarkEnd w:id="126"/>
    <w:bookmarkEnd w:id="127"/>
    <w:bookmarkEnd w:id="128"/>
    <w:bookmarkEnd w:id="129"/>
    <w:p w14:paraId="2F35C444">
      <w:pPr>
        <w:keepNext w:val="0"/>
        <w:keepLines w:val="0"/>
        <w:pageBreakBefore w:val="0"/>
        <w:widowControl w:val="0"/>
        <w:kinsoku/>
        <w:wordWrap/>
        <w:overflowPunct/>
        <w:topLinePunct w:val="0"/>
        <w:bidi w:val="0"/>
        <w:spacing w:line="500" w:lineRule="exact"/>
        <w:ind w:firstLine="482" w:firstLineChars="200"/>
        <w:textAlignment w:val="auto"/>
        <w:rPr>
          <w:rFonts w:hint="default" w:ascii="Times New Roman" w:hAnsi="Times New Roman" w:eastAsia="仿宋" w:cs="Times New Roman"/>
          <w:b/>
          <w:bCs w:val="0"/>
          <w:color w:val="auto"/>
          <w:sz w:val="24"/>
          <w:szCs w:val="24"/>
          <w:highlight w:val="none"/>
          <w:lang w:eastAsia="zh-CN"/>
        </w:rPr>
      </w:pPr>
      <w:bookmarkStart w:id="136" w:name="_Toc2335"/>
      <w:bookmarkStart w:id="137" w:name="_Toc22224"/>
      <w:bookmarkStart w:id="138" w:name="_Toc19705"/>
      <w:bookmarkStart w:id="139" w:name="_Toc29871"/>
      <w:bookmarkStart w:id="140" w:name="_Toc2755"/>
      <w:bookmarkStart w:id="141" w:name="_Toc7523"/>
      <w:r>
        <w:rPr>
          <w:rFonts w:hint="eastAsia" w:eastAsia="仿宋" w:cs="Times New Roman"/>
          <w:b/>
          <w:bCs w:val="0"/>
          <w:color w:val="auto"/>
          <w:sz w:val="24"/>
          <w:szCs w:val="24"/>
          <w:highlight w:val="none"/>
          <w:lang w:eastAsia="zh-CN"/>
        </w:rPr>
        <w:t>九</w:t>
      </w:r>
      <w:r>
        <w:rPr>
          <w:rFonts w:hint="default" w:ascii="Times New Roman" w:hAnsi="Times New Roman" w:eastAsia="仿宋" w:cs="Times New Roman"/>
          <w:b/>
          <w:bCs w:val="0"/>
          <w:color w:val="auto"/>
          <w:sz w:val="24"/>
          <w:szCs w:val="24"/>
          <w:highlight w:val="none"/>
          <w:lang w:eastAsia="zh-CN"/>
        </w:rPr>
        <w:t>、</w:t>
      </w:r>
      <w:bookmarkEnd w:id="136"/>
      <w:bookmarkEnd w:id="137"/>
      <w:bookmarkEnd w:id="138"/>
      <w:bookmarkEnd w:id="139"/>
      <w:bookmarkEnd w:id="140"/>
      <w:bookmarkEnd w:id="141"/>
      <w:r>
        <w:rPr>
          <w:rFonts w:hint="eastAsia" w:eastAsia="仿宋" w:cs="Times New Roman"/>
          <w:b/>
          <w:bCs w:val="0"/>
          <w:color w:val="auto"/>
          <w:sz w:val="24"/>
          <w:szCs w:val="24"/>
          <w:highlight w:val="none"/>
          <w:lang w:eastAsia="zh-CN"/>
        </w:rPr>
        <w:t>其他</w:t>
      </w:r>
    </w:p>
    <w:p w14:paraId="6407C3FD">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eastAsia" w:eastAsia="仿宋" w:cs="Times New Roman"/>
          <w:bCs/>
          <w:color w:val="auto"/>
          <w:sz w:val="24"/>
          <w:szCs w:val="24"/>
          <w:highlight w:val="none"/>
          <w:lang w:val="en-US" w:eastAsia="zh-CN"/>
        </w:rPr>
        <w:t>1、</w:t>
      </w:r>
      <w:r>
        <w:rPr>
          <w:rFonts w:hint="default" w:ascii="Times New Roman" w:hAnsi="Times New Roman" w:eastAsia="仿宋" w:cs="Times New Roman"/>
          <w:bCs/>
          <w:color w:val="auto"/>
          <w:sz w:val="24"/>
          <w:szCs w:val="24"/>
          <w:highlight w:val="none"/>
          <w:lang w:eastAsia="zh-CN"/>
        </w:rPr>
        <w:t>供应商提供的所有投标资料的复印件应清晰、可辨，否则按否决投标处理。采购人将进一步核查供应商在询价文件中的提供的投标资料，若在评标期间有供应商投诉并经查实或评标委员会发现供应商提供了虚假资料，采购人将对供应商的询价文件作否决处理。采购人若在合同实施期间发现供应商提供虚假资料或以供应商承诺不相符合内容，采购人将</w:t>
      </w:r>
      <w:r>
        <w:rPr>
          <w:rFonts w:hint="eastAsia" w:eastAsia="仿宋" w:cs="Times New Roman"/>
          <w:bCs/>
          <w:color w:val="auto"/>
          <w:sz w:val="24"/>
          <w:szCs w:val="24"/>
          <w:highlight w:val="none"/>
          <w:lang w:eastAsia="zh-CN"/>
        </w:rPr>
        <w:t>向上级行政监督部门报告，并</w:t>
      </w:r>
      <w:r>
        <w:rPr>
          <w:rFonts w:hint="default" w:ascii="Times New Roman" w:hAnsi="Times New Roman" w:eastAsia="仿宋" w:cs="Times New Roman"/>
          <w:bCs/>
          <w:color w:val="auto"/>
          <w:sz w:val="24"/>
          <w:szCs w:val="24"/>
          <w:highlight w:val="none"/>
          <w:lang w:eastAsia="zh-CN"/>
        </w:rPr>
        <w:t>终止本合同。</w:t>
      </w:r>
    </w:p>
    <w:p w14:paraId="56DFE1D8">
      <w:pPr>
        <w:keepNext w:val="0"/>
        <w:keepLines w:val="0"/>
        <w:pageBreakBefore w:val="0"/>
        <w:widowControl w:val="0"/>
        <w:kinsoku/>
        <w:wordWrap/>
        <w:overflowPunct/>
        <w:topLinePunct w:val="0"/>
        <w:bidi w:val="0"/>
        <w:spacing w:line="500" w:lineRule="exact"/>
        <w:ind w:firstLine="480" w:firstLineChars="200"/>
        <w:textAlignment w:val="auto"/>
        <w:rPr>
          <w:rFonts w:hint="eastAsia"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lang w:val="en-US" w:eastAsia="zh-CN"/>
        </w:rPr>
        <w:t>其他未尽事宜由供需双方在采购合同中详细约定。</w:t>
      </w:r>
    </w:p>
    <w:p w14:paraId="412BCA26">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p>
    <w:p w14:paraId="34DE6605">
      <w:pPr>
        <w:pStyle w:val="4"/>
        <w:pageBreakBefore/>
        <w:spacing w:before="0" w:after="0" w:line="360" w:lineRule="auto"/>
        <w:rPr>
          <w:rFonts w:hint="default" w:ascii="Times New Roman" w:hAnsi="Times New Roman" w:eastAsia="仿宋" w:cs="Times New Roman"/>
          <w:b/>
          <w:bCs w:val="0"/>
          <w:color w:val="auto"/>
          <w:spacing w:val="-11"/>
          <w:sz w:val="36"/>
          <w:szCs w:val="30"/>
          <w:highlight w:val="none"/>
        </w:rPr>
      </w:pPr>
      <w:bookmarkStart w:id="142" w:name="_Toc13662"/>
      <w:bookmarkStart w:id="143" w:name="_Toc1553"/>
      <w:bookmarkStart w:id="144" w:name="_Toc26214"/>
      <w:bookmarkStart w:id="145" w:name="_Toc14521"/>
      <w:bookmarkStart w:id="146" w:name="_Toc19160"/>
      <w:r>
        <w:rPr>
          <w:rFonts w:hint="default" w:ascii="Times New Roman" w:hAnsi="Times New Roman" w:eastAsia="仿宋" w:cs="Times New Roman"/>
          <w:b/>
          <w:bCs w:val="0"/>
          <w:color w:val="auto"/>
          <w:spacing w:val="-11"/>
          <w:sz w:val="36"/>
          <w:szCs w:val="30"/>
          <w:highlight w:val="none"/>
        </w:rPr>
        <w:t>第四篇询比采购程序及方法、评审标准、响应无效和</w:t>
      </w:r>
      <w:r>
        <w:rPr>
          <w:rFonts w:hint="default" w:ascii="Times New Roman" w:hAnsi="Times New Roman" w:eastAsia="仿宋" w:cs="Times New Roman"/>
          <w:b/>
          <w:bCs w:val="0"/>
          <w:color w:val="auto"/>
          <w:spacing w:val="-11"/>
          <w:sz w:val="36"/>
          <w:szCs w:val="36"/>
          <w:highlight w:val="none"/>
        </w:rPr>
        <w:t>采购终止</w:t>
      </w:r>
      <w:bookmarkEnd w:id="142"/>
      <w:bookmarkEnd w:id="143"/>
      <w:bookmarkEnd w:id="144"/>
      <w:bookmarkEnd w:id="145"/>
      <w:bookmarkEnd w:id="146"/>
    </w:p>
    <w:p w14:paraId="0A599BE9">
      <w:pPr>
        <w:keepNext w:val="0"/>
        <w:keepLines w:val="0"/>
        <w:pageBreakBefore w:val="0"/>
        <w:widowControl w:val="0"/>
        <w:kinsoku/>
        <w:wordWrap/>
        <w:overflowPunct/>
        <w:topLinePunct w:val="0"/>
        <w:autoSpaceDE/>
        <w:autoSpaceDN/>
        <w:bidi w:val="0"/>
        <w:adjustRightInd/>
        <w:spacing w:line="500" w:lineRule="exact"/>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一、询比采购程序及方法</w:t>
      </w:r>
    </w:p>
    <w:p w14:paraId="41D7329D">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（一）按询比文件规定的截</w:t>
      </w:r>
      <w:r>
        <w:rPr>
          <w:rFonts w:hint="eastAsia" w:eastAsia="仿宋" w:cs="Times New Roman"/>
          <w:bCs/>
          <w:color w:val="auto"/>
          <w:sz w:val="24"/>
          <w:szCs w:val="24"/>
          <w:highlight w:val="none"/>
          <w:lang w:eastAsia="zh-CN"/>
        </w:rPr>
        <w:t>止</w:t>
      </w:r>
      <w:r>
        <w:rPr>
          <w:rFonts w:hint="default" w:ascii="Times New Roman" w:hAnsi="Times New Roman" w:eastAsia="仿宋" w:cs="Times New Roman"/>
          <w:bCs/>
          <w:color w:val="auto"/>
          <w:sz w:val="24"/>
          <w:szCs w:val="24"/>
          <w:highlight w:val="none"/>
        </w:rPr>
        <w:t>时间进行，由本项目的评审小组对各供应商的响应文件进行评审。</w:t>
      </w:r>
    </w:p>
    <w:p w14:paraId="3F78AA19">
      <w:pPr>
        <w:keepNext w:val="0"/>
        <w:keepLines w:val="0"/>
        <w:pageBreakBefore w:val="0"/>
        <w:widowControl w:val="0"/>
        <w:kinsoku/>
        <w:wordWrap/>
        <w:overflowPunct/>
        <w:topLinePunct w:val="0"/>
        <w:autoSpaceDE/>
        <w:autoSpaceDN/>
        <w:bidi w:val="0"/>
        <w:adjustRightIn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（二）询比小组对各供应商的资格条件、响应文件的有效性、完整性和响应程度进行审查。各供应商只有在完全符合要求的前提下，才能参与正式询比采购。</w:t>
      </w:r>
    </w:p>
    <w:p w14:paraId="36B54F0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kern w:val="0"/>
          <w:sz w:val="24"/>
          <w:szCs w:val="24"/>
          <w:highlight w:val="none"/>
        </w:rPr>
        <w:t>资格性检查。依据法律法规和询比采购文件的规定，对响应文件中的资格证明、进行审查，以确定供应商是否具备询比采购资格。资格性检查资料表如下：</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6002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909FC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序号</w:t>
            </w:r>
          </w:p>
        </w:tc>
        <w:tc>
          <w:tcPr>
            <w:tcW w:w="4394" w:type="dxa"/>
            <w:gridSpan w:val="2"/>
            <w:vAlign w:val="center"/>
          </w:tcPr>
          <w:p w14:paraId="72C1245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检查因素</w:t>
            </w:r>
          </w:p>
        </w:tc>
        <w:tc>
          <w:tcPr>
            <w:tcW w:w="4558" w:type="dxa"/>
            <w:vAlign w:val="center"/>
          </w:tcPr>
          <w:p w14:paraId="6D38C2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检查内容</w:t>
            </w:r>
          </w:p>
        </w:tc>
      </w:tr>
      <w:tr w14:paraId="648C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43F33D0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p>
        </w:tc>
        <w:tc>
          <w:tcPr>
            <w:tcW w:w="709" w:type="dxa"/>
            <w:vMerge w:val="restart"/>
            <w:vAlign w:val="center"/>
          </w:tcPr>
          <w:p w14:paraId="0F07822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rPr>
              <w:t>《中华人民共和国政府采购法》第二十二条规定</w:t>
            </w:r>
          </w:p>
        </w:tc>
        <w:tc>
          <w:tcPr>
            <w:tcW w:w="3685" w:type="dxa"/>
            <w:vAlign w:val="center"/>
          </w:tcPr>
          <w:p w14:paraId="7CA784AA">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1.具有独立承担民事责任的能力</w:t>
            </w:r>
          </w:p>
        </w:tc>
        <w:tc>
          <w:tcPr>
            <w:tcW w:w="4558" w:type="dxa"/>
            <w:vAlign w:val="center"/>
          </w:tcPr>
          <w:p w14:paraId="721A0F5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3400B1E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2.供应商法定代表人身份证明和法定代表人授权代表委托书。 </w:t>
            </w:r>
          </w:p>
        </w:tc>
      </w:tr>
      <w:tr w14:paraId="1D4F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D3BE48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72906B77">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321413AF">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zh-CN"/>
              </w:rPr>
              <w:t>2.具有良好的商业信誉和健全的财务会计制度</w:t>
            </w:r>
          </w:p>
        </w:tc>
        <w:tc>
          <w:tcPr>
            <w:tcW w:w="4558" w:type="dxa"/>
            <w:vMerge w:val="restart"/>
            <w:vAlign w:val="center"/>
          </w:tcPr>
          <w:p w14:paraId="4CBD1CD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供应商提供“基本资格条件承诺函”（见格式文件）</w:t>
            </w:r>
          </w:p>
        </w:tc>
      </w:tr>
      <w:tr w14:paraId="0321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C00AD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5B58FD8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726EF15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3.具有履行合同所必需的设备和专业技术能力</w:t>
            </w:r>
          </w:p>
        </w:tc>
        <w:tc>
          <w:tcPr>
            <w:tcW w:w="4558" w:type="dxa"/>
            <w:vMerge w:val="continue"/>
            <w:vAlign w:val="center"/>
          </w:tcPr>
          <w:p w14:paraId="77E50B1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cs="Times New Roman"/>
                <w:bCs/>
                <w:color w:val="auto"/>
                <w:kern w:val="0"/>
                <w:sz w:val="24"/>
                <w:szCs w:val="24"/>
                <w:highlight w:val="none"/>
              </w:rPr>
            </w:pPr>
          </w:p>
        </w:tc>
      </w:tr>
      <w:tr w14:paraId="350A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76" w:type="dxa"/>
            <w:vMerge w:val="continue"/>
            <w:vAlign w:val="center"/>
          </w:tcPr>
          <w:p w14:paraId="5483F2D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1D1405C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551890F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lang w:val="zh-CN"/>
              </w:rPr>
              <w:t>4.有依法缴纳税收和社会保障金的良好记录</w:t>
            </w:r>
          </w:p>
        </w:tc>
        <w:tc>
          <w:tcPr>
            <w:tcW w:w="4558" w:type="dxa"/>
            <w:vMerge w:val="continue"/>
            <w:vAlign w:val="center"/>
          </w:tcPr>
          <w:p w14:paraId="1D5C791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Times New Roman" w:hAnsi="Times New Roman" w:eastAsia="仿宋" w:cs="Times New Roman"/>
                <w:bCs/>
                <w:color w:val="auto"/>
                <w:kern w:val="0"/>
                <w:sz w:val="24"/>
                <w:szCs w:val="24"/>
                <w:highlight w:val="none"/>
              </w:rPr>
            </w:pPr>
          </w:p>
        </w:tc>
      </w:tr>
      <w:tr w14:paraId="30C3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7C83A1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27E9EAD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6443BDF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r>
              <w:rPr>
                <w:rFonts w:hint="default" w:ascii="Times New Roman" w:hAnsi="Times New Roman" w:eastAsia="仿宋" w:cs="Times New Roman"/>
                <w:bCs/>
                <w:color w:val="auto"/>
                <w:sz w:val="24"/>
                <w:szCs w:val="24"/>
                <w:highlight w:val="none"/>
              </w:rPr>
              <w:t>5.参加政府采购活动前三年内，在经营活动中没有重大违法记录</w:t>
            </w:r>
          </w:p>
        </w:tc>
        <w:tc>
          <w:tcPr>
            <w:tcW w:w="4558" w:type="dxa"/>
            <w:vMerge w:val="continue"/>
            <w:vAlign w:val="center"/>
          </w:tcPr>
          <w:p w14:paraId="55E281F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p>
        </w:tc>
      </w:tr>
      <w:tr w14:paraId="44A5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D9C24D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p>
        </w:tc>
        <w:tc>
          <w:tcPr>
            <w:tcW w:w="709" w:type="dxa"/>
            <w:vMerge w:val="continue"/>
            <w:vAlign w:val="center"/>
          </w:tcPr>
          <w:p w14:paraId="27C6E9E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lang w:val="zh-CN"/>
              </w:rPr>
            </w:pPr>
          </w:p>
        </w:tc>
        <w:tc>
          <w:tcPr>
            <w:tcW w:w="3685" w:type="dxa"/>
            <w:vAlign w:val="center"/>
          </w:tcPr>
          <w:p w14:paraId="14C0E39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6.法律、行政法规规定的其他条件</w:t>
            </w:r>
          </w:p>
        </w:tc>
        <w:tc>
          <w:tcPr>
            <w:tcW w:w="4558" w:type="dxa"/>
            <w:vAlign w:val="center"/>
          </w:tcPr>
          <w:p w14:paraId="462B8751">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sz w:val="24"/>
                <w:szCs w:val="24"/>
                <w:highlight w:val="none"/>
              </w:rPr>
            </w:pPr>
          </w:p>
        </w:tc>
      </w:tr>
      <w:tr w14:paraId="19BC2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6" w:type="dxa"/>
            <w:vAlign w:val="center"/>
          </w:tcPr>
          <w:p w14:paraId="5E3AF8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w:t>
            </w:r>
          </w:p>
        </w:tc>
        <w:tc>
          <w:tcPr>
            <w:tcW w:w="4394" w:type="dxa"/>
            <w:gridSpan w:val="2"/>
            <w:vAlign w:val="center"/>
          </w:tcPr>
          <w:p w14:paraId="12C591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特定资格条件</w:t>
            </w:r>
          </w:p>
        </w:tc>
        <w:tc>
          <w:tcPr>
            <w:tcW w:w="4558" w:type="dxa"/>
            <w:vAlign w:val="center"/>
          </w:tcPr>
          <w:p w14:paraId="750FCB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val="en-US" w:eastAsia="zh-CN"/>
              </w:rPr>
              <w:t>按“第一篇 三、供应商资格要求（二）本项目的特定资格要求”的要求提交（如果有）。</w:t>
            </w:r>
          </w:p>
        </w:tc>
      </w:tr>
    </w:tbl>
    <w:p w14:paraId="529ADE08">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注：</w:t>
      </w:r>
    </w:p>
    <w:p w14:paraId="4C08199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①供应商按“多证合一”登记制度办理营业执照的，组织机构代码证、税务登记证（副本）和社会保险登记证以供应商所提供的营业执照（副本）复印件为准。</w:t>
      </w:r>
    </w:p>
    <w:p w14:paraId="27DFBFA9">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1E92668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2.符合性检查。依据询比采购文件的规定，从响应文件的有效性、完整性和对询比采购文件的响应程度进行审查，以确定是否对询比采购文件的实质性要求作出响应。符合性检查资料表如下：</w:t>
      </w:r>
    </w:p>
    <w:tbl>
      <w:tblPr>
        <w:tblStyle w:val="2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E72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2C9E1FB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序号</w:t>
            </w:r>
          </w:p>
        </w:tc>
        <w:tc>
          <w:tcPr>
            <w:tcW w:w="3544" w:type="dxa"/>
            <w:gridSpan w:val="2"/>
            <w:vAlign w:val="center"/>
          </w:tcPr>
          <w:p w14:paraId="3EE804C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评审因素</w:t>
            </w:r>
          </w:p>
        </w:tc>
        <w:tc>
          <w:tcPr>
            <w:tcW w:w="5409" w:type="dxa"/>
            <w:vAlign w:val="center"/>
          </w:tcPr>
          <w:p w14:paraId="07D830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评审标准</w:t>
            </w:r>
          </w:p>
        </w:tc>
      </w:tr>
      <w:tr w14:paraId="02D7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6AEA86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1</w:t>
            </w:r>
          </w:p>
        </w:tc>
        <w:tc>
          <w:tcPr>
            <w:tcW w:w="1560" w:type="dxa"/>
            <w:vMerge w:val="restart"/>
            <w:vAlign w:val="center"/>
          </w:tcPr>
          <w:p w14:paraId="174A1A58">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有效性审查</w:t>
            </w:r>
          </w:p>
        </w:tc>
        <w:tc>
          <w:tcPr>
            <w:tcW w:w="1984" w:type="dxa"/>
            <w:vAlign w:val="center"/>
          </w:tcPr>
          <w:p w14:paraId="0398FCF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响应文件签署或盖章</w:t>
            </w:r>
          </w:p>
        </w:tc>
        <w:tc>
          <w:tcPr>
            <w:tcW w:w="5409" w:type="dxa"/>
            <w:vAlign w:val="center"/>
          </w:tcPr>
          <w:p w14:paraId="46EF850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响应文件上法定代表人或其授权代表人的签字齐全。</w:t>
            </w:r>
          </w:p>
        </w:tc>
      </w:tr>
      <w:tr w14:paraId="6FCD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84A0E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0A5315F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p>
        </w:tc>
        <w:tc>
          <w:tcPr>
            <w:tcW w:w="1984" w:type="dxa"/>
            <w:vAlign w:val="center"/>
          </w:tcPr>
          <w:p w14:paraId="7971892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法定代表人身份证明及授权委托书</w:t>
            </w:r>
          </w:p>
        </w:tc>
        <w:tc>
          <w:tcPr>
            <w:tcW w:w="5409" w:type="dxa"/>
            <w:vAlign w:val="center"/>
          </w:tcPr>
          <w:p w14:paraId="6FAB2339">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rPr>
              <w:t>法定代表人身份证明、个体工商户营业执照有效的自然人身份证明及授权委托书有效，符合询比采购文件规定的格式，签字或盖章齐全。</w:t>
            </w:r>
          </w:p>
        </w:tc>
      </w:tr>
      <w:tr w14:paraId="20FA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188B9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29FB7F1B">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p>
        </w:tc>
        <w:tc>
          <w:tcPr>
            <w:tcW w:w="1984" w:type="dxa"/>
            <w:vAlign w:val="center"/>
          </w:tcPr>
          <w:p w14:paraId="1061AB3C">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r>
              <w:rPr>
                <w:rFonts w:hint="default" w:ascii="Times New Roman" w:hAnsi="Times New Roman" w:eastAsia="仿宋" w:cs="Times New Roman"/>
                <w:bCs/>
                <w:color w:val="auto"/>
                <w:sz w:val="24"/>
                <w:szCs w:val="24"/>
                <w:highlight w:val="none"/>
              </w:rPr>
              <w:t>响应</w:t>
            </w:r>
            <w:r>
              <w:rPr>
                <w:rFonts w:hint="default" w:ascii="Times New Roman" w:hAnsi="Times New Roman" w:eastAsia="仿宋" w:cs="Times New Roman"/>
                <w:bCs/>
                <w:color w:val="auto"/>
                <w:sz w:val="24"/>
                <w:szCs w:val="24"/>
                <w:highlight w:val="none"/>
                <w:lang w:val="zh-CN"/>
              </w:rPr>
              <w:t>方案</w:t>
            </w:r>
          </w:p>
        </w:tc>
        <w:tc>
          <w:tcPr>
            <w:tcW w:w="5409" w:type="dxa"/>
            <w:vAlign w:val="center"/>
          </w:tcPr>
          <w:p w14:paraId="5A5B9CA0">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lang w:val="zh-CN"/>
              </w:rPr>
              <w:t>只能有一个响应方案。</w:t>
            </w:r>
          </w:p>
        </w:tc>
      </w:tr>
      <w:tr w14:paraId="2100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49A47D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1F55850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p>
        </w:tc>
        <w:tc>
          <w:tcPr>
            <w:tcW w:w="1984" w:type="dxa"/>
            <w:vAlign w:val="center"/>
          </w:tcPr>
          <w:p w14:paraId="5C1F03B2">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r>
              <w:rPr>
                <w:rFonts w:hint="default" w:ascii="Times New Roman" w:hAnsi="Times New Roman" w:eastAsia="仿宋" w:cs="Times New Roman"/>
                <w:bCs/>
                <w:color w:val="auto"/>
                <w:sz w:val="24"/>
                <w:szCs w:val="24"/>
                <w:highlight w:val="none"/>
              </w:rPr>
              <w:t>报价唯一</w:t>
            </w:r>
          </w:p>
        </w:tc>
        <w:tc>
          <w:tcPr>
            <w:tcW w:w="5409" w:type="dxa"/>
            <w:vAlign w:val="center"/>
          </w:tcPr>
          <w:p w14:paraId="4CB917DD">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sz w:val="24"/>
                <w:szCs w:val="24"/>
                <w:highlight w:val="none"/>
                <w:lang w:val="zh-CN"/>
              </w:rPr>
              <w:t>只能在最高限价范围内报价，</w:t>
            </w:r>
            <w:r>
              <w:rPr>
                <w:rFonts w:hint="default" w:ascii="Times New Roman" w:hAnsi="Times New Roman" w:eastAsia="仿宋" w:cs="Times New Roman"/>
                <w:bCs/>
                <w:color w:val="auto"/>
                <w:sz w:val="24"/>
                <w:szCs w:val="24"/>
                <w:highlight w:val="none"/>
              </w:rPr>
              <w:t>只能有一个有效报价，不得提交选择性报价。</w:t>
            </w:r>
          </w:p>
        </w:tc>
      </w:tr>
      <w:tr w14:paraId="0FA2C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5F5515A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lang w:eastAsia="zh-CN"/>
              </w:rPr>
            </w:pPr>
            <w:r>
              <w:rPr>
                <w:rFonts w:hint="default" w:ascii="Times New Roman" w:hAnsi="Times New Roman" w:eastAsia="仿宋" w:cs="Times New Roman"/>
                <w:bCs/>
                <w:color w:val="auto"/>
                <w:kern w:val="0"/>
                <w:sz w:val="24"/>
                <w:szCs w:val="24"/>
                <w:highlight w:val="none"/>
                <w:lang w:val="en-US" w:eastAsia="zh-CN"/>
              </w:rPr>
              <w:t>2</w:t>
            </w:r>
          </w:p>
        </w:tc>
        <w:tc>
          <w:tcPr>
            <w:tcW w:w="1560" w:type="dxa"/>
            <w:vMerge w:val="restart"/>
            <w:vAlign w:val="center"/>
          </w:tcPr>
          <w:p w14:paraId="7A4C5B74">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r>
              <w:rPr>
                <w:rFonts w:hint="default" w:ascii="Times New Roman" w:hAnsi="Times New Roman" w:eastAsia="仿宋" w:cs="Times New Roman"/>
                <w:bCs/>
                <w:color w:val="auto"/>
                <w:kern w:val="0"/>
                <w:sz w:val="24"/>
                <w:szCs w:val="24"/>
                <w:highlight w:val="none"/>
              </w:rPr>
              <w:t>询比采购文件的响应程度审查</w:t>
            </w:r>
          </w:p>
        </w:tc>
        <w:tc>
          <w:tcPr>
            <w:tcW w:w="1984" w:type="dxa"/>
            <w:vAlign w:val="center"/>
          </w:tcPr>
          <w:p w14:paraId="1DAC961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响应文件内容</w:t>
            </w:r>
          </w:p>
        </w:tc>
        <w:tc>
          <w:tcPr>
            <w:tcW w:w="5409" w:type="dxa"/>
            <w:vAlign w:val="center"/>
          </w:tcPr>
          <w:p w14:paraId="58A2D63F">
            <w:pPr>
              <w:pStyle w:val="11"/>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对询比采购文件规定的询比采购内容作出响应。</w:t>
            </w:r>
          </w:p>
        </w:tc>
      </w:tr>
      <w:tr w14:paraId="690B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5FFF345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 w:cs="Times New Roman"/>
                <w:bCs/>
                <w:color w:val="auto"/>
                <w:kern w:val="0"/>
                <w:sz w:val="24"/>
                <w:szCs w:val="24"/>
                <w:highlight w:val="none"/>
              </w:rPr>
            </w:pPr>
          </w:p>
        </w:tc>
        <w:tc>
          <w:tcPr>
            <w:tcW w:w="1560" w:type="dxa"/>
            <w:vMerge w:val="continue"/>
            <w:vAlign w:val="center"/>
          </w:tcPr>
          <w:p w14:paraId="3B9BF53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lang w:val="zh-CN"/>
              </w:rPr>
            </w:pPr>
          </w:p>
        </w:tc>
        <w:tc>
          <w:tcPr>
            <w:tcW w:w="1984" w:type="dxa"/>
            <w:vAlign w:val="center"/>
          </w:tcPr>
          <w:p w14:paraId="04C6966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询比采购有效期</w:t>
            </w:r>
          </w:p>
        </w:tc>
        <w:tc>
          <w:tcPr>
            <w:tcW w:w="5409" w:type="dxa"/>
            <w:vAlign w:val="center"/>
          </w:tcPr>
          <w:p w14:paraId="08394F25">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 w:cs="Times New Roman"/>
                <w:bCs/>
                <w:color w:val="auto"/>
                <w:kern w:val="0"/>
                <w:sz w:val="24"/>
                <w:szCs w:val="24"/>
                <w:highlight w:val="none"/>
              </w:rPr>
            </w:pPr>
            <w:r>
              <w:rPr>
                <w:rFonts w:hint="default" w:ascii="Times New Roman" w:hAnsi="Times New Roman" w:eastAsia="仿宋" w:cs="Times New Roman"/>
                <w:bCs/>
                <w:color w:val="auto"/>
                <w:kern w:val="0"/>
                <w:sz w:val="24"/>
                <w:szCs w:val="24"/>
                <w:highlight w:val="none"/>
              </w:rPr>
              <w:t>满足询比采购文件</w:t>
            </w:r>
            <w:r>
              <w:rPr>
                <w:rFonts w:hint="default" w:ascii="Times New Roman" w:hAnsi="Times New Roman" w:eastAsia="仿宋" w:cs="Times New Roman"/>
                <w:bCs/>
                <w:color w:val="auto"/>
                <w:sz w:val="24"/>
                <w:szCs w:val="24"/>
                <w:highlight w:val="none"/>
                <w:lang w:val="zh-CN"/>
              </w:rPr>
              <w:t>规定。</w:t>
            </w:r>
          </w:p>
        </w:tc>
      </w:tr>
    </w:tbl>
    <w:p w14:paraId="5850E7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澄清有关问题。询比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905F3B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询比小组要求供应商澄清、说明或者更正响应文件应当以书面形式作出。供应商的澄清、说明或者更正应当由法定代表人或其授权代表人、个体工商户营业执照有效的自然人签字或者加盖公章。由授权代表签字的，应当附法定代表人授权书。供应商为自然人的，应当由本人签字并附身份证明。</w:t>
      </w:r>
    </w:p>
    <w:p w14:paraId="59B8986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（五）在询比采购过程中询比采购的任何一方不得向他人透露与询比采购有关的服务资料、价格或其他信息。</w:t>
      </w:r>
    </w:p>
    <w:p w14:paraId="49B1C26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在询比采购过程中，询比小组可以根据询比采购文件和询比采购情况实质性变动询比采购需求中的技术、商务要求以及合同草案条款，但不得变动询比采购文件中的其他内容。实质性变动的内容，须经采购人代表确认。对询比采购文件作出的实质性变动是询比采购文件的有效组成部分，询比小组应当及时以书面形式同时通知所有参加询比采购的供应商。</w:t>
      </w:r>
    </w:p>
    <w:p w14:paraId="29DFE8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（七）供应商在询比采购时作出的所有书面承诺须由法定代表人或其授权代表签字；供应商为自然人的，应当由本人签字。</w:t>
      </w:r>
    </w:p>
    <w:p w14:paraId="6BEB49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（八）询比小组采用综合评分法对供应商的响应文件（含有效书面承诺）进行综合评分。</w:t>
      </w:r>
      <w:r>
        <w:rPr>
          <w:rFonts w:hint="default" w:ascii="Times New Roman" w:hAnsi="Times New Roman" w:eastAsia="仿宋" w:cs="Times New Roman"/>
          <w:bCs/>
          <w:color w:val="auto"/>
          <w:kern w:val="0"/>
          <w:sz w:val="24"/>
          <w:szCs w:val="24"/>
          <w:highlight w:val="none"/>
        </w:rPr>
        <w:t>综合评分法，是指响应文件满足询比采购文件全部实质性要求且按照评审因素的量化指标评审得分最高的供应商为成交候选供应商的评审方法。供应商总得分为价格、技术、等评定因素分别按照相应权重值计算分项得分后相加，满分为100分</w:t>
      </w:r>
      <w:r>
        <w:rPr>
          <w:rFonts w:hint="default" w:ascii="Times New Roman" w:hAnsi="Times New Roman" w:eastAsia="仿宋" w:cs="Times New Roman"/>
          <w:bCs/>
          <w:color w:val="auto"/>
          <w:sz w:val="24"/>
          <w:szCs w:val="24"/>
          <w:highlight w:val="none"/>
        </w:rPr>
        <w:t>。</w:t>
      </w:r>
    </w:p>
    <w:p w14:paraId="2612027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（九）询比小组各成员独立对每个有效响应（通过资格性检查、</w:t>
      </w:r>
      <w:r>
        <w:rPr>
          <w:rFonts w:hint="default" w:ascii="Times New Roman" w:hAnsi="Times New Roman" w:eastAsia="仿宋" w:cs="Times New Roman"/>
          <w:bCs/>
          <w:color w:val="auto"/>
          <w:kern w:val="0"/>
          <w:sz w:val="24"/>
          <w:szCs w:val="24"/>
          <w:highlight w:val="none"/>
        </w:rPr>
        <w:t>符合性检查的供应商</w:t>
      </w:r>
      <w:r>
        <w:rPr>
          <w:rFonts w:hint="default" w:ascii="Times New Roman" w:hAnsi="Times New Roman" w:eastAsia="仿宋" w:cs="Times New Roman"/>
          <w:bCs/>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优劣顺序排列推荐。</w:t>
      </w:r>
    </w:p>
    <w:p w14:paraId="7ED3864E">
      <w:pPr>
        <w:spacing w:line="440" w:lineRule="exact"/>
        <w:outlineLvl w:val="2"/>
        <w:rPr>
          <w:rFonts w:hint="default" w:ascii="Times New Roman" w:hAnsi="Times New Roman" w:cs="Times New Roman"/>
          <w:b/>
          <w:bCs w:val="0"/>
          <w:color w:val="auto"/>
          <w:highlight w:val="none"/>
        </w:rPr>
      </w:pPr>
      <w:r>
        <w:rPr>
          <w:rFonts w:hint="default" w:ascii="Times New Roman" w:hAnsi="Times New Roman" w:eastAsia="仿宋" w:cs="Times New Roman"/>
          <w:b/>
          <w:bCs w:val="0"/>
          <w:color w:val="auto"/>
          <w:sz w:val="24"/>
          <w:szCs w:val="24"/>
          <w:highlight w:val="none"/>
        </w:rPr>
        <w:t>二、评审标准</w:t>
      </w:r>
    </w:p>
    <w:tbl>
      <w:tblPr>
        <w:tblStyle w:val="24"/>
        <w:tblW w:w="10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82"/>
        <w:gridCol w:w="864"/>
        <w:gridCol w:w="864"/>
        <w:gridCol w:w="4688"/>
        <w:gridCol w:w="2054"/>
      </w:tblGrid>
      <w:tr w14:paraId="7BEA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04789D8">
            <w:pPr>
              <w:spacing w:line="240" w:lineRule="atLeast"/>
              <w:ind w:firstLine="28"/>
              <w:jc w:val="center"/>
              <w:rPr>
                <w:rFonts w:hint="default" w:ascii="Times New Roman" w:hAnsi="Times New Roman" w:eastAsia="仿宋" w:cs="Times New Roman"/>
                <w:bCs/>
                <w:color w:val="auto"/>
                <w:sz w:val="24"/>
                <w:szCs w:val="24"/>
                <w:highlight w:val="none"/>
              </w:rPr>
            </w:pPr>
            <w:bookmarkStart w:id="147" w:name="_Toc102227320"/>
            <w:bookmarkStart w:id="148" w:name="_Toc342913394"/>
            <w:r>
              <w:rPr>
                <w:rFonts w:hint="default" w:ascii="Times New Roman" w:hAnsi="Times New Roman" w:eastAsia="仿宋" w:cs="Times New Roman"/>
                <w:bCs/>
                <w:color w:val="auto"/>
                <w:sz w:val="24"/>
                <w:szCs w:val="24"/>
                <w:highlight w:val="none"/>
              </w:rPr>
              <w:t>序号</w:t>
            </w:r>
          </w:p>
        </w:tc>
        <w:tc>
          <w:tcPr>
            <w:tcW w:w="1282" w:type="dxa"/>
            <w:tcBorders>
              <w:top w:val="single" w:color="auto" w:sz="4" w:space="0"/>
              <w:left w:val="single" w:color="auto" w:sz="4" w:space="0"/>
              <w:bottom w:val="single" w:color="auto" w:sz="4" w:space="0"/>
              <w:right w:val="single" w:color="auto" w:sz="4" w:space="0"/>
            </w:tcBorders>
            <w:vAlign w:val="center"/>
          </w:tcPr>
          <w:p w14:paraId="09D8DD5B">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评分因素</w:t>
            </w:r>
          </w:p>
          <w:p w14:paraId="358EA78F">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及权重</w:t>
            </w:r>
          </w:p>
        </w:tc>
        <w:tc>
          <w:tcPr>
            <w:tcW w:w="864" w:type="dxa"/>
            <w:tcBorders>
              <w:top w:val="single" w:color="auto" w:sz="4" w:space="0"/>
              <w:left w:val="single" w:color="auto" w:sz="4" w:space="0"/>
              <w:bottom w:val="single" w:color="auto" w:sz="4" w:space="0"/>
              <w:right w:val="single" w:color="auto" w:sz="4" w:space="0"/>
            </w:tcBorders>
            <w:vAlign w:val="center"/>
          </w:tcPr>
          <w:p w14:paraId="1C9E4553">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评分项目</w:t>
            </w:r>
          </w:p>
        </w:tc>
        <w:tc>
          <w:tcPr>
            <w:tcW w:w="864" w:type="dxa"/>
            <w:tcBorders>
              <w:top w:val="single" w:color="auto" w:sz="4" w:space="0"/>
              <w:left w:val="single" w:color="auto" w:sz="4" w:space="0"/>
              <w:bottom w:val="single" w:color="auto" w:sz="4" w:space="0"/>
              <w:right w:val="single" w:color="auto" w:sz="4" w:space="0"/>
            </w:tcBorders>
            <w:vAlign w:val="center"/>
          </w:tcPr>
          <w:p w14:paraId="4C0D1777">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分值</w:t>
            </w:r>
          </w:p>
        </w:tc>
        <w:tc>
          <w:tcPr>
            <w:tcW w:w="4688" w:type="dxa"/>
            <w:tcBorders>
              <w:top w:val="single" w:color="auto" w:sz="4" w:space="0"/>
              <w:left w:val="single" w:color="auto" w:sz="4" w:space="0"/>
              <w:bottom w:val="single" w:color="auto" w:sz="4" w:space="0"/>
              <w:right w:val="single" w:color="auto" w:sz="4" w:space="0"/>
            </w:tcBorders>
            <w:vAlign w:val="center"/>
          </w:tcPr>
          <w:p w14:paraId="29FD4D61">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评分标准</w:t>
            </w:r>
          </w:p>
        </w:tc>
        <w:tc>
          <w:tcPr>
            <w:tcW w:w="2054" w:type="dxa"/>
            <w:tcBorders>
              <w:top w:val="single" w:color="auto" w:sz="4" w:space="0"/>
              <w:left w:val="single" w:color="auto" w:sz="4" w:space="0"/>
              <w:bottom w:val="single" w:color="auto" w:sz="4" w:space="0"/>
              <w:right w:val="single" w:color="auto" w:sz="4" w:space="0"/>
            </w:tcBorders>
            <w:vAlign w:val="center"/>
          </w:tcPr>
          <w:p w14:paraId="728DFC7F">
            <w:pPr>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说明</w:t>
            </w:r>
          </w:p>
        </w:tc>
      </w:tr>
      <w:tr w14:paraId="5244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718" w:type="dxa"/>
            <w:tcBorders>
              <w:top w:val="single" w:color="auto" w:sz="4" w:space="0"/>
              <w:left w:val="single" w:color="auto" w:sz="4" w:space="0"/>
              <w:right w:val="single" w:color="auto" w:sz="4" w:space="0"/>
            </w:tcBorders>
            <w:vAlign w:val="center"/>
          </w:tcPr>
          <w:p w14:paraId="6FBCF5AB">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p>
        </w:tc>
        <w:tc>
          <w:tcPr>
            <w:tcW w:w="1282" w:type="dxa"/>
            <w:tcBorders>
              <w:top w:val="single" w:color="auto" w:sz="4" w:space="0"/>
              <w:left w:val="single" w:color="auto" w:sz="4" w:space="0"/>
              <w:right w:val="single" w:color="auto" w:sz="4" w:space="0"/>
            </w:tcBorders>
            <w:vAlign w:val="center"/>
          </w:tcPr>
          <w:p w14:paraId="7540BE78">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询比采购报价</w:t>
            </w:r>
          </w:p>
          <w:p w14:paraId="0A3CAA04">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（30%）</w:t>
            </w:r>
          </w:p>
        </w:tc>
        <w:tc>
          <w:tcPr>
            <w:tcW w:w="864" w:type="dxa"/>
            <w:tcBorders>
              <w:top w:val="single" w:color="auto" w:sz="4" w:space="0"/>
              <w:left w:val="single" w:color="auto" w:sz="4" w:space="0"/>
              <w:bottom w:val="single" w:color="auto" w:sz="4" w:space="0"/>
              <w:right w:val="single" w:color="auto" w:sz="4" w:space="0"/>
            </w:tcBorders>
            <w:vAlign w:val="center"/>
          </w:tcPr>
          <w:p w14:paraId="30311F41">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报价</w:t>
            </w:r>
          </w:p>
        </w:tc>
        <w:tc>
          <w:tcPr>
            <w:tcW w:w="864" w:type="dxa"/>
            <w:tcBorders>
              <w:top w:val="single" w:color="auto" w:sz="4" w:space="0"/>
              <w:left w:val="single" w:color="auto" w:sz="4" w:space="0"/>
              <w:bottom w:val="single" w:color="auto" w:sz="4" w:space="0"/>
              <w:right w:val="single" w:color="auto" w:sz="4" w:space="0"/>
            </w:tcBorders>
            <w:vAlign w:val="center"/>
          </w:tcPr>
          <w:p w14:paraId="37FEE9B0">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30分</w:t>
            </w:r>
          </w:p>
        </w:tc>
        <w:tc>
          <w:tcPr>
            <w:tcW w:w="4688" w:type="dxa"/>
            <w:tcBorders>
              <w:top w:val="single" w:color="auto" w:sz="4" w:space="0"/>
              <w:left w:val="single" w:color="auto" w:sz="4" w:space="0"/>
              <w:bottom w:val="single" w:color="auto" w:sz="4" w:space="0"/>
              <w:right w:val="single" w:color="auto" w:sz="4" w:space="0"/>
            </w:tcBorders>
            <w:vAlign w:val="center"/>
          </w:tcPr>
          <w:p w14:paraId="133D388F">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所有通过初步评审合格（满足资格性检查、符合性检查）供应商（询比报价高于最高限价的为无效报价）的询比报价中，以最低供应商报价为询比基准价，按照下列公式计算每个供应商的询比报价得分。</w:t>
            </w:r>
          </w:p>
          <w:p w14:paraId="5D1529E5">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询比报价得分=（询比基准价/询比报价）×评分因素权重×100。</w:t>
            </w:r>
          </w:p>
        </w:tc>
        <w:tc>
          <w:tcPr>
            <w:tcW w:w="2054" w:type="dxa"/>
            <w:tcBorders>
              <w:top w:val="single" w:color="auto" w:sz="4" w:space="0"/>
              <w:left w:val="single" w:color="auto" w:sz="4" w:space="0"/>
              <w:right w:val="single" w:color="auto" w:sz="4" w:space="0"/>
            </w:tcBorders>
            <w:vAlign w:val="center"/>
          </w:tcPr>
          <w:p w14:paraId="56AB4C54">
            <w:pPr>
              <w:spacing w:line="240" w:lineRule="atLeas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提供报价函</w:t>
            </w:r>
          </w:p>
        </w:tc>
      </w:tr>
      <w:tr w14:paraId="05B4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18" w:type="dxa"/>
            <w:vMerge w:val="restart"/>
            <w:tcBorders>
              <w:top w:val="single" w:color="auto" w:sz="4" w:space="0"/>
              <w:left w:val="single" w:color="auto" w:sz="4" w:space="0"/>
              <w:right w:val="single" w:color="auto" w:sz="4" w:space="0"/>
            </w:tcBorders>
            <w:vAlign w:val="center"/>
          </w:tcPr>
          <w:p w14:paraId="1EB7E1B4">
            <w:pPr>
              <w:spacing w:line="240" w:lineRule="atLeast"/>
              <w:ind w:firstLine="28"/>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w:t>
            </w:r>
          </w:p>
        </w:tc>
        <w:tc>
          <w:tcPr>
            <w:tcW w:w="1282" w:type="dxa"/>
            <w:vMerge w:val="restart"/>
            <w:tcBorders>
              <w:top w:val="single" w:color="auto" w:sz="4" w:space="0"/>
              <w:left w:val="single" w:color="auto" w:sz="4" w:space="0"/>
              <w:right w:val="single" w:color="auto" w:sz="4" w:space="0"/>
            </w:tcBorders>
            <w:vAlign w:val="center"/>
          </w:tcPr>
          <w:p w14:paraId="0D81BE10">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技术部分（</w:t>
            </w:r>
            <w:r>
              <w:rPr>
                <w:rFonts w:hint="default" w:ascii="Times New Roman" w:hAnsi="Times New Roman"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0%）</w:t>
            </w:r>
          </w:p>
        </w:tc>
        <w:tc>
          <w:tcPr>
            <w:tcW w:w="864" w:type="dxa"/>
            <w:vMerge w:val="restart"/>
            <w:tcBorders>
              <w:top w:val="single" w:color="auto" w:sz="4" w:space="0"/>
              <w:left w:val="single" w:color="auto" w:sz="4" w:space="0"/>
              <w:right w:val="single" w:color="auto" w:sz="4" w:space="0"/>
            </w:tcBorders>
            <w:vAlign w:val="center"/>
          </w:tcPr>
          <w:p w14:paraId="33C8591A">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eastAsia="zh-CN"/>
              </w:rPr>
              <w:t>技术</w:t>
            </w:r>
            <w:r>
              <w:rPr>
                <w:rFonts w:hint="default" w:ascii="Times New Roman" w:hAnsi="Times New Roman" w:eastAsia="仿宋" w:cs="Times New Roman"/>
                <w:bCs/>
                <w:color w:val="auto"/>
                <w:sz w:val="24"/>
                <w:szCs w:val="24"/>
                <w:highlight w:val="none"/>
              </w:rPr>
              <w:t xml:space="preserve">方案   </w:t>
            </w:r>
          </w:p>
        </w:tc>
        <w:tc>
          <w:tcPr>
            <w:tcW w:w="864" w:type="dxa"/>
            <w:vMerge w:val="restart"/>
            <w:tcBorders>
              <w:top w:val="single" w:color="auto" w:sz="4" w:space="0"/>
              <w:left w:val="single" w:color="auto" w:sz="4" w:space="0"/>
              <w:right w:val="single" w:color="auto" w:sz="4" w:space="0"/>
            </w:tcBorders>
            <w:vAlign w:val="center"/>
          </w:tcPr>
          <w:p w14:paraId="3E68A74C">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0分</w:t>
            </w:r>
          </w:p>
        </w:tc>
        <w:tc>
          <w:tcPr>
            <w:tcW w:w="4688" w:type="dxa"/>
            <w:tcBorders>
              <w:top w:val="single" w:color="auto" w:sz="4" w:space="0"/>
              <w:left w:val="single" w:color="auto" w:sz="4" w:space="0"/>
              <w:right w:val="single" w:color="auto" w:sz="4" w:space="0"/>
            </w:tcBorders>
            <w:vAlign w:val="center"/>
          </w:tcPr>
          <w:p w14:paraId="09FBCFEB">
            <w:pPr>
              <w:spacing w:line="240" w:lineRule="atLeast"/>
              <w:ind w:firstLine="28"/>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项目人员配备、分工、岗位职责及制度</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15分</w:t>
            </w:r>
            <w:r>
              <w:rPr>
                <w:rFonts w:hint="eastAsia" w:ascii="仿宋" w:hAnsi="仿宋" w:eastAsia="仿宋" w:cs="仿宋"/>
                <w:bCs/>
                <w:color w:val="auto"/>
                <w:sz w:val="24"/>
                <w:szCs w:val="24"/>
                <w:highlight w:val="none"/>
                <w:lang w:eastAsia="zh-CN"/>
              </w:rPr>
              <w:t>）</w:t>
            </w:r>
          </w:p>
          <w:p w14:paraId="7904AB3C">
            <w:pPr>
              <w:spacing w:line="240" w:lineRule="atLeast"/>
              <w:ind w:firstLine="28"/>
              <w:jc w:val="left"/>
              <w:rPr>
                <w:rFonts w:hint="default" w:ascii="Times New Roman" w:hAnsi="Times New Roman" w:eastAsia="仿宋" w:cs="Times New Roman"/>
                <w:bCs/>
                <w:color w:val="auto"/>
                <w:sz w:val="24"/>
                <w:szCs w:val="24"/>
                <w:highlight w:val="none"/>
              </w:rPr>
            </w:pPr>
            <w:r>
              <w:rPr>
                <w:rFonts w:hint="eastAsia" w:ascii="仿宋" w:hAnsi="仿宋" w:eastAsia="仿宋" w:cs="仿宋"/>
                <w:bCs/>
                <w:color w:val="auto"/>
                <w:sz w:val="24"/>
                <w:szCs w:val="24"/>
                <w:highlight w:val="none"/>
                <w:lang w:val="en-US" w:eastAsia="zh-CN"/>
              </w:rPr>
              <w:t>供应商结合项目情况，合理配置人员，明确岗位职责及相关制度，通过合理、可靠等方面综合评审。方案详实、具体、可行得15分，方案较详实、具体、可行得11分，方案不够详实、具体，但具有一定可行性得7分，方案不具可行性、简单马虎得3分，未提供得0分。</w:t>
            </w:r>
          </w:p>
        </w:tc>
        <w:tc>
          <w:tcPr>
            <w:tcW w:w="2054" w:type="dxa"/>
            <w:vMerge w:val="restart"/>
            <w:tcBorders>
              <w:top w:val="single" w:color="auto" w:sz="4" w:space="0"/>
              <w:left w:val="single" w:color="auto" w:sz="4" w:space="0"/>
              <w:right w:val="single" w:color="auto" w:sz="4" w:space="0"/>
            </w:tcBorders>
            <w:vAlign w:val="center"/>
          </w:tcPr>
          <w:p w14:paraId="0A852E5D">
            <w:pPr>
              <w:pStyle w:val="2"/>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技术评分部分，询</w:t>
            </w:r>
            <w:r>
              <w:rPr>
                <w:rFonts w:hint="default" w:ascii="Times New Roman" w:hAnsi="Times New Roman" w:eastAsia="仿宋" w:cs="Times New Roman"/>
                <w:bCs/>
                <w:color w:val="auto"/>
                <w:sz w:val="24"/>
                <w:szCs w:val="24"/>
                <w:highlight w:val="none"/>
                <w:lang w:eastAsia="zh-CN"/>
              </w:rPr>
              <w:t>比</w:t>
            </w:r>
            <w:r>
              <w:rPr>
                <w:rFonts w:hint="default" w:ascii="Times New Roman" w:hAnsi="Times New Roman" w:eastAsia="仿宋" w:cs="Times New Roman"/>
                <w:bCs/>
                <w:color w:val="auto"/>
                <w:sz w:val="24"/>
                <w:szCs w:val="24"/>
                <w:highlight w:val="none"/>
              </w:rPr>
              <w:t>小组独立评审打分。取算术平均值。</w:t>
            </w:r>
          </w:p>
        </w:tc>
      </w:tr>
      <w:tr w14:paraId="1175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2" w:hRule="atLeast"/>
          <w:jc w:val="center"/>
        </w:trPr>
        <w:tc>
          <w:tcPr>
            <w:tcW w:w="718" w:type="dxa"/>
            <w:vMerge w:val="continue"/>
            <w:tcBorders>
              <w:left w:val="single" w:color="auto" w:sz="4" w:space="0"/>
              <w:right w:val="single" w:color="auto" w:sz="4" w:space="0"/>
            </w:tcBorders>
            <w:vAlign w:val="center"/>
          </w:tcPr>
          <w:p w14:paraId="6BFD0662">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38B71390">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26319A58">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2DB1C6A7">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0D7F7FD4">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施工方案与技术措施（</w:t>
            </w:r>
            <w:r>
              <w:rPr>
                <w:rFonts w:hint="eastAsia" w:eastAsia="仿宋" w:cs="Times New Roman"/>
                <w:bCs/>
                <w:color w:val="auto"/>
                <w:sz w:val="24"/>
                <w:szCs w:val="24"/>
                <w:highlight w:val="none"/>
                <w:lang w:val="en-US" w:eastAsia="zh-CN"/>
              </w:rPr>
              <w:t>15</w:t>
            </w:r>
            <w:r>
              <w:rPr>
                <w:rFonts w:hint="default" w:ascii="Times New Roman" w:hAnsi="Times New Roman" w:eastAsia="仿宋" w:cs="Times New Roman"/>
                <w:bCs/>
                <w:color w:val="auto"/>
                <w:sz w:val="24"/>
                <w:szCs w:val="24"/>
                <w:highlight w:val="none"/>
              </w:rPr>
              <w:t xml:space="preserve">分）   </w:t>
            </w:r>
          </w:p>
          <w:p w14:paraId="6BD3671B">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供应商自行踏勘现场，结合现场条件特点，有针对性的编制施工方案，要求施工总体布置合理，图示清晰、相互干扰小，满足施工条件要求。所采用的施工方案、程序和措施，既要保证工程质量和安全，又能减少干扰加快施工进度等方面综合评审</w:t>
            </w:r>
            <w:r>
              <w:rPr>
                <w:rFonts w:hint="eastAsia" w:eastAsia="仿宋" w:cs="Times New Roman"/>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方案详实、具体、可行得15分，方案较详实、具体、可行得11分，方案不够详实、具体，但具有一定可行性得7分，方案不具可行性、简单马虎得3分，未提供得0分。</w:t>
            </w:r>
          </w:p>
        </w:tc>
        <w:tc>
          <w:tcPr>
            <w:tcW w:w="2054" w:type="dxa"/>
            <w:vMerge w:val="continue"/>
            <w:tcBorders>
              <w:left w:val="single" w:color="auto" w:sz="4" w:space="0"/>
              <w:right w:val="single" w:color="auto" w:sz="4" w:space="0"/>
            </w:tcBorders>
            <w:vAlign w:val="center"/>
          </w:tcPr>
          <w:p w14:paraId="670CF62A">
            <w:pPr>
              <w:pStyle w:val="2"/>
              <w:rPr>
                <w:rFonts w:hint="default" w:ascii="Times New Roman" w:hAnsi="Times New Roman" w:cs="Times New Roman"/>
                <w:color w:val="auto"/>
                <w:highlight w:val="none"/>
              </w:rPr>
            </w:pPr>
          </w:p>
        </w:tc>
      </w:tr>
      <w:tr w14:paraId="3A37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718" w:type="dxa"/>
            <w:vMerge w:val="continue"/>
            <w:tcBorders>
              <w:left w:val="single" w:color="auto" w:sz="4" w:space="0"/>
              <w:right w:val="single" w:color="auto" w:sz="4" w:space="0"/>
            </w:tcBorders>
            <w:vAlign w:val="center"/>
          </w:tcPr>
          <w:p w14:paraId="0CF4298E">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0DAAF2A3">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3CD10517">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5C0BBF5B">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797454F3">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质量管理体系与措施（1</w:t>
            </w:r>
            <w:r>
              <w:rPr>
                <w:rFonts w:hint="eastAsia"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rPr>
              <w:t>分）</w:t>
            </w:r>
          </w:p>
          <w:p w14:paraId="174D5E4C">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质量管理体系是否健全有效，硬性措施是否切实可行，限期工程的赶工措施是否可行。保证措施具有针对性，材料的质量保证措施满足</w:t>
            </w:r>
            <w:r>
              <w:rPr>
                <w:rFonts w:hint="default" w:ascii="Times New Roman" w:hAnsi="Times New Roman" w:eastAsia="仿宋" w:cs="Times New Roman"/>
                <w:bCs/>
                <w:color w:val="auto"/>
                <w:sz w:val="24"/>
                <w:szCs w:val="24"/>
                <w:highlight w:val="none"/>
                <w:lang w:eastAsia="zh-CN"/>
              </w:rPr>
              <w:t>询比</w:t>
            </w:r>
            <w:r>
              <w:rPr>
                <w:rFonts w:hint="default" w:ascii="Times New Roman" w:hAnsi="Times New Roman" w:eastAsia="仿宋" w:cs="Times New Roman"/>
                <w:bCs/>
                <w:color w:val="auto"/>
                <w:sz w:val="24"/>
                <w:szCs w:val="24"/>
                <w:highlight w:val="none"/>
              </w:rPr>
              <w:t>文件所要求的工程质量要求。</w:t>
            </w:r>
            <w:r>
              <w:rPr>
                <w:rFonts w:hint="eastAsia" w:ascii="仿宋" w:hAnsi="仿宋" w:eastAsia="仿宋" w:cs="仿宋"/>
                <w:bCs/>
                <w:color w:val="auto"/>
                <w:sz w:val="24"/>
                <w:szCs w:val="24"/>
                <w:highlight w:val="none"/>
                <w:lang w:val="en-US" w:eastAsia="zh-CN"/>
              </w:rPr>
              <w:t>方案详实、具体、可行得15分，方案较详实、具体、可行得11分，方案不够详实、具体，但具有一定可行性得7分，方案不具可行性、简单马虎得3分，未提供得0分。</w:t>
            </w:r>
          </w:p>
        </w:tc>
        <w:tc>
          <w:tcPr>
            <w:tcW w:w="2054" w:type="dxa"/>
            <w:vMerge w:val="continue"/>
            <w:tcBorders>
              <w:left w:val="single" w:color="auto" w:sz="4" w:space="0"/>
              <w:right w:val="single" w:color="auto" w:sz="4" w:space="0"/>
            </w:tcBorders>
            <w:vAlign w:val="center"/>
          </w:tcPr>
          <w:p w14:paraId="1F76134A">
            <w:pPr>
              <w:pStyle w:val="2"/>
              <w:rPr>
                <w:rFonts w:hint="default" w:ascii="Times New Roman" w:hAnsi="Times New Roman" w:eastAsia="仿宋" w:cs="Times New Roman"/>
                <w:bCs/>
                <w:color w:val="auto"/>
                <w:sz w:val="24"/>
                <w:szCs w:val="24"/>
                <w:highlight w:val="none"/>
              </w:rPr>
            </w:pPr>
          </w:p>
        </w:tc>
      </w:tr>
      <w:tr w14:paraId="4FD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jc w:val="center"/>
        </w:trPr>
        <w:tc>
          <w:tcPr>
            <w:tcW w:w="718" w:type="dxa"/>
            <w:vMerge w:val="continue"/>
            <w:tcBorders>
              <w:left w:val="single" w:color="auto" w:sz="4" w:space="0"/>
              <w:right w:val="single" w:color="auto" w:sz="4" w:space="0"/>
            </w:tcBorders>
            <w:vAlign w:val="center"/>
          </w:tcPr>
          <w:p w14:paraId="6A357495">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4200F0E6">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1B0BE168">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1A51D0B5">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46080391">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安全和环境保护管理体系与措施（1</w:t>
            </w:r>
            <w:r>
              <w:rPr>
                <w:rFonts w:hint="eastAsia" w:eastAsia="仿宋" w:cs="Times New Roman"/>
                <w:bCs/>
                <w:color w:val="auto"/>
                <w:sz w:val="24"/>
                <w:szCs w:val="24"/>
                <w:highlight w:val="none"/>
                <w:lang w:val="en-US" w:eastAsia="zh-CN"/>
              </w:rPr>
              <w:t>5</w:t>
            </w:r>
            <w:r>
              <w:rPr>
                <w:rFonts w:hint="default" w:ascii="Times New Roman" w:hAnsi="Times New Roman" w:eastAsia="仿宋" w:cs="Times New Roman"/>
                <w:bCs/>
                <w:color w:val="auto"/>
                <w:sz w:val="24"/>
                <w:szCs w:val="24"/>
                <w:highlight w:val="none"/>
              </w:rPr>
              <w:t>分）</w:t>
            </w:r>
          </w:p>
          <w:p w14:paraId="5C8B5D27">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安全管理体系健全有效，施工安全专项方案及安全管理保证措施具有针对性、文明施工和防止扰民措施是否得当等。</w:t>
            </w:r>
            <w:r>
              <w:rPr>
                <w:rFonts w:hint="eastAsia" w:ascii="仿宋" w:hAnsi="仿宋" w:eastAsia="仿宋" w:cs="仿宋"/>
                <w:bCs/>
                <w:color w:val="auto"/>
                <w:sz w:val="24"/>
                <w:szCs w:val="24"/>
                <w:highlight w:val="none"/>
                <w:lang w:val="en-US" w:eastAsia="zh-CN"/>
              </w:rPr>
              <w:t>方案详实、具体、可行得15分，方案较详实、具体、可行得11分，方案不够详实、具体，但具有一定可行性得7分，方案不具可行性、简单马虎得3分，未提供得0分。</w:t>
            </w:r>
          </w:p>
        </w:tc>
        <w:tc>
          <w:tcPr>
            <w:tcW w:w="2054" w:type="dxa"/>
            <w:vMerge w:val="continue"/>
            <w:tcBorders>
              <w:left w:val="single" w:color="auto" w:sz="4" w:space="0"/>
              <w:right w:val="single" w:color="auto" w:sz="4" w:space="0"/>
            </w:tcBorders>
            <w:vAlign w:val="center"/>
          </w:tcPr>
          <w:p w14:paraId="517B7A0D">
            <w:pPr>
              <w:pStyle w:val="2"/>
              <w:rPr>
                <w:rFonts w:hint="default" w:ascii="Times New Roman" w:hAnsi="Times New Roman" w:eastAsia="仿宋" w:cs="Times New Roman"/>
                <w:bCs/>
                <w:color w:val="auto"/>
                <w:sz w:val="24"/>
                <w:szCs w:val="24"/>
                <w:highlight w:val="none"/>
              </w:rPr>
            </w:pPr>
          </w:p>
        </w:tc>
      </w:tr>
      <w:tr w14:paraId="754E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jc w:val="center"/>
        </w:trPr>
        <w:tc>
          <w:tcPr>
            <w:tcW w:w="718" w:type="dxa"/>
            <w:vMerge w:val="continue"/>
            <w:tcBorders>
              <w:left w:val="single" w:color="auto" w:sz="4" w:space="0"/>
              <w:right w:val="single" w:color="auto" w:sz="4" w:space="0"/>
            </w:tcBorders>
            <w:vAlign w:val="center"/>
          </w:tcPr>
          <w:p w14:paraId="08310DBD">
            <w:pPr>
              <w:spacing w:line="240" w:lineRule="atLeast"/>
              <w:ind w:firstLine="28"/>
              <w:jc w:val="center"/>
              <w:rPr>
                <w:rFonts w:hint="default" w:ascii="Times New Roman" w:hAnsi="Times New Roman" w:eastAsia="仿宋" w:cs="Times New Roman"/>
                <w:bCs/>
                <w:color w:val="auto"/>
                <w:sz w:val="24"/>
                <w:szCs w:val="24"/>
                <w:highlight w:val="none"/>
              </w:rPr>
            </w:pPr>
          </w:p>
        </w:tc>
        <w:tc>
          <w:tcPr>
            <w:tcW w:w="1282" w:type="dxa"/>
            <w:vMerge w:val="continue"/>
            <w:tcBorders>
              <w:left w:val="single" w:color="auto" w:sz="4" w:space="0"/>
              <w:right w:val="single" w:color="auto" w:sz="4" w:space="0"/>
            </w:tcBorders>
            <w:vAlign w:val="center"/>
          </w:tcPr>
          <w:p w14:paraId="2733F376">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0B88359E">
            <w:pPr>
              <w:spacing w:line="240" w:lineRule="atLeast"/>
              <w:ind w:firstLine="28"/>
              <w:jc w:val="left"/>
              <w:rPr>
                <w:rFonts w:hint="default" w:ascii="Times New Roman" w:hAnsi="Times New Roman" w:eastAsia="仿宋" w:cs="Times New Roman"/>
                <w:bCs/>
                <w:color w:val="auto"/>
                <w:sz w:val="24"/>
                <w:szCs w:val="24"/>
                <w:highlight w:val="none"/>
              </w:rPr>
            </w:pPr>
          </w:p>
        </w:tc>
        <w:tc>
          <w:tcPr>
            <w:tcW w:w="864" w:type="dxa"/>
            <w:vMerge w:val="continue"/>
            <w:tcBorders>
              <w:left w:val="single" w:color="auto" w:sz="4" w:space="0"/>
              <w:right w:val="single" w:color="auto" w:sz="4" w:space="0"/>
            </w:tcBorders>
            <w:vAlign w:val="center"/>
          </w:tcPr>
          <w:p w14:paraId="0225EA98">
            <w:pPr>
              <w:spacing w:line="240" w:lineRule="atLeast"/>
              <w:ind w:firstLine="28"/>
              <w:jc w:val="left"/>
              <w:rPr>
                <w:rFonts w:hint="default" w:ascii="Times New Roman" w:hAnsi="Times New Roman" w:eastAsia="仿宋" w:cs="Times New Roman"/>
                <w:bCs/>
                <w:color w:val="auto"/>
                <w:sz w:val="24"/>
                <w:szCs w:val="24"/>
                <w:highlight w:val="none"/>
              </w:rPr>
            </w:pPr>
          </w:p>
        </w:tc>
        <w:tc>
          <w:tcPr>
            <w:tcW w:w="4688" w:type="dxa"/>
            <w:tcBorders>
              <w:top w:val="single" w:color="auto" w:sz="4" w:space="0"/>
              <w:left w:val="single" w:color="auto" w:sz="4" w:space="0"/>
              <w:right w:val="single" w:color="auto" w:sz="4" w:space="0"/>
            </w:tcBorders>
            <w:vAlign w:val="center"/>
          </w:tcPr>
          <w:p w14:paraId="691B6B97">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工程进度计划与措施（1</w:t>
            </w:r>
            <w:r>
              <w:rPr>
                <w:rFonts w:hint="eastAsia" w:eastAsia="仿宋" w:cs="Times New Roman"/>
                <w:bCs/>
                <w:color w:val="auto"/>
                <w:sz w:val="24"/>
                <w:szCs w:val="24"/>
                <w:highlight w:val="none"/>
                <w:lang w:val="en-US" w:eastAsia="zh-CN"/>
              </w:rPr>
              <w:t>0</w:t>
            </w:r>
            <w:r>
              <w:rPr>
                <w:rFonts w:hint="default" w:ascii="Times New Roman" w:hAnsi="Times New Roman" w:eastAsia="仿宋" w:cs="Times New Roman"/>
                <w:bCs/>
                <w:color w:val="auto"/>
                <w:sz w:val="24"/>
                <w:szCs w:val="24"/>
                <w:highlight w:val="none"/>
              </w:rPr>
              <w:t>分）</w:t>
            </w:r>
          </w:p>
          <w:p w14:paraId="54F51C94">
            <w:pPr>
              <w:spacing w:line="240" w:lineRule="atLeast"/>
              <w:ind w:firstLine="28"/>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进度安排满足项目进度要求，关键线路进度安排可行、合理，实现进度安排的保证措施可行，工期安排合理可行，在确保质量、降低成本、缩短工期、减轻劳动强度、提高工效等方面发挥好作用得10分；发挥</w:t>
            </w:r>
            <w:r>
              <w:rPr>
                <w:rFonts w:hint="eastAsia" w:eastAsia="仿宋" w:cs="Times New Roman"/>
                <w:bCs/>
                <w:color w:val="auto"/>
                <w:sz w:val="24"/>
                <w:szCs w:val="24"/>
                <w:highlight w:val="none"/>
                <w:lang w:eastAsia="zh-CN"/>
              </w:rPr>
              <w:t>较</w:t>
            </w:r>
            <w:r>
              <w:rPr>
                <w:rFonts w:hint="default" w:ascii="Times New Roman" w:hAnsi="Times New Roman" w:eastAsia="仿宋" w:cs="Times New Roman"/>
                <w:bCs/>
                <w:color w:val="auto"/>
                <w:sz w:val="24"/>
                <w:szCs w:val="24"/>
                <w:highlight w:val="none"/>
              </w:rPr>
              <w:t>好作用得</w:t>
            </w:r>
            <w:r>
              <w:rPr>
                <w:rFonts w:hint="default" w:ascii="Times New Roman" w:hAnsi="Times New Roman" w:eastAsia="仿宋" w:cs="Times New Roman"/>
                <w:bCs/>
                <w:color w:val="auto"/>
                <w:sz w:val="24"/>
                <w:szCs w:val="24"/>
                <w:highlight w:val="none"/>
                <w:lang w:val="en-US" w:eastAsia="zh-CN"/>
              </w:rPr>
              <w:t>7</w:t>
            </w:r>
            <w:r>
              <w:rPr>
                <w:rFonts w:hint="default" w:ascii="Times New Roman" w:hAnsi="Times New Roman" w:eastAsia="仿宋" w:cs="Times New Roman"/>
                <w:bCs/>
                <w:color w:val="auto"/>
                <w:sz w:val="24"/>
                <w:szCs w:val="24"/>
                <w:highlight w:val="none"/>
              </w:rPr>
              <w:t>分；发挥作用一般得4分；进度安排欠妥，措施不力得</w:t>
            </w:r>
            <w:r>
              <w:rPr>
                <w:rFonts w:hint="eastAsia" w:eastAsia="仿宋" w:cs="Times New Roman"/>
                <w:bCs/>
                <w:color w:val="auto"/>
                <w:sz w:val="24"/>
                <w:szCs w:val="24"/>
                <w:highlight w:val="none"/>
                <w:lang w:val="en-US" w:eastAsia="zh-CN"/>
              </w:rPr>
              <w:t>1</w:t>
            </w:r>
            <w:r>
              <w:rPr>
                <w:rFonts w:hint="default" w:ascii="Times New Roman" w:hAnsi="Times New Roman" w:eastAsia="仿宋" w:cs="Times New Roman"/>
                <w:bCs/>
                <w:color w:val="auto"/>
                <w:sz w:val="24"/>
                <w:szCs w:val="24"/>
                <w:highlight w:val="none"/>
              </w:rPr>
              <w:t>分</w:t>
            </w:r>
            <w:r>
              <w:rPr>
                <w:rFonts w:hint="eastAsia" w:eastAsia="仿宋" w:cs="Times New Roman"/>
                <w:bCs/>
                <w:color w:val="auto"/>
                <w:sz w:val="24"/>
                <w:szCs w:val="24"/>
                <w:highlight w:val="none"/>
                <w:lang w:eastAsia="zh-CN"/>
              </w:rPr>
              <w:t>，未提供得</w:t>
            </w:r>
            <w:r>
              <w:rPr>
                <w:rFonts w:hint="eastAsia" w:eastAsia="仿宋" w:cs="Times New Roman"/>
                <w:bCs/>
                <w:color w:val="auto"/>
                <w:sz w:val="24"/>
                <w:szCs w:val="24"/>
                <w:highlight w:val="none"/>
                <w:lang w:val="en-US" w:eastAsia="zh-CN"/>
              </w:rPr>
              <w:t>0分</w:t>
            </w:r>
            <w:r>
              <w:rPr>
                <w:rFonts w:hint="default" w:ascii="Times New Roman" w:hAnsi="Times New Roman" w:eastAsia="仿宋" w:cs="Times New Roman"/>
                <w:bCs/>
                <w:color w:val="auto"/>
                <w:sz w:val="24"/>
                <w:szCs w:val="24"/>
                <w:highlight w:val="none"/>
              </w:rPr>
              <w:t>。</w:t>
            </w:r>
          </w:p>
        </w:tc>
        <w:tc>
          <w:tcPr>
            <w:tcW w:w="2054" w:type="dxa"/>
            <w:vMerge w:val="continue"/>
            <w:tcBorders>
              <w:left w:val="single" w:color="auto" w:sz="4" w:space="0"/>
              <w:right w:val="single" w:color="auto" w:sz="4" w:space="0"/>
            </w:tcBorders>
            <w:vAlign w:val="center"/>
          </w:tcPr>
          <w:p w14:paraId="2BDF7C6A">
            <w:pPr>
              <w:pStyle w:val="2"/>
              <w:rPr>
                <w:rFonts w:hint="default" w:ascii="Times New Roman" w:hAnsi="Times New Roman" w:eastAsia="仿宋" w:cs="Times New Roman"/>
                <w:bCs/>
                <w:color w:val="auto"/>
                <w:sz w:val="24"/>
                <w:szCs w:val="24"/>
                <w:highlight w:val="none"/>
              </w:rPr>
            </w:pPr>
          </w:p>
        </w:tc>
      </w:tr>
    </w:tbl>
    <w:p w14:paraId="1EFDE821">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lang w:eastAsia="zh-CN"/>
        </w:rPr>
        <w:t>注</w:t>
      </w:r>
      <w:r>
        <w:rPr>
          <w:rFonts w:hint="default" w:ascii="Times New Roman" w:hAnsi="Times New Roman"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关于小微企业报价扣除比例说明</w:t>
      </w:r>
    </w:p>
    <w:p w14:paraId="2259760D">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1.根据《政府采购促进中小企业发展管理办法》（财库〔2020〕46号）规定给予符合本办法规定小微企业报价给予</w:t>
      </w:r>
      <w:r>
        <w:rPr>
          <w:rFonts w:hint="eastAsia" w:eastAsia="仿宋" w:cs="Times New Roman"/>
          <w:bCs/>
          <w:color w:val="auto"/>
          <w:sz w:val="24"/>
          <w:szCs w:val="24"/>
          <w:highlight w:val="none"/>
          <w:lang w:val="en-US" w:eastAsia="zh-CN"/>
        </w:rPr>
        <w:t>3</w:t>
      </w:r>
      <w:r>
        <w:rPr>
          <w:rFonts w:hint="default" w:ascii="Times New Roman" w:hAnsi="Times New Roman" w:eastAsia="仿宋" w:cs="Times New Roman"/>
          <w:bCs/>
          <w:color w:val="auto"/>
          <w:sz w:val="24"/>
          <w:szCs w:val="24"/>
          <w:highlight w:val="none"/>
        </w:rPr>
        <w:t>%的扣除，用扣除后的价格参与评审。</w:t>
      </w:r>
    </w:p>
    <w:p w14:paraId="09AF1993">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 w:val="0"/>
          <w:bCs/>
          <w:color w:val="auto"/>
          <w:kern w:val="2"/>
          <w:sz w:val="24"/>
          <w:szCs w:val="24"/>
          <w:highlight w:val="none"/>
          <w:lang w:val="en-US" w:eastAsia="zh-CN" w:bidi="ar-SA"/>
        </w:rPr>
      </w:pPr>
      <w:r>
        <w:rPr>
          <w:rFonts w:hint="default" w:ascii="Times New Roman" w:hAnsi="Times New Roman" w:eastAsia="仿宋" w:cs="Times New Roman"/>
          <w:bCs/>
          <w:color w:val="auto"/>
          <w:sz w:val="24"/>
          <w:szCs w:val="24"/>
          <w:highlight w:val="none"/>
        </w:rPr>
        <w:t>2.</w:t>
      </w:r>
      <w:r>
        <w:rPr>
          <w:rFonts w:hint="default" w:ascii="Times New Roman" w:hAnsi="Times New Roman" w:eastAsia="仿宋" w:cs="Times New Roman"/>
          <w:b w:val="0"/>
          <w:bCs/>
          <w:color w:val="auto"/>
          <w:kern w:val="2"/>
          <w:sz w:val="24"/>
          <w:szCs w:val="24"/>
          <w:highlight w:val="none"/>
          <w:lang w:val="en-US" w:eastAsia="zh-CN" w:bidi="ar-SA"/>
        </w:rPr>
        <w:t>监狱企业、残疾人福利性单位视同小型、微型企业。</w:t>
      </w:r>
    </w:p>
    <w:p w14:paraId="2025779C">
      <w:pPr>
        <w:keepNext w:val="0"/>
        <w:keepLines w:val="0"/>
        <w:pageBreakBefore w:val="0"/>
        <w:widowControl w:val="0"/>
        <w:kinsoku/>
        <w:wordWrap/>
        <w:overflowPunct/>
        <w:topLinePunct w:val="0"/>
        <w:autoSpaceDE/>
        <w:autoSpaceDN/>
        <w:bidi w:val="0"/>
        <w:adjustRightInd/>
        <w:spacing w:line="500" w:lineRule="exact"/>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三、响应无效</w:t>
      </w:r>
    </w:p>
    <w:p w14:paraId="248B0FB6">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供应商发生以下条款情况之一者，视为响应无效，其响应文件将被拒绝：</w:t>
      </w:r>
    </w:p>
    <w:p w14:paraId="7E97D5FA">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（一）供应商不符合规定的基本资格条件或特定资格条件的；</w:t>
      </w:r>
    </w:p>
    <w:p w14:paraId="78AB491E">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（二）供应商的法定代表人或其授权代表、个体工商户营业执照有效的自然人未在规定时间上传响应文件；</w:t>
      </w:r>
    </w:p>
    <w:p w14:paraId="7B15EFE3">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（三）供应商所提交的响应文件不按第七篇“响应文件编制要求”规定签字、盖章；</w:t>
      </w:r>
    </w:p>
    <w:p w14:paraId="292752C1">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（四）供应商的最后报价超过询比采购预算或最高限价的；</w:t>
      </w:r>
    </w:p>
    <w:p w14:paraId="6360EA64">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（五）法定代表人为同一个人的两个及两个以上法人，母公司、全资子公司及其控股公司，在同一分包采购中同时参与询比采购；</w:t>
      </w:r>
    </w:p>
    <w:p w14:paraId="33B606E1">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（六）单位负责人为同一人或者存在直接控股、管理关系的不同供应商，参加同一合同项下的采购活动的；</w:t>
      </w:r>
    </w:p>
    <w:p w14:paraId="21212CB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（七）为采购项目提供整体设计、规范编制或者项目管理、检测等服务的供应商，再参加该采购项目的其他采购活动；</w:t>
      </w:r>
    </w:p>
    <w:p w14:paraId="44FC9EC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（八）供应商的服务期、质量保证期及询比采购有效期不满足询比采购文件要求的；</w:t>
      </w:r>
    </w:p>
    <w:p w14:paraId="3F41E2C3">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（九）供应商响应文件内容有与国家现行法律法规相违背的内容，或附有采购人无法接受的条件。</w:t>
      </w:r>
    </w:p>
    <w:p w14:paraId="275D5862">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eastAsia" w:ascii="方正仿宋_GBK" w:hAnsi="宋体" w:eastAsia="方正仿宋_GBK"/>
          <w:sz w:val="24"/>
          <w:szCs w:val="24"/>
          <w:lang w:val="en-US" w:eastAsia="zh-CN"/>
        </w:rPr>
      </w:pPr>
      <w:r>
        <w:rPr>
          <w:rFonts w:hint="default" w:ascii="Times New Roman" w:hAnsi="Times New Roman" w:eastAsia="仿宋" w:cs="Times New Roman"/>
          <w:bCs/>
          <w:color w:val="auto"/>
          <w:sz w:val="24"/>
          <w:szCs w:val="24"/>
          <w:highlight w:val="none"/>
        </w:rPr>
        <w:t>（十）</w:t>
      </w:r>
      <w:r>
        <w:rPr>
          <w:rFonts w:hint="eastAsia" w:ascii="方正仿宋_GBK" w:hAnsi="宋体" w:eastAsia="方正仿宋_GBK"/>
          <w:sz w:val="24"/>
          <w:szCs w:val="24"/>
        </w:rPr>
        <w:t>法律、法规和竞争性磋商文件规定的其他无效情形</w:t>
      </w:r>
      <w:r>
        <w:rPr>
          <w:rFonts w:hint="eastAsia" w:ascii="方正仿宋_GBK" w:hAnsi="宋体" w:eastAsia="方正仿宋_GBK"/>
          <w:sz w:val="24"/>
          <w:szCs w:val="24"/>
          <w:lang w:eastAsia="zh-CN"/>
        </w:rPr>
        <w:t>。</w:t>
      </w:r>
    </w:p>
    <w:p w14:paraId="1F9D8B36">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eastAsia" w:ascii="方正仿宋_GBK" w:hAnsi="宋体" w:eastAsia="方正仿宋_GBK"/>
          <w:sz w:val="24"/>
          <w:szCs w:val="24"/>
          <w:lang w:val="en-US" w:eastAsia="zh-CN"/>
        </w:rPr>
        <w:t>（十一）</w:t>
      </w:r>
      <w:r>
        <w:rPr>
          <w:rFonts w:hint="default" w:ascii="Times New Roman" w:hAnsi="Times New Roman" w:eastAsia="仿宋" w:cs="Times New Roman"/>
          <w:bCs/>
          <w:color w:val="auto"/>
          <w:sz w:val="24"/>
          <w:szCs w:val="24"/>
          <w:highlight w:val="none"/>
        </w:rPr>
        <w:t>供应商被列入失信被执行人、重大税收违法案件当事人名单、政府采购严重违法失信行为记录名单及其他不符合《中华人民共和国政府采购法》第二十二条规定条件的。</w:t>
      </w:r>
    </w:p>
    <w:p w14:paraId="0F34A7D8">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采购活动。</w:t>
      </w:r>
    </w:p>
    <w:p w14:paraId="2C1C3901">
      <w:pPr>
        <w:keepNext w:val="0"/>
        <w:keepLines w:val="0"/>
        <w:pageBreakBefore w:val="0"/>
        <w:widowControl w:val="0"/>
        <w:kinsoku/>
        <w:wordWrap/>
        <w:overflowPunct/>
        <w:topLinePunct w:val="0"/>
        <w:autoSpaceDE/>
        <w:autoSpaceDN/>
        <w:bidi w:val="0"/>
        <w:adjustRightInd/>
        <w:spacing w:line="500" w:lineRule="exact"/>
        <w:textAlignment w:val="auto"/>
        <w:outlineLvl w:val="2"/>
        <w:rPr>
          <w:rFonts w:hint="default" w:ascii="Times New Roman" w:hAnsi="Times New Roman" w:eastAsia="仿宋" w:cs="Times New Roman"/>
          <w:b/>
          <w:bCs w:val="0"/>
          <w:color w:val="auto"/>
          <w:sz w:val="24"/>
          <w:szCs w:val="24"/>
          <w:highlight w:val="none"/>
        </w:rPr>
      </w:pPr>
      <w:r>
        <w:rPr>
          <w:rFonts w:hint="default" w:ascii="Times New Roman" w:hAnsi="Times New Roman" w:eastAsia="仿宋" w:cs="Times New Roman"/>
          <w:b/>
          <w:bCs w:val="0"/>
          <w:color w:val="auto"/>
          <w:sz w:val="24"/>
          <w:szCs w:val="24"/>
          <w:highlight w:val="none"/>
        </w:rPr>
        <w:t>四、</w:t>
      </w:r>
      <w:bookmarkEnd w:id="147"/>
      <w:bookmarkEnd w:id="148"/>
      <w:r>
        <w:rPr>
          <w:rFonts w:hint="default" w:ascii="Times New Roman" w:hAnsi="Times New Roman" w:eastAsia="仿宋" w:cs="Times New Roman"/>
          <w:b/>
          <w:bCs w:val="0"/>
          <w:color w:val="auto"/>
          <w:sz w:val="24"/>
          <w:szCs w:val="24"/>
          <w:highlight w:val="none"/>
        </w:rPr>
        <w:t>采购终止</w:t>
      </w:r>
    </w:p>
    <w:p w14:paraId="6632CFE6">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出现下列情形之一的，采购人应当终止询比采购活动，发布项目终止公告并说明原因，重新开展采购活动：</w:t>
      </w:r>
    </w:p>
    <w:p w14:paraId="4308BDD7">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（一）因情况变化，不再符合规定的询比采购采购方式适用情形的；</w:t>
      </w:r>
    </w:p>
    <w:p w14:paraId="4CE9A892">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（二）出现影响询比采购公正的违法、违规行为的；</w:t>
      </w:r>
    </w:p>
    <w:p w14:paraId="741A970B">
      <w:pPr>
        <w:keepNext w:val="0"/>
        <w:keepLines w:val="0"/>
        <w:pageBreakBefore w:val="0"/>
        <w:widowControl w:val="0"/>
        <w:kinsoku/>
        <w:wordWrap/>
        <w:overflowPunct/>
        <w:topLinePunct w:val="0"/>
        <w:autoSpaceDE/>
        <w:autoSpaceDN/>
        <w:bidi w:val="0"/>
        <w:adjustRightInd/>
        <w:snapToGrid w:val="0"/>
        <w:spacing w:line="500" w:lineRule="exact"/>
        <w:ind w:firstLine="465"/>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（三）通过资格性</w:t>
      </w:r>
      <w:r>
        <w:rPr>
          <w:rFonts w:hint="eastAsia" w:eastAsia="仿宋" w:cs="Times New Roman"/>
          <w:bCs/>
          <w:color w:val="auto"/>
          <w:sz w:val="24"/>
          <w:szCs w:val="24"/>
          <w:highlight w:val="none"/>
          <w:lang w:eastAsia="zh-CN"/>
        </w:rPr>
        <w:t>及符合性</w:t>
      </w:r>
      <w:r>
        <w:rPr>
          <w:rFonts w:hint="default" w:ascii="Times New Roman" w:hAnsi="Times New Roman" w:eastAsia="仿宋" w:cs="Times New Roman"/>
          <w:bCs/>
          <w:color w:val="auto"/>
          <w:sz w:val="24"/>
          <w:szCs w:val="24"/>
          <w:highlight w:val="none"/>
        </w:rPr>
        <w:t>审查的供应商不足3家的，终止本次询比采购活动，并发布终止询比采购活动公告。</w:t>
      </w:r>
    </w:p>
    <w:p w14:paraId="3BCD6665">
      <w:pPr>
        <w:snapToGrid w:val="0"/>
        <w:spacing w:line="400" w:lineRule="exact"/>
        <w:ind w:firstLine="465"/>
        <w:jc w:val="center"/>
        <w:rPr>
          <w:rFonts w:hint="default" w:ascii="Times New Roman" w:hAnsi="Times New Roman" w:eastAsia="仿宋" w:cs="Times New Roman"/>
          <w:bCs/>
          <w:color w:val="auto"/>
          <w:szCs w:val="30"/>
          <w:highlight w:val="none"/>
        </w:rPr>
      </w:pPr>
      <w:bookmarkStart w:id="149" w:name="_Toc102227313"/>
      <w:r>
        <w:rPr>
          <w:rFonts w:hint="default" w:ascii="Times New Roman" w:hAnsi="Times New Roman" w:eastAsia="仿宋" w:cs="Times New Roman"/>
          <w:bCs/>
          <w:color w:val="auto"/>
          <w:sz w:val="24"/>
          <w:szCs w:val="24"/>
          <w:highlight w:val="none"/>
        </w:rPr>
        <w:br w:type="page"/>
      </w:r>
      <w:bookmarkStart w:id="150" w:name="_Toc23363"/>
      <w:bookmarkStart w:id="151" w:name="_Toc30219"/>
      <w:bookmarkStart w:id="152" w:name="_Toc8150"/>
      <w:bookmarkStart w:id="153" w:name="_Toc21621"/>
      <w:bookmarkStart w:id="154" w:name="_Toc13299"/>
      <w:r>
        <w:rPr>
          <w:rFonts w:hint="default" w:ascii="Times New Roman" w:hAnsi="Times New Roman" w:eastAsia="仿宋" w:cs="Times New Roman"/>
          <w:b w:val="0"/>
          <w:bCs/>
          <w:color w:val="auto"/>
          <w:kern w:val="2"/>
          <w:sz w:val="36"/>
          <w:szCs w:val="30"/>
          <w:highlight w:val="none"/>
          <w:lang w:val="en-US" w:eastAsia="zh-CN" w:bidi="ar-SA"/>
        </w:rPr>
        <w:t>第五篇  供应商须知</w:t>
      </w:r>
      <w:bookmarkEnd w:id="149"/>
      <w:bookmarkEnd w:id="150"/>
      <w:bookmarkEnd w:id="151"/>
      <w:bookmarkEnd w:id="152"/>
      <w:bookmarkEnd w:id="153"/>
      <w:bookmarkEnd w:id="154"/>
    </w:p>
    <w:p w14:paraId="4480C080">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bCs w:val="0"/>
          <w:color w:val="auto"/>
          <w:sz w:val="24"/>
          <w:szCs w:val="24"/>
          <w:highlight w:val="none"/>
        </w:rPr>
      </w:pPr>
      <w:bookmarkStart w:id="155" w:name="_Toc342913389"/>
      <w:r>
        <w:rPr>
          <w:rFonts w:hint="default" w:ascii="Times New Roman" w:hAnsi="Times New Roman" w:eastAsia="仿宋" w:cs="Times New Roman"/>
          <w:b/>
          <w:bCs w:val="0"/>
          <w:color w:val="auto"/>
          <w:sz w:val="24"/>
          <w:szCs w:val="24"/>
          <w:highlight w:val="none"/>
        </w:rPr>
        <w:t>一、询比采购费用</w:t>
      </w:r>
      <w:bookmarkEnd w:id="155"/>
    </w:p>
    <w:p w14:paraId="43CA4D0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bookmarkStart w:id="156" w:name="_Toc342913391"/>
      <w:r>
        <w:rPr>
          <w:rFonts w:hint="default" w:ascii="Times New Roman" w:hAnsi="Times New Roman" w:eastAsia="仿宋" w:cs="Times New Roman"/>
          <w:bCs/>
          <w:color w:val="auto"/>
          <w:sz w:val="24"/>
          <w:szCs w:val="24"/>
          <w:highlight w:val="none"/>
        </w:rPr>
        <w:t>参与询比采购的供应商应承担其编制响应文件与递交响应文件所涉及的一切费用，不论询比采购结果如何，采购人在任何情况下无义务也无责任承担这些费用。</w:t>
      </w:r>
    </w:p>
    <w:bookmarkEnd w:id="156"/>
    <w:p w14:paraId="27DFC01B">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bCs w:val="0"/>
          <w:color w:val="auto"/>
          <w:sz w:val="24"/>
          <w:szCs w:val="24"/>
          <w:highlight w:val="none"/>
        </w:rPr>
      </w:pPr>
      <w:bookmarkStart w:id="157" w:name="_Toc318159160"/>
      <w:bookmarkStart w:id="158" w:name="_Toc318159349"/>
      <w:bookmarkStart w:id="159" w:name="_Toc318159780"/>
      <w:bookmarkStart w:id="160" w:name="_Toc318166429"/>
      <w:r>
        <w:rPr>
          <w:rFonts w:hint="default" w:ascii="Times New Roman" w:hAnsi="Times New Roman" w:eastAsia="仿宋" w:cs="Times New Roman"/>
          <w:b/>
          <w:bCs w:val="0"/>
          <w:color w:val="auto"/>
          <w:sz w:val="24"/>
          <w:szCs w:val="24"/>
          <w:highlight w:val="none"/>
        </w:rPr>
        <w:t>二、询比采购文件</w:t>
      </w:r>
    </w:p>
    <w:p w14:paraId="1ADE9205">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（一）询比采购文件由采购邀请书、询比采购服务需求、询比采购商务、技术需求、询比采购程序及方法、评审标准、响应无效和采购终止、供应商须知、采购合同、响应文件编制要求七部分组成。</w:t>
      </w:r>
    </w:p>
    <w:p w14:paraId="1386657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（二）采购人所作的一切有效的书面通知、修改及补充，都是询比采购文件不可分割的部分。</w:t>
      </w:r>
    </w:p>
    <w:p w14:paraId="6EB2BFDA">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（三）评审的依据为询比采购文件和响应文件（含有效的书面承诺）。询比小组判断响应文件对询比采购文件的响应，仅基于响应文件本身而不靠外部证据。</w:t>
      </w:r>
    </w:p>
    <w:p w14:paraId="5DA8AD4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四</w:t>
      </w:r>
      <w:r>
        <w:rPr>
          <w:rFonts w:hint="default" w:ascii="Times New Roman" w:hAnsi="Times New Roman" w:eastAsia="仿宋" w:cs="Times New Roman"/>
          <w:bCs/>
          <w:color w:val="auto"/>
          <w:sz w:val="24"/>
          <w:szCs w:val="24"/>
          <w:highlight w:val="none"/>
        </w:rPr>
        <w:t>）本询比采购文件中若存在相关产品的具体品牌、型号，均不作为指定要求，而仅为技术水平、产品品质的客观参考。</w:t>
      </w:r>
    </w:p>
    <w:bookmarkEnd w:id="157"/>
    <w:bookmarkEnd w:id="158"/>
    <w:bookmarkEnd w:id="159"/>
    <w:bookmarkEnd w:id="160"/>
    <w:p w14:paraId="5C055CC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bCs w:val="0"/>
          <w:color w:val="auto"/>
          <w:sz w:val="24"/>
          <w:szCs w:val="24"/>
          <w:highlight w:val="none"/>
        </w:rPr>
      </w:pPr>
      <w:bookmarkStart w:id="161" w:name="_Toc102227318"/>
      <w:bookmarkStart w:id="162" w:name="_Toc179714297"/>
      <w:bookmarkStart w:id="163" w:name="_Toc342913392"/>
      <w:r>
        <w:rPr>
          <w:rFonts w:hint="default" w:ascii="Times New Roman" w:hAnsi="Times New Roman" w:eastAsia="仿宋" w:cs="Times New Roman"/>
          <w:b/>
          <w:bCs w:val="0"/>
          <w:color w:val="auto"/>
          <w:sz w:val="24"/>
          <w:szCs w:val="24"/>
          <w:highlight w:val="none"/>
        </w:rPr>
        <w:t>三、询比采购要求</w:t>
      </w:r>
      <w:bookmarkEnd w:id="161"/>
      <w:bookmarkEnd w:id="162"/>
      <w:bookmarkEnd w:id="163"/>
    </w:p>
    <w:p w14:paraId="398E1EB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（一）响应文件</w:t>
      </w:r>
    </w:p>
    <w:p w14:paraId="6BB2C300">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1、供应商应当按照询比采购文件的要求编制响应文件，并对询比采购文件提出的要求和条件作出实质性响应，响应文件应编制完整的页码、目录。按照采购文件要求制作的响应文件电子版上传至行采家平台。</w:t>
      </w:r>
    </w:p>
    <w:p w14:paraId="240168E4">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2、响应文件组成</w:t>
      </w:r>
    </w:p>
    <w:p w14:paraId="03C9ED42">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6D537595">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（二）联合体</w:t>
      </w:r>
      <w:r>
        <w:rPr>
          <w:rFonts w:hint="default" w:ascii="Times New Roman" w:hAnsi="Times New Roman" w:eastAsia="仿宋" w:cs="Times New Roman"/>
          <w:b/>
          <w:bCs w:val="0"/>
          <w:color w:val="auto"/>
          <w:sz w:val="24"/>
          <w:szCs w:val="24"/>
          <w:highlight w:val="none"/>
        </w:rPr>
        <w:t>（本项目不接受联合体参与询比）</w:t>
      </w:r>
    </w:p>
    <w:p w14:paraId="6A9CE6A1">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（三）询比有效期：响应文件及有关承诺文件有效期为提交响应文件截止时间起90天。</w:t>
      </w:r>
    </w:p>
    <w:p w14:paraId="0949F37E">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（四）修正错误</w:t>
      </w:r>
    </w:p>
    <w:p w14:paraId="7C23D68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1、若供应商所递交的响应文件报价中的价格出现大写金额和小写金额不一致的错误，以大写金额修正为准。</w:t>
      </w:r>
    </w:p>
    <w:p w14:paraId="7F07170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2、若供应商所上传的响应文件中报价函价格与行采家所填报的价格不一致，以行采家为准。</w:t>
      </w:r>
    </w:p>
    <w:p w14:paraId="203E079A">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3、评审小组按上述修正错误的原则及方法修正供应商的报价，供应商须默认上述修正方式，修正后的报价对供应商具有约束作用。如果供应商不接受修正后的价格，将失去成为成交供应商的资格。</w:t>
      </w:r>
    </w:p>
    <w:p w14:paraId="50908183">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（五）提交响应文件的签署</w:t>
      </w:r>
    </w:p>
    <w:p w14:paraId="11A0A7F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1、供应商线上报名、报价时需上传盖章后的电子文档一份。</w:t>
      </w:r>
    </w:p>
    <w:p w14:paraId="15B883C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2、采购人将以平台的线上资料作为评判依据。</w:t>
      </w:r>
    </w:p>
    <w:p w14:paraId="54C4E9A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3、供应商制作的响应文件电子文档，须按照询比采购文件第七篇响应文件格式中规定签字、盖章的地方必须按其规定签字、盖章。</w:t>
      </w:r>
    </w:p>
    <w:p w14:paraId="4681160B">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4、电报、电话、传真形式的响应文件概不接受。</w:t>
      </w:r>
    </w:p>
    <w:p w14:paraId="1BAE161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四、成交供应商的确认和变更</w:t>
      </w:r>
    </w:p>
    <w:p w14:paraId="5653975C">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（一）成交供应商的确认</w:t>
      </w:r>
    </w:p>
    <w:p w14:paraId="68B76C59">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采购人从评审报告提出的成交候选供应商中，按照得分排序由高到低的原则确定成交供应商。</w:t>
      </w:r>
    </w:p>
    <w:p w14:paraId="6676325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（二）成交供应商的变更</w:t>
      </w:r>
    </w:p>
    <w:p w14:paraId="441C811E">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lang w:val="en-US" w:eastAsia="zh-CN"/>
        </w:rPr>
        <w:t>1.</w:t>
      </w:r>
      <w:r>
        <w:rPr>
          <w:rFonts w:hint="eastAsia" w:ascii="Times New Roman" w:hAnsi="Times New Roman" w:eastAsia="仿宋" w:cs="Times New Roman"/>
          <w:bCs/>
          <w:color w:val="auto"/>
          <w:sz w:val="24"/>
          <w:szCs w:val="24"/>
          <w:highlight w:val="none"/>
        </w:rPr>
        <w:t>成交供应商因不可抗力或者自身原因不能履行合同的，采购人可以确定排名其后一位的成交候选人为成交供应商。</w:t>
      </w:r>
    </w:p>
    <w:p w14:paraId="2D56EB54">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eastAsia" w:ascii="Times New Roman" w:hAnsi="Times New Roman" w:eastAsia="仿宋" w:cs="Times New Roman"/>
          <w:bCs/>
          <w:color w:val="auto"/>
          <w:sz w:val="24"/>
          <w:szCs w:val="24"/>
          <w:highlight w:val="none"/>
        </w:rPr>
      </w:pPr>
      <w:r>
        <w:rPr>
          <w:rFonts w:hint="eastAsia" w:ascii="Times New Roman" w:hAnsi="Times New Roman" w:eastAsia="仿宋" w:cs="Times New Roman"/>
          <w:bCs/>
          <w:color w:val="auto"/>
          <w:sz w:val="24"/>
          <w:szCs w:val="24"/>
          <w:highlight w:val="none"/>
          <w:lang w:val="en-US" w:eastAsia="zh-CN"/>
        </w:rPr>
        <w:t>2.</w:t>
      </w:r>
      <w:r>
        <w:rPr>
          <w:rFonts w:hint="eastAsia" w:ascii="Times New Roman" w:hAnsi="Times New Roman" w:eastAsia="仿宋" w:cs="Times New Roman"/>
          <w:bCs/>
          <w:color w:val="auto"/>
          <w:sz w:val="24"/>
          <w:szCs w:val="24"/>
          <w:highlight w:val="none"/>
        </w:rPr>
        <w:t>成交供应商无充分理由放弃成交的，采购人将会同采购代理机构把相关情况报财政部门，财政部门将根据财政部十八号令第七十五条的规定对违规供应商进行处罚。</w:t>
      </w:r>
    </w:p>
    <w:p w14:paraId="2CB306B5">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五、成交通知</w:t>
      </w:r>
    </w:p>
    <w:p w14:paraId="0490950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（一）成交供应商确定后，采购人将在“行采家•电子竞采”平台（https://www.gec123.com/xe/）上发布成交结果公告。</w:t>
      </w:r>
    </w:p>
    <w:p w14:paraId="59245CA9">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（二）结果公告发出同时，采购人将以书面形式发出《成交通知书》。《成交通知书》一经发出即发生法律效力。</w:t>
      </w:r>
    </w:p>
    <w:p w14:paraId="53821018">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（三）《成交通知书》将作为签订合同的依据。</w:t>
      </w:r>
    </w:p>
    <w:p w14:paraId="32F8532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（四）如有供应商对成交结果提出质疑的，在质疑处理完毕后发出成交通知书。</w:t>
      </w:r>
    </w:p>
    <w:p w14:paraId="5F380A47">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六、关于咨询</w:t>
      </w:r>
    </w:p>
    <w:p w14:paraId="1E8B6CC0">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供应商如对询比采购文件有异议，请电话咨询采购人。如对采购流程有异议，请电话咨询行采家平台运营。</w:t>
      </w:r>
    </w:p>
    <w:p w14:paraId="76DEECE9">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七、签订合同</w:t>
      </w:r>
    </w:p>
    <w:p w14:paraId="26E6136F">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（一）采购人应当自成交通知书发出之日起2</w:t>
      </w:r>
      <w:r>
        <w:rPr>
          <w:rFonts w:hint="default" w:ascii="Times New Roman" w:hAnsi="Times New Roman" w:eastAsia="仿宋" w:cs="Times New Roman"/>
          <w:bCs/>
          <w:color w:val="auto"/>
          <w:sz w:val="24"/>
          <w:szCs w:val="24"/>
          <w:highlight w:val="none"/>
          <w:lang w:val="en-US" w:eastAsia="zh-CN"/>
        </w:rPr>
        <w:t>0</w:t>
      </w:r>
      <w:r>
        <w:rPr>
          <w:rFonts w:hint="default" w:ascii="Times New Roman" w:hAnsi="Times New Roman" w:eastAsia="仿宋" w:cs="Times New Roman"/>
          <w:bCs/>
          <w:color w:val="auto"/>
          <w:sz w:val="24"/>
          <w:szCs w:val="24"/>
          <w:highlight w:val="none"/>
        </w:rPr>
        <w:t>日内，按照询比采购文件和成交供应商响应文件的约定，与成交供应商签订书面合同。所签订的合同不得对询比采购文件和供应商的响应文件作实质性修改。</w:t>
      </w:r>
    </w:p>
    <w:p w14:paraId="56116FA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（二）询比采购文件、供应商的响应文件及澄清文件等，均为签订采购合同的依据。</w:t>
      </w:r>
    </w:p>
    <w:p w14:paraId="705B75ED">
      <w:pPr>
        <w:keepNext w:val="0"/>
        <w:keepLines w:val="0"/>
        <w:pageBreakBefore w:val="0"/>
        <w:widowControl w:val="0"/>
        <w:kinsoku/>
        <w:wordWrap/>
        <w:overflowPunct/>
        <w:topLinePunct w:val="0"/>
        <w:autoSpaceDE/>
        <w:autoSpaceDN/>
        <w:bidi w:val="0"/>
        <w:adjustRightInd/>
        <w:snapToGrid/>
        <w:spacing w:line="500" w:lineRule="exact"/>
        <w:ind w:firstLine="360" w:firstLineChars="150"/>
        <w:textAlignment w:val="auto"/>
        <w:rPr>
          <w:rFonts w:hint="default" w:ascii="Times New Roman" w:hAnsi="Times New Roman" w:eastAsia="仿宋" w:cs="Times New Roman"/>
          <w:bCs/>
          <w:color w:val="auto"/>
          <w:sz w:val="36"/>
          <w:szCs w:val="30"/>
          <w:highlight w:val="none"/>
        </w:rPr>
      </w:pPr>
      <w:r>
        <w:rPr>
          <w:rFonts w:hint="default" w:ascii="Times New Roman" w:hAnsi="Times New Roman" w:eastAsia="仿宋" w:cs="Times New Roman"/>
          <w:bCs/>
          <w:color w:val="auto"/>
          <w:sz w:val="24"/>
          <w:szCs w:val="24"/>
          <w:highlight w:val="none"/>
        </w:rPr>
        <w:t>（三）合同生效条款由供需双方约定，法律、行政法规规定应当办理批准、登记等手续后生效的合同，依照其规定。</w:t>
      </w:r>
    </w:p>
    <w:p w14:paraId="46500E37">
      <w:pPr>
        <w:rPr>
          <w:rFonts w:hint="default" w:ascii="Times New Roman" w:hAnsi="Times New Roman" w:eastAsia="仿宋" w:cs="Times New Roman"/>
          <w:bCs/>
          <w:color w:val="auto"/>
          <w:sz w:val="36"/>
          <w:szCs w:val="30"/>
          <w:highlight w:val="none"/>
        </w:rPr>
      </w:pPr>
    </w:p>
    <w:p w14:paraId="4A88A21A">
      <w:pPr>
        <w:pStyle w:val="28"/>
        <w:rPr>
          <w:rFonts w:hint="default" w:ascii="Times New Roman" w:hAnsi="Times New Roman" w:eastAsia="仿宋" w:cs="Times New Roman"/>
          <w:bCs/>
          <w:color w:val="auto"/>
          <w:sz w:val="36"/>
          <w:szCs w:val="30"/>
          <w:highlight w:val="none"/>
        </w:rPr>
      </w:pPr>
    </w:p>
    <w:p w14:paraId="30F51730">
      <w:pPr>
        <w:rPr>
          <w:rFonts w:hint="default" w:ascii="Times New Roman" w:hAnsi="Times New Roman" w:eastAsia="仿宋" w:cs="Times New Roman"/>
          <w:b w:val="0"/>
          <w:bCs/>
          <w:color w:val="auto"/>
          <w:kern w:val="2"/>
          <w:sz w:val="36"/>
          <w:szCs w:val="30"/>
          <w:highlight w:val="none"/>
          <w:lang w:val="en-US" w:eastAsia="zh-CN" w:bidi="ar-SA"/>
        </w:rPr>
      </w:pPr>
      <w:bookmarkStart w:id="164" w:name="_Toc27607"/>
    </w:p>
    <w:p w14:paraId="7F7B7898">
      <w:pPr>
        <w:rPr>
          <w:rFonts w:hint="default" w:ascii="Times New Roman" w:hAnsi="Times New Roman" w:eastAsia="仿宋" w:cs="Times New Roman"/>
          <w:b w:val="0"/>
          <w:bCs/>
          <w:color w:val="auto"/>
          <w:kern w:val="2"/>
          <w:sz w:val="36"/>
          <w:szCs w:val="30"/>
          <w:highlight w:val="none"/>
          <w:lang w:val="en-US" w:eastAsia="zh-CN" w:bidi="ar-SA"/>
        </w:rPr>
      </w:pPr>
    </w:p>
    <w:p w14:paraId="49948265">
      <w:pPr>
        <w:rPr>
          <w:rFonts w:hint="default" w:ascii="Times New Roman" w:hAnsi="Times New Roman" w:eastAsia="仿宋" w:cs="Times New Roman"/>
          <w:b w:val="0"/>
          <w:bCs/>
          <w:color w:val="auto"/>
          <w:kern w:val="2"/>
          <w:sz w:val="36"/>
          <w:szCs w:val="30"/>
          <w:highlight w:val="none"/>
          <w:lang w:val="en-US" w:eastAsia="zh-CN" w:bidi="ar-SA"/>
        </w:rPr>
      </w:pPr>
    </w:p>
    <w:p w14:paraId="5FD785F3">
      <w:pPr>
        <w:rPr>
          <w:rFonts w:hint="default" w:ascii="Times New Roman" w:hAnsi="Times New Roman" w:eastAsia="仿宋" w:cs="Times New Roman"/>
          <w:b w:val="0"/>
          <w:bCs/>
          <w:color w:val="auto"/>
          <w:kern w:val="2"/>
          <w:sz w:val="36"/>
          <w:szCs w:val="30"/>
          <w:highlight w:val="none"/>
          <w:lang w:val="en-US" w:eastAsia="zh-CN" w:bidi="ar-SA"/>
        </w:rPr>
      </w:pPr>
    </w:p>
    <w:p w14:paraId="514210A5">
      <w:pPr>
        <w:rPr>
          <w:rFonts w:hint="default" w:ascii="Times New Roman" w:hAnsi="Times New Roman" w:eastAsia="仿宋" w:cs="Times New Roman"/>
          <w:b w:val="0"/>
          <w:bCs/>
          <w:color w:val="auto"/>
          <w:kern w:val="2"/>
          <w:sz w:val="36"/>
          <w:szCs w:val="30"/>
          <w:highlight w:val="none"/>
          <w:lang w:val="en-US" w:eastAsia="zh-CN" w:bidi="ar-SA"/>
        </w:rPr>
      </w:pPr>
    </w:p>
    <w:p w14:paraId="01DDF259">
      <w:pPr>
        <w:rPr>
          <w:rFonts w:hint="default" w:ascii="Times New Roman" w:hAnsi="Times New Roman" w:eastAsia="仿宋" w:cs="Times New Roman"/>
          <w:b w:val="0"/>
          <w:bCs/>
          <w:color w:val="auto"/>
          <w:kern w:val="2"/>
          <w:sz w:val="36"/>
          <w:szCs w:val="30"/>
          <w:highlight w:val="none"/>
          <w:lang w:val="en-US" w:eastAsia="zh-CN" w:bidi="ar-SA"/>
        </w:rPr>
      </w:pPr>
    </w:p>
    <w:p w14:paraId="11D7A2F9">
      <w:pPr>
        <w:rPr>
          <w:rFonts w:hint="default" w:ascii="Times New Roman" w:hAnsi="Times New Roman" w:eastAsia="仿宋" w:cs="Times New Roman"/>
          <w:b w:val="0"/>
          <w:bCs/>
          <w:color w:val="auto"/>
          <w:kern w:val="2"/>
          <w:sz w:val="36"/>
          <w:szCs w:val="30"/>
          <w:highlight w:val="none"/>
          <w:lang w:val="en-US" w:eastAsia="zh-CN" w:bidi="ar-SA"/>
        </w:rPr>
      </w:pPr>
    </w:p>
    <w:p w14:paraId="4B6DB3BA">
      <w:pPr>
        <w:rPr>
          <w:rFonts w:hint="default" w:ascii="Times New Roman" w:hAnsi="Times New Roman" w:eastAsia="仿宋" w:cs="Times New Roman"/>
          <w:b w:val="0"/>
          <w:bCs/>
          <w:color w:val="auto"/>
          <w:kern w:val="2"/>
          <w:sz w:val="36"/>
          <w:szCs w:val="30"/>
          <w:highlight w:val="none"/>
          <w:lang w:val="en-US" w:eastAsia="zh-CN" w:bidi="ar-SA"/>
        </w:rPr>
      </w:pPr>
    </w:p>
    <w:p w14:paraId="270DA611">
      <w:pPr>
        <w:rPr>
          <w:rFonts w:hint="default" w:ascii="Times New Roman" w:hAnsi="Times New Roman" w:eastAsia="仿宋" w:cs="Times New Roman"/>
          <w:b w:val="0"/>
          <w:bCs/>
          <w:color w:val="auto"/>
          <w:kern w:val="2"/>
          <w:sz w:val="36"/>
          <w:szCs w:val="30"/>
          <w:highlight w:val="none"/>
          <w:lang w:val="en-US" w:eastAsia="zh-CN" w:bidi="ar-SA"/>
        </w:rPr>
      </w:pPr>
    </w:p>
    <w:p w14:paraId="51382145">
      <w:pPr>
        <w:rPr>
          <w:rFonts w:hint="default" w:ascii="Times New Roman" w:hAnsi="Times New Roman" w:eastAsia="仿宋" w:cs="Times New Roman"/>
          <w:b w:val="0"/>
          <w:bCs/>
          <w:color w:val="auto"/>
          <w:kern w:val="2"/>
          <w:sz w:val="36"/>
          <w:szCs w:val="30"/>
          <w:highlight w:val="none"/>
          <w:lang w:val="en-US" w:eastAsia="zh-CN" w:bidi="ar-SA"/>
        </w:rPr>
      </w:pPr>
    </w:p>
    <w:p w14:paraId="0703931C">
      <w:pPr>
        <w:rPr>
          <w:rFonts w:hint="default" w:ascii="Times New Roman" w:hAnsi="Times New Roman" w:eastAsia="仿宋" w:cs="Times New Roman"/>
          <w:b w:val="0"/>
          <w:bCs/>
          <w:color w:val="auto"/>
          <w:kern w:val="2"/>
          <w:sz w:val="36"/>
          <w:szCs w:val="30"/>
          <w:highlight w:val="none"/>
          <w:lang w:val="en-US" w:eastAsia="zh-CN" w:bidi="ar-SA"/>
        </w:rPr>
      </w:pPr>
    </w:p>
    <w:p w14:paraId="0F5D1BC0">
      <w:pPr>
        <w:rPr>
          <w:rFonts w:hint="default" w:ascii="Times New Roman" w:hAnsi="Times New Roman" w:eastAsia="仿宋" w:cs="Times New Roman"/>
          <w:b w:val="0"/>
          <w:bCs/>
          <w:color w:val="auto"/>
          <w:kern w:val="2"/>
          <w:sz w:val="36"/>
          <w:szCs w:val="30"/>
          <w:highlight w:val="none"/>
          <w:lang w:val="en-US" w:eastAsia="zh-CN" w:bidi="ar-SA"/>
        </w:rPr>
      </w:pPr>
    </w:p>
    <w:p w14:paraId="6808BC6C">
      <w:pPr>
        <w:rPr>
          <w:rFonts w:hint="default" w:ascii="Times New Roman" w:hAnsi="Times New Roman" w:eastAsia="仿宋" w:cs="Times New Roman"/>
          <w:b w:val="0"/>
          <w:bCs/>
          <w:color w:val="auto"/>
          <w:kern w:val="2"/>
          <w:sz w:val="36"/>
          <w:szCs w:val="30"/>
          <w:highlight w:val="none"/>
          <w:lang w:val="en-US" w:eastAsia="zh-CN" w:bidi="ar-SA"/>
        </w:rPr>
      </w:pPr>
    </w:p>
    <w:p w14:paraId="4EE9F800">
      <w:pPr>
        <w:rPr>
          <w:rFonts w:hint="default" w:ascii="Times New Roman" w:hAnsi="Times New Roman" w:eastAsia="仿宋" w:cs="Times New Roman"/>
          <w:b w:val="0"/>
          <w:bCs/>
          <w:color w:val="auto"/>
          <w:kern w:val="2"/>
          <w:sz w:val="36"/>
          <w:szCs w:val="30"/>
          <w:highlight w:val="none"/>
          <w:lang w:val="en-US" w:eastAsia="zh-CN" w:bidi="ar-SA"/>
        </w:rPr>
      </w:pPr>
    </w:p>
    <w:p w14:paraId="208161A5">
      <w:pPr>
        <w:rPr>
          <w:rFonts w:hint="default" w:ascii="Times New Roman" w:hAnsi="Times New Roman" w:eastAsia="仿宋" w:cs="Times New Roman"/>
          <w:b w:val="0"/>
          <w:bCs/>
          <w:color w:val="auto"/>
          <w:kern w:val="2"/>
          <w:sz w:val="36"/>
          <w:szCs w:val="30"/>
          <w:highlight w:val="none"/>
          <w:lang w:val="en-US" w:eastAsia="zh-CN" w:bidi="ar-SA"/>
        </w:rPr>
      </w:pPr>
    </w:p>
    <w:p w14:paraId="6F747EDA">
      <w:pPr>
        <w:rPr>
          <w:rFonts w:hint="default" w:ascii="Times New Roman" w:hAnsi="Times New Roman" w:eastAsia="仿宋" w:cs="Times New Roman"/>
          <w:b w:val="0"/>
          <w:bCs/>
          <w:color w:val="auto"/>
          <w:kern w:val="2"/>
          <w:sz w:val="36"/>
          <w:szCs w:val="30"/>
          <w:highlight w:val="none"/>
          <w:lang w:val="en-US" w:eastAsia="zh-CN" w:bidi="ar-SA"/>
        </w:rPr>
      </w:pPr>
    </w:p>
    <w:p w14:paraId="4DBAB570">
      <w:pPr>
        <w:rPr>
          <w:rFonts w:hint="default" w:ascii="Times New Roman" w:hAnsi="Times New Roman" w:eastAsia="仿宋" w:cs="Times New Roman"/>
          <w:b w:val="0"/>
          <w:bCs/>
          <w:color w:val="auto"/>
          <w:kern w:val="2"/>
          <w:sz w:val="36"/>
          <w:szCs w:val="30"/>
          <w:highlight w:val="none"/>
          <w:lang w:val="en-US" w:eastAsia="zh-CN" w:bidi="ar-SA"/>
        </w:rPr>
      </w:pPr>
    </w:p>
    <w:p w14:paraId="32C59D5E">
      <w:pPr>
        <w:rPr>
          <w:rFonts w:hint="default" w:ascii="Times New Roman" w:hAnsi="Times New Roman" w:eastAsia="仿宋" w:cs="Times New Roman"/>
          <w:b w:val="0"/>
          <w:bCs/>
          <w:color w:val="auto"/>
          <w:kern w:val="2"/>
          <w:sz w:val="36"/>
          <w:szCs w:val="30"/>
          <w:highlight w:val="none"/>
          <w:lang w:val="en-US" w:eastAsia="zh-CN" w:bidi="ar-SA"/>
        </w:rPr>
      </w:pPr>
    </w:p>
    <w:p w14:paraId="2D3C62C0">
      <w:pPr>
        <w:rPr>
          <w:rFonts w:hint="default" w:ascii="Times New Roman" w:hAnsi="Times New Roman" w:eastAsia="仿宋" w:cs="Times New Roman"/>
          <w:b w:val="0"/>
          <w:bCs/>
          <w:color w:val="auto"/>
          <w:kern w:val="2"/>
          <w:sz w:val="36"/>
          <w:szCs w:val="30"/>
          <w:highlight w:val="none"/>
          <w:lang w:val="en-US" w:eastAsia="zh-CN" w:bidi="ar-SA"/>
        </w:rPr>
      </w:pPr>
    </w:p>
    <w:p w14:paraId="3FEFDA1A">
      <w:pPr>
        <w:rPr>
          <w:rFonts w:hint="default" w:ascii="Times New Roman" w:hAnsi="Times New Roman" w:eastAsia="仿宋" w:cs="Times New Roman"/>
          <w:b w:val="0"/>
          <w:bCs/>
          <w:color w:val="auto"/>
          <w:kern w:val="2"/>
          <w:sz w:val="36"/>
          <w:szCs w:val="30"/>
          <w:highlight w:val="none"/>
          <w:lang w:val="en-US" w:eastAsia="zh-CN" w:bidi="ar-SA"/>
        </w:rPr>
      </w:pPr>
    </w:p>
    <w:p w14:paraId="4A8F3BF8">
      <w:pPr>
        <w:rPr>
          <w:rFonts w:hint="default" w:ascii="Times New Roman" w:hAnsi="Times New Roman" w:eastAsia="仿宋" w:cs="Times New Roman"/>
          <w:b w:val="0"/>
          <w:bCs/>
          <w:color w:val="auto"/>
          <w:kern w:val="2"/>
          <w:sz w:val="36"/>
          <w:szCs w:val="30"/>
          <w:highlight w:val="none"/>
          <w:lang w:val="en-US" w:eastAsia="zh-CN" w:bidi="ar-SA"/>
        </w:rPr>
      </w:pPr>
    </w:p>
    <w:p w14:paraId="0E1A57F2">
      <w:pPr>
        <w:rPr>
          <w:rFonts w:hint="default" w:ascii="Times New Roman" w:hAnsi="Times New Roman" w:eastAsia="仿宋" w:cs="Times New Roman"/>
          <w:b w:val="0"/>
          <w:bCs/>
          <w:color w:val="auto"/>
          <w:kern w:val="2"/>
          <w:sz w:val="36"/>
          <w:szCs w:val="30"/>
          <w:highlight w:val="none"/>
          <w:lang w:val="en-US" w:eastAsia="zh-CN" w:bidi="ar-SA"/>
        </w:rPr>
      </w:pPr>
    </w:p>
    <w:p w14:paraId="74C82A9A">
      <w:pPr>
        <w:rPr>
          <w:rFonts w:hint="default" w:ascii="Times New Roman" w:hAnsi="Times New Roman" w:eastAsia="仿宋" w:cs="Times New Roman"/>
          <w:b/>
          <w:bCs w:val="0"/>
          <w:color w:val="auto"/>
          <w:sz w:val="28"/>
          <w:szCs w:val="28"/>
          <w:highlight w:val="none"/>
          <w:lang w:eastAsia="zh-CN"/>
        </w:rPr>
      </w:pPr>
      <w:r>
        <w:rPr>
          <w:rFonts w:hint="default" w:ascii="Times New Roman" w:hAnsi="Times New Roman" w:eastAsia="仿宋" w:cs="Times New Roman"/>
          <w:b w:val="0"/>
          <w:bCs/>
          <w:color w:val="auto"/>
          <w:kern w:val="2"/>
          <w:sz w:val="36"/>
          <w:szCs w:val="30"/>
          <w:highlight w:val="none"/>
          <w:lang w:val="en-US" w:eastAsia="zh-CN" w:bidi="ar-SA"/>
        </w:rPr>
        <w:t xml:space="preserve">第六篇 </w:t>
      </w:r>
      <w:bookmarkEnd w:id="164"/>
      <w:r>
        <w:rPr>
          <w:rFonts w:hint="default" w:ascii="Times New Roman" w:hAnsi="Times New Roman" w:eastAsia="仿宋" w:cs="Times New Roman"/>
          <w:b w:val="0"/>
          <w:bCs/>
          <w:color w:val="auto"/>
          <w:kern w:val="2"/>
          <w:sz w:val="36"/>
          <w:szCs w:val="30"/>
          <w:highlight w:val="none"/>
          <w:lang w:val="en-US" w:eastAsia="zh-CN" w:bidi="ar-SA"/>
        </w:rPr>
        <w:t>政府采购合同</w:t>
      </w:r>
    </w:p>
    <w:p w14:paraId="465114CD">
      <w:pPr>
        <w:pStyle w:val="2"/>
        <w:numPr>
          <w:ilvl w:val="0"/>
          <w:numId w:val="0"/>
        </w:numPr>
        <w:rPr>
          <w:rFonts w:hint="default" w:ascii="Times New Roman" w:hAnsi="Times New Roman" w:cs="Times New Roman"/>
          <w:highlight w:val="none"/>
          <w:lang w:eastAsia="zh-CN"/>
        </w:rPr>
      </w:pPr>
    </w:p>
    <w:p w14:paraId="266DD3E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556F9613">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3C2D6D6D">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1B958361">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p>
    <w:p w14:paraId="1F28C05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_GBK" w:hAnsi="方正小标宋_GBK" w:eastAsia="方正小标宋_GBK" w:cs="方正小标宋_GBK"/>
          <w:b/>
          <w:color w:val="auto"/>
          <w:sz w:val="52"/>
          <w:szCs w:val="52"/>
          <w:highlight w:val="none"/>
          <w:lang w:val="en-US" w:eastAsia="zh-CN"/>
        </w:rPr>
      </w:pPr>
      <w:r>
        <w:rPr>
          <w:rFonts w:hint="eastAsia" w:ascii="方正小标宋_GBK" w:hAnsi="方正小标宋_GBK" w:eastAsia="方正小标宋_GBK" w:cs="方正小标宋_GBK"/>
          <w:b/>
          <w:color w:val="auto"/>
          <w:sz w:val="52"/>
          <w:szCs w:val="52"/>
          <w:highlight w:val="none"/>
          <w:lang w:val="en-US" w:eastAsia="zh-CN"/>
        </w:rPr>
        <w:t>轨道18号线桥下空间地块建设</w:t>
      </w:r>
    </w:p>
    <w:p w14:paraId="1C44D0AC">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default" w:ascii="Times New Roman" w:hAnsi="Times New Roman" w:eastAsia="仿宋" w:cs="Times New Roman"/>
          <w:b/>
          <w:color w:val="auto"/>
          <w:sz w:val="52"/>
          <w:szCs w:val="52"/>
          <w:highlight w:val="none"/>
          <w:lang w:eastAsia="zh-CN"/>
        </w:rPr>
      </w:pPr>
      <w:r>
        <w:rPr>
          <w:rFonts w:hint="eastAsia" w:ascii="方正小标宋_GBK" w:hAnsi="方正小标宋_GBK" w:eastAsia="方正小标宋_GBK" w:cs="方正小标宋_GBK"/>
          <w:b/>
          <w:color w:val="auto"/>
          <w:sz w:val="52"/>
          <w:szCs w:val="52"/>
          <w:highlight w:val="none"/>
          <w:lang w:val="en-US" w:eastAsia="zh-CN"/>
        </w:rPr>
        <w:t>中顺社区口袋公园</w:t>
      </w:r>
      <w:r>
        <w:rPr>
          <w:rFonts w:hint="eastAsia" w:ascii="方正小标宋_GBK" w:hAnsi="方正小标宋_GBK" w:eastAsia="方正小标宋_GBK" w:cs="方正小标宋_GBK"/>
          <w:b/>
          <w:color w:val="auto"/>
          <w:sz w:val="52"/>
          <w:szCs w:val="52"/>
          <w:highlight w:val="none"/>
          <w:lang w:eastAsia="zh-CN"/>
        </w:rPr>
        <w:t>施工合同</w:t>
      </w:r>
    </w:p>
    <w:p w14:paraId="673F0D06">
      <w:pPr>
        <w:pStyle w:val="2"/>
        <w:rPr>
          <w:rFonts w:hint="default" w:ascii="Times New Roman" w:hAnsi="Times New Roman" w:eastAsia="仿宋" w:cs="Times New Roman"/>
          <w:b/>
          <w:color w:val="auto"/>
          <w:sz w:val="52"/>
          <w:szCs w:val="52"/>
          <w:highlight w:val="none"/>
        </w:rPr>
      </w:pPr>
    </w:p>
    <w:p w14:paraId="396E3359">
      <w:pPr>
        <w:spacing w:line="360" w:lineRule="auto"/>
        <w:jc w:val="both"/>
        <w:rPr>
          <w:rFonts w:hint="default" w:ascii="Times New Roman" w:hAnsi="Times New Roman" w:eastAsia="等线" w:cs="Times New Roman"/>
          <w:b/>
          <w:sz w:val="30"/>
          <w:szCs w:val="30"/>
        </w:rPr>
      </w:pPr>
    </w:p>
    <w:p w14:paraId="3BB0A2FA">
      <w:pPr>
        <w:spacing w:line="360" w:lineRule="auto"/>
        <w:ind w:firstLine="640"/>
        <w:rPr>
          <w:rFonts w:hint="default" w:ascii="Times New Roman" w:hAnsi="Times New Roman" w:eastAsia="等线" w:cs="Times New Roman"/>
          <w:sz w:val="32"/>
          <w:szCs w:val="32"/>
        </w:rPr>
      </w:pPr>
    </w:p>
    <w:p w14:paraId="6315F7FF">
      <w:pPr>
        <w:pStyle w:val="2"/>
        <w:rPr>
          <w:rFonts w:hint="default" w:ascii="Times New Roman" w:hAnsi="Times New Roman" w:eastAsia="等线" w:cs="Times New Roman"/>
          <w:sz w:val="32"/>
          <w:szCs w:val="32"/>
        </w:rPr>
      </w:pPr>
    </w:p>
    <w:p w14:paraId="5258F07E">
      <w:pPr>
        <w:rPr>
          <w:rFonts w:hint="default" w:ascii="Times New Roman" w:hAnsi="Times New Roman" w:eastAsia="等线" w:cs="Times New Roman"/>
          <w:sz w:val="32"/>
          <w:szCs w:val="32"/>
        </w:rPr>
      </w:pPr>
    </w:p>
    <w:p w14:paraId="5E282DC5">
      <w:pPr>
        <w:pStyle w:val="2"/>
        <w:rPr>
          <w:rFonts w:hint="default" w:ascii="Times New Roman" w:hAnsi="Times New Roman" w:eastAsia="等线" w:cs="Times New Roman"/>
          <w:sz w:val="32"/>
          <w:szCs w:val="32"/>
        </w:rPr>
      </w:pPr>
    </w:p>
    <w:p w14:paraId="4593B8F9">
      <w:pPr>
        <w:rPr>
          <w:rFonts w:hint="default"/>
        </w:rPr>
      </w:pPr>
    </w:p>
    <w:p w14:paraId="724EDB3C">
      <w:pPr>
        <w:snapToGrid w:val="0"/>
        <w:spacing w:line="312" w:lineRule="auto"/>
        <w:ind w:firstLine="480"/>
        <w:rPr>
          <w:rFonts w:hint="default" w:ascii="Times New Roman" w:hAnsi="Times New Roman" w:cs="Times New Roman"/>
          <w:szCs w:val="24"/>
        </w:rPr>
      </w:pPr>
    </w:p>
    <w:p w14:paraId="72F770D2">
      <w:pPr>
        <w:snapToGrid w:val="0"/>
        <w:spacing w:line="312" w:lineRule="auto"/>
        <w:ind w:firstLine="480"/>
        <w:rPr>
          <w:rFonts w:hint="default" w:ascii="Times New Roman" w:hAnsi="Times New Roman" w:cs="Times New Roman"/>
          <w:szCs w:val="24"/>
        </w:rPr>
      </w:pPr>
    </w:p>
    <w:p w14:paraId="07CBB606">
      <w:pPr>
        <w:snapToGrid w:val="0"/>
        <w:spacing w:line="312" w:lineRule="auto"/>
        <w:ind w:firstLine="480"/>
        <w:rPr>
          <w:rFonts w:hint="default" w:ascii="Times New Roman" w:hAnsi="Times New Roman" w:cs="Times New Roman"/>
          <w:szCs w:val="24"/>
        </w:rPr>
      </w:pPr>
    </w:p>
    <w:p w14:paraId="3B6ADD1A">
      <w:pPr>
        <w:spacing w:line="360" w:lineRule="auto"/>
        <w:ind w:firstLine="600"/>
        <w:rPr>
          <w:rFonts w:hint="default" w:ascii="Times New Roman" w:hAnsi="Times New Roman" w:eastAsia="仿宋" w:cs="Times New Roman"/>
          <w:sz w:val="30"/>
          <w:szCs w:val="30"/>
        </w:rPr>
      </w:pPr>
      <w:r>
        <w:rPr>
          <w:rFonts w:hint="eastAsia" w:eastAsia="仿宋" w:cs="Times New Roman"/>
          <w:sz w:val="30"/>
          <w:szCs w:val="30"/>
          <w:lang w:eastAsia="zh-CN"/>
        </w:rPr>
        <w:t>发包人</w:t>
      </w:r>
      <w:r>
        <w:rPr>
          <w:rFonts w:hint="default" w:ascii="Times New Roman" w:hAnsi="Times New Roman" w:eastAsia="仿宋" w:cs="Times New Roman"/>
          <w:sz w:val="30"/>
          <w:szCs w:val="30"/>
        </w:rPr>
        <w:t>（甲方）：重庆市大渡口区跳磴镇人民政府</w:t>
      </w:r>
    </w:p>
    <w:p w14:paraId="21215C12">
      <w:pPr>
        <w:spacing w:line="360" w:lineRule="auto"/>
        <w:ind w:firstLine="600"/>
        <w:rPr>
          <w:rFonts w:hint="default" w:ascii="Times New Roman" w:hAnsi="Times New Roman" w:eastAsia="仿宋" w:cs="Times New Roman"/>
          <w:sz w:val="30"/>
          <w:szCs w:val="30"/>
          <w:u w:val="single"/>
        </w:rPr>
      </w:pPr>
      <w:r>
        <w:rPr>
          <w:rFonts w:hint="eastAsia" w:eastAsia="仿宋" w:cs="Times New Roman"/>
          <w:sz w:val="30"/>
          <w:szCs w:val="30"/>
          <w:lang w:eastAsia="zh-CN"/>
        </w:rPr>
        <w:t>承包人</w:t>
      </w:r>
      <w:r>
        <w:rPr>
          <w:rFonts w:hint="default" w:ascii="Times New Roman" w:hAnsi="Times New Roman" w:eastAsia="仿宋" w:cs="Times New Roman"/>
          <w:sz w:val="30"/>
          <w:szCs w:val="30"/>
        </w:rPr>
        <w:t>（乙方）：</w:t>
      </w:r>
    </w:p>
    <w:p w14:paraId="1E28B58A">
      <w:pPr>
        <w:spacing w:line="360" w:lineRule="auto"/>
        <w:ind w:firstLine="600"/>
        <w:rPr>
          <w:rFonts w:hint="default" w:ascii="Times New Roman" w:hAnsi="Times New Roman" w:eastAsia="仿宋" w:cs="Times New Roman"/>
          <w:sz w:val="30"/>
          <w:szCs w:val="30"/>
          <w:u w:val="single"/>
        </w:rPr>
      </w:pPr>
    </w:p>
    <w:p w14:paraId="0724A4DC">
      <w:pPr>
        <w:spacing w:line="360" w:lineRule="auto"/>
        <w:ind w:firstLine="600"/>
        <w:rPr>
          <w:rFonts w:hint="default" w:ascii="Times New Roman" w:hAnsi="Times New Roman" w:eastAsia="仿宋" w:cs="Times New Roman"/>
          <w:sz w:val="30"/>
          <w:szCs w:val="30"/>
          <w:u w:val="single"/>
        </w:rPr>
      </w:pPr>
    </w:p>
    <w:p w14:paraId="74B24F23">
      <w:pPr>
        <w:pStyle w:val="5"/>
        <w:rPr>
          <w:rFonts w:hint="default" w:ascii="Times New Roman" w:hAnsi="Times New Roman" w:eastAsia="仿宋" w:cs="Times New Roman"/>
          <w:sz w:val="30"/>
          <w:szCs w:val="30"/>
          <w:u w:val="single"/>
        </w:rPr>
      </w:pPr>
    </w:p>
    <w:p w14:paraId="091D8C59">
      <w:pPr>
        <w:rPr>
          <w:rFonts w:hint="default" w:ascii="Times New Roman" w:hAnsi="Times New Roman" w:eastAsia="仿宋" w:cs="Times New Roman"/>
          <w:sz w:val="30"/>
          <w:szCs w:val="30"/>
          <w:u w:val="single"/>
        </w:rPr>
      </w:pPr>
    </w:p>
    <w:p w14:paraId="73FB2E7E">
      <w:pPr>
        <w:spacing w:line="360" w:lineRule="auto"/>
        <w:ind w:firstLine="600"/>
        <w:jc w:val="center"/>
        <w:rPr>
          <w:rFonts w:hint="default" w:ascii="Times New Roman" w:hAnsi="Times New Roman" w:eastAsia="仿宋" w:cs="Times New Roman"/>
          <w:sz w:val="30"/>
          <w:szCs w:val="30"/>
        </w:rPr>
      </w:pP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年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 xml:space="preserve">月 </w:t>
      </w:r>
      <w:r>
        <w:rPr>
          <w:rFonts w:hint="default" w:ascii="Times New Roman" w:hAnsi="Times New Roman" w:eastAsia="仿宋" w:cs="Times New Roman"/>
          <w:sz w:val="30"/>
          <w:szCs w:val="30"/>
          <w:lang w:val="en-US" w:eastAsia="zh-CN"/>
        </w:rPr>
        <w:t xml:space="preserve">  </w:t>
      </w:r>
      <w:r>
        <w:rPr>
          <w:rFonts w:hint="default" w:ascii="Times New Roman" w:hAnsi="Times New Roman" w:eastAsia="仿宋" w:cs="Times New Roman"/>
          <w:sz w:val="30"/>
          <w:szCs w:val="30"/>
        </w:rPr>
        <w:t>日</w:t>
      </w:r>
    </w:p>
    <w:p w14:paraId="5BA19ED4">
      <w:pPr>
        <w:widowControl/>
        <w:spacing w:line="240" w:lineRule="auto"/>
        <w:ind w:firstLine="0" w:firstLineChars="0"/>
        <w:jc w:val="left"/>
        <w:rPr>
          <w:rFonts w:hint="default" w:ascii="Times New Roman" w:hAnsi="Times New Roman" w:cs="Times New Roman"/>
          <w:szCs w:val="24"/>
        </w:rPr>
      </w:pPr>
      <w:r>
        <w:rPr>
          <w:rFonts w:hint="default" w:ascii="Times New Roman" w:hAnsi="Times New Roman" w:cs="Times New Roman"/>
          <w:szCs w:val="24"/>
        </w:rPr>
        <w:br w:type="page"/>
      </w:r>
    </w:p>
    <w:p w14:paraId="3B20E584">
      <w:pPr>
        <w:spacing w:line="440" w:lineRule="exact"/>
        <w:ind w:firstLine="482"/>
        <w:rPr>
          <w:rFonts w:hint="default" w:ascii="Times New Roman" w:hAnsi="Times New Roman" w:eastAsia="仿宋" w:cs="Times New Roman"/>
          <w:snapToGrid w:val="0"/>
          <w:kern w:val="0"/>
          <w:szCs w:val="24"/>
          <w:u w:val="single"/>
        </w:rPr>
      </w:pPr>
      <w:r>
        <w:rPr>
          <w:rFonts w:hint="eastAsia" w:eastAsia="仿宋" w:cs="Times New Roman"/>
          <w:b/>
          <w:szCs w:val="24"/>
          <w:lang w:eastAsia="zh-CN"/>
        </w:rPr>
        <w:t>发包人</w:t>
      </w:r>
      <w:r>
        <w:rPr>
          <w:rFonts w:hint="default" w:ascii="Times New Roman" w:hAnsi="Times New Roman" w:eastAsia="仿宋" w:cs="Times New Roman"/>
          <w:b/>
          <w:szCs w:val="24"/>
        </w:rPr>
        <w:t>（以下简称“甲方”）：重庆市大渡口区跳磴镇人民政府</w:t>
      </w:r>
    </w:p>
    <w:p w14:paraId="0945A987">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统一社会信用代码：1150010400930799XL</w:t>
      </w:r>
    </w:p>
    <w:p w14:paraId="1F1C09B2">
      <w:pPr>
        <w:spacing w:line="440" w:lineRule="exact"/>
        <w:ind w:firstLine="482"/>
        <w:rPr>
          <w:rFonts w:hint="eastAsia" w:ascii="Times New Roman" w:hAnsi="Times New Roman" w:eastAsia="仿宋" w:cs="Times New Roman"/>
          <w:b/>
          <w:szCs w:val="24"/>
          <w:lang w:eastAsia="zh-CN"/>
        </w:rPr>
      </w:pPr>
      <w:r>
        <w:rPr>
          <w:rFonts w:hint="default" w:ascii="Times New Roman" w:hAnsi="Times New Roman" w:eastAsia="仿宋" w:cs="Times New Roman"/>
          <w:b/>
          <w:szCs w:val="24"/>
        </w:rPr>
        <w:t>法定代表人：</w:t>
      </w:r>
      <w:r>
        <w:rPr>
          <w:rFonts w:hint="eastAsia" w:eastAsia="仿宋" w:cs="Times New Roman"/>
          <w:b/>
          <w:szCs w:val="24"/>
          <w:lang w:eastAsia="zh-CN"/>
        </w:rPr>
        <w:t>丁竹</w:t>
      </w:r>
    </w:p>
    <w:p w14:paraId="0AC9FFE0">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住所地：重庆市大渡口区跳磴正街67号</w:t>
      </w:r>
    </w:p>
    <w:p w14:paraId="4A465E15">
      <w:pPr>
        <w:spacing w:line="440" w:lineRule="exact"/>
        <w:ind w:firstLine="482"/>
        <w:rPr>
          <w:rFonts w:hint="default" w:ascii="Times New Roman" w:hAnsi="Times New Roman" w:eastAsia="仿宋" w:cs="Times New Roman"/>
          <w:b/>
          <w:szCs w:val="24"/>
          <w:lang w:val="en-US" w:eastAsia="zh-CN"/>
        </w:rPr>
      </w:pPr>
      <w:r>
        <w:rPr>
          <w:rFonts w:hint="default" w:ascii="Times New Roman" w:hAnsi="Times New Roman" w:eastAsia="仿宋" w:cs="Times New Roman"/>
          <w:b/>
          <w:szCs w:val="24"/>
        </w:rPr>
        <w:t>联系方式：023-68</w:t>
      </w:r>
      <w:r>
        <w:rPr>
          <w:rFonts w:hint="eastAsia" w:eastAsia="仿宋" w:cs="Times New Roman"/>
          <w:b/>
          <w:szCs w:val="24"/>
          <w:lang w:val="en-US" w:eastAsia="zh-CN"/>
        </w:rPr>
        <w:t>535376</w:t>
      </w:r>
    </w:p>
    <w:p w14:paraId="7A1B9A05">
      <w:pPr>
        <w:spacing w:line="440" w:lineRule="exact"/>
        <w:ind w:firstLine="482"/>
        <w:rPr>
          <w:rFonts w:hint="default" w:ascii="Times New Roman" w:hAnsi="Times New Roman" w:eastAsia="仿宋" w:cs="Times New Roman"/>
          <w:b/>
          <w:szCs w:val="24"/>
          <w:u w:val="single"/>
        </w:rPr>
      </w:pPr>
    </w:p>
    <w:p w14:paraId="3031A1B4">
      <w:pPr>
        <w:spacing w:line="440" w:lineRule="exact"/>
        <w:ind w:firstLine="482"/>
        <w:rPr>
          <w:rFonts w:hint="default" w:ascii="Times New Roman" w:hAnsi="Times New Roman" w:eastAsia="仿宋" w:cs="Times New Roman"/>
          <w:b/>
          <w:szCs w:val="24"/>
        </w:rPr>
      </w:pPr>
      <w:r>
        <w:rPr>
          <w:rFonts w:hint="eastAsia" w:eastAsia="仿宋" w:cs="Times New Roman"/>
          <w:b/>
          <w:szCs w:val="24"/>
          <w:lang w:eastAsia="zh-CN"/>
        </w:rPr>
        <w:t>承包人</w:t>
      </w:r>
      <w:r>
        <w:rPr>
          <w:rFonts w:hint="default" w:ascii="Times New Roman" w:hAnsi="Times New Roman" w:eastAsia="仿宋" w:cs="Times New Roman"/>
          <w:b/>
          <w:szCs w:val="24"/>
        </w:rPr>
        <w:t>（以下简称“乙方”）：</w:t>
      </w:r>
    </w:p>
    <w:p w14:paraId="0EA4EF16">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统一社会信用代码：</w:t>
      </w:r>
    </w:p>
    <w:p w14:paraId="4D3BAE75">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法定代表人：</w:t>
      </w:r>
    </w:p>
    <w:p w14:paraId="525CE9A4">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住所地：</w:t>
      </w:r>
    </w:p>
    <w:p w14:paraId="0E83F01F">
      <w:pPr>
        <w:spacing w:line="440" w:lineRule="exact"/>
        <w:ind w:firstLine="482"/>
        <w:rPr>
          <w:rFonts w:hint="default" w:ascii="Times New Roman" w:hAnsi="Times New Roman" w:eastAsia="仿宋" w:cs="Times New Roman"/>
          <w:b/>
          <w:szCs w:val="24"/>
        </w:rPr>
      </w:pPr>
      <w:r>
        <w:rPr>
          <w:rFonts w:hint="default" w:ascii="Times New Roman" w:hAnsi="Times New Roman" w:eastAsia="仿宋" w:cs="Times New Roman"/>
          <w:b/>
          <w:szCs w:val="24"/>
        </w:rPr>
        <w:t>联系方式：</w:t>
      </w:r>
    </w:p>
    <w:p w14:paraId="799AF234">
      <w:pPr>
        <w:spacing w:line="440" w:lineRule="exact"/>
        <w:ind w:left="420" w:firstLine="482"/>
        <w:rPr>
          <w:rFonts w:hint="default" w:ascii="Times New Roman" w:hAnsi="Times New Roman" w:eastAsia="仿宋" w:cs="Times New Roman"/>
          <w:b/>
          <w:szCs w:val="24"/>
          <w:u w:val="single"/>
        </w:rPr>
      </w:pPr>
    </w:p>
    <w:p w14:paraId="59D56434">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依照《中华人民共和国民法典》及其他有关法律、行政法规、遵循平等、自愿、公平和诚实信用的原则，甲、乙双方就</w:t>
      </w:r>
      <w:r>
        <w:rPr>
          <w:rFonts w:hint="eastAsia" w:ascii="仿宋" w:hAnsi="仿宋" w:eastAsia="仿宋" w:cs="仿宋"/>
          <w:color w:val="auto"/>
          <w:sz w:val="24"/>
          <w:szCs w:val="24"/>
          <w:highlight w:val="none"/>
          <w:u w:val="single"/>
          <w:lang w:val="en-US" w:eastAsia="zh-CN"/>
        </w:rPr>
        <w:t>轨道18号线桥下空间地块建设中顺社区口袋公园</w:t>
      </w:r>
      <w:r>
        <w:rPr>
          <w:rFonts w:hint="eastAsia" w:ascii="仿宋" w:hAnsi="仿宋" w:eastAsia="仿宋" w:cs="仿宋"/>
          <w:color w:val="auto"/>
          <w:sz w:val="24"/>
          <w:szCs w:val="24"/>
          <w:highlight w:val="none"/>
          <w:u w:val="none"/>
          <w:lang w:val="en-US" w:eastAsia="zh-CN"/>
        </w:rPr>
        <w:t>施工</w:t>
      </w:r>
      <w:r>
        <w:rPr>
          <w:rFonts w:hint="eastAsia" w:ascii="仿宋" w:hAnsi="仿宋" w:eastAsia="仿宋" w:cs="仿宋"/>
          <w:color w:val="auto"/>
          <w:sz w:val="24"/>
          <w:szCs w:val="24"/>
          <w:highlight w:val="none"/>
        </w:rPr>
        <w:t>，经过充分协商、并明确双方权利和义务，商达成以下合同协议条款。</w:t>
      </w:r>
    </w:p>
    <w:p w14:paraId="505CC582">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一、工程概况</w:t>
      </w:r>
    </w:p>
    <w:p w14:paraId="1FA2CC5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1．工程名称：</w:t>
      </w:r>
      <w:r>
        <w:rPr>
          <w:rFonts w:hint="eastAsia" w:ascii="仿宋" w:hAnsi="仿宋" w:eastAsia="仿宋" w:cs="仿宋"/>
          <w:color w:val="auto"/>
          <w:sz w:val="24"/>
          <w:szCs w:val="24"/>
          <w:highlight w:val="none"/>
          <w:u w:val="single"/>
          <w:lang w:val="en-US" w:eastAsia="zh-CN"/>
        </w:rPr>
        <w:t>轨道18号线桥下空间地块建设中顺社区口袋公园</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p>
    <w:p w14:paraId="1F26C9C5">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2．工程地点：</w:t>
      </w:r>
      <w:r>
        <w:rPr>
          <w:rFonts w:hint="eastAsia" w:ascii="仿宋" w:hAnsi="仿宋" w:eastAsia="仿宋" w:cs="仿宋"/>
          <w:color w:val="auto"/>
          <w:sz w:val="24"/>
          <w:szCs w:val="24"/>
          <w:highlight w:val="none"/>
          <w:u w:val="single"/>
          <w:lang w:val="en-US" w:eastAsia="zh-CN"/>
        </w:rPr>
        <w:t xml:space="preserve">大渡口区跳磴镇  </w:t>
      </w:r>
    </w:p>
    <w:p w14:paraId="695B0854">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3．资金来源：</w:t>
      </w:r>
      <w:r>
        <w:rPr>
          <w:rFonts w:hint="eastAsia" w:ascii="仿宋" w:hAnsi="仿宋" w:eastAsia="仿宋" w:cs="仿宋"/>
          <w:color w:val="auto"/>
          <w:sz w:val="24"/>
          <w:szCs w:val="24"/>
          <w:highlight w:val="none"/>
          <w:u w:val="single"/>
          <w:lang w:val="en-US" w:eastAsia="zh-CN"/>
        </w:rPr>
        <w:t>财政资金</w:t>
      </w:r>
    </w:p>
    <w:p w14:paraId="1A0A056F">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4. </w:t>
      </w:r>
      <w:r>
        <w:rPr>
          <w:rFonts w:hint="eastAsia" w:ascii="仿宋" w:hAnsi="仿宋" w:eastAsia="仿宋" w:cs="仿宋"/>
          <w:color w:val="auto"/>
          <w:sz w:val="24"/>
          <w:szCs w:val="24"/>
          <w:highlight w:val="none"/>
        </w:rPr>
        <w:t>工程内容：</w:t>
      </w:r>
      <w:r>
        <w:rPr>
          <w:rFonts w:hint="eastAsia" w:ascii="仿宋" w:hAnsi="仿宋" w:eastAsia="仿宋" w:cs="仿宋"/>
          <w:color w:val="auto"/>
          <w:sz w:val="24"/>
          <w:szCs w:val="24"/>
          <w:highlight w:val="none"/>
          <w:u w:val="single"/>
          <w:lang w:val="en-US" w:eastAsia="zh-CN"/>
        </w:rPr>
        <w:t>建设满足居民改善环境、休息休憩、便民生活于一体的口袋公园，拟启动中顺社区口袋公园建设项目，通过设置花草植物、增设座椅、健身器材等，提升路口景观，美化城市环境。具体工程内容详见施工图设计和工程量清单。</w:t>
      </w:r>
      <w:bookmarkStart w:id="165" w:name="_Toc532375574"/>
      <w:bookmarkStart w:id="166" w:name="_Toc351203482"/>
      <w:bookmarkStart w:id="167" w:name="_Toc532377167"/>
    </w:p>
    <w:p w14:paraId="64BA5C8A">
      <w:pPr>
        <w:pageBreakBefore w:val="0"/>
        <w:kinsoku/>
        <w:wordWrap/>
        <w:overflowPunct/>
        <w:topLinePunct w:val="0"/>
        <w:bidi w:val="0"/>
        <w:snapToGrid w:val="0"/>
        <w:spacing w:line="500" w:lineRule="exact"/>
        <w:ind w:firstLine="540"/>
        <w:textAlignment w:val="auto"/>
        <w:rPr>
          <w:rFonts w:hint="eastAsia" w:ascii="仿宋" w:hAnsi="仿宋" w:eastAsia="仿宋" w:cs="仿宋"/>
          <w:b/>
          <w:bCs/>
          <w:color w:val="auto"/>
          <w:kern w:val="2"/>
          <w:sz w:val="24"/>
          <w:szCs w:val="24"/>
          <w:highlight w:val="none"/>
        </w:rPr>
      </w:pPr>
      <w:r>
        <w:rPr>
          <w:rFonts w:hint="eastAsia" w:ascii="仿宋" w:hAnsi="仿宋" w:eastAsia="仿宋" w:cs="仿宋"/>
          <w:b/>
          <w:bCs/>
          <w:color w:val="auto"/>
          <w:kern w:val="2"/>
          <w:sz w:val="24"/>
          <w:szCs w:val="24"/>
          <w:highlight w:val="none"/>
        </w:rPr>
        <w:t>二、合同工期</w:t>
      </w:r>
      <w:bookmarkEnd w:id="165"/>
      <w:bookmarkEnd w:id="166"/>
      <w:bookmarkEnd w:id="167"/>
    </w:p>
    <w:p w14:paraId="60BFD19F">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合同工期：30日历天，开工日期以甲方正式通知为准。</w:t>
      </w:r>
    </w:p>
    <w:p w14:paraId="504A19B8">
      <w:pPr>
        <w:pStyle w:val="6"/>
        <w:keepNext/>
        <w:keepLines/>
        <w:pageBreakBefore w:val="0"/>
        <w:kinsoku/>
        <w:wordWrap/>
        <w:overflowPunct/>
        <w:topLinePunct w:val="0"/>
        <w:autoSpaceDE/>
        <w:autoSpaceDN/>
        <w:bidi w:val="0"/>
        <w:adjustRightInd/>
        <w:snapToGrid/>
        <w:spacing w:before="120" w:after="120" w:line="500" w:lineRule="exact"/>
        <w:ind w:firstLine="482" w:firstLineChars="200"/>
        <w:jc w:val="both"/>
        <w:textAlignment w:val="auto"/>
        <w:rPr>
          <w:rFonts w:hint="eastAsia" w:ascii="仿宋" w:hAnsi="仿宋" w:eastAsia="仿宋" w:cs="仿宋"/>
          <w:color w:val="auto"/>
          <w:kern w:val="2"/>
          <w:sz w:val="24"/>
          <w:szCs w:val="24"/>
          <w:highlight w:val="none"/>
        </w:rPr>
      </w:pPr>
      <w:bookmarkStart w:id="168" w:name="_Toc532375575"/>
      <w:bookmarkStart w:id="169" w:name="_Toc351203483"/>
      <w:bookmarkStart w:id="170" w:name="_Toc532377168"/>
      <w:r>
        <w:rPr>
          <w:rFonts w:hint="eastAsia" w:ascii="仿宋" w:hAnsi="仿宋" w:eastAsia="仿宋" w:cs="仿宋"/>
          <w:color w:val="auto"/>
          <w:kern w:val="2"/>
          <w:sz w:val="24"/>
          <w:szCs w:val="24"/>
          <w:highlight w:val="none"/>
        </w:rPr>
        <w:t>三、质量标准</w:t>
      </w:r>
      <w:bookmarkEnd w:id="168"/>
      <w:bookmarkEnd w:id="169"/>
      <w:bookmarkEnd w:id="170"/>
    </w:p>
    <w:p w14:paraId="1808EF2F">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u w:val="none"/>
        </w:rPr>
      </w:pPr>
      <w:r>
        <w:rPr>
          <w:rFonts w:hint="eastAsia" w:ascii="仿宋" w:hAnsi="仿宋" w:eastAsia="仿宋" w:cs="仿宋"/>
          <w:color w:val="auto"/>
          <w:sz w:val="24"/>
          <w:szCs w:val="24"/>
          <w:highlight w:val="none"/>
        </w:rPr>
        <w:t>工程质量符合强制性质量标准，</w:t>
      </w:r>
      <w:r>
        <w:rPr>
          <w:rFonts w:hint="eastAsia" w:ascii="仿宋" w:hAnsi="仿宋" w:eastAsia="仿宋" w:cs="仿宋"/>
          <w:color w:val="auto"/>
          <w:sz w:val="24"/>
          <w:szCs w:val="24"/>
          <w:highlight w:val="none"/>
          <w:u w:val="none"/>
        </w:rPr>
        <w:t>符合国家和重庆市现行有关施工质量验收规范要求，并达到合格标准。</w:t>
      </w:r>
    </w:p>
    <w:p w14:paraId="7FFAD1B3">
      <w:pPr>
        <w:pStyle w:val="6"/>
        <w:keepNext/>
        <w:keepLines/>
        <w:pageBreakBefore w:val="0"/>
        <w:kinsoku/>
        <w:wordWrap/>
        <w:overflowPunct/>
        <w:topLinePunct w:val="0"/>
        <w:autoSpaceDE/>
        <w:autoSpaceDN/>
        <w:bidi w:val="0"/>
        <w:adjustRightInd/>
        <w:snapToGrid/>
        <w:spacing w:before="120" w:after="120" w:line="500" w:lineRule="exact"/>
        <w:ind w:firstLine="482" w:firstLineChars="200"/>
        <w:jc w:val="both"/>
        <w:textAlignment w:val="auto"/>
        <w:rPr>
          <w:rFonts w:hint="eastAsia" w:ascii="仿宋" w:hAnsi="仿宋" w:eastAsia="仿宋" w:cs="仿宋"/>
          <w:color w:val="auto"/>
          <w:kern w:val="2"/>
          <w:sz w:val="24"/>
          <w:szCs w:val="24"/>
          <w:highlight w:val="none"/>
        </w:rPr>
      </w:pPr>
      <w:bookmarkStart w:id="171" w:name="_Toc532375576"/>
      <w:bookmarkStart w:id="172" w:name="_Toc351203484"/>
      <w:bookmarkStart w:id="173" w:name="_Toc532377169"/>
      <w:r>
        <w:rPr>
          <w:rFonts w:hint="eastAsia" w:ascii="仿宋" w:hAnsi="仿宋" w:eastAsia="仿宋" w:cs="仿宋"/>
          <w:color w:val="auto"/>
          <w:kern w:val="2"/>
          <w:sz w:val="24"/>
          <w:szCs w:val="24"/>
          <w:highlight w:val="none"/>
          <w:lang w:eastAsia="zh-CN"/>
        </w:rPr>
        <w:t>四</w:t>
      </w:r>
      <w:r>
        <w:rPr>
          <w:rFonts w:hint="eastAsia" w:ascii="仿宋" w:hAnsi="仿宋" w:eastAsia="仿宋" w:cs="仿宋"/>
          <w:color w:val="auto"/>
          <w:kern w:val="2"/>
          <w:sz w:val="24"/>
          <w:szCs w:val="24"/>
          <w:highlight w:val="none"/>
        </w:rPr>
        <w:t>、签约合同价与合同价格形式</w:t>
      </w:r>
      <w:bookmarkEnd w:id="171"/>
      <w:bookmarkEnd w:id="172"/>
      <w:bookmarkEnd w:id="173"/>
      <w:r>
        <w:rPr>
          <w:rFonts w:hint="eastAsia" w:ascii="仿宋" w:hAnsi="仿宋" w:eastAsia="仿宋" w:cs="仿宋"/>
          <w:color w:val="auto"/>
          <w:kern w:val="2"/>
          <w:sz w:val="24"/>
          <w:szCs w:val="24"/>
          <w:highlight w:val="none"/>
        </w:rPr>
        <w:tab/>
      </w:r>
    </w:p>
    <w:p w14:paraId="3C4919C9">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签约合同价</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含税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w:t>
      </w:r>
    </w:p>
    <w:p w14:paraId="3A95586C">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元）；</w:t>
      </w:r>
    </w:p>
    <w:p w14:paraId="72DD9971">
      <w:pPr>
        <w:pageBreakBefore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合同价格形式：</w:t>
      </w:r>
      <w:r>
        <w:rPr>
          <w:rFonts w:hint="eastAsia" w:ascii="仿宋" w:hAnsi="仿宋" w:eastAsia="仿宋" w:cs="仿宋"/>
          <w:color w:val="auto"/>
          <w:sz w:val="24"/>
          <w:szCs w:val="24"/>
          <w:highlight w:val="none"/>
          <w:u w:val="single"/>
        </w:rPr>
        <w:t>固定综合单价合同</w:t>
      </w:r>
      <w:r>
        <w:rPr>
          <w:rFonts w:hint="eastAsia" w:ascii="仿宋" w:hAnsi="仿宋" w:eastAsia="仿宋" w:cs="仿宋"/>
          <w:color w:val="auto"/>
          <w:sz w:val="24"/>
          <w:szCs w:val="24"/>
          <w:highlight w:val="none"/>
        </w:rPr>
        <w:t>。</w:t>
      </w:r>
    </w:p>
    <w:p w14:paraId="213AE19F">
      <w:pPr>
        <w:pageBreakBefore w:val="0"/>
        <w:widowControl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、付款方式</w:t>
      </w:r>
    </w:p>
    <w:p w14:paraId="2F7FBE85">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本项目支付合同价款的50%作为工程预付款，在乙方和甲方签订合同，且乙方提供与预付款同等额度的担保函后，甲方向乙方支付预付款。如乙方收到预付款后不履行相关义务，甲方通过担保函收回已支付的预付款。乙方明确表达不需要预付款的，甲方不再支付预付款；</w:t>
      </w:r>
    </w:p>
    <w:p w14:paraId="58F52930">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预付款扣回的方式：无</w:t>
      </w:r>
    </w:p>
    <w:p w14:paraId="565605CC">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2、工程竣工验收合格后甲方在30个工作日内向乙方支付至签约合同金额的80%；</w:t>
      </w:r>
    </w:p>
    <w:p w14:paraId="0FAA7C43">
      <w:pPr>
        <w:pageBreakBefore w:val="0"/>
        <w:kinsoku/>
        <w:wordWrap/>
        <w:overflowPunct/>
        <w:topLinePunct w:val="0"/>
        <w:bidi w:val="0"/>
        <w:snapToGrid w:val="0"/>
        <w:spacing w:line="500" w:lineRule="exact"/>
        <w:ind w:firstLine="54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3、完成结算评审且成交供应商按要求提交质量保证金甲方在30个工作日内向成交供应商支付至结算审定金额的100%；</w:t>
      </w:r>
    </w:p>
    <w:p w14:paraId="10AF34C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注：以上均为无息支付，每次支付工程款时，乙方必须按甲方要求提供足额合法有效的发票。</w:t>
      </w:r>
      <w:r>
        <w:rPr>
          <w:rFonts w:hint="eastAsia" w:ascii="仿宋" w:hAnsi="仿宋" w:eastAsia="仿宋" w:cs="仿宋"/>
          <w:color w:val="auto"/>
          <w:sz w:val="24"/>
          <w:szCs w:val="24"/>
          <w:highlight w:val="none"/>
        </w:rPr>
        <w:t>否则甲方有权顺延支付合同款项，由此造成的一切损失由乙方自行承担。</w:t>
      </w:r>
      <w:r>
        <w:rPr>
          <w:rFonts w:hint="eastAsia" w:ascii="仿宋" w:hAnsi="仿宋" w:eastAsia="仿宋" w:cs="仿宋"/>
          <w:color w:val="auto"/>
          <w:sz w:val="24"/>
          <w:szCs w:val="24"/>
          <w:highlight w:val="none"/>
          <w:lang w:eastAsia="zh-CN"/>
        </w:rPr>
        <w:t>注：因财政资金未到账，乙方须无条件接受支付顺延。</w:t>
      </w:r>
    </w:p>
    <w:p w14:paraId="26803827">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六</w:t>
      </w:r>
      <w:r>
        <w:rPr>
          <w:rFonts w:hint="eastAsia" w:ascii="仿宋" w:hAnsi="仿宋" w:eastAsia="仿宋" w:cs="仿宋"/>
          <w:b/>
          <w:bCs/>
          <w:color w:val="auto"/>
          <w:sz w:val="24"/>
          <w:szCs w:val="24"/>
          <w:highlight w:val="none"/>
        </w:rPr>
        <w:t>、结算原则</w:t>
      </w:r>
    </w:p>
    <w:p w14:paraId="565C0E01">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注：采购范围内部分按成交单价结算，合同金额均以人民币(元)为单位结算，本次采购工程量为暂定工程量，结算时据实结算。由此产生的风险，各投标供应商在投标报价时综合考虑。</w:t>
      </w:r>
    </w:p>
    <w:p w14:paraId="058BF922">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（一）固定综合单价部分</w:t>
      </w:r>
    </w:p>
    <w:p w14:paraId="17E00598">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结算总价=各分部分项工程结算价+措施项目费+其他项目费+规费+ 税金+分部分项工程量清单新增或变更等引起的增（减）子项结算价+合同约定的其他费用,具体结算办法如下：</w:t>
      </w:r>
    </w:p>
    <w:p w14:paraId="50510DEB">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1、分部分项工程：</w:t>
      </w:r>
    </w:p>
    <w:p w14:paraId="1CC7244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1.1、按《市政工程工程量计算规范》（GB50857-2013）、《通用安装工程工程量计算规范》（GB50856-2013）、《重庆市建设工程工程量计算规则》（CQJLGZ－2013）约定的计量规则计算的实际合格工程量。</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1.2、子项综合单价以成交供应商投标报价时的分部分项工程量清单中子项成交综合单价为结算依据。</w:t>
      </w:r>
    </w:p>
    <w:p w14:paraId="780C8008">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2、措施项目：</w:t>
      </w:r>
    </w:p>
    <w:p w14:paraId="559654B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2.1、无论因设计变更或施工工艺变化等任何因素而引起实际措施费的变化，施工组织措施项目费均以投标时的施工组织措施项目费报价作为结算价（除安全文明施工费用外）。</w:t>
      </w:r>
    </w:p>
    <w:p w14:paraId="5E3B1DD4">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2.2、按《重庆市建设工程安全文明施工费计取及使用管理规定》的通知渝建管〔2024〕38号文记取。</w:t>
      </w:r>
    </w:p>
    <w:p w14:paraId="6BD3990D">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2.3、施工技术措施项目费：</w:t>
      </w:r>
    </w:p>
    <w:p w14:paraId="5084C01D">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（1）技术措施清单中以项计列的项目，无论因设计变更或施工工艺变化等任何因素而引起实际措施费的变化，均按投标时施工技术措施项目费的报价作为结算价。</w:t>
      </w:r>
    </w:p>
    <w:p w14:paraId="1BD51079">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（2）技术措施清单中以项目编码、项目名称、项目特征、工程内容、工程量及计量单位列项的项目，按照本章竣工结算原则（一）分部分项计算原则执行。</w:t>
      </w:r>
    </w:p>
    <w:p w14:paraId="0B301DB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3、其他项目：</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3.1、材料（工程设备）暂估价：按照计量原则约定及对应定额消耗量确定的数量乘以监理人（若有）、跟审单位（若有）、采购人根据市场行情认质核价确定的价格进行结算。</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3.2、本工程采用专业工程暂估价或暂列金额采购的，结算时按实结算。其中以暂列金额采购的施工内容实施与否由采购人决定。</w:t>
      </w:r>
    </w:p>
    <w:p w14:paraId="5B80FFEC">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3.3、暂列金额：采购人给出的暂列金额（如有）采购人有权全部使用、部分使用或完全不用；如需实施，须经过采购人确认，结算原则参照本询比文件结算条款执行，费用须经过采购人及结算审核单位审核。</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4、规费：按《重庆市建设工程费用定额》（CQFYDE-2018）执行。</w:t>
      </w:r>
      <w:r>
        <w:rPr>
          <w:rFonts w:hint="eastAsia" w:ascii="仿宋" w:hAnsi="仿宋" w:eastAsia="仿宋" w:cs="仿宋"/>
          <w:bCs/>
          <w:color w:val="auto"/>
          <w:sz w:val="24"/>
          <w:szCs w:val="24"/>
          <w:highlight w:val="none"/>
          <w:lang w:val="en-US" w:eastAsia="zh-CN"/>
        </w:rPr>
        <w:br w:type="textWrapping"/>
      </w:r>
      <w:r>
        <w:rPr>
          <w:rFonts w:hint="eastAsia" w:ascii="仿宋" w:hAnsi="仿宋" w:eastAsia="仿宋" w:cs="仿宋"/>
          <w:bCs/>
          <w:color w:val="auto"/>
          <w:sz w:val="24"/>
          <w:szCs w:val="24"/>
          <w:highlight w:val="none"/>
          <w:lang w:val="en-US" w:eastAsia="zh-CN"/>
        </w:rPr>
        <w:t xml:space="preserve">    5、税金：按《重庆市建设工程费用定额》（CQFYDE-2018）、《重庆市城乡建设委员会关于适用增值税新税率调整建设工程计价依据的通知》（渝建〔2019〕143号）规定执行，环境保护税按实结算。</w:t>
      </w:r>
    </w:p>
    <w:p w14:paraId="7159AE27">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6、工程施工中如因设计变更发生的工程量增减或实施项目发生变化，在工程结算时根据监理工程师（若有）和采购人共同确认的竣工图和工程变更进行调整。其价格按下列办法确定：</w:t>
      </w:r>
    </w:p>
    <w:p w14:paraId="4FE4998B">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（1）、成交价工程量清单中有相同项目的，按相应项目单价执行；</w:t>
      </w:r>
    </w:p>
    <w:p w14:paraId="2CDB7AC1">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（2）、成交价工程量清单中有类似项目的，参照相应项目单价执行。</w:t>
      </w:r>
    </w:p>
    <w:p w14:paraId="1CAC6D4B">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已标价的工程量清单没有适用也没有类似于变更工程项目的，按《建设工程工程量清单计价规范》（GB50500-2013）、《重庆市建设工程工程量清单计价规则》（CQJJGZ-2013）、《重庆市建设工程工程量计算规则》（CQJLGZ－2013）、《房屋建筑与装饰工程工程量计算规范》（GB50854-2013）、《通用安装工程工程量计算规范》（GB50856-2013）、《市政工程工程量计算规范》（GB50857-2013）、《重庆市房屋建筑与装饰工程计价定额》（CQJZZSDE-2018）、《重庆市通用安装工程计价定额》（CQAZDE-2018）、《重庆市市政工程计价定额》（CQSZDE-2018）、《重庆市绿色建筑工程计价定额》（CQLSJZDE-2018）、《重庆市建设工程费用定额》（CQFYDE-2018）、《重庆市建设工程施工机械台班定额》（CQJXDE-2018）、《重庆市建设工程施工仪器仪表台班定额》（CQYQYBDE-2018）、《关于印发关于适用增值税新税率调整建设工程计价依据的通知》（渝建【2019】143号）以及上述定额的综合解释及相关配套文件、磋商文件、合同等相关规定进行组价。中标价中没有的材料单价按施工期间重庆市建设工程造价总站主办的《重庆工程造价》公布的信息价算术平均值执行，《重庆工程造价》没有的材料价格由中标人报采购人和监理人（若有）认质核价，最终结算综合单价以结算评审单位审核认定为准。</w:t>
      </w:r>
    </w:p>
    <w:p w14:paraId="0E9A078F">
      <w:pPr>
        <w:pStyle w:val="2"/>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（二）全费用综合单价部分</w:t>
      </w:r>
    </w:p>
    <w:p w14:paraId="585E7CDF">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结算总价=子项综合单价以成交供应商投标报价时的分部分项工程量清单中子项成交综合单价为结算依据×实际合格工程量。</w:t>
      </w:r>
    </w:p>
    <w:p w14:paraId="49E8274E">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（三）合同约定其他费用：</w:t>
      </w:r>
    </w:p>
    <w:p w14:paraId="073FD0F3">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1、采购人要求成交供应商完成合同以外施工范围内或施工范围外但与本施工项目有密切关系的零星项目，成交供应商应接受采购人施工要求。</w:t>
      </w:r>
    </w:p>
    <w:p w14:paraId="63FC42D3">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2、工程实施过程中，采购人有权对本项目具体实施工程进行合理调整，对此造成的工程量增加或减少，由此带来的风险已进入本合同中，承包人不能对此有任何异议或者要求经济补偿。</w:t>
      </w:r>
    </w:p>
    <w:p w14:paraId="1BF0A3E4">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（四）本工程结算金额最终以结算审核单位审定的金额为准。</w:t>
      </w:r>
    </w:p>
    <w:p w14:paraId="6E4E99FD">
      <w:pPr>
        <w:keepNext w:val="0"/>
        <w:keepLines w:val="0"/>
        <w:pageBreakBefore w:val="0"/>
        <w:widowControl w:val="0"/>
        <w:kinsoku/>
        <w:wordWrap/>
        <w:overflowPunct/>
        <w:topLinePunct w:val="0"/>
        <w:bidi w:val="0"/>
        <w:spacing w:line="500" w:lineRule="exact"/>
        <w:ind w:firstLine="480" w:firstLineChars="20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五）施工单位须做好施工全过程中相关工程资料的留存，须有施工现场的施工前后及期间相应节点的对比影像资料（特别是隐蔽工程及暂列金额工程）用于后期结算。因缺少影像资料造成无法办理相关工程内容结算的损失由施工单位自行承担。</w:t>
      </w:r>
    </w:p>
    <w:p w14:paraId="21088F89">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七</w:t>
      </w:r>
      <w:r>
        <w:rPr>
          <w:rFonts w:hint="eastAsia" w:ascii="仿宋" w:hAnsi="仿宋" w:eastAsia="仿宋" w:cs="仿宋"/>
          <w:b/>
          <w:bCs/>
          <w:color w:val="auto"/>
          <w:sz w:val="24"/>
          <w:szCs w:val="24"/>
          <w:highlight w:val="none"/>
        </w:rPr>
        <w:t>、双方权利及责任</w:t>
      </w:r>
    </w:p>
    <w:p w14:paraId="65A5083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1.甲方权利及责任</w:t>
      </w:r>
    </w:p>
    <w:p w14:paraId="008D681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1.1组织有关单位及人员对施工图等技术资料进行审定。</w:t>
      </w:r>
    </w:p>
    <w:p w14:paraId="7E9E07E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1.2提供乙方施工临时用水、用电等。</w:t>
      </w:r>
    </w:p>
    <w:p w14:paraId="34DC5C22">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1.3按合同约定及时支付乙方工程款项。</w:t>
      </w:r>
    </w:p>
    <w:p w14:paraId="4AC36CC8">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1.4协调第三方检测机构进行相关检测。</w:t>
      </w:r>
    </w:p>
    <w:p w14:paraId="22F5933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施工完毕，由乙方及时清运建筑垃圾，并做好施工现场地面及其他地方的清洁后，书面通知甲方验收。甲方按合同约定的施工要求逐项检查验收，如发现乙方未按合同要求进行施工，甲方有权向乙方书面提出限期3日内整改，如乙方拒绝整改或不在规定时限内进行整改，属乙方违约，甲方有权终止合同，乙方按合同总金额的10 %支付违约金给甲方。</w:t>
      </w:r>
    </w:p>
    <w:p w14:paraId="28B25216">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1.6向乙方提供施工相关要求及标准。</w:t>
      </w:r>
    </w:p>
    <w:p w14:paraId="632123E1">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对乙方进场的货物、材料按合同约定进行抽查，经现场抽查不合要求的，有权要求乙方立即停止使用并立即更换；如果乙方拒绝更换，甲方有权终止合同。甲方如果发现乙方在施工过程中使用假冒伪劣产品，将对乙方按照相关法律法规移交相关部门进行处理。</w:t>
      </w:r>
    </w:p>
    <w:p w14:paraId="64C7095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因乙方在施工过程中，存在不按合同要求，不按施工图和消防技术标准、国家规范施工标准或不按要求恢复原状的行为，甲方有权要求乙方停止施工，并要求乙方赔偿损失，同时甲方有权终止合同。</w:t>
      </w:r>
    </w:p>
    <w:p w14:paraId="09D12FE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1.9工程施工过程中的设计变更和材料更换等现场签证均由甲方现场代表签字生效，作为决算依据。</w:t>
      </w:r>
    </w:p>
    <w:p w14:paraId="17EC2E8D">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2.乙方权利及责任</w:t>
      </w:r>
    </w:p>
    <w:p w14:paraId="00BE773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乙方在施工期间应严格遵守《建筑安装工程安全技术规程》、《建筑安装工人安全操作规程》、《中华人民共和国消防条例》和其它相关的法规、规范。严格执行施工规范、安全操作规程、防火安全规定、环境保护规定。按照图纸或作法说明进行施工，做好各项质量检查记录，参加竣工验收。</w:t>
      </w:r>
    </w:p>
    <w:p w14:paraId="2C8DEDBE">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进场施工前，组织相关人员进行施工技术、安全文明生产的交底。遵守国家或地方政府及有关政府部门对施工现场管理的规定，妥善保护好施工现场周围建筑物、设备管线不受损坏，不影响正常上班秩序，做好施工现场保卫、和垃圾清理等工作，处理好由于施工带来的扰民问题及周围单位的关系。</w:t>
      </w:r>
    </w:p>
    <w:p w14:paraId="50034EE6">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2.3乙方在现场施工时，必须服从甲方的统一管理和协调。</w:t>
      </w:r>
    </w:p>
    <w:p w14:paraId="57ADD898">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2.4严格按照合同的相关约定组织货物材料设备和器材进场。</w:t>
      </w:r>
    </w:p>
    <w:p w14:paraId="267F6E23">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在施工过程中，乙方必须严格按照本合同要求、施工方案、相关消防技术标准、规范进行施工，确保工程施工质量；乙方负责安全拆除阻碍施工的物品，并尽好保管和恢复义务，完工后必须按原状进行恢复，如有损坏承担赔偿责任及费用；施工过程中要确保施工区域和非施工区域及物资的安全，必须做好安全防护措施，因施工造成施工区域和非施工区域及物资的损坏，因施工造成甲方人员、施工人员及其他善意第三人的人身伤害、财产损失等，均由乙方承担全部赔偿责任，甲方不承担任何责任。</w:t>
      </w:r>
    </w:p>
    <w:p w14:paraId="6C3B35A4">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乙方承担恢复原状及赔偿责任，并承担由此涉及的所有费用。施工中未经甲方同意或有关部门批准，不得随意拆改原建筑物结构及此次工程外的各种设备管线。</w:t>
      </w:r>
    </w:p>
    <w:p w14:paraId="15D90C5D">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2.6整个施工过程不得影响甲方正常工作及休息，要按甲方要求做好无尘、静音施工防护措施，由于本次施工涉及用电，为确保安全，乙方必须按国家标准要求做好绝缘施工安全保护措施，如因乙方不作防护、保护措施，造成甲方人员、施工人员及其他善意第三人的人身伤害、财产损失等，由乙方承担全部赔偿责任。</w:t>
      </w:r>
    </w:p>
    <w:p w14:paraId="51EAC44D">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2.7项目施工结束后，乙方应积极配合甲方进行第三方专业检测验收等。</w:t>
      </w:r>
    </w:p>
    <w:p w14:paraId="1C2DAC0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2.8加强安全文明施工管理，严格落实安全主体责任，乙方在施工期间必须要采取恰当的防护措施，保护施工人员、过路人员、附近人员或善意第三人的人身财产安全，同时要保护施工现场和周边的物资、财产安全，乙方因施工造成的一切安全事故（包括人身、财产安全等），由乙方承担全部赔偿责任，甲方不承担任何责任。</w:t>
      </w:r>
    </w:p>
    <w:p w14:paraId="2BE768E3">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2.9由于乙方原因造成质量事故，其返工费用由乙方承担，工期不顺延。如因乙方原因造成的工期延误、质量责任的一切经济损失由乙方承担，甲方有权终止合同，并不予支付工程款。</w:t>
      </w:r>
    </w:p>
    <w:p w14:paraId="6802B7AF">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2.10乙方在施工期间，需采取设置安全警示牌等形式，提示相关人员。乙方必须加强施工期间安全管理，履行和落实安全主体责任，施工或准备过程中发生的安全事故由成交</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自行负责，所有安全责任等与</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无关。</w:t>
      </w:r>
    </w:p>
    <w:p w14:paraId="0360C1D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2.11乙方承建的本合同涉及的工程，不允许转包或分包给第三方，如出现转包、分包情况，甲方有权终止合同。</w:t>
      </w:r>
    </w:p>
    <w:p w14:paraId="443222C9">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2.12乙方应当保证所提交的营业执照、资质证书等所有文件均是真实有效的，如存在虚假资料，属于乙方违约，甲方有权解除合同，因此给甲方造成的损失应由乙方承担赔偿责任。</w:t>
      </w:r>
    </w:p>
    <w:p w14:paraId="0BAB6E71">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2.13乙方施工人员在工程施工期间，应服从遵守甲方有关制度及物业的相关装修规定，维护甲方的企业形象，不得借甲方的名义在施工期间从事各种违法违纪活动，由此产生的一切后果由乙方负责。</w:t>
      </w:r>
    </w:p>
    <w:p w14:paraId="27DDC5E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2.14乙方应恪守因签署或履行本合同而获知的甲方商业信息、其它商业秘密、文件材料信息等，如将获知的甲方商业秘密泄露给第三方，应赔偿因泄密而给甲方造成的一切损失并承担相应的法律责任。</w:t>
      </w:r>
    </w:p>
    <w:p w14:paraId="2F67F22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2.15该项目竣工后因乙方原因未达到合同约定的质量目标，由乙方依合同进行履行而所花的一切费用由乙方自行承担，如乙方拒不执行甲方代表的要求拆除和重新施工，属乙方违约，甲方有权终止合同。</w:t>
      </w:r>
    </w:p>
    <w:p w14:paraId="4E655D1C">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2.16乙方原因无法在承诺</w:t>
      </w:r>
      <w:r>
        <w:rPr>
          <w:rFonts w:hint="eastAsia" w:ascii="仿宋" w:hAnsi="仿宋" w:eastAsia="仿宋" w:cs="仿宋"/>
          <w:color w:val="auto"/>
          <w:sz w:val="24"/>
          <w:szCs w:val="24"/>
          <w:highlight w:val="none"/>
          <w:lang w:eastAsia="zh-CN"/>
        </w:rPr>
        <w:t>工期</w:t>
      </w:r>
      <w:r>
        <w:rPr>
          <w:rFonts w:hint="eastAsia" w:ascii="仿宋" w:hAnsi="仿宋" w:eastAsia="仿宋" w:cs="仿宋"/>
          <w:color w:val="auto"/>
          <w:sz w:val="24"/>
          <w:szCs w:val="24"/>
          <w:highlight w:val="none"/>
        </w:rPr>
        <w:t>内完成</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，按逾期10000元/天从工程进度款中予以扣除。</w:t>
      </w:r>
    </w:p>
    <w:p w14:paraId="6F3EE607">
      <w:pPr>
        <w:pageBreakBefore w:val="0"/>
        <w:widowControl/>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八</w:t>
      </w:r>
      <w:r>
        <w:rPr>
          <w:rFonts w:hint="eastAsia" w:ascii="仿宋" w:hAnsi="仿宋" w:eastAsia="仿宋" w:cs="仿宋"/>
          <w:b/>
          <w:bCs/>
          <w:color w:val="auto"/>
          <w:sz w:val="24"/>
          <w:szCs w:val="24"/>
          <w:highlight w:val="none"/>
        </w:rPr>
        <w:t>、项目质量及验收的约定</w:t>
      </w:r>
    </w:p>
    <w:p w14:paraId="3C25AF1A">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本项目以施工图纸、施工方案、设计变更和电力设备运行的国家标准或相关行业标准、消防、公安、质检部门等国家制订的施工及验收规范为质量评定验收标准。</w:t>
      </w:r>
    </w:p>
    <w:p w14:paraId="2FE2BA97">
      <w:pPr>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本项目质量应达到国家质量评定合格标准，属乙方原因造成的不合格工程，承包方返修后必须达到合格标准，并承担返修费用。</w:t>
      </w:r>
    </w:p>
    <w:p w14:paraId="758C5E6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项目竣工后，乙方应书面通知甲方验收，甲方自接到验收通知书后5个工作日内组织验收，并办理验收、移交手续。如甲方在规定时间内未能组织验收，须及时通知乙方，另择日期。</w:t>
      </w:r>
    </w:p>
    <w:p w14:paraId="72BF1968">
      <w:pPr>
        <w:keepNext w:val="0"/>
        <w:keepLines w:val="0"/>
        <w:pageBreakBefore w:val="0"/>
        <w:widowControl w:val="0"/>
        <w:kinsoku/>
        <w:wordWrap/>
        <w:overflowPunct/>
        <w:topLinePunct w:val="0"/>
        <w:bidi w:val="0"/>
        <w:spacing w:line="500" w:lineRule="exact"/>
        <w:ind w:firstLine="482" w:firstLineChars="200"/>
        <w:textAlignment w:val="auto"/>
        <w:rPr>
          <w:rFonts w:hint="eastAsia" w:ascii="仿宋" w:hAnsi="仿宋" w:eastAsia="仿宋" w:cs="仿宋"/>
          <w:b/>
          <w:bCs w:val="0"/>
          <w:color w:val="auto"/>
          <w:sz w:val="24"/>
          <w:szCs w:val="24"/>
          <w:highlight w:val="none"/>
          <w:lang w:eastAsia="zh-CN"/>
        </w:rPr>
      </w:pPr>
      <w:r>
        <w:rPr>
          <w:rFonts w:hint="eastAsia" w:ascii="仿宋" w:hAnsi="仿宋" w:eastAsia="仿宋" w:cs="仿宋"/>
          <w:b/>
          <w:sz w:val="24"/>
          <w:szCs w:val="24"/>
          <w:highlight w:val="none"/>
          <w:lang w:eastAsia="zh-CN"/>
        </w:rPr>
        <w:t>九</w:t>
      </w:r>
      <w:r>
        <w:rPr>
          <w:rFonts w:hint="eastAsia" w:ascii="仿宋" w:hAnsi="仿宋" w:eastAsia="仿宋" w:cs="仿宋"/>
          <w:b/>
          <w:sz w:val="24"/>
          <w:szCs w:val="24"/>
          <w:highlight w:val="none"/>
        </w:rPr>
        <w:t>、</w:t>
      </w:r>
      <w:r>
        <w:rPr>
          <w:rFonts w:hint="eastAsia" w:ascii="仿宋" w:hAnsi="仿宋" w:eastAsia="仿宋" w:cs="仿宋"/>
          <w:b/>
          <w:sz w:val="24"/>
          <w:szCs w:val="24"/>
          <w:highlight w:val="none"/>
          <w:lang w:eastAsia="zh-CN"/>
        </w:rPr>
        <w:t>缺陷责任期与保修</w:t>
      </w:r>
    </w:p>
    <w:p w14:paraId="1B5BE62D">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（一）质量保证金：</w:t>
      </w:r>
    </w:p>
    <w:p w14:paraId="535191CA">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承包人提供质量保证金的方式:质量保证可采用保函或银行转账缴纳。采购保函方式的，包括银行保函、保证保险和担保保函，其示范文本详见合同附件。成交供应商提交的质量保证金保函应严格执行其示范文本，不得对示范文本中的实质性内容进行修改，具体要求：质量保证金保函的开立人应当是具有相应资格的银行、保险机构、融资担保公司，其信用资质、履约能力、担保能力、赔付流程、安全保密等应符合工程保函业务条件。质量保证金保函应合法合规，符合相应行政监督部门、行业主管部门和金融监管部门的相关规定，满足采购文件约定要求。成交供应商应选择在渝依法设立总部或者设有分支机构的金融机构开具质量保证金保函（包括纸质保函或电子保函）。质量保证金保函为纸质保函的，纸质保函应注明在重庆市辖区范围内的核验地址和核验方式，并确保该纸质保函能在开立人在渝的总部或者分支机构进行核验。成交供应商对所提交的质量保证金保函的真实性、合法性、有效性负责。</w:t>
      </w:r>
    </w:p>
    <w:p w14:paraId="3B51555E">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2、质量保证金金额：结算审定价的3%。</w:t>
      </w:r>
    </w:p>
    <w:p w14:paraId="05D522FE">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3、提交时间：完成结算审核后14天内。</w:t>
      </w:r>
    </w:p>
    <w:p w14:paraId="5B95EFD3">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4、退还时间：质保期满验收合格后14天内采购人无息退还给成交供应商。</w:t>
      </w:r>
    </w:p>
    <w:p w14:paraId="200E709B">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（二）保修：缺陷责任期为1年，自工程竣工验收合格之日起计算。其他约定详合同附件1《工程质量保修书》。</w:t>
      </w:r>
    </w:p>
    <w:p w14:paraId="2FDE6E67">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十、</w:t>
      </w:r>
      <w:r>
        <w:rPr>
          <w:rFonts w:hint="eastAsia" w:ascii="仿宋" w:hAnsi="仿宋" w:eastAsia="仿宋" w:cs="仿宋"/>
          <w:b/>
          <w:sz w:val="24"/>
          <w:szCs w:val="24"/>
          <w:highlight w:val="none"/>
        </w:rPr>
        <w:t>争议的解决</w:t>
      </w:r>
    </w:p>
    <w:p w14:paraId="4C4A4965">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rPr>
        <w:t>甲乙双方在履行合同的过程中，发生纠纷时应友好协商，协商不成的双方均可向本工程所在地有管辖权的人民法院提起诉讼。</w:t>
      </w:r>
      <w:r>
        <w:rPr>
          <w:rFonts w:hint="eastAsia" w:ascii="仿宋" w:hAnsi="仿宋" w:eastAsia="仿宋" w:cs="仿宋"/>
          <w:sz w:val="24"/>
          <w:szCs w:val="24"/>
        </w:rPr>
        <w:t>且由违约方承担守约方为维护自身权益而支出的一切费用，包括但不限于律师费、调查费、查档费、诉讼费、保全费、公告费、公证费、邮寄费、差旅费等相关费用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 xml:space="preserve">  </w:t>
      </w:r>
    </w:p>
    <w:p w14:paraId="73D0E259">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lang w:eastAsia="zh-CN"/>
        </w:rPr>
        <w:t>十一</w:t>
      </w:r>
      <w:r>
        <w:rPr>
          <w:rFonts w:hint="eastAsia" w:ascii="仿宋" w:hAnsi="仿宋" w:eastAsia="仿宋" w:cs="仿宋"/>
          <w:b/>
          <w:sz w:val="24"/>
          <w:szCs w:val="24"/>
          <w:highlight w:val="none"/>
        </w:rPr>
        <w:t>、通知送达</w:t>
      </w:r>
    </w:p>
    <w:p w14:paraId="72E4D3B9">
      <w:pPr>
        <w:keepNext w:val="0"/>
        <w:keepLines w:val="0"/>
        <w:pageBreakBefore w:val="0"/>
        <w:kinsoku/>
        <w:wordWrap/>
        <w:overflowPunct/>
        <w:topLinePunct w:val="0"/>
        <w:autoSpaceDE/>
        <w:autoSpaceDN/>
        <w:bidi w:val="0"/>
        <w:spacing w:line="52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双方一致确认本合同首部载明的通讯地址及联系方式为各方履行合同义务、解决合同争议时接收其他方文件信函或司法机关（法院、仲裁机构）诉讼、仲裁文书的唯一送达地址及联系方式。其中，甲方的送达地址以本合同首部载明地址或其官方公示的</w:t>
      </w:r>
      <w:r>
        <w:rPr>
          <w:rFonts w:hint="eastAsia" w:ascii="仿宋" w:hAnsi="仿宋" w:eastAsia="仿宋" w:cs="仿宋"/>
          <w:sz w:val="24"/>
          <w:szCs w:val="24"/>
          <w:lang w:val="en-US" w:eastAsia="zh-CN"/>
        </w:rPr>
        <w:t>住所地为准，无需另行通知变更。</w:t>
      </w:r>
      <w:r>
        <w:rPr>
          <w:rFonts w:hint="eastAsia" w:ascii="仿宋" w:hAnsi="仿宋" w:eastAsia="仿宋" w:cs="仿宋"/>
          <w:sz w:val="24"/>
          <w:szCs w:val="24"/>
        </w:rPr>
        <w:t>乙方如需变更上述送达地址的，应在变更后三个工作日内以书面形式将变更后的送达地址通知对甲方；未按前述约定方式变更的，上述送达地址仍为有效送达地址。</w:t>
      </w:r>
    </w:p>
    <w:p w14:paraId="50F076B1">
      <w:pPr>
        <w:keepNext w:val="0"/>
        <w:keepLines w:val="0"/>
        <w:pageBreakBefore w:val="0"/>
        <w:widowControl w:val="0"/>
        <w:kinsoku/>
        <w:wordWrap/>
        <w:overflowPunct/>
        <w:topLinePunct w:val="0"/>
        <w:autoSpaceDE/>
        <w:autoSpaceDN/>
        <w:bidi w:val="0"/>
        <w:adjustRightInd/>
        <w:spacing w:line="440" w:lineRule="exact"/>
        <w:ind w:firstLine="482"/>
        <w:textAlignment w:val="auto"/>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二</w:t>
      </w:r>
      <w:r>
        <w:rPr>
          <w:rFonts w:hint="eastAsia" w:ascii="仿宋" w:hAnsi="仿宋" w:eastAsia="仿宋" w:cs="仿宋"/>
          <w:b/>
          <w:sz w:val="24"/>
          <w:szCs w:val="24"/>
        </w:rPr>
        <w:t>、附则</w:t>
      </w:r>
    </w:p>
    <w:p w14:paraId="20A9406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1、本合同书及附件；询比文件、中标通知书；乙方投标文件；其他合同文件等共同构成合同文件，上述文件互相补充和解释</w:t>
      </w:r>
      <w:r>
        <w:rPr>
          <w:rFonts w:hint="eastAsia" w:ascii="仿宋" w:hAnsi="仿宋" w:eastAsia="仿宋" w:cs="仿宋"/>
          <w:sz w:val="24"/>
          <w:szCs w:val="24"/>
          <w:lang w:eastAsia="zh-CN"/>
        </w:rPr>
        <w:t>。</w:t>
      </w:r>
    </w:p>
    <w:p w14:paraId="63C362C7">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2、未尽事宜，经双方协商一致，签订补充协议，补充协议与本合同具有同等效力。本合同与补充协议冲突之处，以补充协议为准。</w:t>
      </w:r>
    </w:p>
    <w:p w14:paraId="195C83D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本合同自甲、乙双方</w:t>
      </w:r>
      <w:r>
        <w:rPr>
          <w:rFonts w:hint="eastAsia" w:ascii="仿宋" w:hAnsi="仿宋" w:eastAsia="仿宋" w:cs="仿宋"/>
          <w:sz w:val="24"/>
          <w:szCs w:val="24"/>
          <w:lang w:eastAsia="zh-CN"/>
        </w:rPr>
        <w:t>签字</w:t>
      </w:r>
      <w:r>
        <w:rPr>
          <w:rFonts w:hint="eastAsia" w:ascii="仿宋" w:hAnsi="仿宋" w:eastAsia="仿宋" w:cs="仿宋"/>
          <w:sz w:val="24"/>
          <w:szCs w:val="24"/>
        </w:rPr>
        <w:t>盖章后生效。</w:t>
      </w:r>
    </w:p>
    <w:p w14:paraId="541FB5DC">
      <w:pPr>
        <w:keepNext w:val="0"/>
        <w:keepLines w:val="0"/>
        <w:pageBreakBefore w:val="0"/>
        <w:widowControl w:val="0"/>
        <w:kinsoku/>
        <w:wordWrap/>
        <w:overflowPunct/>
        <w:topLinePunct w:val="0"/>
        <w:autoSpaceDE/>
        <w:autoSpaceDN/>
        <w:bidi w:val="0"/>
        <w:adjustRightInd/>
        <w:spacing w:line="44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、本合同一式【</w:t>
      </w:r>
      <w:r>
        <w:rPr>
          <w:rFonts w:hint="eastAsia" w:ascii="仿宋" w:hAnsi="仿宋" w:eastAsia="仿宋" w:cs="仿宋"/>
          <w:sz w:val="24"/>
          <w:szCs w:val="24"/>
          <w:lang w:eastAsia="zh-CN"/>
        </w:rPr>
        <w:t>陆</w:t>
      </w:r>
      <w:r>
        <w:rPr>
          <w:rFonts w:hint="eastAsia" w:ascii="仿宋" w:hAnsi="仿宋" w:eastAsia="仿宋" w:cs="仿宋"/>
          <w:sz w:val="24"/>
          <w:szCs w:val="24"/>
        </w:rPr>
        <w:t>】份，甲、乙双方各执【</w:t>
      </w:r>
      <w:r>
        <w:rPr>
          <w:rFonts w:hint="eastAsia" w:ascii="仿宋" w:hAnsi="仿宋" w:eastAsia="仿宋" w:cs="仿宋"/>
          <w:sz w:val="24"/>
          <w:szCs w:val="24"/>
          <w:lang w:eastAsia="zh-CN"/>
        </w:rPr>
        <w:t>叁</w:t>
      </w:r>
      <w:r>
        <w:rPr>
          <w:rFonts w:hint="eastAsia" w:ascii="仿宋" w:hAnsi="仿宋" w:eastAsia="仿宋" w:cs="仿宋"/>
          <w:sz w:val="24"/>
          <w:szCs w:val="24"/>
        </w:rPr>
        <w:t>】份，具有相同法律效力。</w:t>
      </w:r>
    </w:p>
    <w:p w14:paraId="2177BB21">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附件：</w:t>
      </w:r>
    </w:p>
    <w:p w14:paraId="4AF9EAC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附件1.</w:t>
      </w:r>
      <w:r>
        <w:rPr>
          <w:rFonts w:hint="eastAsia" w:ascii="仿宋" w:hAnsi="仿宋" w:eastAsia="仿宋" w:cs="仿宋"/>
          <w:sz w:val="24"/>
          <w:szCs w:val="24"/>
          <w:lang w:eastAsia="zh-CN"/>
        </w:rPr>
        <w:t>工程质量保修书</w:t>
      </w:r>
    </w:p>
    <w:p w14:paraId="133E5C11">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2.</w:t>
      </w:r>
      <w:r>
        <w:rPr>
          <w:rFonts w:hint="eastAsia" w:ascii="仿宋" w:hAnsi="仿宋" w:eastAsia="仿宋" w:cs="仿宋"/>
          <w:sz w:val="24"/>
          <w:szCs w:val="24"/>
        </w:rPr>
        <w:t>廉政合同</w:t>
      </w:r>
    </w:p>
    <w:p w14:paraId="2CA7AD6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附件</w:t>
      </w:r>
      <w:r>
        <w:rPr>
          <w:rFonts w:hint="eastAsia" w:ascii="仿宋" w:hAnsi="仿宋" w:eastAsia="仿宋" w:cs="仿宋"/>
          <w:sz w:val="24"/>
          <w:szCs w:val="24"/>
          <w:lang w:val="en-US" w:eastAsia="zh-CN"/>
        </w:rPr>
        <w:t>3</w:t>
      </w:r>
      <w:r>
        <w:rPr>
          <w:rFonts w:hint="eastAsia" w:ascii="仿宋" w:hAnsi="仿宋" w:eastAsia="仿宋" w:cs="仿宋"/>
          <w:sz w:val="24"/>
          <w:szCs w:val="24"/>
        </w:rPr>
        <w:t>.安全生产合同</w:t>
      </w:r>
    </w:p>
    <w:p w14:paraId="6ECA453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lang w:eastAsia="zh-CN"/>
        </w:rPr>
      </w:pPr>
      <w:r>
        <w:rPr>
          <w:rFonts w:hint="eastAsia" w:ascii="仿宋" w:hAnsi="仿宋" w:eastAsia="仿宋" w:cs="仿宋"/>
          <w:sz w:val="24"/>
          <w:szCs w:val="24"/>
        </w:rPr>
        <w:t>附件</w:t>
      </w:r>
      <w:r>
        <w:rPr>
          <w:rFonts w:hint="eastAsia" w:ascii="仿宋" w:hAnsi="仿宋" w:eastAsia="仿宋" w:cs="仿宋"/>
          <w:sz w:val="24"/>
          <w:szCs w:val="24"/>
          <w:lang w:val="en-US" w:eastAsia="zh-CN"/>
        </w:rPr>
        <w:t>4</w:t>
      </w:r>
      <w:r>
        <w:rPr>
          <w:rFonts w:hint="eastAsia" w:ascii="仿宋" w:hAnsi="仿宋" w:eastAsia="仿宋" w:cs="仿宋"/>
          <w:sz w:val="24"/>
          <w:szCs w:val="24"/>
        </w:rPr>
        <w:t>.农民工工资支付承</w:t>
      </w:r>
      <w:r>
        <w:rPr>
          <w:rFonts w:hint="eastAsia" w:ascii="仿宋" w:hAnsi="仿宋" w:eastAsia="仿宋" w:cs="仿宋"/>
          <w:sz w:val="24"/>
          <w:szCs w:val="24"/>
          <w:lang w:eastAsia="zh-CN"/>
        </w:rPr>
        <w:t>诺</w:t>
      </w:r>
    </w:p>
    <w:p w14:paraId="7474CF8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lang w:eastAsia="zh-CN"/>
        </w:rPr>
        <w:t>附件</w:t>
      </w:r>
      <w:r>
        <w:rPr>
          <w:rFonts w:hint="eastAsia" w:ascii="仿宋" w:hAnsi="仿宋" w:eastAsia="仿宋" w:cs="仿宋"/>
          <w:sz w:val="24"/>
          <w:szCs w:val="24"/>
          <w:lang w:val="en-US" w:eastAsia="zh-CN"/>
        </w:rPr>
        <w:t>5.</w:t>
      </w:r>
      <w:r>
        <w:rPr>
          <w:rFonts w:hint="eastAsia" w:ascii="仿宋" w:hAnsi="仿宋" w:eastAsia="仿宋" w:cs="仿宋"/>
          <w:sz w:val="24"/>
          <w:szCs w:val="24"/>
        </w:rPr>
        <w:t>预付款担保（如有）</w:t>
      </w:r>
    </w:p>
    <w:p w14:paraId="77B5B011">
      <w:pPr>
        <w:pStyle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kern w:val="2"/>
          <w:sz w:val="24"/>
          <w:szCs w:val="24"/>
          <w:lang w:val="en-US" w:eastAsia="zh-CN" w:bidi="ar-SA"/>
        </w:rPr>
        <w:t xml:space="preserve"> 附件6.质量保证金保函（如有）</w:t>
      </w:r>
    </w:p>
    <w:p w14:paraId="56679305">
      <w:pPr>
        <w:spacing w:line="440" w:lineRule="exact"/>
        <w:ind w:firstLine="480"/>
        <w:rPr>
          <w:rFonts w:hint="default" w:ascii="Times New Roman" w:hAnsi="Times New Roman" w:eastAsia="仿宋" w:cs="Times New Roman"/>
          <w:szCs w:val="24"/>
        </w:rPr>
      </w:pPr>
    </w:p>
    <w:p w14:paraId="1DC17A09">
      <w:pPr>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甲方：（盖章）                         乙方：（盖章）</w:t>
      </w:r>
    </w:p>
    <w:p w14:paraId="2A9CF1E7">
      <w:pPr>
        <w:spacing w:line="440" w:lineRule="exact"/>
        <w:ind w:left="420" w:firstLine="480"/>
        <w:rPr>
          <w:rFonts w:hint="default" w:ascii="Times New Roman" w:hAnsi="Times New Roman" w:eastAsia="仿宋" w:cs="Times New Roman"/>
          <w:szCs w:val="24"/>
        </w:rPr>
      </w:pPr>
    </w:p>
    <w:p w14:paraId="380ABE9B">
      <w:pPr>
        <w:tabs>
          <w:tab w:val="left" w:pos="426"/>
        </w:tabs>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法定代表人：                            法定代表人：</w:t>
      </w:r>
    </w:p>
    <w:p w14:paraId="53C94E1A">
      <w:pPr>
        <w:tabs>
          <w:tab w:val="left" w:pos="426"/>
        </w:tabs>
        <w:spacing w:line="440" w:lineRule="exact"/>
        <w:ind w:firstLine="480"/>
        <w:rPr>
          <w:rFonts w:hint="default" w:ascii="Times New Roman" w:hAnsi="Times New Roman" w:eastAsia="仿宋" w:cs="Times New Roman"/>
          <w:szCs w:val="24"/>
        </w:rPr>
      </w:pPr>
    </w:p>
    <w:p w14:paraId="1F1D3675">
      <w:pPr>
        <w:tabs>
          <w:tab w:val="left" w:pos="426"/>
        </w:tabs>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或授权代表人:                           或授权代表人：</w:t>
      </w:r>
    </w:p>
    <w:p w14:paraId="67229C4F">
      <w:pPr>
        <w:tabs>
          <w:tab w:val="left" w:pos="426"/>
        </w:tabs>
        <w:spacing w:line="440" w:lineRule="exact"/>
        <w:ind w:firstLine="140" w:firstLineChars="50"/>
        <w:rPr>
          <w:rFonts w:hint="default" w:ascii="Times New Roman" w:hAnsi="Times New Roman" w:eastAsia="仿宋" w:cs="Times New Roman"/>
          <w:szCs w:val="24"/>
        </w:rPr>
      </w:pPr>
    </w:p>
    <w:p w14:paraId="0F16CCE5">
      <w:pPr>
        <w:tabs>
          <w:tab w:val="left" w:pos="426"/>
        </w:tabs>
        <w:spacing w:line="440" w:lineRule="exact"/>
        <w:ind w:firstLine="480"/>
        <w:rPr>
          <w:rFonts w:hint="default" w:ascii="Times New Roman" w:hAnsi="Times New Roman" w:eastAsia="仿宋" w:cs="Times New Roman"/>
          <w:szCs w:val="24"/>
        </w:rPr>
      </w:pPr>
      <w:r>
        <w:rPr>
          <w:rFonts w:hint="default" w:ascii="Times New Roman" w:hAnsi="Times New Roman" w:eastAsia="仿宋" w:cs="Times New Roman"/>
          <w:szCs w:val="24"/>
        </w:rPr>
        <w:t>签订日期：                              开户行：</w:t>
      </w:r>
    </w:p>
    <w:p w14:paraId="0FA86890">
      <w:pPr>
        <w:tabs>
          <w:tab w:val="left" w:pos="426"/>
        </w:tabs>
        <w:spacing w:line="440" w:lineRule="exact"/>
        <w:ind w:firstLine="480"/>
        <w:rPr>
          <w:rFonts w:hint="default" w:ascii="Times New Roman" w:hAnsi="Times New Roman" w:eastAsia="仿宋" w:cs="Times New Roman"/>
          <w:szCs w:val="24"/>
        </w:rPr>
      </w:pPr>
    </w:p>
    <w:p w14:paraId="1DC33655">
      <w:pPr>
        <w:spacing w:line="400" w:lineRule="exact"/>
        <w:ind w:firstLine="560" w:firstLineChars="200"/>
        <w:outlineLvl w:val="9"/>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szCs w:val="24"/>
        </w:rPr>
        <w:t>签订地点：                              开户账号：</w:t>
      </w:r>
      <w:r>
        <w:rPr>
          <w:rFonts w:hint="default" w:ascii="Times New Roman" w:hAnsi="Times New Roman" w:eastAsia="仿宋" w:cs="Times New Roman"/>
          <w:color w:val="auto"/>
          <w:sz w:val="24"/>
          <w:szCs w:val="24"/>
          <w:highlight w:val="none"/>
        </w:rPr>
        <w:br w:type="page"/>
      </w:r>
    </w:p>
    <w:p w14:paraId="0EDC2F2D">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default" w:ascii="宋体" w:hAnsi="宋体" w:eastAsia="宋体" w:cs="宋体"/>
          <w:b/>
          <w:kern w:val="0"/>
          <w:sz w:val="24"/>
          <w:szCs w:val="24"/>
          <w:lang w:val="en-US"/>
        </w:rPr>
      </w:pPr>
      <w:bookmarkStart w:id="174" w:name="_Toc11159_WPSOffice_Level2"/>
      <w:bookmarkStart w:id="175" w:name="_Toc7156"/>
      <w:bookmarkStart w:id="176" w:name="_Toc24633"/>
      <w:bookmarkStart w:id="177" w:name="_Toc24860"/>
      <w:bookmarkStart w:id="178" w:name="_Toc26955"/>
      <w:bookmarkStart w:id="179" w:name="_Toc4945"/>
      <w:r>
        <w:rPr>
          <w:rFonts w:hint="eastAsia" w:ascii="宋体" w:hAnsi="宋体" w:eastAsia="宋体" w:cs="宋体"/>
          <w:b/>
          <w:kern w:val="0"/>
          <w:sz w:val="24"/>
          <w:szCs w:val="24"/>
        </w:rPr>
        <w:t>附件</w:t>
      </w:r>
      <w:r>
        <w:rPr>
          <w:rFonts w:hint="eastAsia" w:ascii="宋体" w:hAnsi="宋体" w:cs="宋体"/>
          <w:b/>
          <w:kern w:val="0"/>
          <w:sz w:val="24"/>
          <w:szCs w:val="24"/>
          <w:lang w:val="en-US" w:eastAsia="zh-CN"/>
        </w:rPr>
        <w:t>1</w:t>
      </w:r>
      <w:bookmarkEnd w:id="174"/>
      <w:bookmarkStart w:id="180" w:name="_Toc13266_WPSOffice_Level2"/>
      <w:r>
        <w:rPr>
          <w:rFonts w:hint="eastAsia" w:ascii="宋体" w:hAnsi="宋体" w:cs="宋体"/>
          <w:b/>
          <w:kern w:val="0"/>
          <w:sz w:val="24"/>
          <w:szCs w:val="24"/>
          <w:lang w:val="en-US" w:eastAsia="zh-CN"/>
        </w:rPr>
        <w:t>.工程质量保修书</w:t>
      </w:r>
    </w:p>
    <w:p w14:paraId="6B9F498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b/>
          <w:kern w:val="0"/>
          <w:sz w:val="24"/>
          <w:szCs w:val="24"/>
        </w:rPr>
      </w:pPr>
    </w:p>
    <w:p w14:paraId="5BFA1139">
      <w:pPr>
        <w:spacing w:before="156" w:beforeLines="50" w:after="156" w:afterLines="50" w:line="360" w:lineRule="auto"/>
        <w:jc w:val="center"/>
        <w:rPr>
          <w:rFonts w:hint="eastAsia" w:ascii="仿宋" w:hAnsi="仿宋" w:eastAsia="仿宋" w:cs="仿宋"/>
          <w:sz w:val="24"/>
          <w:szCs w:val="24"/>
        </w:rPr>
      </w:pPr>
      <w:r>
        <w:rPr>
          <w:rFonts w:hint="eastAsia" w:ascii="仿宋" w:hAnsi="仿宋" w:eastAsia="仿宋" w:cs="仿宋"/>
          <w:sz w:val="24"/>
          <w:szCs w:val="24"/>
        </w:rPr>
        <w:t>工程质量保修书</w:t>
      </w:r>
    </w:p>
    <w:p w14:paraId="4C903B59">
      <w:pPr>
        <w:snapToGrid w:val="0"/>
        <w:spacing w:line="360" w:lineRule="auto"/>
        <w:ind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发包人（全称）：</w:t>
      </w:r>
      <w:r>
        <w:rPr>
          <w:rFonts w:hint="eastAsia" w:ascii="仿宋" w:hAnsi="仿宋" w:eastAsia="仿宋" w:cs="仿宋"/>
          <w:sz w:val="24"/>
          <w:szCs w:val="24"/>
          <w:u w:val="single"/>
        </w:rPr>
        <w:t xml:space="preserve">                             </w:t>
      </w:r>
    </w:p>
    <w:p w14:paraId="5D3F2F9B">
      <w:pPr>
        <w:snapToGrid w:val="0"/>
        <w:spacing w:line="360" w:lineRule="auto"/>
        <w:ind w:firstLine="482" w:firstLineChars="200"/>
        <w:rPr>
          <w:rFonts w:hint="eastAsia" w:ascii="仿宋" w:hAnsi="仿宋" w:eastAsia="仿宋" w:cs="仿宋"/>
          <w:b/>
          <w:sz w:val="24"/>
          <w:szCs w:val="24"/>
          <w:u w:val="single"/>
        </w:rPr>
      </w:pPr>
      <w:r>
        <w:rPr>
          <w:rFonts w:hint="eastAsia" w:ascii="仿宋" w:hAnsi="仿宋" w:eastAsia="仿宋" w:cs="仿宋"/>
          <w:b/>
          <w:sz w:val="24"/>
          <w:szCs w:val="24"/>
        </w:rPr>
        <w:t>承包人（全称）：</w:t>
      </w:r>
      <w:r>
        <w:rPr>
          <w:rFonts w:hint="eastAsia" w:ascii="仿宋" w:hAnsi="仿宋" w:eastAsia="仿宋" w:cs="仿宋"/>
          <w:sz w:val="24"/>
          <w:szCs w:val="24"/>
          <w:u w:val="single"/>
        </w:rPr>
        <w:t xml:space="preserve">                             </w:t>
      </w:r>
    </w:p>
    <w:p w14:paraId="4382B33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发包人和承包人根据《中华人民共和国建筑法》和《建设工程质量管理条例》，经协商一致就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（工程全称）签订工程质量保修书。</w:t>
      </w:r>
    </w:p>
    <w:p w14:paraId="59BABF24">
      <w:pPr>
        <w:spacing w:line="360" w:lineRule="auto"/>
        <w:ind w:firstLine="480" w:firstLineChars="200"/>
        <w:rPr>
          <w:rFonts w:hint="eastAsia" w:ascii="仿宋" w:hAnsi="仿宋" w:eastAsia="仿宋" w:cs="仿宋"/>
          <w:sz w:val="24"/>
          <w:szCs w:val="24"/>
        </w:rPr>
      </w:pPr>
      <w:bookmarkStart w:id="181" w:name="_Toc532375687"/>
      <w:r>
        <w:rPr>
          <w:rFonts w:hint="eastAsia" w:ascii="仿宋" w:hAnsi="仿宋" w:eastAsia="仿宋" w:cs="仿宋"/>
          <w:sz w:val="24"/>
          <w:szCs w:val="24"/>
        </w:rPr>
        <w:t>一、工程质量保修范围和内容</w:t>
      </w:r>
      <w:bookmarkEnd w:id="181"/>
    </w:p>
    <w:p w14:paraId="062E85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承包人在质量保修期内，按照有关法律规定和合同约定，承担工程质量保修责任。</w:t>
      </w:r>
    </w:p>
    <w:p w14:paraId="6DD0B9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2FFB9E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承包人承包范围内容均属质量保修范围内容；其中：</w:t>
      </w:r>
    </w:p>
    <w:p w14:paraId="27DBDB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1.属于设计原因造成的质量问题，承包人负责维修，不留隐患，费用由发包人承担；</w:t>
      </w:r>
    </w:p>
    <w:p w14:paraId="04411C7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2.属于施工造成的质量问题，承包人负责维修，不留隐患；</w:t>
      </w:r>
    </w:p>
    <w:p w14:paraId="57D43D1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3.属于业主使用不当造成的质量问题，配合抢修，费用由发包人承担。</w:t>
      </w:r>
    </w:p>
    <w:p w14:paraId="6AD01BB2">
      <w:pPr>
        <w:spacing w:line="360" w:lineRule="auto"/>
        <w:ind w:firstLine="480" w:firstLineChars="200"/>
        <w:rPr>
          <w:rFonts w:hint="eastAsia" w:ascii="仿宋" w:hAnsi="仿宋" w:eastAsia="仿宋" w:cs="仿宋"/>
          <w:sz w:val="24"/>
          <w:szCs w:val="24"/>
        </w:rPr>
      </w:pPr>
      <w:bookmarkStart w:id="182" w:name="_Toc532375688"/>
      <w:r>
        <w:rPr>
          <w:rFonts w:hint="eastAsia" w:ascii="仿宋" w:hAnsi="仿宋" w:eastAsia="仿宋" w:cs="仿宋"/>
          <w:sz w:val="24"/>
          <w:szCs w:val="24"/>
        </w:rPr>
        <w:t>二、质量保修期</w:t>
      </w:r>
      <w:bookmarkEnd w:id="182"/>
    </w:p>
    <w:p w14:paraId="16CD8DD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根据《建设工程质量管理条例》及有关规定，本工程质量保修期约定如下：</w:t>
      </w:r>
    </w:p>
    <w:p w14:paraId="0EC48B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1.基础设施工程、房屋建筑的地基基础工程和主体结构工程，为设计文件规定的该工程的合理使用年限；</w:t>
      </w:r>
    </w:p>
    <w:p w14:paraId="1D8040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2.屋面防水工程、有防水要求的卫生间、房间和外墙面的防渗漏，为5年；</w:t>
      </w:r>
    </w:p>
    <w:p w14:paraId="7170A52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3.供热与供冷系统，为2个采暖期、供冷期；</w:t>
      </w:r>
    </w:p>
    <w:p w14:paraId="17DD969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4.电气管线、给排水管道、设备安装和装修工程，为2年；</w:t>
      </w:r>
    </w:p>
    <w:p w14:paraId="217E697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5.其他项目保修期限：</w:t>
      </w:r>
      <w:r>
        <w:rPr>
          <w:rFonts w:hint="eastAsia" w:ascii="仿宋" w:hAnsi="仿宋" w:eastAsia="仿宋" w:cs="仿宋"/>
          <w:sz w:val="24"/>
          <w:szCs w:val="24"/>
          <w:lang w:val="en-US" w:eastAsia="zh-CN"/>
        </w:rPr>
        <w:t>1</w:t>
      </w:r>
      <w:r>
        <w:rPr>
          <w:rFonts w:hint="eastAsia" w:ascii="仿宋" w:hAnsi="仿宋" w:eastAsia="仿宋" w:cs="仿宋"/>
          <w:sz w:val="24"/>
          <w:szCs w:val="24"/>
        </w:rPr>
        <w:t>年；</w:t>
      </w:r>
    </w:p>
    <w:p w14:paraId="5AD729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建设工程的保修期，自工程竣工验收合格之日起计算。</w:t>
      </w:r>
    </w:p>
    <w:p w14:paraId="19244336">
      <w:pPr>
        <w:spacing w:line="360" w:lineRule="auto"/>
        <w:ind w:firstLine="480" w:firstLineChars="200"/>
        <w:rPr>
          <w:rFonts w:hint="eastAsia" w:ascii="仿宋" w:hAnsi="仿宋" w:eastAsia="仿宋" w:cs="仿宋"/>
          <w:sz w:val="24"/>
          <w:szCs w:val="24"/>
        </w:rPr>
      </w:pPr>
      <w:bookmarkStart w:id="183" w:name="_Toc532375689"/>
      <w:r>
        <w:rPr>
          <w:rFonts w:hint="eastAsia" w:ascii="仿宋" w:hAnsi="仿宋" w:eastAsia="仿宋" w:cs="仿宋"/>
          <w:sz w:val="24"/>
          <w:szCs w:val="24"/>
        </w:rPr>
        <w:t>三、质量保修责任</w:t>
      </w:r>
      <w:bookmarkEnd w:id="183"/>
    </w:p>
    <w:p w14:paraId="5BDA7B9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1.属于保修范围、内容的项目，承包人应当在接到保修通知之日起7天内派人保修。承包人不在约定期限内派人保修的，发包人可以委托他人修理。</w:t>
      </w:r>
    </w:p>
    <w:p w14:paraId="310B067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2.发生紧急事故需抢修的，承包人在接到事故通知后，应当立即到达事故现场抢修。</w:t>
      </w:r>
    </w:p>
    <w:p w14:paraId="1F91240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1D0B2F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4.质量保修完成后，由发包人组织验收。</w:t>
      </w:r>
    </w:p>
    <w:p w14:paraId="4799CD3D">
      <w:pPr>
        <w:spacing w:line="360" w:lineRule="auto"/>
        <w:ind w:firstLine="480" w:firstLineChars="200"/>
        <w:rPr>
          <w:rFonts w:hint="eastAsia" w:ascii="仿宋" w:hAnsi="仿宋" w:eastAsia="仿宋" w:cs="仿宋"/>
          <w:sz w:val="24"/>
          <w:szCs w:val="24"/>
        </w:rPr>
      </w:pPr>
      <w:bookmarkStart w:id="184" w:name="_Toc532375690"/>
      <w:r>
        <w:rPr>
          <w:rFonts w:hint="eastAsia" w:ascii="仿宋" w:hAnsi="仿宋" w:eastAsia="仿宋" w:cs="仿宋"/>
          <w:sz w:val="24"/>
          <w:szCs w:val="24"/>
        </w:rPr>
        <w:t>四、保修费用</w:t>
      </w:r>
      <w:bookmarkEnd w:id="184"/>
    </w:p>
    <w:p w14:paraId="1489C1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保修费用由质量缺陷的责任方承担。</w:t>
      </w:r>
    </w:p>
    <w:p w14:paraId="468EA659">
      <w:pPr>
        <w:spacing w:line="360" w:lineRule="auto"/>
        <w:ind w:firstLine="480" w:firstLineChars="200"/>
        <w:rPr>
          <w:rFonts w:hint="eastAsia" w:ascii="仿宋" w:hAnsi="仿宋" w:eastAsia="仿宋" w:cs="仿宋"/>
          <w:sz w:val="24"/>
          <w:szCs w:val="24"/>
        </w:rPr>
      </w:pPr>
      <w:bookmarkStart w:id="185" w:name="_Toc532375691"/>
      <w:r>
        <w:rPr>
          <w:rFonts w:hint="eastAsia" w:ascii="仿宋" w:hAnsi="仿宋" w:eastAsia="仿宋" w:cs="仿宋"/>
          <w:sz w:val="24"/>
          <w:szCs w:val="24"/>
        </w:rPr>
        <w:t>五、双方约定的其他工程质量保修事项</w:t>
      </w:r>
    </w:p>
    <w:p w14:paraId="67C41AF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按国家相关法律和规定执行。</w:t>
      </w:r>
      <w:bookmarkEnd w:id="185"/>
    </w:p>
    <w:p w14:paraId="2958B33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本工程质量保修书由发包人、承包人在工程竣工验收前共同签署，作为施工合同附件，其有效期限至保修期满。</w:t>
      </w:r>
    </w:p>
    <w:p w14:paraId="4C5012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六、本文件生效</w:t>
      </w:r>
    </w:p>
    <w:p w14:paraId="7F2531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本工程质量保修书经发包人与承包人盖章后生效。</w:t>
      </w:r>
    </w:p>
    <w:p w14:paraId="29D82DD2">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b/>
          <w:kern w:val="0"/>
          <w:sz w:val="24"/>
          <w:szCs w:val="24"/>
        </w:rPr>
      </w:pPr>
    </w:p>
    <w:p w14:paraId="389CEB09">
      <w:pPr>
        <w:rPr>
          <w:rFonts w:hint="eastAsia" w:ascii="宋体" w:hAnsi="宋体" w:eastAsia="宋体" w:cs="宋体"/>
          <w:kern w:val="0"/>
          <w:sz w:val="20"/>
          <w:szCs w:val="20"/>
        </w:rPr>
      </w:pPr>
    </w:p>
    <w:p w14:paraId="049A52A0">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发包人：                                               承包人：</w:t>
      </w:r>
    </w:p>
    <w:p w14:paraId="3D7B3367">
      <w:pPr>
        <w:rPr>
          <w:rFonts w:hint="eastAsia" w:ascii="宋体" w:hAnsi="宋体" w:eastAsia="宋体" w:cs="宋体"/>
          <w:kern w:val="0"/>
          <w:sz w:val="20"/>
          <w:szCs w:val="20"/>
        </w:rPr>
      </w:pPr>
    </w:p>
    <w:p w14:paraId="3A23686A">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法定代表人：                                           法定代表人：</w:t>
      </w:r>
    </w:p>
    <w:p w14:paraId="59AE7D9A">
      <w:pPr>
        <w:ind w:firstLine="200" w:firstLineChars="100"/>
        <w:rPr>
          <w:rFonts w:hint="eastAsia" w:ascii="宋体" w:hAnsi="宋体" w:eastAsia="宋体" w:cs="宋体"/>
          <w:kern w:val="0"/>
          <w:sz w:val="20"/>
          <w:szCs w:val="20"/>
        </w:rPr>
      </w:pPr>
    </w:p>
    <w:p w14:paraId="6CAACE03">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或授权代表：                                           或授权代表：</w:t>
      </w:r>
    </w:p>
    <w:p w14:paraId="4E2CA4A3">
      <w:pPr>
        <w:ind w:firstLine="200" w:firstLineChars="100"/>
        <w:rPr>
          <w:rFonts w:hint="eastAsia" w:ascii="宋体" w:hAnsi="宋体" w:eastAsia="宋体" w:cs="宋体"/>
          <w:kern w:val="0"/>
          <w:sz w:val="20"/>
          <w:szCs w:val="20"/>
        </w:rPr>
      </w:pPr>
    </w:p>
    <w:p w14:paraId="37902BFF">
      <w:pPr>
        <w:rPr>
          <w:rFonts w:hint="eastAsia" w:ascii="宋体" w:hAnsi="宋体" w:eastAsia="宋体" w:cs="宋体"/>
          <w:kern w:val="0"/>
          <w:sz w:val="20"/>
          <w:szCs w:val="20"/>
        </w:rPr>
      </w:pPr>
    </w:p>
    <w:p w14:paraId="6D1189D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84FC9D6">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3D4BF40E">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12E375D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4CCA42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C818D76">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20A838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D2EFD2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21174AB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66344FE7">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7FA305DD">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05D20C68">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6E9EE89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186C1FE">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5D8E88A6">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1E721B4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cs="宋体"/>
          <w:b/>
          <w:kern w:val="0"/>
          <w:sz w:val="24"/>
          <w:szCs w:val="24"/>
          <w:lang w:eastAsia="zh-CN"/>
        </w:rPr>
      </w:pPr>
    </w:p>
    <w:p w14:paraId="67AB1635">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宋体" w:hAnsi="宋体" w:eastAsia="宋体" w:cs="宋体"/>
          <w:b/>
          <w:kern w:val="0"/>
          <w:sz w:val="24"/>
          <w:szCs w:val="24"/>
        </w:rPr>
      </w:pPr>
      <w:r>
        <w:rPr>
          <w:rFonts w:hint="eastAsia" w:ascii="宋体" w:hAnsi="宋体" w:cs="宋体"/>
          <w:b/>
          <w:kern w:val="0"/>
          <w:sz w:val="24"/>
          <w:szCs w:val="24"/>
          <w:lang w:eastAsia="zh-CN"/>
        </w:rPr>
        <w:t>附件</w:t>
      </w:r>
      <w:r>
        <w:rPr>
          <w:rFonts w:hint="eastAsia" w:ascii="宋体" w:hAnsi="宋体" w:cs="宋体"/>
          <w:b/>
          <w:kern w:val="0"/>
          <w:sz w:val="24"/>
          <w:szCs w:val="24"/>
          <w:lang w:val="en-US" w:eastAsia="zh-CN"/>
        </w:rPr>
        <w:t>2.</w:t>
      </w:r>
      <w:r>
        <w:rPr>
          <w:rFonts w:hint="eastAsia" w:ascii="宋体" w:hAnsi="宋体" w:eastAsia="宋体" w:cs="宋体"/>
          <w:b/>
          <w:kern w:val="0"/>
          <w:sz w:val="24"/>
          <w:szCs w:val="24"/>
        </w:rPr>
        <w:t>廉政合同</w:t>
      </w:r>
      <w:bookmarkEnd w:id="180"/>
    </w:p>
    <w:p w14:paraId="6BFF27E6">
      <w:pPr>
        <w:spacing w:before="156" w:beforeLines="50" w:after="156" w:afterLines="50" w:line="360" w:lineRule="auto"/>
        <w:jc w:val="center"/>
        <w:rPr>
          <w:rFonts w:hint="eastAsia" w:ascii="仿宋" w:hAnsi="仿宋" w:eastAsia="仿宋" w:cs="仿宋"/>
          <w:sz w:val="24"/>
          <w:szCs w:val="24"/>
        </w:rPr>
      </w:pPr>
      <w:r>
        <w:rPr>
          <w:rFonts w:hint="eastAsia" w:ascii="仿宋" w:hAnsi="仿宋" w:eastAsia="仿宋" w:cs="仿宋"/>
          <w:sz w:val="24"/>
          <w:szCs w:val="24"/>
        </w:rPr>
        <w:t>廉政合同</w:t>
      </w:r>
    </w:p>
    <w:p w14:paraId="7124288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根据国家有关部门以及有关工程建设、廉政建设的规定，为做好工程建设中的党风廉政建设，保证工程建设高效优质，保证建设资金的安全和有效使用以及投资效益，建设工程的项目法人（以下简称“发包人”</w:t>
      </w:r>
      <w:r>
        <w:rPr>
          <w:rFonts w:hint="eastAsia" w:ascii="仿宋" w:hAnsi="仿宋" w:eastAsia="仿宋" w:cs="仿宋"/>
          <w:sz w:val="24"/>
          <w:szCs w:val="24"/>
          <w:u w:val="none"/>
        </w:rPr>
        <w:t>）</w:t>
      </w:r>
      <w:r>
        <w:rPr>
          <w:rFonts w:hint="eastAsia" w:ascii="仿宋" w:hAnsi="仿宋" w:eastAsia="仿宋" w:cs="仿宋"/>
          <w:sz w:val="24"/>
          <w:szCs w:val="24"/>
          <w:u w:val="single"/>
          <w:lang w:eastAsia="zh-CN"/>
        </w:rPr>
        <w:t>重庆市大渡口区跳磴镇人民政府</w:t>
      </w:r>
      <w:r>
        <w:rPr>
          <w:rFonts w:hint="eastAsia" w:ascii="仿宋" w:hAnsi="仿宋" w:eastAsia="仿宋" w:cs="仿宋"/>
          <w:sz w:val="24"/>
          <w:szCs w:val="24"/>
        </w:rPr>
        <w:t>与承包人（以下简称“承包人”）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，特订立如下协议。</w:t>
      </w:r>
    </w:p>
    <w:p w14:paraId="1338ED3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1. 发包人承包人的权利和义务</w:t>
      </w:r>
    </w:p>
    <w:p w14:paraId="497F7AC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（1）严格遵守党的政策规定和国家有关法律法规及相关部门的有关规定。</w:t>
      </w:r>
    </w:p>
    <w:p w14:paraId="2595449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（2）严格执行 工程的合同文件，自觉按合同办事。</w:t>
      </w:r>
    </w:p>
    <w:p w14:paraId="3090C3B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（3）双方的业务活动坚持公开、公正、诚信、透明的原则（法律认定的商业秘密和合同文件另有规定除外），不得损害国家和集体利益，违反工程建设管理规章制度。</w:t>
      </w:r>
    </w:p>
    <w:p w14:paraId="39B5DCF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（4）建立健全廉政制度，开展廉政教育，设立廉政告示牌，公布举报电话，监督并认真查处违法违纪行为。</w:t>
      </w:r>
    </w:p>
    <w:p w14:paraId="5E897FC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（5）发现对方在业务活动中有违反廉政规定的行为，有及时提醒对方纠正的权利和义务。</w:t>
      </w:r>
    </w:p>
    <w:p w14:paraId="3B8DC13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（6）发现对方严重违反协议义务条款的行为，有向其上级有关部门举报、建议给予处理并要求告知处理结果的权利。</w:t>
      </w:r>
    </w:p>
    <w:p w14:paraId="695AF32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 发包人的义务</w:t>
      </w:r>
    </w:p>
    <w:p w14:paraId="491428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（1）发包人及其工作人员不得索要或接受承包人的礼金、有价证券和贵重物品，不得在承包人报销任何应由发包人或发包人工作人员个人支付的费用等。</w:t>
      </w:r>
    </w:p>
    <w:p w14:paraId="10B69B5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（2）发包人工作人员不得参加承包人安排的超标准宴请和娱乐活动；不得接受承包人提供的通讯工具、交通工具和高档办公用品等。</w:t>
      </w:r>
    </w:p>
    <w:p w14:paraId="7AF9A9D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（3）发包人及其工作人员不得要求或者接受承包人为其住房装修、婚丧嫁娶活动、配偶子女的工作安排以及出国出境、旅游等提供方便等。</w:t>
      </w:r>
    </w:p>
    <w:p w14:paraId="08E59AE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（4）发包人工作人员及其配偶、子女不得从事与发包人工程有关的材料设备供应、工程分包、劳务等经济活动等。</w:t>
      </w:r>
    </w:p>
    <w:p w14:paraId="6402082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（5）发包人及其工作人员不得以任何理由向承包人推荐分包单位或推销材料，不得要求承包人购买合同规定外的材料和设备。</w:t>
      </w:r>
    </w:p>
    <w:p w14:paraId="13B99E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（6）发包人工作人员要秉公办事，不准营私舞弊，不准利用职权从事各种个人有偿中介活动和安排个人施工队伍。</w:t>
      </w:r>
    </w:p>
    <w:p w14:paraId="464C5FE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 承包人义务</w:t>
      </w:r>
    </w:p>
    <w:p w14:paraId="58D2272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（1）承包人不得以任何理由向发包人及其工作人员行贿或馈赠礼金、有价证券、贵重礼品。</w:t>
      </w:r>
    </w:p>
    <w:p w14:paraId="7A2C0A5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（2）承包人不得以任何名义为发包人及其工作人员报销应由发包人单位或个人支付的任何费用。</w:t>
      </w:r>
    </w:p>
    <w:p w14:paraId="2ECEA88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（3）承包人不得以任何理由安排发包人工作人员参加超标准宴请及娱乐活动。</w:t>
      </w:r>
    </w:p>
    <w:p w14:paraId="01733A7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（4）承包人不得为发包人单位和个人购置或提供通讯工具、交通工具和高档办公用品等。</w:t>
      </w:r>
    </w:p>
    <w:p w14:paraId="4545BC5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 违约责任</w:t>
      </w:r>
    </w:p>
    <w:p w14:paraId="76C22F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（1）发包人及其工作人员违反合同第1、2条，按管理权限，依据有关规定给予党纪、政纪或组织处理；涉嫌犯罪的，移交司法机关追究刑事责任；给承包人单位造成经济损失的，应予以赔偿。</w:t>
      </w:r>
    </w:p>
    <w:p w14:paraId="3D90BE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（2）承包人及其工作人员违反合同第1、3条，按管理权限，依据有关规定给予党纪、政纪或组织处理；给发包人单位造成经济损失的，应予以赔偿。</w:t>
      </w:r>
    </w:p>
    <w:p w14:paraId="60E388D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02C60F1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 协议有效期为甲乙双方签署之日起至该工程项目竣工验收后止。</w:t>
      </w:r>
    </w:p>
    <w:p w14:paraId="09C527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7.协议作为</w:t>
      </w:r>
      <w:r>
        <w:rPr>
          <w:rFonts w:hint="eastAsia" w:ascii="仿宋" w:hAnsi="仿宋" w:eastAsia="仿宋" w:cs="仿宋"/>
          <w:sz w:val="24"/>
          <w:szCs w:val="24"/>
          <w:lang w:eastAsia="zh-CN"/>
        </w:rPr>
        <w:t>轨道18号线桥下空间地块建设中顺社区口袋公园</w:t>
      </w:r>
      <w:r>
        <w:rPr>
          <w:rFonts w:hint="eastAsia" w:ascii="仿宋" w:hAnsi="仿宋" w:eastAsia="仿宋" w:cs="仿宋"/>
          <w:sz w:val="24"/>
          <w:szCs w:val="24"/>
        </w:rPr>
        <w:t>施工合同的附件，与工程施工合同具有同等的法律效力，经合同双方签署立即生效。</w:t>
      </w:r>
    </w:p>
    <w:p w14:paraId="252E79C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（以下无正文）</w:t>
      </w:r>
    </w:p>
    <w:p w14:paraId="02B9B51A">
      <w:pPr>
        <w:rPr>
          <w:rFonts w:hint="eastAsia" w:ascii="宋体" w:hAnsi="宋体" w:eastAsia="宋体" w:cs="宋体"/>
          <w:kern w:val="0"/>
          <w:sz w:val="20"/>
          <w:szCs w:val="20"/>
        </w:rPr>
      </w:pPr>
      <w:r>
        <w:rPr>
          <w:rFonts w:hint="eastAsia" w:ascii="宋体" w:hAnsi="宋体" w:eastAsia="宋体" w:cs="宋体"/>
          <w:kern w:val="0"/>
          <w:sz w:val="20"/>
          <w:szCs w:val="20"/>
        </w:rPr>
        <w:t xml:space="preserve">  </w:t>
      </w:r>
    </w:p>
    <w:p w14:paraId="7344B18C">
      <w:pPr>
        <w:rPr>
          <w:rFonts w:hint="eastAsia" w:ascii="宋体" w:hAnsi="宋体" w:eastAsia="宋体" w:cs="宋体"/>
          <w:kern w:val="0"/>
          <w:sz w:val="20"/>
          <w:szCs w:val="20"/>
        </w:rPr>
      </w:pPr>
    </w:p>
    <w:p w14:paraId="73CC70E5">
      <w:pPr>
        <w:rPr>
          <w:rFonts w:hint="eastAsia" w:ascii="宋体" w:hAnsi="宋体" w:eastAsia="宋体" w:cs="宋体"/>
          <w:kern w:val="0"/>
          <w:sz w:val="20"/>
          <w:szCs w:val="20"/>
        </w:rPr>
      </w:pPr>
    </w:p>
    <w:p w14:paraId="1CCA2E9D">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发包人：                                               承包人：</w:t>
      </w:r>
    </w:p>
    <w:p w14:paraId="04F88B68">
      <w:pPr>
        <w:rPr>
          <w:rFonts w:hint="eastAsia" w:ascii="宋体" w:hAnsi="宋体" w:eastAsia="宋体" w:cs="宋体"/>
          <w:kern w:val="0"/>
          <w:sz w:val="20"/>
          <w:szCs w:val="20"/>
        </w:rPr>
      </w:pPr>
    </w:p>
    <w:p w14:paraId="590A8290">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法定代表人：                                           法定代表人：</w:t>
      </w:r>
    </w:p>
    <w:p w14:paraId="23A4ADAD">
      <w:pPr>
        <w:ind w:firstLine="200" w:firstLineChars="100"/>
        <w:rPr>
          <w:rFonts w:hint="eastAsia" w:ascii="宋体" w:hAnsi="宋体" w:eastAsia="宋体" w:cs="宋体"/>
          <w:kern w:val="0"/>
          <w:sz w:val="20"/>
          <w:szCs w:val="20"/>
        </w:rPr>
      </w:pPr>
    </w:p>
    <w:p w14:paraId="2F246019">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或授权代表：                                           或授权代表：</w:t>
      </w:r>
    </w:p>
    <w:p w14:paraId="0B180804">
      <w:pPr>
        <w:ind w:firstLine="200" w:firstLineChars="100"/>
        <w:rPr>
          <w:rFonts w:hint="eastAsia" w:ascii="宋体" w:hAnsi="宋体" w:eastAsia="宋体" w:cs="宋体"/>
          <w:kern w:val="0"/>
          <w:sz w:val="20"/>
          <w:szCs w:val="20"/>
        </w:rPr>
      </w:pPr>
    </w:p>
    <w:p w14:paraId="13E1431A">
      <w:pPr>
        <w:rPr>
          <w:rFonts w:hint="eastAsia" w:ascii="宋体" w:hAnsi="宋体" w:eastAsia="宋体" w:cs="宋体"/>
          <w:kern w:val="0"/>
          <w:sz w:val="20"/>
          <w:szCs w:val="20"/>
        </w:rPr>
      </w:pPr>
    </w:p>
    <w:p w14:paraId="031666F3">
      <w:pPr>
        <w:rPr>
          <w:rFonts w:hint="eastAsia" w:ascii="宋体" w:hAnsi="宋体" w:eastAsia="宋体" w:cs="宋体"/>
          <w:kern w:val="0"/>
          <w:sz w:val="20"/>
          <w:szCs w:val="20"/>
        </w:rPr>
      </w:pPr>
    </w:p>
    <w:p w14:paraId="3D83916A">
      <w:pPr>
        <w:rPr>
          <w:rFonts w:hint="eastAsia" w:ascii="宋体" w:hAnsi="宋体" w:eastAsia="宋体" w:cs="宋体"/>
          <w:kern w:val="0"/>
          <w:sz w:val="20"/>
          <w:szCs w:val="20"/>
        </w:rPr>
      </w:pPr>
    </w:p>
    <w:p w14:paraId="5BE7F5B8">
      <w:pPr>
        <w:rPr>
          <w:rFonts w:hint="eastAsia" w:ascii="宋体" w:hAnsi="宋体" w:eastAsia="宋体" w:cs="宋体"/>
          <w:kern w:val="0"/>
          <w:sz w:val="20"/>
          <w:szCs w:val="20"/>
        </w:rPr>
      </w:pPr>
    </w:p>
    <w:p w14:paraId="0D051C14">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br w:type="page"/>
      </w:r>
    </w:p>
    <w:p w14:paraId="3713E604">
      <w:pPr>
        <w:rPr>
          <w:rFonts w:hint="eastAsia" w:ascii="宋体" w:hAnsi="宋体" w:eastAsia="宋体" w:cs="宋体"/>
          <w:b/>
          <w:kern w:val="0"/>
          <w:sz w:val="28"/>
          <w:szCs w:val="28"/>
        </w:rPr>
      </w:pPr>
      <w:bookmarkStart w:id="186" w:name="_Toc6858_WPSOffice_Level2"/>
      <w:r>
        <w:rPr>
          <w:rFonts w:hint="eastAsia" w:ascii="宋体" w:hAnsi="宋体" w:eastAsia="宋体" w:cs="宋体"/>
          <w:b/>
          <w:kern w:val="0"/>
          <w:sz w:val="24"/>
          <w:szCs w:val="24"/>
        </w:rPr>
        <w:t>附件</w:t>
      </w:r>
      <w:r>
        <w:rPr>
          <w:rFonts w:hint="eastAsia" w:ascii="宋体" w:hAnsi="宋体" w:cs="宋体"/>
          <w:b/>
          <w:kern w:val="0"/>
          <w:sz w:val="24"/>
          <w:szCs w:val="24"/>
          <w:lang w:val="en-US" w:eastAsia="zh-CN"/>
        </w:rPr>
        <w:t>3.</w:t>
      </w:r>
      <w:r>
        <w:rPr>
          <w:rFonts w:hint="eastAsia" w:ascii="宋体" w:hAnsi="宋体" w:eastAsia="宋体" w:cs="宋体"/>
          <w:b/>
          <w:kern w:val="0"/>
          <w:sz w:val="28"/>
          <w:szCs w:val="28"/>
        </w:rPr>
        <w:t>安全生产合同</w:t>
      </w:r>
      <w:bookmarkEnd w:id="186"/>
    </w:p>
    <w:p w14:paraId="656850AE">
      <w:pPr>
        <w:spacing w:before="156" w:beforeLines="50" w:after="156" w:afterLines="50"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安全生产合同</w:t>
      </w:r>
    </w:p>
    <w:p w14:paraId="6F37F6B7">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0"/>
          <w:sz w:val="24"/>
          <w:szCs w:val="24"/>
        </w:rPr>
      </w:pPr>
      <w:bookmarkStart w:id="187" w:name="_Toc25371"/>
      <w:r>
        <w:rPr>
          <w:rFonts w:hint="eastAsia" w:ascii="仿宋" w:hAnsi="仿宋" w:eastAsia="仿宋" w:cs="仿宋"/>
          <w:color w:val="auto"/>
          <w:kern w:val="0"/>
          <w:sz w:val="24"/>
          <w:szCs w:val="24"/>
          <w:lang w:bidi="ar"/>
        </w:rPr>
        <w:t>为</w:t>
      </w:r>
      <w:r>
        <w:rPr>
          <w:rFonts w:hint="eastAsia" w:ascii="仿宋" w:hAnsi="仿宋" w:eastAsia="仿宋" w:cs="仿宋"/>
          <w:color w:val="auto"/>
          <w:kern w:val="0"/>
          <w:sz w:val="24"/>
          <w:szCs w:val="24"/>
          <w:u w:val="none"/>
          <w:lang w:bidi="ar"/>
        </w:rPr>
        <w:t>了确保</w:t>
      </w:r>
      <w:r>
        <w:rPr>
          <w:rFonts w:hint="eastAsia" w:ascii="仿宋" w:hAnsi="仿宋" w:eastAsia="仿宋" w:cs="仿宋"/>
          <w:sz w:val="24"/>
          <w:szCs w:val="24"/>
          <w:highlight w:val="none"/>
          <w:u w:val="none"/>
          <w:lang w:eastAsia="zh-CN"/>
        </w:rPr>
        <w:t>轨道18号线桥下空间地块建设中顺社区口袋公园</w:t>
      </w:r>
      <w:r>
        <w:rPr>
          <w:rFonts w:hint="eastAsia" w:ascii="仿宋" w:hAnsi="仿宋" w:eastAsia="仿宋" w:cs="仿宋"/>
          <w:color w:val="auto"/>
          <w:kern w:val="0"/>
          <w:sz w:val="24"/>
          <w:szCs w:val="24"/>
          <w:u w:val="none"/>
          <w:lang w:bidi="ar"/>
        </w:rPr>
        <w:t>安全生</w:t>
      </w:r>
      <w:r>
        <w:rPr>
          <w:rFonts w:hint="eastAsia" w:ascii="仿宋" w:hAnsi="仿宋" w:eastAsia="仿宋" w:cs="仿宋"/>
          <w:color w:val="auto"/>
          <w:kern w:val="0"/>
          <w:sz w:val="24"/>
          <w:szCs w:val="24"/>
          <w:lang w:bidi="ar"/>
        </w:rPr>
        <w:t>产目标，进一步明确双方的安全管理责任，加强安全生产管理工作的协调、管理力度，</w:t>
      </w:r>
      <w:r>
        <w:rPr>
          <w:rFonts w:hint="eastAsia" w:ascii="仿宋" w:hAnsi="仿宋" w:eastAsia="仿宋" w:cs="仿宋"/>
          <w:color w:val="auto"/>
          <w:kern w:val="0"/>
          <w:sz w:val="24"/>
          <w:szCs w:val="24"/>
          <w:u w:val="single"/>
          <w:lang w:eastAsia="zh-CN" w:bidi="ar"/>
        </w:rPr>
        <w:t>重庆市大渡口区跳磴镇人民政府</w:t>
      </w:r>
      <w:r>
        <w:rPr>
          <w:rFonts w:hint="eastAsia" w:ascii="仿宋" w:hAnsi="仿宋" w:eastAsia="仿宋" w:cs="仿宋"/>
          <w:color w:val="auto"/>
          <w:kern w:val="0"/>
          <w:sz w:val="24"/>
          <w:szCs w:val="24"/>
          <w:lang w:bidi="ar"/>
        </w:rPr>
        <w:t>（以下简称“发包人”）与</w:t>
      </w:r>
      <w:r>
        <w:rPr>
          <w:rFonts w:hint="eastAsia" w:ascii="仿宋" w:hAnsi="仿宋" w:eastAsia="仿宋" w:cs="仿宋"/>
          <w:color w:val="auto"/>
          <w:kern w:val="0"/>
          <w:sz w:val="24"/>
          <w:szCs w:val="24"/>
          <w:u w:val="single"/>
          <w:lang w:val="en-US" w:eastAsia="zh-CN" w:bidi="ar"/>
        </w:rPr>
        <w:t xml:space="preserve">  </w:t>
      </w:r>
      <w:r>
        <w:rPr>
          <w:rFonts w:hint="eastAsia" w:ascii="仿宋" w:hAnsi="仿宋" w:eastAsia="仿宋" w:cs="仿宋"/>
          <w:color w:val="auto"/>
          <w:kern w:val="0"/>
          <w:sz w:val="24"/>
          <w:szCs w:val="24"/>
          <w:lang w:bidi="ar"/>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76984D7B">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0"/>
          <w:sz w:val="24"/>
          <w:szCs w:val="24"/>
        </w:rPr>
      </w:pPr>
      <w:bookmarkStart w:id="188" w:name="_Toc247431423"/>
      <w:bookmarkEnd w:id="188"/>
      <w:bookmarkStart w:id="189" w:name="_Toc239510289"/>
      <w:bookmarkEnd w:id="189"/>
      <w:bookmarkStart w:id="190" w:name="_Toc532375700"/>
      <w:bookmarkEnd w:id="190"/>
      <w:bookmarkStart w:id="191" w:name="_Toc247418263"/>
      <w:r>
        <w:rPr>
          <w:rFonts w:hint="eastAsia" w:ascii="仿宋" w:hAnsi="仿宋" w:eastAsia="仿宋" w:cs="仿宋"/>
          <w:color w:val="auto"/>
          <w:kern w:val="0"/>
          <w:sz w:val="24"/>
          <w:szCs w:val="24"/>
          <w:lang w:bidi="ar"/>
        </w:rPr>
        <w:t>一、协议有效期限</w:t>
      </w:r>
      <w:bookmarkEnd w:id="191"/>
    </w:p>
    <w:p w14:paraId="108028A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本协议中所涉及的安全管理责任自合同订立之日起开始生效，至合同工程全部完工验收且经发包人与承包人签订移交协议生效后之日终止。</w:t>
      </w:r>
    </w:p>
    <w:p w14:paraId="7451EC2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192" w:name="_Toc247418264"/>
      <w:bookmarkEnd w:id="192"/>
      <w:bookmarkStart w:id="193" w:name="_Toc239510290"/>
      <w:bookmarkEnd w:id="193"/>
      <w:bookmarkStart w:id="194" w:name="_Toc247431424"/>
      <w:bookmarkEnd w:id="194"/>
      <w:bookmarkStart w:id="195" w:name="_Toc532375701"/>
      <w:r>
        <w:rPr>
          <w:rFonts w:hint="eastAsia" w:ascii="仿宋" w:hAnsi="仿宋" w:eastAsia="仿宋" w:cs="仿宋"/>
          <w:color w:val="auto"/>
          <w:kern w:val="0"/>
          <w:sz w:val="24"/>
          <w:szCs w:val="24"/>
          <w:lang w:bidi="ar"/>
        </w:rPr>
        <w:t>二、责任目标</w:t>
      </w:r>
      <w:bookmarkEnd w:id="195"/>
    </w:p>
    <w:p w14:paraId="5406573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（一）承包人承诺承担和履行合同和发包人所规定的安全责任，且满足要求。</w:t>
      </w:r>
    </w:p>
    <w:p w14:paraId="113B4FE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（二）承包人的安全控制目标是确保本工程在实施过程中：</w:t>
      </w:r>
    </w:p>
    <w:p w14:paraId="71FF833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1．不发生人身重伤事故；</w:t>
      </w:r>
    </w:p>
    <w:p w14:paraId="4E5D40E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2．不发生火灾事故；</w:t>
      </w:r>
    </w:p>
    <w:p w14:paraId="0E598B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3．不发生负有同等及以上事故责任的造成人身重伤的一般交通事故；</w:t>
      </w:r>
    </w:p>
    <w:p w14:paraId="14915A9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4．不发生集体食物中毒事件（同时5人及以上的食物中毒）；</w:t>
      </w:r>
    </w:p>
    <w:p w14:paraId="71A3B38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5．不发生流行性传染病 （无甲型传染病、其他常见传染病未形成多人同时患病）；</w:t>
      </w:r>
    </w:p>
    <w:p w14:paraId="703D928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6．不发生重大环境污染事件（生活、工业垃圾及其他污染物造成环境污染和大面积水土流失）；</w:t>
      </w:r>
    </w:p>
    <w:p w14:paraId="7FD95B5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7．不发生对施工区附近生产、生活造成重大影响的事件（如造成重大设备损坏、重大财产损失、人员伤害等）；</w:t>
      </w:r>
    </w:p>
    <w:p w14:paraId="65DB8D2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8．不发生治安保卫事件（构成刑事拘留及以上的事件、盗窃直接损失超过1万元人民币的事件）。</w:t>
      </w:r>
    </w:p>
    <w:p w14:paraId="668D137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196" w:name="_Toc247418265"/>
      <w:bookmarkEnd w:id="196"/>
      <w:bookmarkStart w:id="197" w:name="_Toc247431425"/>
      <w:bookmarkEnd w:id="197"/>
      <w:bookmarkStart w:id="198" w:name="_Toc239510291"/>
      <w:r>
        <w:rPr>
          <w:rFonts w:hint="eastAsia" w:ascii="仿宋" w:hAnsi="仿宋" w:eastAsia="仿宋" w:cs="仿宋"/>
          <w:color w:val="auto"/>
          <w:kern w:val="0"/>
          <w:sz w:val="24"/>
          <w:szCs w:val="24"/>
          <w:lang w:bidi="ar"/>
        </w:rPr>
        <w:t>（三）承包人承诺在施工中控制以下安全事故的发生：</w:t>
      </w:r>
      <w:bookmarkEnd w:id="198"/>
    </w:p>
    <w:p w14:paraId="39A27D3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1．人员轻伤事故。</w:t>
      </w:r>
    </w:p>
    <w:p w14:paraId="1C609F4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2．负有同等及以上事故责任的人身轻伤交通事故。</w:t>
      </w:r>
    </w:p>
    <w:p w14:paraId="19F68E4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3．其他安全未遂事故和异常事件。</w:t>
      </w:r>
    </w:p>
    <w:p w14:paraId="44001AF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199" w:name="_Toc532375702"/>
      <w:bookmarkEnd w:id="199"/>
      <w:bookmarkStart w:id="200" w:name="_Toc247418266"/>
      <w:bookmarkEnd w:id="200"/>
      <w:bookmarkStart w:id="201" w:name="_Toc247431426"/>
      <w:bookmarkEnd w:id="201"/>
      <w:bookmarkStart w:id="202" w:name="_Toc239510292"/>
      <w:r>
        <w:rPr>
          <w:rFonts w:hint="eastAsia" w:ascii="仿宋" w:hAnsi="仿宋" w:eastAsia="仿宋" w:cs="仿宋"/>
          <w:color w:val="auto"/>
          <w:kern w:val="0"/>
          <w:sz w:val="24"/>
          <w:szCs w:val="24"/>
          <w:lang w:bidi="ar"/>
        </w:rPr>
        <w:t>三、安全责任</w:t>
      </w:r>
      <w:bookmarkEnd w:id="202"/>
    </w:p>
    <w:p w14:paraId="21BCDF3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1．承包人负有安全生产的管理责任和直接责任。</w:t>
      </w:r>
    </w:p>
    <w:p w14:paraId="6640EC1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2．承包人的法人或签署合同的公司总经理或受委托的代理人对合同安全负有全面的领导责任。</w:t>
      </w:r>
    </w:p>
    <w:p w14:paraId="0AC5A91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3．承包人项目经理对施工现场的安全工作负有全面的直接领导责任。</w:t>
      </w:r>
    </w:p>
    <w:p w14:paraId="25344FE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4．承包人保证执行“谁施工、谁负责”的施工安全原则。</w:t>
      </w:r>
    </w:p>
    <w:p w14:paraId="2DB276C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5．承包人保证服从发包人对安全工作的统一协调和管理。</w:t>
      </w:r>
    </w:p>
    <w:p w14:paraId="132F70D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6．承包人保证对本工程项目安全生产条件及其管理资源自行投入，保证安全资金的专款专用。</w:t>
      </w:r>
    </w:p>
    <w:p w14:paraId="02DB0B4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7．承包人保证建立本工程项目的安全管理体系及安全保证体系（注：项目安全管理大纲/手册、管理性的程序文件等）。</w:t>
      </w:r>
    </w:p>
    <w:p w14:paraId="3866FC7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8．承包人保证现场的安全管理专职人员必须持有建设主管部门安全生产培训考核合格证书。</w:t>
      </w:r>
    </w:p>
    <w:p w14:paraId="7C1470C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9．承包人保证为现场所有工作人员（含分包商员工及劳务人员）配备符合国家标准的有承包人和/或其下属分包商标志的个人基本劳动保护用品。</w:t>
      </w:r>
    </w:p>
    <w:p w14:paraId="13CEBB0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10．承包人保证按照国家法律规定为现场所有工作人员（含分包商员工及劳务人员）购买意外伤害保险。</w:t>
      </w:r>
    </w:p>
    <w:p w14:paraId="733E77B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11．承包人保证施工生活营地（包括自建的和租用的营地）满足消防、安全用电、卫生防疫、防暴雨、防雷击等方面的安全要求。</w:t>
      </w:r>
    </w:p>
    <w:p w14:paraId="4682A9B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12．承包人保证对带入现场的设备、工具、材料按照国家法规和标准进行检测、试验，并持有法定部门出具的检验证书。</w:t>
      </w:r>
    </w:p>
    <w:p w14:paraId="6CF7D74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13．承包人保证制订施工现场的文明施工措施，保护环境、树木和植被，保持施工现场的良好秩序和整洁的作业环境。</w:t>
      </w:r>
    </w:p>
    <w:p w14:paraId="6662A76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14．承包人负责在施工过程中与当地政府、周边群众及其他承包商保持良好的沟通和交流。承包人遇到与周边群众发生纠纷时，应负责协调工作，确保工程能够顺利进行。</w:t>
      </w:r>
    </w:p>
    <w:p w14:paraId="7350AB1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03" w:name="_Toc247431427"/>
      <w:bookmarkEnd w:id="203"/>
      <w:bookmarkStart w:id="204" w:name="_Toc247418267"/>
      <w:bookmarkEnd w:id="204"/>
      <w:bookmarkStart w:id="205" w:name="_Toc239510293"/>
      <w:bookmarkEnd w:id="205"/>
      <w:bookmarkStart w:id="206" w:name="_Toc532375703"/>
      <w:r>
        <w:rPr>
          <w:rFonts w:hint="eastAsia" w:ascii="仿宋" w:hAnsi="仿宋" w:eastAsia="仿宋" w:cs="仿宋"/>
          <w:color w:val="auto"/>
          <w:kern w:val="0"/>
          <w:sz w:val="24"/>
          <w:szCs w:val="24"/>
          <w:lang w:bidi="ar"/>
        </w:rPr>
        <w:t>四、接口及协调</w:t>
      </w:r>
      <w:bookmarkEnd w:id="206"/>
    </w:p>
    <w:p w14:paraId="5BCADA5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bidi="ar"/>
        </w:rPr>
        <w:t>．承包人人员、车辆的出入，带入现场的设备、机具、材料，在现场使用的或直接管理的办公、生活、生产性设施的安全管理须满足发包人现场管理的基本要求。</w:t>
      </w:r>
    </w:p>
    <w:p w14:paraId="42DFE71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bidi="ar"/>
        </w:rPr>
        <w:t>．承包人应指定专职安全管理人员与发包人接口，参与安全协调和管理。安全协调和管理的内容包括职业健康、工业安全、消防安全、卫生防疫、交通安全、环境保护、治安保卫等各方面。</w:t>
      </w:r>
    </w:p>
    <w:p w14:paraId="62EA3D0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bidi="ar"/>
        </w:rPr>
        <w:t>．承包人的专职安全管理人员应具备协调安全工作的能力和授权。发包人有权对专职安全管理人员的能力和权力做出评价，对于不能胜任的专职安全管理人员，发包人有权要求承包人换人。</w:t>
      </w:r>
    </w:p>
    <w:p w14:paraId="6A289F4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bidi="ar"/>
        </w:rPr>
        <w:t>．承包人指定的专职安全管理人员应与发包人建立联系，在业务上接受发包人</w:t>
      </w:r>
      <w:r>
        <w:rPr>
          <w:rFonts w:hint="eastAsia" w:ascii="仿宋" w:hAnsi="仿宋" w:eastAsia="仿宋" w:cs="仿宋"/>
          <w:color w:val="auto"/>
          <w:kern w:val="0"/>
          <w:sz w:val="24"/>
          <w:szCs w:val="24"/>
          <w:lang w:eastAsia="zh-CN" w:bidi="ar"/>
        </w:rPr>
        <w:t>的</w:t>
      </w:r>
      <w:r>
        <w:rPr>
          <w:rFonts w:hint="eastAsia" w:ascii="仿宋" w:hAnsi="仿宋" w:eastAsia="仿宋" w:cs="仿宋"/>
          <w:color w:val="auto"/>
          <w:kern w:val="0"/>
          <w:sz w:val="24"/>
          <w:szCs w:val="24"/>
          <w:lang w:bidi="ar"/>
        </w:rPr>
        <w:t>协调和指导。</w:t>
      </w:r>
    </w:p>
    <w:p w14:paraId="1205609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5</w:t>
      </w:r>
      <w:r>
        <w:rPr>
          <w:rFonts w:hint="eastAsia" w:ascii="仿宋" w:hAnsi="仿宋" w:eastAsia="仿宋" w:cs="仿宋"/>
          <w:color w:val="auto"/>
          <w:kern w:val="0"/>
          <w:sz w:val="24"/>
          <w:szCs w:val="24"/>
          <w:lang w:bidi="ar"/>
        </w:rPr>
        <w:t>．开工后承包人的专职安全管理人员应按照发包人</w:t>
      </w:r>
      <w:r>
        <w:rPr>
          <w:rFonts w:hint="eastAsia" w:ascii="仿宋" w:hAnsi="仿宋" w:eastAsia="仿宋" w:cs="仿宋"/>
          <w:color w:val="auto"/>
          <w:kern w:val="0"/>
          <w:sz w:val="24"/>
          <w:szCs w:val="24"/>
          <w:lang w:eastAsia="zh-CN" w:bidi="ar"/>
        </w:rPr>
        <w:t>的</w:t>
      </w:r>
      <w:r>
        <w:rPr>
          <w:rFonts w:hint="eastAsia" w:ascii="仿宋" w:hAnsi="仿宋" w:eastAsia="仿宋" w:cs="仿宋"/>
          <w:color w:val="auto"/>
          <w:kern w:val="0"/>
          <w:sz w:val="24"/>
          <w:szCs w:val="24"/>
          <w:lang w:bidi="ar"/>
        </w:rPr>
        <w:t>规定，定期报送安全月度快报、季报、年报和各种专项事故报告等。</w:t>
      </w:r>
    </w:p>
    <w:p w14:paraId="4DE3308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
        </w:rPr>
        <w:t>6</w:t>
      </w:r>
      <w:r>
        <w:rPr>
          <w:rFonts w:hint="eastAsia" w:ascii="仿宋" w:hAnsi="仿宋" w:eastAsia="仿宋" w:cs="仿宋"/>
          <w:color w:val="auto"/>
          <w:kern w:val="0"/>
          <w:sz w:val="24"/>
          <w:szCs w:val="24"/>
          <w:lang w:bidi="ar"/>
        </w:rPr>
        <w:t>．在工程实体未全部正式移交发包人施工管理部门之前，承包人依旧对施工范围内的安全管理负责。</w:t>
      </w:r>
    </w:p>
    <w:p w14:paraId="75710A6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07" w:name="_Toc247431428"/>
      <w:bookmarkEnd w:id="207"/>
      <w:bookmarkStart w:id="208" w:name="_Toc239510294"/>
      <w:bookmarkEnd w:id="208"/>
      <w:bookmarkStart w:id="209" w:name="_Toc247418268"/>
      <w:bookmarkEnd w:id="209"/>
      <w:bookmarkStart w:id="210" w:name="_Toc532375704"/>
      <w:r>
        <w:rPr>
          <w:rFonts w:hint="eastAsia" w:ascii="仿宋" w:hAnsi="仿宋" w:eastAsia="仿宋" w:cs="仿宋"/>
          <w:color w:val="auto"/>
          <w:kern w:val="0"/>
          <w:sz w:val="24"/>
          <w:szCs w:val="24"/>
          <w:lang w:bidi="ar"/>
        </w:rPr>
        <w:t>五、安全资质审查</w:t>
      </w:r>
      <w:bookmarkEnd w:id="210"/>
    </w:p>
    <w:p w14:paraId="6F2972D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承包人在项目开工前5个工作天内向发包人提供以下安全资质供审查和存档：</w:t>
      </w:r>
    </w:p>
    <w:p w14:paraId="1FEA744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1．企业安全生产许可证书复印件。</w:t>
      </w:r>
    </w:p>
    <w:p w14:paraId="1B959A2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2．企业近三年的施工简历及安全施工业绩证明文件。</w:t>
      </w:r>
    </w:p>
    <w:p w14:paraId="52C64DD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3．企业主要安全管理人员（包括项目经理、专职安全管理人员）经建设主管部门安全生产知识考核合格证书。</w:t>
      </w:r>
    </w:p>
    <w:p w14:paraId="751B74D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4．特种作业人员资格证书。</w:t>
      </w:r>
    </w:p>
    <w:p w14:paraId="6139827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5．项目安全管理机构及其人员配备（承包人必须配有专职的安全员）。</w:t>
      </w:r>
    </w:p>
    <w:p w14:paraId="324271D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6．适用于项目的安全管理体系及保证体系文件（安全管理大纲及管理程序文件）。</w:t>
      </w:r>
    </w:p>
    <w:p w14:paraId="028165F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11" w:name="_Toc247418269"/>
      <w:bookmarkEnd w:id="211"/>
      <w:bookmarkStart w:id="212" w:name="_Toc239510295"/>
      <w:bookmarkEnd w:id="212"/>
      <w:bookmarkStart w:id="213" w:name="_Toc247431429"/>
      <w:bookmarkEnd w:id="213"/>
      <w:bookmarkStart w:id="214" w:name="_Toc532375705"/>
      <w:r>
        <w:rPr>
          <w:rFonts w:hint="eastAsia" w:ascii="仿宋" w:hAnsi="仿宋" w:eastAsia="仿宋" w:cs="仿宋"/>
          <w:color w:val="auto"/>
          <w:kern w:val="0"/>
          <w:sz w:val="24"/>
          <w:szCs w:val="24"/>
          <w:lang w:bidi="ar"/>
        </w:rPr>
        <w:t>六、人员基本素质</w:t>
      </w:r>
      <w:bookmarkEnd w:id="214"/>
    </w:p>
    <w:p w14:paraId="672029A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承包人提供的人员必须满足下列要求：</w:t>
      </w:r>
    </w:p>
    <w:p w14:paraId="2B173FF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15612A7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2．无刑事案件牵连。</w:t>
      </w:r>
    </w:p>
    <w:p w14:paraId="2E4AE00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3．无吸毒、酗酒、赌博、嫖娼等恶习及违法行为。</w:t>
      </w:r>
    </w:p>
    <w:p w14:paraId="3C749F6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15" w:name="_Toc247431430"/>
      <w:bookmarkEnd w:id="215"/>
      <w:bookmarkStart w:id="216" w:name="_Toc247418270"/>
      <w:bookmarkEnd w:id="216"/>
      <w:bookmarkStart w:id="217" w:name="_Toc532375706"/>
      <w:bookmarkEnd w:id="217"/>
      <w:bookmarkStart w:id="218" w:name="_Toc239510296"/>
      <w:r>
        <w:rPr>
          <w:rFonts w:hint="eastAsia" w:ascii="仿宋" w:hAnsi="仿宋" w:eastAsia="仿宋" w:cs="仿宋"/>
          <w:color w:val="auto"/>
          <w:kern w:val="0"/>
          <w:sz w:val="24"/>
          <w:szCs w:val="24"/>
          <w:lang w:bidi="ar"/>
        </w:rPr>
        <w:t>七、劳动保护</w:t>
      </w:r>
      <w:bookmarkEnd w:id="218"/>
    </w:p>
    <w:p w14:paraId="00DF72B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1．承包人负责为本单位任何用工形式的员工提供个人劳动保护用品（包括工作服、安全帽、安全鞋等）。</w:t>
      </w:r>
    </w:p>
    <w:p w14:paraId="76EA50C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2．承包人负责向特殊工种的员工提供特殊劳动保护，否则不得从事特殊工种作业。</w:t>
      </w:r>
    </w:p>
    <w:p w14:paraId="3CC2179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3．发包人有权检查承包人的个人劳动保护用品是否符合国家的相应标准。</w:t>
      </w:r>
    </w:p>
    <w:p w14:paraId="02F26DB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 承包人在特殊风险场所作业而需要特殊防护用品或安全仪表时，必须在上述防护用品全部到位后才能开工。</w:t>
      </w:r>
    </w:p>
    <w:p w14:paraId="7CC1286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5．承包人应配备临时安全围栏、警示带、警告标志、防火布等集体防护用品。</w:t>
      </w:r>
    </w:p>
    <w:p w14:paraId="0684F5B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19" w:name="_Toc247418271"/>
      <w:bookmarkEnd w:id="219"/>
      <w:bookmarkStart w:id="220" w:name="_Toc247431431"/>
      <w:bookmarkEnd w:id="220"/>
      <w:bookmarkStart w:id="221" w:name="_Toc239510297"/>
      <w:bookmarkEnd w:id="221"/>
      <w:bookmarkStart w:id="222" w:name="_Toc532375707"/>
      <w:r>
        <w:rPr>
          <w:rFonts w:hint="eastAsia" w:ascii="仿宋" w:hAnsi="仿宋" w:eastAsia="仿宋" w:cs="仿宋"/>
          <w:color w:val="auto"/>
          <w:kern w:val="0"/>
          <w:sz w:val="24"/>
          <w:szCs w:val="24"/>
          <w:lang w:bidi="ar"/>
        </w:rPr>
        <w:t>八、施工机具与材料</w:t>
      </w:r>
      <w:bookmarkEnd w:id="222"/>
    </w:p>
    <w:p w14:paraId="72A82DC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1．承包人对带入现场的施工机械和工器具的安全负责。</w:t>
      </w:r>
    </w:p>
    <w:p w14:paraId="6E0662B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2．对于承包人带入现场的特殊工器具，如起重设备、索具、机动车辆、压缩气瓶等，承包人必须按国家法规和标准进行检测、试验，并持有法定部门出具的检验证书。</w:t>
      </w:r>
    </w:p>
    <w:p w14:paraId="7AC8E14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3．对于不属于法定检测的工器具，承包人也必须建立相应的管理、检测制度，这些工器具包括登高工具、脚手架材料、电动工具、安全防护设备及用具等。</w:t>
      </w:r>
    </w:p>
    <w:p w14:paraId="4A43F6A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23" w:name="_Toc239510298"/>
      <w:bookmarkEnd w:id="223"/>
      <w:bookmarkStart w:id="224" w:name="_Toc247418272"/>
      <w:bookmarkEnd w:id="224"/>
      <w:bookmarkStart w:id="225" w:name="_Toc247431432"/>
      <w:bookmarkEnd w:id="225"/>
      <w:bookmarkStart w:id="226" w:name="_Toc532375708"/>
      <w:r>
        <w:rPr>
          <w:rFonts w:hint="eastAsia" w:ascii="仿宋" w:hAnsi="仿宋" w:eastAsia="仿宋" w:cs="仿宋"/>
          <w:color w:val="auto"/>
          <w:kern w:val="0"/>
          <w:sz w:val="24"/>
          <w:szCs w:val="24"/>
          <w:lang w:bidi="ar"/>
        </w:rPr>
        <w:t>九、开工前安全条件检查</w:t>
      </w:r>
      <w:bookmarkEnd w:id="226"/>
    </w:p>
    <w:p w14:paraId="6F3ED9D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发包人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40436FC5">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363D570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3．发包人检查发现的缺陷，承包人应在规定期限内完成整改。对于重大缺陷，发包人有权要求承包人推迟开工，由此对工期产生的影响或经济损失，由承包人承担。</w:t>
      </w:r>
    </w:p>
    <w:p w14:paraId="48165B6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27" w:name="_Toc532375709"/>
      <w:bookmarkEnd w:id="227"/>
      <w:bookmarkStart w:id="228" w:name="_Toc247418273"/>
      <w:bookmarkEnd w:id="228"/>
      <w:bookmarkStart w:id="229" w:name="_Toc247431433"/>
      <w:bookmarkEnd w:id="229"/>
      <w:bookmarkStart w:id="230" w:name="_Toc239510299"/>
      <w:r>
        <w:rPr>
          <w:rFonts w:hint="eastAsia" w:ascii="仿宋" w:hAnsi="仿宋" w:eastAsia="仿宋" w:cs="仿宋"/>
          <w:color w:val="auto"/>
          <w:kern w:val="0"/>
          <w:sz w:val="24"/>
          <w:szCs w:val="24"/>
          <w:lang w:bidi="ar"/>
        </w:rPr>
        <w:t>十、安全监督</w:t>
      </w:r>
      <w:bookmarkEnd w:id="230"/>
    </w:p>
    <w:p w14:paraId="0ABF66A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1．承包人应配备有满足项目安全管理需要的专职安全管理人员。</w:t>
      </w:r>
    </w:p>
    <w:p w14:paraId="2885AE3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2．承包人的专职安全管理人员必须持建设主管部门颁发的安全生产知识考核合格证书。</w:t>
      </w:r>
    </w:p>
    <w:p w14:paraId="5E52836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3．承包人的专职安全管理人员在业务上接受发包人的协调和指导。</w:t>
      </w:r>
    </w:p>
    <w:p w14:paraId="57305C9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4．承包人应建立班前安全交底制度；施工期间坚持开展安全检查和日常安全监督并形成相应的记录。</w:t>
      </w:r>
    </w:p>
    <w:p w14:paraId="74F4735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5．承包人应在每个作业区任命兼职安全员，赋予兼职安全员相应的授权和义务，并对兼职安全员进行定期考核。</w:t>
      </w:r>
    </w:p>
    <w:p w14:paraId="61B5D06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6．承包人应接受和配合发包人的监督与安全评价。</w:t>
      </w:r>
    </w:p>
    <w:p w14:paraId="5F8743A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7．发包人有权对承包人履行安全管理协议的情况进行监督，并有权对违章行为实行停工和处罚，处罚情况将通知承包人。涉及经济处罚时将直接通知合同管理部门从合同结算中扣除。</w:t>
      </w:r>
    </w:p>
    <w:p w14:paraId="0355E17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31" w:name="_Toc239510300"/>
      <w:bookmarkEnd w:id="231"/>
      <w:bookmarkStart w:id="232" w:name="_Toc247418274"/>
      <w:bookmarkEnd w:id="232"/>
      <w:bookmarkStart w:id="233" w:name="_Toc532375710"/>
      <w:bookmarkEnd w:id="233"/>
      <w:bookmarkStart w:id="234" w:name="_Toc247431434"/>
      <w:r>
        <w:rPr>
          <w:rFonts w:hint="eastAsia" w:ascii="仿宋" w:hAnsi="仿宋" w:eastAsia="仿宋" w:cs="仿宋"/>
          <w:color w:val="auto"/>
          <w:kern w:val="0"/>
          <w:sz w:val="24"/>
          <w:szCs w:val="24"/>
          <w:lang w:bidi="ar"/>
        </w:rPr>
        <w:t>十一、安全培训与授权</w:t>
      </w:r>
      <w:bookmarkEnd w:id="234"/>
    </w:p>
    <w:p w14:paraId="33CC00F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1．承包人所有特殊工种人员必须持证上岗，发包人有权对其进行抽查。承包人要建立特殊工种定期培训和检查计划，这些工种包括但不限于：机动车驾驶员、焊工、起重工、电工等。</w:t>
      </w:r>
    </w:p>
    <w:p w14:paraId="7CC87A8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2．承包人应在特殊工种之外的其他工种中，筛选出高风险工种，并对其开展针对性的专题安全培训。</w:t>
      </w:r>
    </w:p>
    <w:p w14:paraId="496AD16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3．承包人应组织 “入场培训”和考核。发包人有权监督培训、考核情况或组织抽查考核。</w:t>
      </w:r>
    </w:p>
    <w:p w14:paraId="6DB4924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4．承包人应建立安全培训和考核机制，编制培训教材和培训滚动计划。承包人应组织安全考试/考核，建立培训考核记录，发包人有权查看这些记录。</w:t>
      </w:r>
    </w:p>
    <w:p w14:paraId="12A57A6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35" w:name="_Toc247418275"/>
      <w:bookmarkEnd w:id="235"/>
      <w:bookmarkStart w:id="236" w:name="_Toc247431435"/>
      <w:bookmarkEnd w:id="236"/>
      <w:bookmarkStart w:id="237" w:name="_Toc239510301"/>
      <w:bookmarkEnd w:id="237"/>
      <w:bookmarkStart w:id="238" w:name="_Toc532375711"/>
      <w:r>
        <w:rPr>
          <w:rFonts w:hint="eastAsia" w:ascii="仿宋" w:hAnsi="仿宋" w:eastAsia="仿宋" w:cs="仿宋"/>
          <w:color w:val="auto"/>
          <w:kern w:val="0"/>
          <w:sz w:val="24"/>
          <w:szCs w:val="24"/>
          <w:lang w:bidi="ar"/>
        </w:rPr>
        <w:t>十二、职业健康与卫生防疫</w:t>
      </w:r>
      <w:bookmarkEnd w:id="238"/>
    </w:p>
    <w:p w14:paraId="563A82F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1．承包人应有特殊健康检查制度，预防有禁忌症患者从事有关职业，如恐高症患者不得从事高空作业，患有心血管疾病的人员不得从事繁重的体力劳动，特殊工种人员的体检应符合国家的规定。</w:t>
      </w:r>
    </w:p>
    <w:p w14:paraId="29D4098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2．承包人应保证卫生防疫基本设施的投入，以满足医疗、急救的要求，建立外部医疗支持渠道。</w:t>
      </w:r>
    </w:p>
    <w:p w14:paraId="18EDAE1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472E88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39" w:name="_Toc532375712"/>
      <w:bookmarkEnd w:id="239"/>
      <w:bookmarkStart w:id="240" w:name="_Toc247418276"/>
      <w:bookmarkEnd w:id="240"/>
      <w:bookmarkStart w:id="241" w:name="_Toc239510302"/>
      <w:bookmarkEnd w:id="241"/>
      <w:bookmarkStart w:id="242" w:name="_Toc247431436"/>
      <w:r>
        <w:rPr>
          <w:rFonts w:hint="eastAsia" w:ascii="仿宋" w:hAnsi="仿宋" w:eastAsia="仿宋" w:cs="仿宋"/>
          <w:color w:val="auto"/>
          <w:kern w:val="0"/>
          <w:sz w:val="24"/>
          <w:szCs w:val="24"/>
          <w:lang w:bidi="ar"/>
        </w:rPr>
        <w:t>十三、文明施工与环保要求</w:t>
      </w:r>
      <w:bookmarkEnd w:id="242"/>
    </w:p>
    <w:p w14:paraId="6B2EF82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1．承包人需制订施工现场的文明施工措施，保持良好的施工现场秩序。施工现场的物料堆放要摆放整齐，安全标志和宣传标志要清楚醒目，废料、废物要分类收集，安全通道要畅通。</w:t>
      </w:r>
    </w:p>
    <w:p w14:paraId="0412DA5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2．承包人作业时应避免建筑材料抛洒、飞扬、流淌；应尽可能降低噪音、震动。</w:t>
      </w:r>
    </w:p>
    <w:p w14:paraId="71D4354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3．承包人应根据实际需要，在施工现场布置临时卫生设施（洗手间、卫生间等），施工作业不破坏环境卫生，不污染现场环境。</w:t>
      </w:r>
    </w:p>
    <w:p w14:paraId="0ABD8BE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4．承包人在施工中应充分重视对环境的保护，保护绿色植被，保护古树。施工如需伤害古树，必须报告发包人，在未得到指令前，禁止擅自伤害古树。</w:t>
      </w:r>
    </w:p>
    <w:p w14:paraId="3B27281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41D517A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6．承包人在施工中应禁止向环境，排放工业污水、生活污水、废油或其他有害物质。</w:t>
      </w:r>
    </w:p>
    <w:p w14:paraId="477A0DA3">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6773B53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43" w:name="_Toc247431437"/>
      <w:bookmarkEnd w:id="243"/>
      <w:bookmarkStart w:id="244" w:name="_Toc239510303"/>
      <w:bookmarkEnd w:id="244"/>
      <w:bookmarkStart w:id="245" w:name="_Toc247418277"/>
      <w:bookmarkEnd w:id="245"/>
      <w:bookmarkStart w:id="246" w:name="_Toc532375713"/>
      <w:r>
        <w:rPr>
          <w:rFonts w:hint="eastAsia" w:ascii="仿宋" w:hAnsi="仿宋" w:eastAsia="仿宋" w:cs="仿宋"/>
          <w:color w:val="auto"/>
          <w:kern w:val="0"/>
          <w:sz w:val="24"/>
          <w:szCs w:val="24"/>
          <w:lang w:bidi="ar"/>
        </w:rPr>
        <w:t>十四、工程风险管理与事故预防</w:t>
      </w:r>
      <w:bookmarkEnd w:id="246"/>
    </w:p>
    <w:p w14:paraId="017A1CF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47" w:name="_Toc247418278"/>
      <w:bookmarkEnd w:id="247"/>
      <w:bookmarkStart w:id="248" w:name="_Toc247431438"/>
      <w:bookmarkEnd w:id="248"/>
      <w:bookmarkStart w:id="249" w:name="_Toc239510304"/>
      <w:r>
        <w:rPr>
          <w:rFonts w:hint="eastAsia" w:ascii="仿宋" w:hAnsi="仿宋" w:eastAsia="仿宋" w:cs="仿宋"/>
          <w:color w:val="auto"/>
          <w:kern w:val="0"/>
          <w:sz w:val="24"/>
          <w:szCs w:val="24"/>
          <w:lang w:bidi="ar"/>
        </w:rPr>
        <w:t>（一）基本要求</w:t>
      </w:r>
      <w:bookmarkEnd w:id="249"/>
    </w:p>
    <w:p w14:paraId="133D514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0" w:name="_Toc532375714"/>
      <w:bookmarkEnd w:id="250"/>
      <w:r>
        <w:rPr>
          <w:rFonts w:hint="eastAsia" w:ascii="仿宋" w:hAnsi="仿宋" w:eastAsia="仿宋" w:cs="仿宋"/>
          <w:color w:val="auto"/>
          <w:kern w:val="0"/>
          <w:sz w:val="24"/>
          <w:szCs w:val="24"/>
          <w:lang w:bidi="ar"/>
        </w:rPr>
        <w:t>1．承包人应对施工过程进行全面、深入的危险源识别和风险分析。在施工安全组织设计中提供危险源及重要危险源清单、作业风险分析报告，该报告应包括（但不限于）如下信息：</w:t>
      </w:r>
    </w:p>
    <w:p w14:paraId="015AEA8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（1）高风险作业和工种清单：作业名称、类别和数量、主要事故风险。</w:t>
      </w:r>
    </w:p>
    <w:p w14:paraId="76C7E95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（2）施工能源和机械的种类、数量和主要事故风险。</w:t>
      </w:r>
    </w:p>
    <w:p w14:paraId="434AAF9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（3）施工作业条件的类型和主要事故风险。</w:t>
      </w:r>
    </w:p>
    <w:p w14:paraId="179768B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（4）主要工艺过程（或施工活动）的类别及其相关的事故风险。</w:t>
      </w:r>
    </w:p>
    <w:p w14:paraId="3516EDFE">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（5）主要火灾危险（可燃物、点火源）。</w:t>
      </w:r>
    </w:p>
    <w:p w14:paraId="31562B22">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（6）主要自然灾害（洪水、大风、雷暴、暴雨、地质灾害等）。</w:t>
      </w:r>
    </w:p>
    <w:p w14:paraId="5E2BDAB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（7）主要环境保护事件（有害垃圾、机械的跑冒滴漏、原材料流失、水土流失等）。</w:t>
      </w:r>
    </w:p>
    <w:p w14:paraId="5DFED16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（8）其他。</w:t>
      </w:r>
    </w:p>
    <w:p w14:paraId="0F643876">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2．承包人应针对识别出的危险源制定有针对性的事故预防措施并确保在施工中得到有效落实。</w:t>
      </w:r>
    </w:p>
    <w:p w14:paraId="4799FD5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3．承包人应建立日常施工活动的动态作业风险分析和安全交底制度。该制度应明确规定风险分析的方法、责任和交底的内容、时间及记录。</w:t>
      </w:r>
    </w:p>
    <w:p w14:paraId="044AB71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1" w:name="_Toc239510305"/>
      <w:bookmarkEnd w:id="251"/>
      <w:bookmarkStart w:id="252" w:name="_Toc247418279"/>
      <w:bookmarkEnd w:id="252"/>
      <w:bookmarkStart w:id="253" w:name="_Toc247431439"/>
      <w:r>
        <w:rPr>
          <w:rFonts w:hint="eastAsia" w:ascii="仿宋" w:hAnsi="仿宋" w:eastAsia="仿宋" w:cs="仿宋"/>
          <w:color w:val="auto"/>
          <w:kern w:val="0"/>
          <w:sz w:val="24"/>
          <w:szCs w:val="24"/>
          <w:lang w:bidi="ar"/>
        </w:rPr>
        <w:t>（二）现场作业基本安全条件</w:t>
      </w:r>
      <w:bookmarkEnd w:id="253"/>
    </w:p>
    <w:p w14:paraId="415DF0C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1BC79B7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4" w:name="_Toc247431440"/>
      <w:bookmarkEnd w:id="254"/>
      <w:bookmarkStart w:id="255" w:name="_Toc247418280"/>
      <w:bookmarkEnd w:id="255"/>
      <w:bookmarkStart w:id="256" w:name="_Toc239510306"/>
      <w:bookmarkEnd w:id="256"/>
      <w:bookmarkStart w:id="257" w:name="_Toc532375715"/>
      <w:r>
        <w:rPr>
          <w:rFonts w:hint="eastAsia" w:ascii="仿宋" w:hAnsi="仿宋" w:eastAsia="仿宋" w:cs="仿宋"/>
          <w:color w:val="auto"/>
          <w:kern w:val="0"/>
          <w:sz w:val="24"/>
          <w:szCs w:val="24"/>
          <w:lang w:bidi="ar"/>
        </w:rPr>
        <w:t>十五、事故报告与应急救援</w:t>
      </w:r>
      <w:bookmarkEnd w:id="257"/>
    </w:p>
    <w:p w14:paraId="3938C4B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1．承包人应制定对于未遂事故及以上级别的安全事件和事故，定期报送安全月度快报、季报、年报和各种专项事故报告等。</w:t>
      </w:r>
    </w:p>
    <w:p w14:paraId="55CF058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2．承包人应建立安全事故统计记录、未遂事故统计记录、违章统计记录，并根据统计情况进行分析，并就分析结果制定相应的预防措施。</w:t>
      </w:r>
    </w:p>
    <w:p w14:paraId="77D0DE01">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3．承包人应建立事故应急救援机制，明确事故处置的基本原则，即现场发生事故时，首先抢救生命，向救援组织报警，并采取措施限制事故扩大。</w:t>
      </w:r>
    </w:p>
    <w:p w14:paraId="3582CDB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4．承包人应建立相应的应急响应组织，以便能迅速处理突发意外。</w:t>
      </w:r>
    </w:p>
    <w:p w14:paraId="2E12C037">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5．承包人应建立专项应急响应预案，包括重大人身伤亡事故的救护预案、火灾响应预案、“四防”预案（防风、防冻、防雷、防暴雨）、重大疫病防护预案、环境污染防护预案、地质灾害防护预案等。</w:t>
      </w:r>
    </w:p>
    <w:p w14:paraId="32AC100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6．承包人应对应急预案进行适当演练，保证应急预案的可操作性。</w:t>
      </w:r>
    </w:p>
    <w:p w14:paraId="7F9D3244">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7．在工地的其他施工单位发生重大事故时，承包人应无条件立即配合、支持事故抢险。</w:t>
      </w:r>
    </w:p>
    <w:p w14:paraId="75757B8A">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8．承包人必须为事故处置支付各项费用，包括受伤者的抚恤、补偿等费用，并按合同要求赔偿对发包人造成的损失。</w:t>
      </w:r>
    </w:p>
    <w:p w14:paraId="46552BB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9．由于发包人原因而造成的事故，发包人应负责按事故的具体损失情况给予承包人经济赔偿。</w:t>
      </w:r>
    </w:p>
    <w:p w14:paraId="77202D2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10．涉及承包人员工的伤害事故，承包人除要报告发包人外，还应负责按照国家、行业和本单位上级公司的要求，上报事故。</w:t>
      </w:r>
    </w:p>
    <w:p w14:paraId="3446051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58" w:name="_Toc532375716"/>
      <w:bookmarkEnd w:id="258"/>
      <w:bookmarkStart w:id="259" w:name="_Toc247431441"/>
      <w:bookmarkEnd w:id="259"/>
      <w:bookmarkStart w:id="260" w:name="_Toc247418281"/>
      <w:bookmarkEnd w:id="260"/>
      <w:bookmarkStart w:id="261" w:name="_Toc239510307"/>
      <w:r>
        <w:rPr>
          <w:rFonts w:hint="eastAsia" w:ascii="仿宋" w:hAnsi="仿宋" w:eastAsia="仿宋" w:cs="仿宋"/>
          <w:color w:val="auto"/>
          <w:kern w:val="0"/>
          <w:sz w:val="24"/>
          <w:szCs w:val="24"/>
          <w:lang w:bidi="ar"/>
        </w:rPr>
        <w:t>十六、安全业绩考核</w:t>
      </w:r>
      <w:bookmarkEnd w:id="261"/>
    </w:p>
    <w:p w14:paraId="46A13198">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为了落实安全管理的责任，承包人在施工过程中发生安全事故时，承包人除应按国家有关规定承担责任和处罚外，发包人还将按照以下标准进行考核：</w:t>
      </w:r>
    </w:p>
    <w:tbl>
      <w:tblPr>
        <w:tblStyle w:val="24"/>
        <w:tblW w:w="7005" w:type="dxa"/>
        <w:jc w:val="center"/>
        <w:tblLayout w:type="fixed"/>
        <w:tblCellMar>
          <w:top w:w="0" w:type="dxa"/>
          <w:left w:w="0" w:type="dxa"/>
          <w:bottom w:w="0" w:type="dxa"/>
          <w:right w:w="0" w:type="dxa"/>
        </w:tblCellMar>
      </w:tblPr>
      <w:tblGrid>
        <w:gridCol w:w="3240"/>
        <w:gridCol w:w="3765"/>
      </w:tblGrid>
      <w:tr w14:paraId="77702E95">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63249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事件类型</w:t>
            </w:r>
          </w:p>
        </w:tc>
        <w:tc>
          <w:tcPr>
            <w:tcW w:w="376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D4B2A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违约金额</w:t>
            </w:r>
          </w:p>
        </w:tc>
      </w:tr>
      <w:tr w14:paraId="1C84FCB0">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B2FDE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较大事故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18B8991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签约合同价的0.5‰</w:t>
            </w:r>
          </w:p>
        </w:tc>
      </w:tr>
      <w:tr w14:paraId="0A391DBF">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AA0671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6E3330C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签约合同价的2‰</w:t>
            </w:r>
          </w:p>
        </w:tc>
      </w:tr>
      <w:tr w14:paraId="013736A6">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055B38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特别重大事故</w:t>
            </w:r>
          </w:p>
        </w:tc>
        <w:tc>
          <w:tcPr>
            <w:tcW w:w="3765" w:type="dxa"/>
            <w:tcBorders>
              <w:top w:val="single" w:color="auto" w:sz="8" w:space="0"/>
              <w:left w:val="nil"/>
              <w:bottom w:val="single" w:color="auto" w:sz="8" w:space="0"/>
              <w:right w:val="single" w:color="auto" w:sz="8" w:space="0"/>
            </w:tcBorders>
            <w:shd w:val="clear" w:color="auto" w:fill="auto"/>
            <w:vAlign w:val="center"/>
          </w:tcPr>
          <w:p w14:paraId="2EAFFA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签约合同价的4‰</w:t>
            </w:r>
          </w:p>
        </w:tc>
      </w:tr>
    </w:tbl>
    <w:p w14:paraId="1A892AFC">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（1）较大事故，是指造成3人以上10人以下死亡，或者10人以上50人以下重伤，或者1000万元以上5000万元以下直接经济损失的事故；</w:t>
      </w:r>
    </w:p>
    <w:p w14:paraId="41FB1A9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（2）重大事故，是指造成10人以上30人以下死亡，或者50人以上100人以下重伤，或者5000万元以上1亿元以下直接经济损失的事故；</w:t>
      </w:r>
    </w:p>
    <w:p w14:paraId="78F4AB29">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（3）特别重大事故，是指造成30人以上死亡，或者100人以上重伤（包括急性工业中毒，下同），或者1亿元以上直接经济损失的事故；</w:t>
      </w:r>
    </w:p>
    <w:p w14:paraId="2E0D51A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（4）所称的“以上”包括本数，所称的“以下”不包括本数。</w:t>
      </w:r>
    </w:p>
    <w:p w14:paraId="4278190F">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bookmarkStart w:id="262" w:name="_Toc532375717"/>
      <w:bookmarkEnd w:id="262"/>
      <w:bookmarkStart w:id="263" w:name="_Toc239510308"/>
      <w:bookmarkEnd w:id="263"/>
      <w:bookmarkStart w:id="264" w:name="_Toc247418282"/>
      <w:bookmarkEnd w:id="264"/>
      <w:bookmarkStart w:id="265" w:name="_Toc247431442"/>
      <w:r>
        <w:rPr>
          <w:rFonts w:hint="eastAsia" w:ascii="仿宋" w:hAnsi="仿宋" w:eastAsia="仿宋" w:cs="仿宋"/>
          <w:color w:val="auto"/>
          <w:kern w:val="0"/>
          <w:sz w:val="24"/>
          <w:szCs w:val="24"/>
          <w:lang w:bidi="ar"/>
        </w:rPr>
        <w:t>十七、协议条款的修订</w:t>
      </w:r>
      <w:bookmarkEnd w:id="265"/>
    </w:p>
    <w:p w14:paraId="14853FC0">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bidi="ar"/>
        </w:rPr>
        <w:t>在项目实施过程中，经双方友好协商，本协议的有关条款也可做出相应的修改。</w:t>
      </w:r>
    </w:p>
    <w:p w14:paraId="3894E6FB">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本工程安全管理协议，由发包人、承包人双方在施工承包合同签订后7天内共同签署，作为施工合同附件。</w:t>
      </w:r>
    </w:p>
    <w:p w14:paraId="3B6194BD">
      <w:pPr>
        <w:keepNext w:val="0"/>
        <w:keepLines w:val="0"/>
        <w:pageBreakBefore w:val="0"/>
        <w:widowControl/>
        <w:kinsoku/>
        <w:wordWrap/>
        <w:overflowPunct/>
        <w:topLinePunct w:val="0"/>
        <w:autoSpaceDE/>
        <w:autoSpaceDN/>
        <w:bidi w:val="0"/>
        <w:adjustRightInd/>
        <w:snapToGrid/>
        <w:spacing w:line="420" w:lineRule="exact"/>
        <w:ind w:firstLine="480" w:firstLineChars="200"/>
        <w:jc w:val="left"/>
        <w:textAlignment w:val="auto"/>
        <w:rPr>
          <w:rFonts w:hint="eastAsia" w:ascii="仿宋" w:hAnsi="仿宋" w:eastAsia="仿宋" w:cs="仿宋"/>
          <w:color w:val="auto"/>
          <w:sz w:val="24"/>
          <w:szCs w:val="24"/>
          <w:lang w:bidi="ar"/>
        </w:rPr>
      </w:pPr>
      <w:r>
        <w:rPr>
          <w:rFonts w:hint="eastAsia" w:ascii="仿宋" w:hAnsi="仿宋" w:eastAsia="仿宋" w:cs="仿宋"/>
          <w:color w:val="auto"/>
          <w:sz w:val="24"/>
          <w:szCs w:val="24"/>
          <w:lang w:bidi="ar"/>
        </w:rPr>
        <w:t>（以下无正文）</w:t>
      </w:r>
    </w:p>
    <w:p w14:paraId="094A2AD8">
      <w:pPr>
        <w:spacing w:line="400" w:lineRule="exact"/>
        <w:ind w:firstLine="400" w:firstLineChars="200"/>
        <w:rPr>
          <w:rFonts w:hint="eastAsia" w:ascii="宋体" w:hAnsi="宋体" w:eastAsia="宋体" w:cs="宋体"/>
          <w:kern w:val="0"/>
          <w:sz w:val="20"/>
          <w:szCs w:val="20"/>
        </w:rPr>
      </w:pPr>
    </w:p>
    <w:p w14:paraId="3C898B45">
      <w:pPr>
        <w:ind w:firstLine="200" w:firstLineChars="100"/>
        <w:rPr>
          <w:rFonts w:hint="eastAsia" w:ascii="宋体" w:hAnsi="宋体" w:eastAsia="宋体" w:cs="宋体"/>
          <w:kern w:val="0"/>
          <w:sz w:val="20"/>
          <w:szCs w:val="20"/>
        </w:rPr>
      </w:pPr>
    </w:p>
    <w:p w14:paraId="2C6F4209">
      <w:pPr>
        <w:ind w:firstLine="200" w:firstLineChars="100"/>
        <w:rPr>
          <w:rFonts w:hint="eastAsia" w:ascii="宋体" w:hAnsi="宋体" w:eastAsia="宋体" w:cs="宋体"/>
          <w:kern w:val="0"/>
          <w:sz w:val="20"/>
          <w:szCs w:val="20"/>
        </w:rPr>
      </w:pPr>
    </w:p>
    <w:p w14:paraId="0CA3D43D">
      <w:pPr>
        <w:ind w:firstLine="200" w:firstLineChars="100"/>
        <w:rPr>
          <w:rFonts w:hint="eastAsia" w:ascii="宋体" w:hAnsi="宋体" w:eastAsia="宋体" w:cs="宋体"/>
          <w:kern w:val="0"/>
          <w:sz w:val="20"/>
          <w:szCs w:val="20"/>
        </w:rPr>
      </w:pPr>
    </w:p>
    <w:p w14:paraId="0570EBF5">
      <w:pPr>
        <w:ind w:firstLine="200" w:firstLineChars="100"/>
        <w:rPr>
          <w:rFonts w:hint="eastAsia" w:ascii="宋体" w:hAnsi="宋体" w:eastAsia="宋体" w:cs="宋体"/>
          <w:kern w:val="0"/>
          <w:sz w:val="20"/>
          <w:szCs w:val="20"/>
        </w:rPr>
      </w:pPr>
    </w:p>
    <w:p w14:paraId="7F471D2C">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发包人：                                               承包人：</w:t>
      </w:r>
    </w:p>
    <w:p w14:paraId="278059D9">
      <w:pPr>
        <w:rPr>
          <w:rFonts w:hint="eastAsia" w:ascii="宋体" w:hAnsi="宋体" w:eastAsia="宋体" w:cs="宋体"/>
          <w:kern w:val="0"/>
          <w:sz w:val="20"/>
          <w:szCs w:val="20"/>
        </w:rPr>
      </w:pPr>
    </w:p>
    <w:p w14:paraId="2E49B1BF">
      <w:pPr>
        <w:rPr>
          <w:rFonts w:hint="eastAsia" w:ascii="宋体" w:hAnsi="宋体" w:eastAsia="宋体" w:cs="宋体"/>
          <w:kern w:val="0"/>
          <w:sz w:val="20"/>
          <w:szCs w:val="20"/>
        </w:rPr>
      </w:pPr>
    </w:p>
    <w:p w14:paraId="0CFE0E6A">
      <w:pPr>
        <w:ind w:firstLine="200" w:firstLineChars="100"/>
        <w:rPr>
          <w:rFonts w:hint="eastAsia" w:ascii="宋体" w:hAnsi="宋体" w:eastAsia="宋体" w:cs="宋体"/>
          <w:kern w:val="0"/>
          <w:sz w:val="20"/>
          <w:szCs w:val="20"/>
        </w:rPr>
      </w:pPr>
    </w:p>
    <w:p w14:paraId="76737150">
      <w:pPr>
        <w:ind w:firstLine="200" w:firstLineChars="100"/>
        <w:rPr>
          <w:rFonts w:hint="eastAsia" w:ascii="宋体" w:hAnsi="宋体" w:eastAsia="宋体" w:cs="宋体"/>
          <w:kern w:val="0"/>
          <w:sz w:val="20"/>
          <w:szCs w:val="20"/>
        </w:rPr>
      </w:pPr>
    </w:p>
    <w:p w14:paraId="5DD1F6B1">
      <w:pPr>
        <w:ind w:firstLine="200" w:firstLineChars="100"/>
        <w:rPr>
          <w:rFonts w:hint="eastAsia" w:ascii="宋体" w:hAnsi="宋体" w:eastAsia="宋体" w:cs="宋体"/>
          <w:kern w:val="0"/>
          <w:sz w:val="20"/>
          <w:szCs w:val="20"/>
        </w:rPr>
      </w:pPr>
    </w:p>
    <w:p w14:paraId="02B344CC">
      <w:pPr>
        <w:ind w:firstLine="200" w:firstLineChars="100"/>
        <w:rPr>
          <w:rFonts w:hint="eastAsia" w:ascii="宋体" w:hAnsi="宋体" w:eastAsia="宋体" w:cs="宋体"/>
          <w:kern w:val="0"/>
          <w:sz w:val="20"/>
          <w:szCs w:val="20"/>
        </w:rPr>
      </w:pPr>
    </w:p>
    <w:p w14:paraId="222F932A">
      <w:pPr>
        <w:ind w:firstLine="200" w:firstLineChars="100"/>
        <w:rPr>
          <w:rFonts w:hint="eastAsia" w:ascii="宋体" w:hAnsi="宋体" w:eastAsia="宋体" w:cs="宋体"/>
          <w:kern w:val="0"/>
          <w:sz w:val="20"/>
          <w:szCs w:val="20"/>
        </w:rPr>
      </w:pPr>
    </w:p>
    <w:p w14:paraId="07D400CC">
      <w:pPr>
        <w:ind w:firstLine="200" w:firstLineChars="100"/>
        <w:rPr>
          <w:rFonts w:hint="eastAsia" w:ascii="宋体" w:hAnsi="宋体" w:eastAsia="宋体" w:cs="宋体"/>
          <w:kern w:val="0"/>
          <w:sz w:val="20"/>
          <w:szCs w:val="20"/>
        </w:rPr>
      </w:pPr>
    </w:p>
    <w:p w14:paraId="416A2954">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法定代表人：                                           法定代表人：</w:t>
      </w:r>
    </w:p>
    <w:p w14:paraId="2259528A">
      <w:pPr>
        <w:ind w:firstLine="200" w:firstLineChars="100"/>
        <w:rPr>
          <w:rFonts w:hint="eastAsia" w:ascii="宋体" w:hAnsi="宋体" w:eastAsia="宋体" w:cs="宋体"/>
          <w:kern w:val="0"/>
          <w:sz w:val="20"/>
          <w:szCs w:val="20"/>
        </w:rPr>
      </w:pPr>
    </w:p>
    <w:p w14:paraId="3112F28B">
      <w:pPr>
        <w:ind w:firstLine="200" w:firstLineChars="100"/>
        <w:rPr>
          <w:rFonts w:hint="eastAsia" w:ascii="宋体" w:hAnsi="宋体" w:eastAsia="宋体" w:cs="宋体"/>
          <w:kern w:val="0"/>
          <w:sz w:val="20"/>
          <w:szCs w:val="20"/>
        </w:rPr>
      </w:pPr>
    </w:p>
    <w:p w14:paraId="0042083D">
      <w:pPr>
        <w:ind w:firstLine="200" w:firstLineChars="100"/>
        <w:rPr>
          <w:rFonts w:hint="eastAsia" w:ascii="宋体" w:hAnsi="宋体" w:eastAsia="宋体" w:cs="宋体"/>
          <w:kern w:val="0"/>
          <w:sz w:val="20"/>
          <w:szCs w:val="20"/>
        </w:rPr>
      </w:pPr>
      <w:r>
        <w:rPr>
          <w:rFonts w:hint="eastAsia" w:ascii="宋体" w:hAnsi="宋体" w:eastAsia="宋体" w:cs="宋体"/>
          <w:kern w:val="0"/>
          <w:sz w:val="20"/>
          <w:szCs w:val="20"/>
        </w:rPr>
        <w:t>或授权代表：                                           或授权代表：</w:t>
      </w:r>
    </w:p>
    <w:p w14:paraId="5E700646">
      <w:pPr>
        <w:ind w:firstLine="200" w:firstLineChars="100"/>
        <w:rPr>
          <w:rFonts w:hint="eastAsia" w:ascii="宋体" w:hAnsi="宋体" w:eastAsia="宋体" w:cs="宋体"/>
          <w:kern w:val="0"/>
          <w:sz w:val="20"/>
          <w:szCs w:val="20"/>
        </w:rPr>
      </w:pPr>
    </w:p>
    <w:p w14:paraId="1BE6E5AC">
      <w:pPr>
        <w:jc w:val="left"/>
        <w:rPr>
          <w:rFonts w:hint="eastAsia" w:ascii="宋体" w:hAnsi="宋体" w:eastAsia="宋体" w:cs="宋体"/>
          <w:kern w:val="0"/>
          <w:sz w:val="24"/>
          <w:szCs w:val="18"/>
        </w:rPr>
        <w:sectPr>
          <w:headerReference r:id="rId8" w:type="default"/>
          <w:footerReference r:id="rId9" w:type="default"/>
          <w:pgSz w:w="11910" w:h="16850"/>
          <w:pgMar w:top="1160" w:right="1360" w:bottom="1020" w:left="1500" w:header="883" w:footer="838" w:gutter="0"/>
          <w:pgNumType w:fmt="numberInDash"/>
          <w:cols w:space="720" w:num="1"/>
        </w:sectPr>
      </w:pPr>
    </w:p>
    <w:bookmarkEnd w:id="187"/>
    <w:p w14:paraId="59142C9D">
      <w:pPr>
        <w:jc w:val="left"/>
        <w:rPr>
          <w:rFonts w:hint="eastAsia" w:ascii="宋体" w:hAnsi="宋体" w:eastAsia="宋体" w:cs="宋体"/>
          <w:kern w:val="0"/>
          <w:sz w:val="24"/>
          <w:szCs w:val="18"/>
        </w:rPr>
        <w:sectPr>
          <w:headerReference r:id="rId10" w:type="default"/>
          <w:footerReference r:id="rId11" w:type="default"/>
          <w:type w:val="continuous"/>
          <w:pgSz w:w="11910" w:h="16850"/>
          <w:pgMar w:top="1600" w:right="1400" w:bottom="280" w:left="1500" w:header="720" w:footer="720" w:gutter="0"/>
          <w:pgNumType w:fmt="numberInDash"/>
          <w:cols w:space="720" w:num="1"/>
        </w:sectPr>
      </w:pPr>
    </w:p>
    <w:p w14:paraId="232D8A6B">
      <w:pPr>
        <w:pStyle w:val="38"/>
        <w:ind w:firstLine="482"/>
        <w:jc w:val="left"/>
        <w:rPr>
          <w:rFonts w:hint="eastAsia" w:ascii="宋体" w:hAnsi="宋体" w:eastAsia="宋体" w:cs="宋体"/>
          <w:b/>
          <w:sz w:val="22"/>
          <w:szCs w:val="18"/>
        </w:rPr>
      </w:pPr>
      <w:bookmarkStart w:id="266" w:name="_Toc452328784"/>
      <w:bookmarkStart w:id="267" w:name="_Toc454721216"/>
      <w:bookmarkStart w:id="268" w:name="_Toc24665"/>
      <w:bookmarkStart w:id="269" w:name="_Toc21118212"/>
      <w:bookmarkStart w:id="270" w:name="_Toc4568870"/>
      <w:bookmarkStart w:id="271" w:name="_Toc18000997"/>
      <w:bookmarkStart w:id="272" w:name="_Toc18001055"/>
      <w:bookmarkStart w:id="273" w:name="_Toc14274372"/>
      <w:bookmarkStart w:id="274" w:name="_Toc14275837"/>
      <w:bookmarkStart w:id="275" w:name="_Toc14337147"/>
      <w:r>
        <w:rPr>
          <w:rFonts w:hint="eastAsia" w:ascii="宋体" w:hAnsi="宋体" w:eastAsia="宋体" w:cs="宋体"/>
          <w:b/>
          <w:sz w:val="22"/>
          <w:szCs w:val="18"/>
        </w:rPr>
        <w:t>附件</w:t>
      </w:r>
      <w:r>
        <w:rPr>
          <w:rFonts w:hint="eastAsia" w:ascii="宋体" w:hAnsi="宋体" w:cs="宋体"/>
          <w:b/>
          <w:sz w:val="22"/>
          <w:szCs w:val="18"/>
          <w:lang w:val="en-US" w:eastAsia="zh-CN"/>
        </w:rPr>
        <w:t>4</w:t>
      </w:r>
      <w:bookmarkEnd w:id="266"/>
      <w:bookmarkEnd w:id="267"/>
      <w:r>
        <w:rPr>
          <w:rFonts w:hint="eastAsia" w:ascii="宋体" w:hAnsi="宋体" w:cs="宋体"/>
          <w:b/>
          <w:sz w:val="22"/>
          <w:szCs w:val="18"/>
          <w:lang w:val="en-US" w:eastAsia="zh-CN"/>
        </w:rPr>
        <w:t>.</w:t>
      </w:r>
      <w:r>
        <w:rPr>
          <w:rFonts w:hint="eastAsia" w:ascii="宋体" w:hAnsi="宋体" w:eastAsia="宋体" w:cs="宋体"/>
          <w:b/>
          <w:sz w:val="22"/>
          <w:szCs w:val="18"/>
        </w:rPr>
        <w:t>农民工工资支付承诺</w:t>
      </w:r>
      <w:bookmarkEnd w:id="268"/>
      <w:bookmarkEnd w:id="269"/>
      <w:bookmarkEnd w:id="270"/>
      <w:bookmarkEnd w:id="271"/>
      <w:bookmarkEnd w:id="272"/>
      <w:bookmarkEnd w:id="273"/>
      <w:bookmarkEnd w:id="274"/>
      <w:bookmarkEnd w:id="275"/>
    </w:p>
    <w:p w14:paraId="58BAEDA2">
      <w:pPr>
        <w:autoSpaceDE w:val="0"/>
        <w:autoSpaceDN w:val="0"/>
        <w:adjustRightInd w:val="0"/>
        <w:snapToGrid w:val="0"/>
        <w:spacing w:line="312" w:lineRule="auto"/>
        <w:ind w:right="-1"/>
        <w:jc w:val="center"/>
        <w:rPr>
          <w:rFonts w:hint="eastAsia" w:ascii="宋体" w:hAnsi="宋体" w:eastAsia="宋体" w:cs="宋体"/>
          <w:b/>
          <w:snapToGrid w:val="0"/>
          <w:w w:val="99"/>
          <w:sz w:val="22"/>
          <w:szCs w:val="22"/>
        </w:rPr>
      </w:pPr>
      <w:bookmarkStart w:id="276" w:name="_Toc2207"/>
      <w:bookmarkStart w:id="277" w:name="_Toc410381425"/>
      <w:r>
        <w:rPr>
          <w:rFonts w:hint="eastAsia" w:ascii="宋体" w:hAnsi="宋体" w:eastAsia="宋体" w:cs="宋体"/>
          <w:b/>
          <w:snapToGrid w:val="0"/>
          <w:w w:val="99"/>
          <w:sz w:val="22"/>
          <w:szCs w:val="22"/>
        </w:rPr>
        <w:t>农民工工资支付承诺</w:t>
      </w:r>
      <w:bookmarkEnd w:id="276"/>
      <w:bookmarkEnd w:id="277"/>
    </w:p>
    <w:p w14:paraId="489D2AA9">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 xml:space="preserve">重庆市大渡口区跳磴镇人民政府：   </w:t>
      </w:r>
    </w:p>
    <w:p w14:paraId="54B82AAE">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为了切实维护建筑农民工的合法权益，确保社会和企业稳定，根据各级政府和相关主管部门的相关要求，结合我公司承包的工程的劳务施工实际情况，特作如下慎重承诺：</w:t>
      </w:r>
    </w:p>
    <w:p w14:paraId="64F6750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1.我公司将严格按照有关部门相关规定和要求，切实做好农民工工资发放工作；</w:t>
      </w:r>
    </w:p>
    <w:p w14:paraId="65317F63">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我公司一定按照规定将农民工工资足额、直接发放到农民工手中；保证将每月发放的农民工工资表（表格形式、现场负责人和班组长签字认可、农民工本人签字）于次月15日前如实上报给贵单位，否则我司愿意接受贵单位的处理；</w:t>
      </w:r>
    </w:p>
    <w:p w14:paraId="23AA3E8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3.如因农民工工资发放、处置不力，导致农民工有不同形式的上访、闹访、集访等事件发生，贵单位将立即停止对我公司劳务工程款的支付，我公司愿意将剩余工程款用作民工工资保证金。</w:t>
      </w:r>
    </w:p>
    <w:p w14:paraId="437D18CC">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由此造成的一切不良后果和损失由我公司承担。</w:t>
      </w:r>
    </w:p>
    <w:p w14:paraId="21A0BFF8">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特此承诺！</w:t>
      </w:r>
    </w:p>
    <w:p w14:paraId="1A0ABBDC">
      <w:pPr>
        <w:spacing w:line="560" w:lineRule="exact"/>
        <w:ind w:firstLine="645"/>
        <w:jc w:val="center"/>
        <w:rPr>
          <w:rFonts w:hint="eastAsia" w:ascii="宋体" w:hAnsi="宋体" w:eastAsia="宋体" w:cs="宋体"/>
          <w:sz w:val="20"/>
          <w:szCs w:val="20"/>
        </w:rPr>
      </w:pPr>
      <w:bookmarkStart w:id="278" w:name="_Toc31615"/>
    </w:p>
    <w:p w14:paraId="2A647D8A">
      <w:pPr>
        <w:keepNext w:val="0"/>
        <w:keepLines w:val="0"/>
        <w:pageBreakBefore w:val="0"/>
        <w:widowControl w:val="0"/>
        <w:kinsoku/>
        <w:wordWrap/>
        <w:overflowPunct/>
        <w:topLinePunct w:val="0"/>
        <w:autoSpaceDE/>
        <w:autoSpaceDN/>
        <w:bidi w:val="0"/>
        <w:adjustRightInd/>
        <w:spacing w:line="440" w:lineRule="exact"/>
        <w:ind w:firstLine="4956" w:firstLineChars="177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单位全称：（盖  章）</w:t>
      </w:r>
      <w:bookmarkEnd w:id="278"/>
    </w:p>
    <w:p w14:paraId="0B100783">
      <w:pPr>
        <w:keepNext w:val="0"/>
        <w:keepLines w:val="0"/>
        <w:pageBreakBefore w:val="0"/>
        <w:widowControl w:val="0"/>
        <w:kinsoku/>
        <w:wordWrap/>
        <w:overflowPunct/>
        <w:topLinePunct w:val="0"/>
        <w:autoSpaceDE/>
        <w:autoSpaceDN/>
        <w:bidi w:val="0"/>
        <w:adjustRightInd/>
        <w:spacing w:line="440" w:lineRule="exact"/>
        <w:ind w:firstLine="4956" w:firstLineChars="177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法定代表人或委托代理人：（签 字）</w:t>
      </w:r>
    </w:p>
    <w:p w14:paraId="17AA3C61">
      <w:pPr>
        <w:spacing w:line="440" w:lineRule="atLeast"/>
        <w:rPr>
          <w:rFonts w:hint="eastAsia" w:ascii="宋体" w:hAnsi="宋体" w:cs="宋体"/>
          <w:sz w:val="22"/>
          <w:szCs w:val="22"/>
          <w:lang w:eastAsia="zh-CN"/>
        </w:rPr>
      </w:pPr>
    </w:p>
    <w:p w14:paraId="2A706452">
      <w:pPr>
        <w:spacing w:line="440" w:lineRule="atLeast"/>
        <w:rPr>
          <w:rFonts w:hint="eastAsia" w:ascii="宋体" w:hAnsi="宋体" w:cs="宋体"/>
          <w:sz w:val="22"/>
          <w:szCs w:val="22"/>
          <w:lang w:eastAsia="zh-CN"/>
        </w:rPr>
      </w:pPr>
    </w:p>
    <w:p w14:paraId="0A956D04">
      <w:pPr>
        <w:spacing w:line="440" w:lineRule="atLeast"/>
        <w:rPr>
          <w:rFonts w:hint="eastAsia" w:ascii="宋体" w:hAnsi="宋体" w:cs="宋体"/>
          <w:sz w:val="22"/>
          <w:szCs w:val="22"/>
          <w:lang w:eastAsia="zh-CN"/>
        </w:rPr>
      </w:pPr>
    </w:p>
    <w:p w14:paraId="7734227F">
      <w:pPr>
        <w:spacing w:line="440" w:lineRule="atLeast"/>
        <w:rPr>
          <w:rFonts w:hint="eastAsia" w:ascii="宋体" w:hAnsi="宋体" w:cs="宋体"/>
          <w:sz w:val="22"/>
          <w:szCs w:val="22"/>
          <w:lang w:eastAsia="zh-CN"/>
        </w:rPr>
      </w:pPr>
    </w:p>
    <w:p w14:paraId="5057146D">
      <w:pPr>
        <w:spacing w:line="440" w:lineRule="atLeast"/>
        <w:rPr>
          <w:rFonts w:hint="eastAsia" w:ascii="宋体" w:hAnsi="宋体" w:cs="宋体"/>
          <w:sz w:val="22"/>
          <w:szCs w:val="22"/>
          <w:lang w:eastAsia="zh-CN"/>
        </w:rPr>
      </w:pPr>
    </w:p>
    <w:p w14:paraId="7C0CD318">
      <w:pPr>
        <w:spacing w:line="440" w:lineRule="atLeast"/>
        <w:rPr>
          <w:rFonts w:hint="eastAsia" w:ascii="宋体" w:hAnsi="宋体" w:cs="宋体"/>
          <w:sz w:val="22"/>
          <w:szCs w:val="22"/>
          <w:lang w:eastAsia="zh-CN"/>
        </w:rPr>
      </w:pPr>
    </w:p>
    <w:p w14:paraId="0F861D85">
      <w:pPr>
        <w:spacing w:line="440" w:lineRule="atLeast"/>
        <w:rPr>
          <w:rFonts w:hint="eastAsia" w:ascii="宋体" w:hAnsi="宋体" w:cs="宋体"/>
          <w:sz w:val="22"/>
          <w:szCs w:val="22"/>
          <w:lang w:eastAsia="zh-CN"/>
        </w:rPr>
      </w:pPr>
    </w:p>
    <w:p w14:paraId="0B2A302D">
      <w:pPr>
        <w:spacing w:line="440" w:lineRule="atLeast"/>
        <w:rPr>
          <w:rFonts w:hint="eastAsia" w:ascii="宋体" w:hAnsi="宋体" w:cs="宋体"/>
          <w:sz w:val="22"/>
          <w:szCs w:val="22"/>
          <w:lang w:eastAsia="zh-CN"/>
        </w:rPr>
      </w:pPr>
    </w:p>
    <w:p w14:paraId="23728BD9">
      <w:pPr>
        <w:spacing w:line="440" w:lineRule="atLeast"/>
        <w:rPr>
          <w:rFonts w:hint="eastAsia" w:ascii="宋体" w:hAnsi="宋体" w:cs="宋体"/>
          <w:sz w:val="22"/>
          <w:szCs w:val="22"/>
          <w:lang w:eastAsia="zh-CN"/>
        </w:rPr>
      </w:pPr>
    </w:p>
    <w:p w14:paraId="57A384DD">
      <w:pPr>
        <w:spacing w:line="440" w:lineRule="atLeast"/>
        <w:rPr>
          <w:rFonts w:hint="eastAsia" w:ascii="宋体" w:hAnsi="宋体" w:cs="宋体"/>
          <w:sz w:val="22"/>
          <w:szCs w:val="22"/>
          <w:lang w:eastAsia="zh-CN"/>
        </w:rPr>
      </w:pPr>
    </w:p>
    <w:p w14:paraId="6289446C">
      <w:pPr>
        <w:spacing w:line="440" w:lineRule="atLeast"/>
        <w:rPr>
          <w:rFonts w:hint="eastAsia" w:ascii="宋体" w:hAnsi="宋体" w:cs="宋体"/>
          <w:sz w:val="22"/>
          <w:szCs w:val="22"/>
          <w:lang w:eastAsia="zh-CN"/>
        </w:rPr>
      </w:pPr>
    </w:p>
    <w:p w14:paraId="3AD48EE1">
      <w:pPr>
        <w:spacing w:line="440" w:lineRule="atLeast"/>
        <w:rPr>
          <w:rFonts w:hint="eastAsia" w:ascii="宋体" w:hAnsi="宋体" w:cs="宋体"/>
          <w:sz w:val="22"/>
          <w:szCs w:val="22"/>
          <w:lang w:eastAsia="zh-CN"/>
        </w:rPr>
      </w:pPr>
    </w:p>
    <w:p w14:paraId="06C38D21">
      <w:pPr>
        <w:pStyle w:val="2"/>
        <w:rPr>
          <w:rFonts w:hint="eastAsia" w:ascii="宋体" w:hAnsi="宋体" w:cs="宋体"/>
          <w:sz w:val="22"/>
          <w:szCs w:val="22"/>
          <w:lang w:eastAsia="zh-CN"/>
        </w:rPr>
      </w:pPr>
    </w:p>
    <w:p w14:paraId="4360BBAA">
      <w:pPr>
        <w:rPr>
          <w:rFonts w:hint="eastAsia" w:ascii="宋体" w:hAnsi="宋体" w:cs="宋体"/>
          <w:sz w:val="22"/>
          <w:szCs w:val="22"/>
          <w:lang w:eastAsia="zh-CN"/>
        </w:rPr>
      </w:pPr>
    </w:p>
    <w:p w14:paraId="658EE8E9">
      <w:pPr>
        <w:pStyle w:val="2"/>
        <w:rPr>
          <w:rFonts w:hint="eastAsia"/>
          <w:lang w:eastAsia="zh-CN"/>
        </w:rPr>
      </w:pPr>
    </w:p>
    <w:p w14:paraId="7BA6053A">
      <w:pPr>
        <w:spacing w:line="440" w:lineRule="atLeast"/>
        <w:rPr>
          <w:rFonts w:hint="eastAsia" w:ascii="宋体" w:hAnsi="宋体" w:cs="宋体"/>
          <w:sz w:val="22"/>
          <w:szCs w:val="22"/>
          <w:lang w:eastAsia="zh-CN"/>
        </w:rPr>
      </w:pPr>
    </w:p>
    <w:p w14:paraId="78DEFFA0">
      <w:pPr>
        <w:spacing w:line="440" w:lineRule="atLeast"/>
        <w:rPr>
          <w:rFonts w:hint="default" w:ascii="宋体" w:hAnsi="宋体" w:eastAsia="宋体" w:cs="宋体"/>
          <w:b/>
          <w:kern w:val="2"/>
          <w:sz w:val="22"/>
          <w:szCs w:val="18"/>
          <w:lang w:val="en-US" w:eastAsia="zh-CN" w:bidi="ar-SA"/>
        </w:rPr>
      </w:pPr>
      <w:r>
        <w:rPr>
          <w:rFonts w:hint="eastAsia" w:ascii="宋体" w:hAnsi="宋体" w:eastAsia="宋体" w:cs="宋体"/>
          <w:b/>
          <w:kern w:val="2"/>
          <w:sz w:val="22"/>
          <w:szCs w:val="18"/>
          <w:lang w:val="en-US" w:eastAsia="zh-CN" w:bidi="ar-SA"/>
        </w:rPr>
        <w:t>附件5.预付款担保（如有）</w:t>
      </w:r>
    </w:p>
    <w:p w14:paraId="4A195BD9">
      <w:pPr>
        <w:pStyle w:val="2"/>
        <w:rPr>
          <w:rFonts w:hint="default"/>
          <w:lang w:val="en-US" w:eastAsia="zh-CN"/>
        </w:rPr>
      </w:pPr>
    </w:p>
    <w:p w14:paraId="01E2C440">
      <w:pPr>
        <w:spacing w:before="156" w:beforeLines="50" w:after="156" w:afterLines="50" w:line="480" w:lineRule="auto"/>
        <w:jc w:val="center"/>
        <w:rPr>
          <w:rFonts w:ascii="宋体" w:hAnsi="宋体"/>
          <w:szCs w:val="21"/>
        </w:rPr>
      </w:pPr>
      <w:r>
        <w:rPr>
          <w:rFonts w:hint="eastAsia" w:ascii="宋体" w:hAnsi="宋体"/>
          <w:szCs w:val="21"/>
        </w:rPr>
        <w:t>预付款担保（如有）</w:t>
      </w:r>
    </w:p>
    <w:p w14:paraId="7CE47AE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 xml:space="preserve">  </w:t>
      </w:r>
      <w:r>
        <w:rPr>
          <w:rFonts w:hint="eastAsia" w:ascii="仿宋" w:hAnsi="仿宋" w:eastAsia="仿宋" w:cs="仿宋"/>
          <w:sz w:val="24"/>
          <w:szCs w:val="24"/>
        </w:rPr>
        <w:t>（发包人名称）：</w:t>
      </w:r>
    </w:p>
    <w:p w14:paraId="5D583AE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根据</w:t>
      </w:r>
      <w:r>
        <w:rPr>
          <w:rFonts w:hint="eastAsia" w:ascii="仿宋" w:hAnsi="仿宋" w:eastAsia="仿宋" w:cs="仿宋"/>
          <w:sz w:val="24"/>
          <w:szCs w:val="24"/>
          <w:u w:val="single"/>
        </w:rPr>
        <w:t xml:space="preserve">       </w:t>
      </w:r>
      <w:r>
        <w:rPr>
          <w:rFonts w:hint="eastAsia" w:ascii="仿宋" w:hAnsi="仿宋" w:eastAsia="仿宋" w:cs="仿宋"/>
          <w:sz w:val="24"/>
          <w:szCs w:val="24"/>
        </w:rPr>
        <w:t>（承包人名称）（以下称“承包人”）与</w:t>
      </w:r>
      <w:r>
        <w:rPr>
          <w:rFonts w:hint="eastAsia" w:ascii="仿宋" w:hAnsi="仿宋" w:eastAsia="仿宋" w:cs="仿宋"/>
          <w:sz w:val="24"/>
          <w:szCs w:val="24"/>
          <w:u w:val="single"/>
        </w:rPr>
        <w:t xml:space="preserve">         </w:t>
      </w:r>
      <w:r>
        <w:rPr>
          <w:rFonts w:hint="eastAsia" w:ascii="仿宋" w:hAnsi="仿宋" w:eastAsia="仿宋" w:cs="仿宋"/>
          <w:sz w:val="24"/>
          <w:szCs w:val="24"/>
        </w:rPr>
        <w:t>（发包人名称）（以下简称“发包人”）于</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日签订的            （工程名称）《建设工程施工合同》，承包人按约定的金额向你方提交一份预付款担保，即有权得到你方支付相等金额的预付款。我方愿意就你方提供给承包人的预付款为承包人提供连带责任担保。</w:t>
      </w:r>
    </w:p>
    <w:p w14:paraId="42BF4B1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 担保金额人民币（大写）        元（¥        ）。</w:t>
      </w:r>
    </w:p>
    <w:p w14:paraId="09977ED2">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 担保有效期自预付款支付给承包人起生效，至你方签发的进度款支付证书说明已完全扣清止。</w:t>
      </w:r>
    </w:p>
    <w:p w14:paraId="04E6B778">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6EC5677">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4. 你方和承包人按合同约定变更合同时，我方承担本保函规定的义务不变。</w:t>
      </w:r>
    </w:p>
    <w:p w14:paraId="014324A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5. 因本保函发生的纠纷，可由双方协商解决，协商不成的，按下列第    种方式解决：</w:t>
      </w:r>
    </w:p>
    <w:p w14:paraId="7704FDD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（1）向                     仲裁委员会申请仲裁；</w:t>
      </w:r>
    </w:p>
    <w:p w14:paraId="3FE6A24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（2）向                     人民法院起诉。</w:t>
      </w:r>
    </w:p>
    <w:p w14:paraId="2ECC0353">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6. 本保函自我方法定代表人（或其委托代理人）</w:t>
      </w:r>
      <w:r>
        <w:rPr>
          <w:rFonts w:hint="eastAsia" w:ascii="仿宋" w:hAnsi="仿宋" w:eastAsia="仿宋" w:cs="仿宋"/>
          <w:sz w:val="24"/>
          <w:szCs w:val="24"/>
          <w:lang w:eastAsia="zh-CN"/>
        </w:rPr>
        <w:t>签名</w:t>
      </w:r>
      <w:r>
        <w:rPr>
          <w:rFonts w:hint="eastAsia" w:ascii="仿宋" w:hAnsi="仿宋" w:eastAsia="仿宋" w:cs="仿宋"/>
          <w:sz w:val="24"/>
          <w:szCs w:val="24"/>
        </w:rPr>
        <w:t>并加盖</w:t>
      </w:r>
      <w:r>
        <w:rPr>
          <w:rFonts w:hint="eastAsia" w:ascii="仿宋" w:hAnsi="仿宋" w:eastAsia="仿宋" w:cs="仿宋"/>
          <w:sz w:val="24"/>
          <w:szCs w:val="24"/>
          <w:lang w:val="en-US" w:eastAsia="zh-CN"/>
        </w:rPr>
        <w:t>单位</w:t>
      </w:r>
      <w:r>
        <w:rPr>
          <w:rFonts w:hint="eastAsia" w:ascii="仿宋" w:hAnsi="仿宋" w:eastAsia="仿宋" w:cs="仿宋"/>
          <w:sz w:val="24"/>
          <w:szCs w:val="24"/>
        </w:rPr>
        <w:t>公章之日起生效。</w:t>
      </w:r>
    </w:p>
    <w:p w14:paraId="1AA0D6FB">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p>
    <w:p w14:paraId="63C3FC43">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担保人：                           （盖单位</w:t>
      </w:r>
      <w:r>
        <w:rPr>
          <w:rFonts w:hint="eastAsia" w:ascii="Times New Roman" w:hAnsi="Times New Roman" w:eastAsia="仿宋" w:cs="Times New Roman"/>
          <w:szCs w:val="24"/>
          <w:lang w:eastAsia="zh-CN"/>
        </w:rPr>
        <w:t>公</w:t>
      </w:r>
      <w:r>
        <w:rPr>
          <w:rFonts w:hint="eastAsia" w:ascii="Times New Roman" w:hAnsi="Times New Roman" w:eastAsia="仿宋" w:cs="Times New Roman"/>
          <w:szCs w:val="24"/>
        </w:rPr>
        <w:t>章）</w:t>
      </w:r>
    </w:p>
    <w:p w14:paraId="3B867A10">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法定代表人或其委托代理人：          （</w:t>
      </w:r>
      <w:r>
        <w:rPr>
          <w:rFonts w:hint="eastAsia" w:ascii="Times New Roman" w:hAnsi="Times New Roman" w:eastAsia="仿宋" w:cs="Times New Roman"/>
          <w:szCs w:val="24"/>
          <w:lang w:eastAsia="zh-CN"/>
        </w:rPr>
        <w:t>签名</w:t>
      </w:r>
      <w:r>
        <w:rPr>
          <w:rFonts w:hint="eastAsia" w:ascii="Times New Roman" w:hAnsi="Times New Roman" w:eastAsia="仿宋" w:cs="Times New Roman"/>
          <w:szCs w:val="24"/>
        </w:rPr>
        <w:t>）</w:t>
      </w:r>
    </w:p>
    <w:p w14:paraId="31FE89DD">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地    址：</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0F9F332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邮政编码：</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0CD7184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电    话：</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0336C2EF">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传    真：</w:t>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r>
        <w:rPr>
          <w:rFonts w:hint="eastAsia" w:ascii="Times New Roman" w:hAnsi="Times New Roman" w:eastAsia="仿宋" w:cs="Times New Roman"/>
          <w:szCs w:val="24"/>
        </w:rPr>
        <w:tab/>
      </w:r>
    </w:p>
    <w:p w14:paraId="195162D4">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Times New Roman" w:hAnsi="Times New Roman" w:eastAsia="仿宋" w:cs="Times New Roman"/>
          <w:szCs w:val="24"/>
        </w:rPr>
      </w:pPr>
      <w:r>
        <w:rPr>
          <w:rFonts w:hint="eastAsia" w:ascii="Times New Roman" w:hAnsi="Times New Roman" w:eastAsia="仿宋" w:cs="Times New Roman"/>
          <w:szCs w:val="24"/>
        </w:rPr>
        <w:t xml:space="preserve">           年        月        日</w:t>
      </w:r>
    </w:p>
    <w:p w14:paraId="0603D972">
      <w:pPr>
        <w:spacing w:line="440" w:lineRule="atLeast"/>
        <w:rPr>
          <w:rFonts w:hint="default" w:ascii="宋体" w:hAnsi="宋体" w:eastAsia="宋体" w:cs="宋体"/>
          <w:b/>
          <w:kern w:val="2"/>
          <w:sz w:val="22"/>
          <w:szCs w:val="18"/>
          <w:lang w:val="en-US" w:eastAsia="zh-CN" w:bidi="ar-SA"/>
        </w:rPr>
      </w:pPr>
      <w:r>
        <w:rPr>
          <w:rFonts w:hint="eastAsia" w:ascii="宋体" w:hAnsi="宋体" w:eastAsia="宋体" w:cs="宋体"/>
          <w:b/>
          <w:kern w:val="2"/>
          <w:sz w:val="22"/>
          <w:szCs w:val="18"/>
          <w:lang w:val="en-US" w:eastAsia="zh-CN" w:bidi="ar-SA"/>
        </w:rPr>
        <w:t>附件</w:t>
      </w:r>
      <w:r>
        <w:rPr>
          <w:rFonts w:hint="eastAsia" w:ascii="宋体" w:hAnsi="宋体" w:cs="宋体"/>
          <w:b/>
          <w:kern w:val="2"/>
          <w:sz w:val="22"/>
          <w:szCs w:val="18"/>
          <w:lang w:val="en-US" w:eastAsia="zh-CN" w:bidi="ar-SA"/>
        </w:rPr>
        <w:t>6</w:t>
      </w:r>
      <w:r>
        <w:rPr>
          <w:rFonts w:hint="eastAsia" w:ascii="宋体" w:hAnsi="宋体" w:eastAsia="宋体" w:cs="宋体"/>
          <w:b/>
          <w:kern w:val="2"/>
          <w:sz w:val="22"/>
          <w:szCs w:val="18"/>
          <w:lang w:val="en-US" w:eastAsia="zh-CN" w:bidi="ar-SA"/>
        </w:rPr>
        <w:t>.</w:t>
      </w:r>
      <w:r>
        <w:rPr>
          <w:rFonts w:hint="eastAsia" w:ascii="宋体" w:hAnsi="宋体" w:cs="宋体"/>
          <w:b/>
          <w:kern w:val="2"/>
          <w:sz w:val="22"/>
          <w:szCs w:val="18"/>
          <w:lang w:val="en-US" w:eastAsia="zh-CN" w:bidi="ar-SA"/>
        </w:rPr>
        <w:t>工程质量保函示范文本</w:t>
      </w:r>
      <w:r>
        <w:rPr>
          <w:rFonts w:hint="eastAsia" w:ascii="宋体" w:hAnsi="宋体" w:eastAsia="宋体" w:cs="宋体"/>
          <w:b/>
          <w:kern w:val="2"/>
          <w:sz w:val="22"/>
          <w:szCs w:val="18"/>
          <w:lang w:val="en-US" w:eastAsia="zh-CN" w:bidi="ar-SA"/>
        </w:rPr>
        <w:t>（如有）</w:t>
      </w:r>
    </w:p>
    <w:p w14:paraId="0E56FF39">
      <w:pPr>
        <w:pStyle w:val="4"/>
        <w:spacing w:before="0" w:after="0" w:line="360" w:lineRule="auto"/>
        <w:jc w:val="both"/>
        <w:rPr>
          <w:rFonts w:hint="default" w:ascii="Times New Roman" w:hAnsi="Times New Roman" w:eastAsia="仿宋" w:cs="Times New Roman"/>
          <w:b w:val="0"/>
          <w:bCs/>
          <w:color w:val="auto"/>
          <w:sz w:val="36"/>
          <w:szCs w:val="30"/>
          <w:highlight w:val="none"/>
        </w:rPr>
      </w:pPr>
    </w:p>
    <w:p w14:paraId="02917718">
      <w:pPr>
        <w:rPr>
          <w:rFonts w:hint="default" w:ascii="Times New Roman" w:hAnsi="Times New Roman" w:eastAsia="仿宋" w:cs="Times New Roman"/>
          <w:b w:val="0"/>
          <w:bCs/>
          <w:color w:val="auto"/>
          <w:sz w:val="36"/>
          <w:szCs w:val="30"/>
          <w:highlight w:val="none"/>
        </w:rPr>
      </w:pPr>
    </w:p>
    <w:p w14:paraId="00F9503A">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工程质量保函示范文本</w:t>
      </w:r>
    </w:p>
    <w:p w14:paraId="383CD0B8">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p>
    <w:p w14:paraId="775E2EE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申请人：</w:t>
      </w:r>
    </w:p>
    <w:p w14:paraId="554FF16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址：</w:t>
      </w:r>
    </w:p>
    <w:p w14:paraId="358BADD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受益人：</w:t>
      </w:r>
    </w:p>
    <w:p w14:paraId="15E505F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址：</w:t>
      </w:r>
    </w:p>
    <w:p w14:paraId="327929F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开立人：</w:t>
      </w:r>
    </w:p>
    <w:p w14:paraId="5FF2E3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w:t>
      </w:r>
      <w:r>
        <w:rPr>
          <w:rFonts w:hint="eastAsia" w:ascii="仿宋" w:hAnsi="仿宋" w:eastAsia="仿宋" w:cs="仿宋"/>
          <w:color w:val="auto"/>
          <w:kern w:val="2"/>
          <w:sz w:val="28"/>
          <w:szCs w:val="28"/>
          <w:lang w:val="en-US" w:eastAsia="zh-CN"/>
        </w:rPr>
        <w:t xml:space="preserve">  </w:t>
      </w:r>
      <w:r>
        <w:rPr>
          <w:rFonts w:hint="eastAsia" w:ascii="仿宋" w:hAnsi="仿宋" w:eastAsia="仿宋" w:cs="仿宋"/>
          <w:color w:val="auto"/>
          <w:kern w:val="2"/>
          <w:sz w:val="28"/>
          <w:szCs w:val="28"/>
        </w:rPr>
        <w:t>址：</w:t>
      </w:r>
    </w:p>
    <w:p w14:paraId="4ADE992D">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仿宋" w:hAnsi="仿宋" w:eastAsia="仿宋" w:cs="仿宋"/>
          <w:color w:val="auto"/>
          <w:kern w:val="2"/>
          <w:sz w:val="28"/>
          <w:szCs w:val="28"/>
        </w:rPr>
      </w:pPr>
    </w:p>
    <w:p w14:paraId="4374B2C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 xml:space="preserve">（受益人名称）： </w:t>
      </w:r>
    </w:p>
    <w:p w14:paraId="3054526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鉴于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（以下简称“受益人”）与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（以下简称“申请人”）于</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日就</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工程（以下简称“本工程”）施工和有关事项协商一致共同签订</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（合同名称）合同编号</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3654024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一、本保函担保范围：承包人未按照合同约定履行工程缺陷责任期内的保修义务，应当向贵方承担的违约责任和赔偿因此造成的损失、利息、律师费、诉讼费用等实现债权的费用。</w:t>
      </w:r>
    </w:p>
    <w:p w14:paraId="5588E7EA">
      <w:pPr>
        <w:keepNext w:val="0"/>
        <w:keepLines w:val="0"/>
        <w:pageBreakBefore w:val="0"/>
        <w:widowControl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二、本保函担保金额最高不超过</w:t>
      </w:r>
      <w:r>
        <w:rPr>
          <w:rFonts w:hint="eastAsia" w:ascii="仿宋" w:hAnsi="仿宋" w:eastAsia="仿宋" w:cs="仿宋"/>
          <w:sz w:val="24"/>
          <w:szCs w:val="24"/>
        </w:rPr>
        <w:t>人民币</w:t>
      </w:r>
      <w:r>
        <w:rPr>
          <w:rFonts w:hint="eastAsia" w:ascii="仿宋" w:hAnsi="仿宋" w:eastAsia="仿宋" w:cs="仿宋"/>
          <w:color w:val="auto"/>
          <w:kern w:val="2"/>
          <w:sz w:val="24"/>
          <w:szCs w:val="24"/>
        </w:rPr>
        <w:t>（大写）</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元（¥</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49CC74F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三、本保函有效期（保证期间）为以下第</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种：</w:t>
      </w:r>
    </w:p>
    <w:p w14:paraId="43B4781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1</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本保函有效期至</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14:paraId="791F71B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lang w:val="en-US" w:eastAsia="zh-CN"/>
        </w:rPr>
        <w:t>2</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00987BD5">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四、我方承诺，在收到受益人发来的书面索赔通知和本保函原件后的</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none"/>
          <w:lang w:eastAsia="zh-CN"/>
        </w:rPr>
        <w:t>个工作</w:t>
      </w:r>
      <w:r>
        <w:rPr>
          <w:rFonts w:hint="eastAsia" w:ascii="仿宋" w:hAnsi="仿宋" w:eastAsia="仿宋" w:cs="仿宋"/>
          <w:color w:val="auto"/>
          <w:kern w:val="2"/>
          <w:sz w:val="24"/>
          <w:szCs w:val="24"/>
        </w:rPr>
        <w:t>日内无条件支付至受益人指定账户，前述书面索赔通知即为付款要求之单据，且应满足以下要求：</w:t>
      </w:r>
    </w:p>
    <w:p w14:paraId="7D157E6D">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（1）索赔通知到达的日期在本保函的有效期内；</w:t>
      </w:r>
    </w:p>
    <w:p w14:paraId="19AF469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（2）载明要求支付的金额；</w:t>
      </w:r>
    </w:p>
    <w:p w14:paraId="258AA830">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（3）载明申请人违反合同义务的条款和内容；</w:t>
      </w:r>
    </w:p>
    <w:p w14:paraId="5C10A799">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（4）声明不存在合同文件约定或我国法律规定免除申请人或开立人支付责任的情形；</w:t>
      </w:r>
    </w:p>
    <w:p w14:paraId="6343007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（5）索赔通知应在本保函有效期内到达的地址是：</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56F587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lang w:eastAsia="zh-CN"/>
        </w:rPr>
        <w:t>受益人发出的书面索赔通知应由其为鉴明受益人法定代表人（负责人）或授权代理人签名或盖个人名章并加盖公章。</w:t>
      </w:r>
    </w:p>
    <w:p w14:paraId="07D1A1BC">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五、本保函项下的权利不得转让，不得设定担保。贵方未经我方书面同意转让本保函或其项下任何权利，对我方不发生法律效力。</w:t>
      </w:r>
    </w:p>
    <w:p w14:paraId="5CCAD4E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六、与本保函有关的合同不成立、不生效、无效、被撤销、被解除，不影响本保函的独立有效。 </w:t>
      </w:r>
    </w:p>
    <w:p w14:paraId="26ED1C2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七、贵方应在本保函到期后的</w:t>
      </w:r>
      <w:r>
        <w:rPr>
          <w:rFonts w:hint="eastAsia" w:ascii="仿宋" w:hAnsi="仿宋" w:eastAsia="仿宋" w:cs="仿宋"/>
          <w:color w:val="auto"/>
          <w:kern w:val="2"/>
          <w:sz w:val="24"/>
          <w:szCs w:val="24"/>
          <w:lang w:eastAsia="zh-CN"/>
        </w:rPr>
        <w:t>七个工作</w:t>
      </w:r>
      <w:r>
        <w:rPr>
          <w:rFonts w:hint="eastAsia" w:ascii="仿宋" w:hAnsi="仿宋" w:eastAsia="仿宋" w:cs="仿宋"/>
          <w:color w:val="auto"/>
          <w:kern w:val="2"/>
          <w:sz w:val="24"/>
          <w:szCs w:val="24"/>
        </w:rPr>
        <w:t>日内将本保函正本退回我方注销，但是不论贵方是否按此要求将本保函正本退回我方，我方在本保函项下的义务和责任均在保函有效期到期后自动消灭。</w:t>
      </w:r>
    </w:p>
    <w:p w14:paraId="4129010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八、本保函适用的法律为中华人民共和国法律，争议裁判管辖地为中华人民共和国</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w:t>
      </w:r>
    </w:p>
    <w:p w14:paraId="239DD8E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九、本保函自我方法定代表人或授权代表</w:t>
      </w:r>
      <w:r>
        <w:rPr>
          <w:rFonts w:hint="eastAsia" w:ascii="仿宋" w:hAnsi="仿宋" w:eastAsia="仿宋" w:cs="仿宋"/>
          <w:color w:val="auto"/>
          <w:kern w:val="2"/>
          <w:sz w:val="24"/>
          <w:szCs w:val="24"/>
          <w:lang w:eastAsia="zh-CN"/>
        </w:rPr>
        <w:t>签名</w:t>
      </w:r>
      <w:r>
        <w:rPr>
          <w:rFonts w:hint="eastAsia" w:ascii="仿宋" w:hAnsi="仿宋" w:eastAsia="仿宋" w:cs="仿宋"/>
          <w:color w:val="auto"/>
          <w:kern w:val="2"/>
          <w:sz w:val="24"/>
          <w:szCs w:val="24"/>
        </w:rPr>
        <w:t>或盖个人名章并加盖公章或合同专用章之日起生效。</w:t>
      </w:r>
    </w:p>
    <w:p w14:paraId="5F2F074D">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80" w:firstLineChars="200"/>
        <w:textAlignment w:val="auto"/>
        <w:outlineLvl w:val="9"/>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lang w:val="en-US" w:eastAsia="zh-CN"/>
        </w:rPr>
        <w:t>十、</w:t>
      </w:r>
      <w:r>
        <w:rPr>
          <w:rFonts w:hint="eastAsia" w:ascii="仿宋" w:hAnsi="仿宋" w:eastAsia="仿宋" w:cs="仿宋"/>
          <w:color w:val="auto"/>
          <w:kern w:val="2"/>
          <w:sz w:val="24"/>
          <w:szCs w:val="24"/>
          <w:lang w:eastAsia="zh-CN"/>
        </w:rPr>
        <w:t>本保函在重庆市辖区范围内的核验地点：</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none"/>
          <w:lang w:eastAsia="zh-CN"/>
        </w:rPr>
        <w:t>；核验方式：</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u w:val="single"/>
          <w:lang w:val="en-US" w:eastAsia="zh-CN"/>
        </w:rPr>
        <w:t xml:space="preserve">  </w:t>
      </w:r>
      <w:r>
        <w:rPr>
          <w:rFonts w:hint="eastAsia" w:ascii="仿宋" w:hAnsi="仿宋" w:eastAsia="仿宋" w:cs="仿宋"/>
          <w:color w:val="auto"/>
          <w:kern w:val="2"/>
          <w:sz w:val="24"/>
          <w:szCs w:val="24"/>
          <w:u w:val="none"/>
          <w:lang w:val="en-US" w:eastAsia="zh-CN"/>
        </w:rPr>
        <w:t>。</w:t>
      </w:r>
    </w:p>
    <w:p w14:paraId="0C72B82B">
      <w:pPr>
        <w:keepNext w:val="0"/>
        <w:keepLines w:val="0"/>
        <w:pageBreakBefore w:val="0"/>
        <w:widowControl w:val="0"/>
        <w:shd w:val="clear"/>
        <w:kinsoku/>
        <w:wordWrap/>
        <w:topLinePunct w:val="0"/>
        <w:autoSpaceDE/>
        <w:autoSpaceDN/>
        <w:bidi w:val="0"/>
        <w:snapToGrid/>
        <w:spacing w:beforeLines="0" w:after="0" w:line="360" w:lineRule="auto"/>
        <w:ind w:firstLine="560" w:firstLineChars="200"/>
        <w:jc w:val="both"/>
        <w:rPr>
          <w:rFonts w:hint="eastAsia" w:ascii="仿宋" w:hAnsi="仿宋" w:eastAsia="仿宋" w:cs="仿宋"/>
          <w:color w:val="auto"/>
          <w:kern w:val="2"/>
          <w:sz w:val="28"/>
          <w:szCs w:val="28"/>
          <w:lang w:val="en-US" w:eastAsia="zh-CN" w:bidi="ar-SA"/>
        </w:rPr>
      </w:pPr>
    </w:p>
    <w:p w14:paraId="768954B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 xml:space="preserve">开 立 人： </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（公章）</w:t>
      </w:r>
    </w:p>
    <w:p w14:paraId="67D1872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法定代表人（或授权代表）：</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rPr>
        <w:t>（</w:t>
      </w:r>
      <w:r>
        <w:rPr>
          <w:rFonts w:hint="eastAsia" w:ascii="仿宋" w:hAnsi="仿宋" w:eastAsia="仿宋" w:cs="仿宋"/>
          <w:color w:val="auto"/>
          <w:kern w:val="2"/>
          <w:sz w:val="28"/>
          <w:szCs w:val="28"/>
          <w:lang w:eastAsia="zh-CN"/>
        </w:rPr>
        <w:t>签名或盖个人名章</w:t>
      </w:r>
      <w:r>
        <w:rPr>
          <w:rFonts w:hint="eastAsia" w:ascii="仿宋" w:hAnsi="仿宋" w:eastAsia="仿宋" w:cs="仿宋"/>
          <w:color w:val="auto"/>
          <w:kern w:val="2"/>
          <w:sz w:val="28"/>
          <w:szCs w:val="28"/>
        </w:rPr>
        <w:t>）</w:t>
      </w:r>
    </w:p>
    <w:p w14:paraId="21B038A7">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地    址：</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70FFCC7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邮政编码：</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182AD1B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电    话：</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0D71F03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560" w:firstLineChars="200"/>
        <w:textAlignment w:val="auto"/>
        <w:outlineLvl w:val="9"/>
        <w:rPr>
          <w:rFonts w:hint="eastAsia" w:ascii="仿宋" w:hAnsi="仿宋" w:eastAsia="仿宋" w:cs="仿宋"/>
          <w:color w:val="auto"/>
          <w:kern w:val="2"/>
          <w:sz w:val="28"/>
          <w:szCs w:val="28"/>
        </w:rPr>
      </w:pPr>
      <w:r>
        <w:rPr>
          <w:rFonts w:hint="eastAsia" w:ascii="仿宋" w:hAnsi="仿宋" w:eastAsia="仿宋" w:cs="仿宋"/>
          <w:color w:val="auto"/>
          <w:kern w:val="2"/>
          <w:sz w:val="28"/>
          <w:szCs w:val="28"/>
        </w:rPr>
        <w:t>传    真：</w:t>
      </w:r>
      <w:r>
        <w:rPr>
          <w:rFonts w:hint="eastAsia" w:ascii="仿宋" w:hAnsi="仿宋" w:eastAsia="仿宋" w:cs="仿宋"/>
          <w:color w:val="auto"/>
          <w:kern w:val="2"/>
          <w:sz w:val="28"/>
          <w:szCs w:val="28"/>
          <w:u w:val="single"/>
        </w:rPr>
        <w:t xml:space="preserve">                                </w:t>
      </w:r>
      <w:r>
        <w:rPr>
          <w:rFonts w:hint="eastAsia" w:ascii="仿宋" w:hAnsi="仿宋" w:eastAsia="仿宋" w:cs="仿宋"/>
          <w:color w:val="auto"/>
          <w:kern w:val="2"/>
          <w:sz w:val="28"/>
          <w:szCs w:val="28"/>
          <w:u w:val="single"/>
          <w:lang w:val="en-US" w:eastAsia="zh-CN"/>
        </w:rPr>
        <w:t xml:space="preserve">          </w:t>
      </w:r>
      <w:r>
        <w:rPr>
          <w:rFonts w:hint="eastAsia" w:ascii="仿宋" w:hAnsi="仿宋" w:eastAsia="仿宋" w:cs="仿宋"/>
          <w:color w:val="auto"/>
          <w:kern w:val="2"/>
          <w:sz w:val="28"/>
          <w:szCs w:val="28"/>
        </w:rPr>
        <w:t xml:space="preserve"> </w:t>
      </w:r>
    </w:p>
    <w:p w14:paraId="01BEA7E4">
      <w:pPr>
        <w:spacing w:line="240" w:lineRule="exact"/>
        <w:ind w:firstLine="560" w:firstLineChars="200"/>
        <w:rPr>
          <w:rFonts w:hint="eastAsia" w:ascii="仿宋" w:hAnsi="仿宋" w:eastAsia="仿宋" w:cs="仿宋"/>
          <w:sz w:val="28"/>
          <w:szCs w:val="28"/>
        </w:rPr>
      </w:pPr>
      <w:r>
        <w:rPr>
          <w:rFonts w:hint="eastAsia" w:ascii="仿宋" w:hAnsi="仿宋" w:eastAsia="仿宋" w:cs="仿宋"/>
          <w:color w:val="auto"/>
          <w:kern w:val="2"/>
          <w:sz w:val="28"/>
          <w:szCs w:val="28"/>
        </w:rPr>
        <w:t xml:space="preserve">开立时间：    年    月    </w:t>
      </w:r>
      <w:r>
        <w:rPr>
          <w:rFonts w:hint="eastAsia" w:ascii="仿宋" w:hAnsi="仿宋" w:eastAsia="仿宋" w:cs="仿宋"/>
          <w:color w:val="auto"/>
          <w:sz w:val="28"/>
          <w:szCs w:val="28"/>
        </w:rPr>
        <w:t>日</w:t>
      </w:r>
      <w:r>
        <w:rPr>
          <w:rFonts w:hint="eastAsia" w:ascii="仿宋" w:hAnsi="仿宋" w:eastAsia="仿宋" w:cs="仿宋"/>
          <w:sz w:val="28"/>
          <w:szCs w:val="28"/>
        </w:rPr>
        <w:br w:type="page"/>
      </w:r>
      <w:bookmarkStart w:id="279" w:name="招标文件05章工程量清单"/>
      <w:bookmarkEnd w:id="279"/>
    </w:p>
    <w:p w14:paraId="65346333">
      <w:pPr>
        <w:pStyle w:val="4"/>
        <w:spacing w:before="0" w:after="0" w:line="360" w:lineRule="auto"/>
        <w:jc w:val="center"/>
        <w:rPr>
          <w:rFonts w:hint="default" w:ascii="Times New Roman" w:hAnsi="Times New Roman" w:eastAsia="仿宋" w:cs="Times New Roman"/>
          <w:b w:val="0"/>
          <w:bCs/>
          <w:color w:val="auto"/>
          <w:sz w:val="36"/>
          <w:szCs w:val="30"/>
          <w:highlight w:val="none"/>
        </w:rPr>
      </w:pPr>
      <w:r>
        <w:rPr>
          <w:rFonts w:hint="default" w:ascii="Times New Roman" w:hAnsi="Times New Roman" w:eastAsia="仿宋" w:cs="Times New Roman"/>
          <w:b w:val="0"/>
          <w:bCs/>
          <w:color w:val="auto"/>
          <w:sz w:val="36"/>
          <w:szCs w:val="30"/>
          <w:highlight w:val="none"/>
        </w:rPr>
        <w:t>第七篇  响应文件编制要求</w:t>
      </w:r>
      <w:bookmarkEnd w:id="175"/>
      <w:bookmarkEnd w:id="176"/>
      <w:bookmarkEnd w:id="177"/>
      <w:bookmarkEnd w:id="178"/>
      <w:bookmarkEnd w:id="179"/>
    </w:p>
    <w:p w14:paraId="1F00E441">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一、经济部分</w:t>
      </w:r>
    </w:p>
    <w:p w14:paraId="6980C13D">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w:t>
      </w:r>
      <w:r>
        <w:rPr>
          <w:rFonts w:hint="eastAsia" w:eastAsia="仿宋" w:cs="Times New Roman"/>
          <w:bCs/>
          <w:color w:val="auto"/>
          <w:sz w:val="24"/>
          <w:szCs w:val="24"/>
          <w:highlight w:val="none"/>
          <w:lang w:val="en-US" w:eastAsia="zh-CN"/>
        </w:rPr>
        <w:t>)</w:t>
      </w:r>
      <w:r>
        <w:rPr>
          <w:rFonts w:hint="default" w:ascii="Times New Roman" w:hAnsi="Times New Roman" w:eastAsia="仿宋" w:cs="Times New Roman"/>
          <w:bCs/>
          <w:color w:val="auto"/>
          <w:sz w:val="24"/>
          <w:szCs w:val="24"/>
          <w:highlight w:val="none"/>
        </w:rPr>
        <w:t>询比采购报价函</w:t>
      </w:r>
    </w:p>
    <w:p w14:paraId="205A39E7">
      <w:pPr>
        <w:snapToGrid w:val="0"/>
        <w:spacing w:line="400" w:lineRule="exact"/>
        <w:ind w:firstLine="480" w:firstLineChars="200"/>
        <w:rPr>
          <w:rFonts w:hint="default" w:ascii="Times New Roman" w:hAnsi="Times New Roman" w:eastAsia="仿宋" w:cs="Times New Roman"/>
          <w:bCs/>
          <w:color w:val="auto"/>
          <w:sz w:val="24"/>
          <w:szCs w:val="24"/>
          <w:highlight w:val="none"/>
          <w:lang w:val="en-US" w:eastAsia="zh-CN"/>
        </w:rPr>
      </w:pPr>
      <w:r>
        <w:rPr>
          <w:rFonts w:hint="eastAsia" w:eastAsia="仿宋" w:cs="Times New Roman"/>
          <w:bCs/>
          <w:color w:val="auto"/>
          <w:sz w:val="24"/>
          <w:szCs w:val="24"/>
          <w:highlight w:val="none"/>
          <w:lang w:eastAsia="zh-CN"/>
        </w:rPr>
        <w:t>（二</w:t>
      </w:r>
      <w:r>
        <w:rPr>
          <w:rFonts w:hint="eastAsia" w:eastAsia="仿宋" w:cs="Times New Roman"/>
          <w:bCs/>
          <w:color w:val="auto"/>
          <w:sz w:val="24"/>
          <w:szCs w:val="24"/>
          <w:highlight w:val="none"/>
          <w:lang w:val="en-US" w:eastAsia="zh-CN"/>
        </w:rPr>
        <w:t>)</w:t>
      </w:r>
      <w:r>
        <w:rPr>
          <w:rFonts w:hint="eastAsia" w:ascii="Times New Roman" w:hAnsi="Times New Roman" w:eastAsia="仿宋" w:cs="Times New Roman"/>
          <w:bCs/>
          <w:color w:val="auto"/>
          <w:sz w:val="24"/>
          <w:szCs w:val="24"/>
          <w:highlight w:val="none"/>
        </w:rPr>
        <w:t>已标价工程量清单</w:t>
      </w:r>
    </w:p>
    <w:p w14:paraId="02FE168E">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二、技术部分</w:t>
      </w:r>
    </w:p>
    <w:p w14:paraId="7859E032">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w:t>
      </w:r>
      <w:r>
        <w:rPr>
          <w:rFonts w:hint="default" w:ascii="Times New Roman" w:hAnsi="Times New Roman" w:eastAsia="仿宋" w:cs="Times New Roman"/>
          <w:bCs/>
          <w:color w:val="auto"/>
          <w:sz w:val="24"/>
          <w:szCs w:val="24"/>
          <w:highlight w:val="none"/>
          <w:lang w:eastAsia="zh-CN"/>
        </w:rPr>
        <w:t>技术</w:t>
      </w:r>
      <w:r>
        <w:rPr>
          <w:rFonts w:hint="default" w:ascii="Times New Roman" w:hAnsi="Times New Roman" w:eastAsia="仿宋" w:cs="Times New Roman"/>
          <w:bCs/>
          <w:color w:val="auto"/>
          <w:sz w:val="24"/>
          <w:szCs w:val="24"/>
          <w:highlight w:val="none"/>
        </w:rPr>
        <w:t>方案</w:t>
      </w:r>
    </w:p>
    <w:p w14:paraId="73AB193E">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（二）询比采购服务响应偏离表</w:t>
      </w:r>
    </w:p>
    <w:p w14:paraId="0923C9A2">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三、商务部分</w:t>
      </w:r>
    </w:p>
    <w:p w14:paraId="42C89111">
      <w:pPr>
        <w:spacing w:line="44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（一）询比采购商务响应偏离表</w:t>
      </w:r>
    </w:p>
    <w:p w14:paraId="64FF3E85">
      <w:pPr>
        <w:spacing w:line="44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四、资格条件</w:t>
      </w:r>
    </w:p>
    <w:p w14:paraId="0B480EB5">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（一）营业执照（副本）</w:t>
      </w:r>
    </w:p>
    <w:p w14:paraId="70B94586">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（二）法定代表人/自然人身份证明书（格式）</w:t>
      </w:r>
    </w:p>
    <w:p w14:paraId="72B5CA54">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（三）法定代表人授权委托书（格式）</w:t>
      </w:r>
    </w:p>
    <w:p w14:paraId="7F1B6DDA">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（四）书面声明（格式）</w:t>
      </w:r>
    </w:p>
    <w:p w14:paraId="69B822B3">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（五）特定资格条件证明材料（如果有）</w:t>
      </w:r>
    </w:p>
    <w:p w14:paraId="3C930B9B">
      <w:pPr>
        <w:snapToGrid w:val="0"/>
        <w:spacing w:line="400" w:lineRule="exac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五、其他</w:t>
      </w:r>
      <w:bookmarkStart w:id="280" w:name="_Toc342913419"/>
      <w:bookmarkStart w:id="281" w:name="_Toc313008356"/>
      <w:bookmarkStart w:id="282" w:name="_Toc313888360"/>
      <w:bookmarkStart w:id="283" w:name="_Toc12789073"/>
      <w:bookmarkStart w:id="284" w:name="_Toc283382454"/>
    </w:p>
    <w:p w14:paraId="14D39E4E">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（一）中小企业声明函、监狱企业证明文件、残疾人福利性单位声明函</w:t>
      </w:r>
    </w:p>
    <w:p w14:paraId="38BCB53E">
      <w:pPr>
        <w:snapToGrid w:val="0"/>
        <w:spacing w:line="400" w:lineRule="exact"/>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二</w:t>
      </w:r>
      <w:r>
        <w:rPr>
          <w:rFonts w:hint="default" w:ascii="Times New Roman" w:hAnsi="Times New Roman" w:eastAsia="仿宋" w:cs="Times New Roman"/>
          <w:bCs/>
          <w:color w:val="auto"/>
          <w:sz w:val="24"/>
          <w:szCs w:val="24"/>
          <w:highlight w:val="none"/>
        </w:rPr>
        <w:t>）其他与项目有关的资料</w:t>
      </w:r>
    </w:p>
    <w:p w14:paraId="7CC92DDF">
      <w:pPr>
        <w:pStyle w:val="2"/>
        <w:rPr>
          <w:rFonts w:hint="default" w:ascii="Times New Roman" w:hAnsi="Times New Roman" w:cs="Times New Roman"/>
          <w:highlight w:val="none"/>
        </w:rPr>
        <w:sectPr>
          <w:headerReference r:id="rId12" w:type="default"/>
          <w:footerReference r:id="rId13" w:type="default"/>
          <w:pgSz w:w="11907" w:h="16840"/>
          <w:pgMar w:top="1134" w:right="1191" w:bottom="1134" w:left="1304" w:header="851" w:footer="992" w:gutter="0"/>
          <w:pgNumType w:fmt="numberInDash"/>
          <w:cols w:space="720" w:num="1"/>
          <w:docGrid w:linePitch="380" w:charSpace="-5735"/>
        </w:sectPr>
      </w:pPr>
    </w:p>
    <w:p w14:paraId="7BBD8814">
      <w:pPr>
        <w:spacing w:line="360" w:lineRule="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一、经济部分</w:t>
      </w:r>
      <w:bookmarkEnd w:id="280"/>
      <w:bookmarkEnd w:id="281"/>
      <w:bookmarkEnd w:id="282"/>
    </w:p>
    <w:bookmarkEnd w:id="283"/>
    <w:bookmarkEnd w:id="284"/>
    <w:p w14:paraId="43B6A1FD">
      <w:pPr>
        <w:tabs>
          <w:tab w:val="left" w:pos="6300"/>
        </w:tabs>
        <w:snapToGrid w:val="0"/>
        <w:spacing w:line="312" w:lineRule="auto"/>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（一）询比采购报价函</w:t>
      </w:r>
    </w:p>
    <w:p w14:paraId="6EA6A098">
      <w:pPr>
        <w:tabs>
          <w:tab w:val="left" w:pos="6300"/>
        </w:tabs>
        <w:snapToGrid w:val="0"/>
        <w:spacing w:line="312" w:lineRule="auto"/>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询比采购报价函</w:t>
      </w:r>
    </w:p>
    <w:p w14:paraId="4C72AFD9">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________________（采购人名称）：</w:t>
      </w:r>
    </w:p>
    <w:p w14:paraId="1FD05EBE">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我方收到____________________________（项目名称）的询比采购文件，经详细研究，决定参加该项目的询比采购。</w:t>
      </w:r>
    </w:p>
    <w:p w14:paraId="73FFB28B">
      <w:pPr>
        <w:widowControl/>
        <w:tabs>
          <w:tab w:val="left" w:pos="6300"/>
        </w:tabs>
        <w:snapToGrid w:val="0"/>
        <w:spacing w:line="360" w:lineRule="auto"/>
        <w:ind w:left="472"/>
        <w:jc w:val="left"/>
        <w:rPr>
          <w:rFonts w:hint="default" w:ascii="Times New Roman" w:hAnsi="Times New Roman" w:eastAsia="仿宋" w:cs="Times New Roman"/>
          <w:bCs/>
          <w:color w:val="auto"/>
          <w:sz w:val="24"/>
          <w:szCs w:val="24"/>
          <w:highlight w:val="none"/>
          <w:lang w:val="en-US" w:eastAsia="zh-CN"/>
        </w:rPr>
      </w:pPr>
      <w:r>
        <w:rPr>
          <w:rFonts w:hint="default" w:ascii="Times New Roman" w:hAnsi="Times New Roman" w:eastAsia="仿宋" w:cs="Times New Roman"/>
          <w:bCs/>
          <w:color w:val="auto"/>
          <w:sz w:val="24"/>
          <w:szCs w:val="24"/>
          <w:highlight w:val="none"/>
        </w:rPr>
        <w:t>1、愿意按照询比采购文件中的一切要求，提供本项目的</w:t>
      </w:r>
      <w:r>
        <w:rPr>
          <w:rFonts w:hint="default" w:ascii="Times New Roman" w:hAnsi="Times New Roman" w:eastAsia="仿宋" w:cs="Times New Roman"/>
          <w:bCs/>
          <w:color w:val="auto"/>
          <w:sz w:val="24"/>
          <w:szCs w:val="24"/>
          <w:highlight w:val="none"/>
          <w:lang w:eastAsia="zh-CN"/>
        </w:rPr>
        <w:t>服务</w:t>
      </w: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投标建安工程费报价为</w:t>
      </w:r>
      <w:r>
        <w:rPr>
          <w:rFonts w:hint="default" w:ascii="Times New Roman" w:hAnsi="Times New Roman" w:eastAsia="仿宋" w:cs="Times New Roman"/>
          <w:bCs/>
          <w:color w:val="auto"/>
          <w:sz w:val="24"/>
          <w:szCs w:val="24"/>
          <w:highlight w:val="none"/>
        </w:rPr>
        <w:t>大写：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；人民币小写：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元</w:t>
      </w:r>
      <w:r>
        <w:rPr>
          <w:rFonts w:hint="default" w:ascii="Times New Roman" w:hAnsi="Times New Roman" w:eastAsia="仿宋" w:cs="Times New Roman"/>
          <w:bCs/>
          <w:color w:val="auto"/>
          <w:sz w:val="24"/>
          <w:szCs w:val="24"/>
          <w:highlight w:val="none"/>
          <w:lang w:eastAsia="zh-CN"/>
        </w:rPr>
        <w:t>；</w:t>
      </w:r>
      <w:r>
        <w:rPr>
          <w:rFonts w:hint="default" w:ascii="Times New Roman" w:hAnsi="Times New Roman" w:eastAsia="仿宋" w:cs="Times New Roman"/>
          <w:bCs/>
          <w:color w:val="auto"/>
          <w:sz w:val="24"/>
          <w:szCs w:val="24"/>
          <w:highlight w:val="none"/>
          <w:lang w:val="en-US" w:eastAsia="zh-CN"/>
        </w:rPr>
        <w:t>安全</w:t>
      </w:r>
      <w:r>
        <w:rPr>
          <w:rFonts w:hint="eastAsia" w:eastAsia="仿宋" w:cs="Times New Roman"/>
          <w:bCs/>
          <w:color w:val="auto"/>
          <w:sz w:val="24"/>
          <w:szCs w:val="24"/>
          <w:highlight w:val="none"/>
          <w:lang w:val="en-US" w:eastAsia="zh-CN"/>
        </w:rPr>
        <w:t>文明施工费</w:t>
      </w:r>
      <w:r>
        <w:rPr>
          <w:rFonts w:hint="default" w:ascii="Times New Roman" w:hAnsi="Times New Roman" w:eastAsia="仿宋" w:cs="Times New Roman"/>
          <w:bCs/>
          <w:color w:val="auto"/>
          <w:sz w:val="24"/>
          <w:szCs w:val="24"/>
          <w:highlight w:val="none"/>
          <w:lang w:val="en-US" w:eastAsia="zh-CN"/>
        </w:rPr>
        <w:t>为</w:t>
      </w:r>
      <w:r>
        <w:rPr>
          <w:rFonts w:hint="default" w:ascii="Times New Roman" w:hAnsi="Times New Roman" w:eastAsia="仿宋" w:cs="Times New Roman"/>
          <w:bCs/>
          <w:color w:val="auto"/>
          <w:sz w:val="24"/>
          <w:szCs w:val="24"/>
          <w:highlight w:val="none"/>
        </w:rPr>
        <w:t>大写：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；人民币小写：</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元</w:t>
      </w:r>
      <w:r>
        <w:rPr>
          <w:rFonts w:hint="default" w:ascii="Times New Roman" w:hAnsi="Times New Roman" w:eastAsia="仿宋" w:cs="Times New Roman"/>
          <w:bCs/>
          <w:color w:val="auto"/>
          <w:sz w:val="24"/>
          <w:szCs w:val="24"/>
          <w:highlight w:val="none"/>
          <w:lang w:eastAsia="zh-CN"/>
        </w:rPr>
        <w:t>。</w:t>
      </w:r>
    </w:p>
    <w:p w14:paraId="1460B214">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2、我方现提交的响应文件为：盖章的响应文件电子档1份</w:t>
      </w:r>
      <w:r>
        <w:rPr>
          <w:rFonts w:hint="default" w:ascii="Times New Roman" w:hAnsi="Times New Roman" w:eastAsia="仿宋" w:cs="Times New Roman"/>
          <w:bCs/>
          <w:i w:val="0"/>
          <w:iCs w:val="0"/>
          <w:color w:val="auto"/>
          <w:sz w:val="24"/>
          <w:szCs w:val="24"/>
          <w:highlight w:val="none"/>
          <w:u w:val="none"/>
        </w:rPr>
        <w:t>。</w:t>
      </w:r>
    </w:p>
    <w:p w14:paraId="2B0BE308">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3、我方承诺：本次询比采购的有效期为90天。</w:t>
      </w:r>
    </w:p>
    <w:p w14:paraId="78A7788F">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4、我方完全理解和接受贵方询比采购文件的一切规定和要求及评审办法。</w:t>
      </w:r>
    </w:p>
    <w:p w14:paraId="4EF91D52">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5、在整个询比采购过程中，我方若有违规行为，接受相关处罚。</w:t>
      </w:r>
    </w:p>
    <w:p w14:paraId="314DBDC3">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6、我方若成为成交供应商，将按照最终询比采购结果签订合同，并且严格履行合同义务。本承诺函将成为合同不可分割的一部分，与合同具有同等的法律效力。</w:t>
      </w:r>
    </w:p>
    <w:p w14:paraId="3E9898F0">
      <w:pPr>
        <w:tabs>
          <w:tab w:val="left" w:pos="5865"/>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7、我方理解，最低报价不是成交的唯一条件。</w:t>
      </w:r>
      <w:r>
        <w:rPr>
          <w:rFonts w:hint="default" w:ascii="Times New Roman" w:hAnsi="Times New Roman" w:eastAsia="仿宋" w:cs="Times New Roman"/>
          <w:bCs/>
          <w:color w:val="auto"/>
          <w:sz w:val="24"/>
          <w:szCs w:val="24"/>
          <w:highlight w:val="none"/>
        </w:rPr>
        <w:tab/>
      </w:r>
    </w:p>
    <w:p w14:paraId="525627AF">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03413BA4">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63DA98C0">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0E4652F9">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p>
    <w:p w14:paraId="7582E21C">
      <w:pPr>
        <w:tabs>
          <w:tab w:val="left" w:pos="6300"/>
        </w:tabs>
        <w:snapToGrid w:val="0"/>
        <w:spacing w:line="360" w:lineRule="auto"/>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供应商名称（公章）：</w:t>
      </w:r>
    </w:p>
    <w:p w14:paraId="27D520AC">
      <w:pPr>
        <w:tabs>
          <w:tab w:val="left" w:pos="3480"/>
        </w:tabs>
        <w:autoSpaceDE w:val="0"/>
        <w:autoSpaceDN w:val="0"/>
        <w:adjustRightInd w:val="0"/>
        <w:spacing w:line="360" w:lineRule="auto"/>
        <w:jc w:val="left"/>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年   月   日</w:t>
      </w:r>
    </w:p>
    <w:p w14:paraId="04455F94">
      <w:pPr>
        <w:spacing w:line="360" w:lineRule="auto"/>
        <w:rPr>
          <w:rFonts w:hint="default" w:ascii="Times New Roman" w:hAnsi="Times New Roman" w:cs="Times New Roman"/>
          <w:color w:val="auto"/>
          <w:sz w:val="24"/>
          <w:highlight w:val="none"/>
        </w:rPr>
      </w:pPr>
    </w:p>
    <w:p w14:paraId="72C4C452">
      <w:pPr>
        <w:snapToGrid w:val="0"/>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w:t>
      </w:r>
    </w:p>
    <w:p w14:paraId="1CD508F0">
      <w:pPr>
        <w:rPr>
          <w:rFonts w:hint="default" w:ascii="Times New Roman" w:hAnsi="Times New Roman" w:cs="Times New Roman"/>
          <w:bCs/>
          <w:color w:val="auto"/>
          <w:highlight w:val="none"/>
        </w:rPr>
      </w:pPr>
    </w:p>
    <w:p w14:paraId="27ECEB10">
      <w:pPr>
        <w:rPr>
          <w:rFonts w:hint="default" w:ascii="Times New Roman" w:hAnsi="Times New Roman" w:cs="Times New Roman"/>
          <w:bCs/>
          <w:color w:val="auto"/>
          <w:highlight w:val="none"/>
        </w:rPr>
      </w:pPr>
    </w:p>
    <w:p w14:paraId="655CB1A6">
      <w:pPr>
        <w:spacing w:line="360" w:lineRule="auto"/>
        <w:rPr>
          <w:rFonts w:hint="default" w:ascii="Times New Roman" w:hAnsi="Times New Roman" w:cs="Times New Roman"/>
          <w:bCs/>
          <w:color w:val="auto"/>
          <w:highlight w:val="none"/>
        </w:rPr>
      </w:pPr>
      <w:r>
        <w:rPr>
          <w:rFonts w:hint="default" w:ascii="Times New Roman" w:hAnsi="Times New Roman" w:cs="Times New Roman"/>
          <w:bCs/>
          <w:color w:val="auto"/>
          <w:highlight w:val="none"/>
        </w:rPr>
        <w:tab/>
      </w:r>
      <w:bookmarkStart w:id="285" w:name="_Toc313008357"/>
      <w:bookmarkStart w:id="286" w:name="_Toc313888361"/>
      <w:bookmarkStart w:id="287" w:name="_Toc342913420"/>
    </w:p>
    <w:p w14:paraId="0BBDB57D">
      <w:pPr>
        <w:spacing w:line="360" w:lineRule="auto"/>
        <w:rPr>
          <w:rFonts w:hint="default" w:ascii="Times New Roman" w:hAnsi="Times New Roman" w:cs="Times New Roman"/>
          <w:bCs/>
          <w:color w:val="auto"/>
          <w:highlight w:val="none"/>
        </w:rPr>
      </w:pPr>
    </w:p>
    <w:p w14:paraId="0580A43C">
      <w:pPr>
        <w:spacing w:line="360" w:lineRule="auto"/>
        <w:rPr>
          <w:rFonts w:hint="default" w:ascii="Times New Roman" w:hAnsi="Times New Roman" w:cs="Times New Roman"/>
          <w:bCs/>
          <w:color w:val="auto"/>
          <w:highlight w:val="none"/>
        </w:rPr>
      </w:pPr>
    </w:p>
    <w:p w14:paraId="10343D28">
      <w:pPr>
        <w:spacing w:line="360" w:lineRule="auto"/>
        <w:rPr>
          <w:rFonts w:hint="default" w:ascii="Times New Roman" w:hAnsi="Times New Roman" w:cs="Times New Roman"/>
          <w:bCs/>
          <w:color w:val="auto"/>
          <w:highlight w:val="none"/>
        </w:rPr>
      </w:pPr>
    </w:p>
    <w:p w14:paraId="02CCF25A">
      <w:pPr>
        <w:spacing w:line="360" w:lineRule="auto"/>
        <w:rPr>
          <w:rFonts w:hint="default" w:ascii="Times New Roman" w:hAnsi="Times New Roman" w:cs="Times New Roman"/>
          <w:bCs/>
          <w:color w:val="auto"/>
          <w:highlight w:val="none"/>
        </w:rPr>
      </w:pPr>
    </w:p>
    <w:p w14:paraId="58800CD0">
      <w:pPr>
        <w:spacing w:line="360" w:lineRule="auto"/>
        <w:rPr>
          <w:rFonts w:hint="default" w:ascii="Times New Roman" w:hAnsi="Times New Roman" w:cs="Times New Roman"/>
          <w:bCs/>
          <w:color w:val="auto"/>
          <w:highlight w:val="none"/>
        </w:rPr>
      </w:pPr>
    </w:p>
    <w:p w14:paraId="5ED6A7EB">
      <w:pPr>
        <w:spacing w:line="360" w:lineRule="auto"/>
        <w:rPr>
          <w:rFonts w:hint="default" w:ascii="Times New Roman" w:hAnsi="Times New Roman" w:eastAsia="仿宋" w:cs="Times New Roman"/>
          <w:bCs/>
          <w:color w:val="auto"/>
          <w:sz w:val="24"/>
          <w:szCs w:val="24"/>
          <w:highlight w:val="none"/>
          <w:lang w:val="en-US" w:eastAsia="zh-CN"/>
        </w:rPr>
      </w:pPr>
      <w:r>
        <w:rPr>
          <w:rFonts w:hint="eastAsia" w:ascii="Times New Roman" w:hAnsi="Times New Roman" w:eastAsia="仿宋" w:cs="Times New Roman"/>
          <w:bCs/>
          <w:color w:val="auto"/>
          <w:sz w:val="24"/>
          <w:szCs w:val="24"/>
          <w:highlight w:val="none"/>
          <w:lang w:val="en-US" w:eastAsia="zh-CN"/>
        </w:rPr>
        <w:t>(二）</w:t>
      </w:r>
      <w:r>
        <w:rPr>
          <w:rFonts w:hint="eastAsia" w:ascii="Times New Roman" w:hAnsi="Times New Roman" w:eastAsia="仿宋" w:cs="Times New Roman"/>
          <w:bCs/>
          <w:color w:val="auto"/>
          <w:sz w:val="24"/>
          <w:szCs w:val="24"/>
          <w:highlight w:val="none"/>
        </w:rPr>
        <w:t>已标价工程量清单</w:t>
      </w:r>
    </w:p>
    <w:p w14:paraId="76D0699A">
      <w:pPr>
        <w:spacing w:line="360" w:lineRule="auto"/>
        <w:rPr>
          <w:rFonts w:hint="default" w:ascii="Times New Roman" w:hAnsi="Times New Roman" w:eastAsia="仿宋" w:cs="Times New Roman"/>
          <w:bCs/>
          <w:color w:val="auto"/>
          <w:sz w:val="24"/>
          <w:szCs w:val="24"/>
          <w:highlight w:val="none"/>
        </w:rPr>
      </w:pPr>
    </w:p>
    <w:p w14:paraId="7FBEEDD3">
      <w:pPr>
        <w:spacing w:line="360" w:lineRule="auto"/>
        <w:rPr>
          <w:rFonts w:hint="default" w:ascii="Times New Roman" w:hAnsi="Times New Roman" w:eastAsia="仿宋" w:cs="Times New Roman"/>
          <w:bCs/>
          <w:color w:val="auto"/>
          <w:sz w:val="24"/>
          <w:szCs w:val="24"/>
          <w:highlight w:val="none"/>
        </w:rPr>
      </w:pPr>
    </w:p>
    <w:p w14:paraId="2B01B964">
      <w:pPr>
        <w:spacing w:line="360" w:lineRule="auto"/>
        <w:rPr>
          <w:rFonts w:hint="default" w:ascii="Times New Roman" w:hAnsi="Times New Roman" w:eastAsia="仿宋" w:cs="Times New Roman"/>
          <w:bCs/>
          <w:color w:val="auto"/>
          <w:sz w:val="24"/>
          <w:szCs w:val="24"/>
          <w:highlight w:val="none"/>
        </w:rPr>
      </w:pPr>
    </w:p>
    <w:p w14:paraId="40E52B49">
      <w:pPr>
        <w:spacing w:line="360" w:lineRule="auto"/>
        <w:rPr>
          <w:rFonts w:hint="default" w:ascii="Times New Roman" w:hAnsi="Times New Roman" w:eastAsia="仿宋" w:cs="Times New Roman"/>
          <w:bCs/>
          <w:color w:val="auto"/>
          <w:sz w:val="24"/>
          <w:szCs w:val="24"/>
          <w:highlight w:val="none"/>
        </w:rPr>
      </w:pPr>
    </w:p>
    <w:p w14:paraId="223B0603">
      <w:pPr>
        <w:spacing w:line="360" w:lineRule="auto"/>
        <w:rPr>
          <w:rFonts w:hint="default" w:ascii="Times New Roman" w:hAnsi="Times New Roman" w:eastAsia="仿宋" w:cs="Times New Roman"/>
          <w:bCs/>
          <w:color w:val="auto"/>
          <w:sz w:val="24"/>
          <w:szCs w:val="24"/>
          <w:highlight w:val="none"/>
        </w:rPr>
      </w:pPr>
    </w:p>
    <w:p w14:paraId="0A69D3BB">
      <w:pPr>
        <w:spacing w:line="360" w:lineRule="auto"/>
        <w:rPr>
          <w:rFonts w:hint="default" w:ascii="Times New Roman" w:hAnsi="Times New Roman" w:eastAsia="仿宋" w:cs="Times New Roman"/>
          <w:bCs/>
          <w:color w:val="auto"/>
          <w:sz w:val="24"/>
          <w:szCs w:val="24"/>
          <w:highlight w:val="none"/>
        </w:rPr>
      </w:pPr>
    </w:p>
    <w:p w14:paraId="789CB24F">
      <w:pPr>
        <w:spacing w:line="360" w:lineRule="auto"/>
        <w:rPr>
          <w:rFonts w:hint="default" w:ascii="Times New Roman" w:hAnsi="Times New Roman" w:eastAsia="仿宋" w:cs="Times New Roman"/>
          <w:bCs/>
          <w:color w:val="auto"/>
          <w:sz w:val="24"/>
          <w:szCs w:val="24"/>
          <w:highlight w:val="none"/>
        </w:rPr>
      </w:pPr>
    </w:p>
    <w:p w14:paraId="2916232D">
      <w:pPr>
        <w:spacing w:line="360" w:lineRule="auto"/>
        <w:rPr>
          <w:rFonts w:hint="default" w:ascii="Times New Roman" w:hAnsi="Times New Roman" w:eastAsia="仿宋" w:cs="Times New Roman"/>
          <w:bCs/>
          <w:color w:val="auto"/>
          <w:sz w:val="24"/>
          <w:szCs w:val="24"/>
          <w:highlight w:val="none"/>
        </w:rPr>
      </w:pPr>
    </w:p>
    <w:p w14:paraId="253280FF">
      <w:pPr>
        <w:spacing w:line="360" w:lineRule="auto"/>
        <w:rPr>
          <w:rFonts w:hint="default" w:ascii="Times New Roman" w:hAnsi="Times New Roman" w:eastAsia="仿宋" w:cs="Times New Roman"/>
          <w:bCs/>
          <w:color w:val="auto"/>
          <w:sz w:val="24"/>
          <w:szCs w:val="24"/>
          <w:highlight w:val="none"/>
        </w:rPr>
      </w:pPr>
    </w:p>
    <w:p w14:paraId="06D9F7DF">
      <w:pPr>
        <w:spacing w:line="360" w:lineRule="auto"/>
        <w:rPr>
          <w:rFonts w:hint="default" w:ascii="Times New Roman" w:hAnsi="Times New Roman" w:eastAsia="仿宋" w:cs="Times New Roman"/>
          <w:bCs/>
          <w:color w:val="auto"/>
          <w:sz w:val="24"/>
          <w:szCs w:val="24"/>
          <w:highlight w:val="none"/>
        </w:rPr>
      </w:pPr>
    </w:p>
    <w:p w14:paraId="416F2469">
      <w:pPr>
        <w:spacing w:line="360" w:lineRule="auto"/>
        <w:rPr>
          <w:rFonts w:hint="default" w:ascii="Times New Roman" w:hAnsi="Times New Roman" w:eastAsia="仿宋" w:cs="Times New Roman"/>
          <w:bCs/>
          <w:color w:val="auto"/>
          <w:sz w:val="24"/>
          <w:szCs w:val="24"/>
          <w:highlight w:val="none"/>
        </w:rPr>
      </w:pPr>
    </w:p>
    <w:p w14:paraId="0F516686">
      <w:pPr>
        <w:spacing w:line="360" w:lineRule="auto"/>
        <w:rPr>
          <w:rFonts w:hint="default" w:ascii="Times New Roman" w:hAnsi="Times New Roman" w:eastAsia="仿宋" w:cs="Times New Roman"/>
          <w:bCs/>
          <w:color w:val="auto"/>
          <w:sz w:val="24"/>
          <w:szCs w:val="24"/>
          <w:highlight w:val="none"/>
        </w:rPr>
      </w:pPr>
    </w:p>
    <w:p w14:paraId="6F36BE15">
      <w:pPr>
        <w:spacing w:line="360" w:lineRule="auto"/>
        <w:rPr>
          <w:rFonts w:hint="default" w:ascii="Times New Roman" w:hAnsi="Times New Roman" w:eastAsia="仿宋" w:cs="Times New Roman"/>
          <w:bCs/>
          <w:color w:val="auto"/>
          <w:sz w:val="24"/>
          <w:szCs w:val="24"/>
          <w:highlight w:val="none"/>
        </w:rPr>
      </w:pPr>
    </w:p>
    <w:p w14:paraId="27D974EE">
      <w:pPr>
        <w:spacing w:line="360" w:lineRule="auto"/>
        <w:rPr>
          <w:rFonts w:hint="default" w:ascii="Times New Roman" w:hAnsi="Times New Roman" w:eastAsia="仿宋" w:cs="Times New Roman"/>
          <w:bCs/>
          <w:color w:val="auto"/>
          <w:sz w:val="24"/>
          <w:szCs w:val="24"/>
          <w:highlight w:val="none"/>
        </w:rPr>
      </w:pPr>
    </w:p>
    <w:p w14:paraId="3CE9B1E9">
      <w:pPr>
        <w:spacing w:line="360" w:lineRule="auto"/>
        <w:rPr>
          <w:rFonts w:hint="default" w:ascii="Times New Roman" w:hAnsi="Times New Roman" w:eastAsia="仿宋" w:cs="Times New Roman"/>
          <w:bCs/>
          <w:color w:val="auto"/>
          <w:sz w:val="24"/>
          <w:szCs w:val="24"/>
          <w:highlight w:val="none"/>
        </w:rPr>
      </w:pPr>
    </w:p>
    <w:p w14:paraId="25F9319D">
      <w:pPr>
        <w:spacing w:line="360" w:lineRule="auto"/>
        <w:rPr>
          <w:rFonts w:hint="default" w:ascii="Times New Roman" w:hAnsi="Times New Roman" w:eastAsia="仿宋" w:cs="Times New Roman"/>
          <w:bCs/>
          <w:color w:val="auto"/>
          <w:sz w:val="24"/>
          <w:szCs w:val="24"/>
          <w:highlight w:val="none"/>
        </w:rPr>
      </w:pPr>
    </w:p>
    <w:p w14:paraId="22DB6D52">
      <w:pPr>
        <w:spacing w:line="360" w:lineRule="auto"/>
        <w:rPr>
          <w:rFonts w:hint="default" w:ascii="Times New Roman" w:hAnsi="Times New Roman" w:eastAsia="仿宋" w:cs="Times New Roman"/>
          <w:bCs/>
          <w:color w:val="auto"/>
          <w:sz w:val="24"/>
          <w:szCs w:val="24"/>
          <w:highlight w:val="none"/>
        </w:rPr>
      </w:pPr>
    </w:p>
    <w:p w14:paraId="39C57305">
      <w:pPr>
        <w:spacing w:line="360" w:lineRule="auto"/>
        <w:rPr>
          <w:rFonts w:hint="default" w:ascii="Times New Roman" w:hAnsi="Times New Roman" w:eastAsia="仿宋" w:cs="Times New Roman"/>
          <w:bCs/>
          <w:color w:val="auto"/>
          <w:sz w:val="24"/>
          <w:szCs w:val="24"/>
          <w:highlight w:val="none"/>
        </w:rPr>
      </w:pPr>
    </w:p>
    <w:p w14:paraId="407281BA">
      <w:pPr>
        <w:spacing w:line="360" w:lineRule="auto"/>
        <w:rPr>
          <w:rFonts w:hint="default" w:ascii="Times New Roman" w:hAnsi="Times New Roman" w:eastAsia="仿宋" w:cs="Times New Roman"/>
          <w:bCs/>
          <w:color w:val="auto"/>
          <w:sz w:val="24"/>
          <w:szCs w:val="24"/>
          <w:highlight w:val="none"/>
        </w:rPr>
      </w:pPr>
    </w:p>
    <w:p w14:paraId="78F85291">
      <w:pPr>
        <w:spacing w:line="360" w:lineRule="auto"/>
        <w:rPr>
          <w:rFonts w:hint="default" w:ascii="Times New Roman" w:hAnsi="Times New Roman" w:eastAsia="仿宋" w:cs="Times New Roman"/>
          <w:bCs/>
          <w:color w:val="auto"/>
          <w:sz w:val="24"/>
          <w:szCs w:val="24"/>
          <w:highlight w:val="none"/>
        </w:rPr>
      </w:pPr>
    </w:p>
    <w:p w14:paraId="57855261">
      <w:pPr>
        <w:spacing w:line="360" w:lineRule="auto"/>
        <w:rPr>
          <w:rFonts w:hint="default" w:ascii="Times New Roman" w:hAnsi="Times New Roman" w:eastAsia="仿宋" w:cs="Times New Roman"/>
          <w:bCs/>
          <w:color w:val="auto"/>
          <w:sz w:val="24"/>
          <w:szCs w:val="24"/>
          <w:highlight w:val="none"/>
        </w:rPr>
      </w:pPr>
    </w:p>
    <w:p w14:paraId="3E429809">
      <w:pPr>
        <w:spacing w:line="360" w:lineRule="auto"/>
        <w:rPr>
          <w:rFonts w:hint="default" w:ascii="Times New Roman" w:hAnsi="Times New Roman" w:eastAsia="仿宋" w:cs="Times New Roman"/>
          <w:bCs/>
          <w:color w:val="auto"/>
          <w:sz w:val="24"/>
          <w:szCs w:val="24"/>
          <w:highlight w:val="none"/>
        </w:rPr>
      </w:pPr>
    </w:p>
    <w:p w14:paraId="6F4AB2CC">
      <w:pPr>
        <w:spacing w:line="360" w:lineRule="auto"/>
        <w:rPr>
          <w:rFonts w:hint="default" w:ascii="Times New Roman" w:hAnsi="Times New Roman" w:eastAsia="仿宋" w:cs="Times New Roman"/>
          <w:bCs/>
          <w:color w:val="auto"/>
          <w:sz w:val="24"/>
          <w:szCs w:val="24"/>
          <w:highlight w:val="none"/>
        </w:rPr>
      </w:pPr>
    </w:p>
    <w:p w14:paraId="478EC235">
      <w:pPr>
        <w:spacing w:line="360" w:lineRule="auto"/>
        <w:rPr>
          <w:rFonts w:hint="default" w:ascii="Times New Roman" w:hAnsi="Times New Roman" w:eastAsia="仿宋" w:cs="Times New Roman"/>
          <w:bCs/>
          <w:color w:val="auto"/>
          <w:sz w:val="24"/>
          <w:szCs w:val="24"/>
          <w:highlight w:val="none"/>
        </w:rPr>
      </w:pPr>
    </w:p>
    <w:p w14:paraId="6141EE9F">
      <w:pPr>
        <w:spacing w:line="360" w:lineRule="auto"/>
        <w:rPr>
          <w:rFonts w:hint="default" w:ascii="Times New Roman" w:hAnsi="Times New Roman" w:eastAsia="仿宋" w:cs="Times New Roman"/>
          <w:bCs/>
          <w:color w:val="auto"/>
          <w:sz w:val="24"/>
          <w:szCs w:val="24"/>
          <w:highlight w:val="none"/>
        </w:rPr>
      </w:pPr>
    </w:p>
    <w:p w14:paraId="38C7C41B">
      <w:pPr>
        <w:spacing w:line="360" w:lineRule="auto"/>
        <w:rPr>
          <w:rFonts w:hint="default" w:ascii="Times New Roman" w:hAnsi="Times New Roman" w:eastAsia="仿宋" w:cs="Times New Roman"/>
          <w:bCs/>
          <w:color w:val="auto"/>
          <w:sz w:val="24"/>
          <w:szCs w:val="24"/>
          <w:highlight w:val="none"/>
        </w:rPr>
      </w:pPr>
    </w:p>
    <w:p w14:paraId="5626BFB0">
      <w:pPr>
        <w:spacing w:line="360" w:lineRule="auto"/>
        <w:rPr>
          <w:rFonts w:hint="default" w:ascii="Times New Roman" w:hAnsi="Times New Roman" w:eastAsia="仿宋" w:cs="Times New Roman"/>
          <w:bCs/>
          <w:color w:val="auto"/>
          <w:sz w:val="24"/>
          <w:szCs w:val="24"/>
          <w:highlight w:val="none"/>
        </w:rPr>
      </w:pPr>
    </w:p>
    <w:p w14:paraId="1C0FF29C">
      <w:pPr>
        <w:spacing w:line="360" w:lineRule="auto"/>
        <w:rPr>
          <w:rFonts w:hint="default" w:ascii="Times New Roman" w:hAnsi="Times New Roman" w:eastAsia="仿宋" w:cs="Times New Roman"/>
          <w:bCs/>
          <w:color w:val="auto"/>
          <w:sz w:val="24"/>
          <w:szCs w:val="24"/>
          <w:highlight w:val="none"/>
        </w:rPr>
      </w:pPr>
    </w:p>
    <w:p w14:paraId="6271F03E">
      <w:pPr>
        <w:spacing w:line="360" w:lineRule="auto"/>
        <w:rPr>
          <w:rFonts w:hint="default" w:ascii="Times New Roman" w:hAnsi="Times New Roman" w:eastAsia="仿宋" w:cs="Times New Roman"/>
          <w:bCs/>
          <w:color w:val="auto"/>
          <w:sz w:val="24"/>
          <w:szCs w:val="24"/>
          <w:highlight w:val="none"/>
        </w:rPr>
      </w:pPr>
    </w:p>
    <w:p w14:paraId="136D42B3">
      <w:pPr>
        <w:spacing w:line="360" w:lineRule="auto"/>
        <w:rPr>
          <w:rFonts w:hint="default" w:ascii="Times New Roman" w:hAnsi="Times New Roman" w:eastAsia="仿宋" w:cs="Times New Roman"/>
          <w:bCs/>
          <w:color w:val="auto"/>
          <w:sz w:val="24"/>
          <w:szCs w:val="24"/>
          <w:highlight w:val="none"/>
        </w:rPr>
      </w:pPr>
    </w:p>
    <w:p w14:paraId="3A45B0C3">
      <w:pPr>
        <w:spacing w:line="360" w:lineRule="auto"/>
        <w:rPr>
          <w:rFonts w:hint="default" w:ascii="Times New Roman" w:hAnsi="Times New Roman" w:eastAsia="仿宋" w:cs="Times New Roman"/>
          <w:bCs/>
          <w:color w:val="auto"/>
          <w:sz w:val="24"/>
          <w:szCs w:val="24"/>
          <w:highlight w:val="none"/>
        </w:rPr>
      </w:pPr>
    </w:p>
    <w:p w14:paraId="43D0215F">
      <w:pPr>
        <w:spacing w:line="360" w:lineRule="auto"/>
        <w:rPr>
          <w:rFonts w:hint="default" w:ascii="Times New Roman" w:hAnsi="Times New Roman" w:eastAsia="仿宋" w:cs="Times New Roman"/>
          <w:bCs/>
          <w:color w:val="auto"/>
          <w:sz w:val="24"/>
          <w:szCs w:val="24"/>
          <w:highlight w:val="none"/>
        </w:rPr>
      </w:pPr>
    </w:p>
    <w:p w14:paraId="40679750">
      <w:pPr>
        <w:spacing w:line="360" w:lineRule="auto"/>
        <w:rPr>
          <w:rFonts w:hint="default" w:ascii="Times New Roman" w:hAnsi="Times New Roman" w:eastAsia="仿宋" w:cs="Times New Roman"/>
          <w:bCs/>
          <w:color w:val="auto"/>
          <w:sz w:val="24"/>
          <w:szCs w:val="24"/>
          <w:highlight w:val="none"/>
        </w:rPr>
      </w:pPr>
    </w:p>
    <w:p w14:paraId="0638E53F">
      <w:pPr>
        <w:spacing w:line="360" w:lineRule="auto"/>
        <w:rPr>
          <w:rFonts w:hint="default" w:ascii="Times New Roman" w:hAnsi="Times New Roman" w:eastAsia="仿宋" w:cs="Times New Roman"/>
          <w:bCs/>
          <w:color w:val="auto"/>
          <w:sz w:val="24"/>
          <w:szCs w:val="24"/>
          <w:highlight w:val="none"/>
        </w:rPr>
      </w:pPr>
    </w:p>
    <w:p w14:paraId="2D2FBC30">
      <w:pPr>
        <w:spacing w:line="360" w:lineRule="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二、技术部分</w:t>
      </w:r>
      <w:bookmarkEnd w:id="285"/>
      <w:bookmarkEnd w:id="286"/>
      <w:bookmarkEnd w:id="287"/>
    </w:p>
    <w:p w14:paraId="51317AEC">
      <w:pPr>
        <w:snapToGrid w:val="0"/>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w:t>
      </w:r>
      <w:r>
        <w:rPr>
          <w:rFonts w:hint="default" w:ascii="Times New Roman" w:hAnsi="Times New Roman" w:eastAsia="仿宋" w:cs="Times New Roman"/>
          <w:bCs/>
          <w:color w:val="auto"/>
          <w:sz w:val="24"/>
          <w:szCs w:val="24"/>
          <w:highlight w:val="none"/>
          <w:lang w:eastAsia="zh-CN"/>
        </w:rPr>
        <w:t>技术</w:t>
      </w:r>
      <w:r>
        <w:rPr>
          <w:rFonts w:hint="default" w:ascii="Times New Roman" w:hAnsi="Times New Roman" w:eastAsia="仿宋" w:cs="Times New Roman"/>
          <w:bCs/>
          <w:color w:val="auto"/>
          <w:sz w:val="24"/>
          <w:szCs w:val="24"/>
          <w:highlight w:val="none"/>
        </w:rPr>
        <w:t>方案（按照评审标准技术部分内容编写，格式自拟）</w:t>
      </w:r>
    </w:p>
    <w:p w14:paraId="348A0493">
      <w:pPr>
        <w:pStyle w:val="29"/>
        <w:rPr>
          <w:rFonts w:hint="default" w:ascii="Times New Roman" w:hAnsi="Times New Roman" w:eastAsia="仿宋" w:cs="Times New Roman"/>
          <w:bCs/>
          <w:color w:val="auto"/>
          <w:szCs w:val="28"/>
          <w:highlight w:val="none"/>
        </w:rPr>
      </w:pPr>
    </w:p>
    <w:p w14:paraId="55B6BBE3">
      <w:pPr>
        <w:pStyle w:val="29"/>
        <w:rPr>
          <w:rFonts w:hint="default" w:ascii="Times New Roman" w:hAnsi="Times New Roman" w:eastAsia="仿宋" w:cs="Times New Roman"/>
          <w:bCs/>
          <w:color w:val="auto"/>
          <w:szCs w:val="28"/>
          <w:highlight w:val="none"/>
        </w:rPr>
      </w:pPr>
    </w:p>
    <w:p w14:paraId="63B54263">
      <w:pPr>
        <w:pStyle w:val="29"/>
        <w:rPr>
          <w:rFonts w:hint="default" w:ascii="Times New Roman" w:hAnsi="Times New Roman" w:eastAsia="仿宋" w:cs="Times New Roman"/>
          <w:bCs/>
          <w:color w:val="auto"/>
          <w:szCs w:val="28"/>
          <w:highlight w:val="none"/>
        </w:rPr>
      </w:pPr>
    </w:p>
    <w:p w14:paraId="3A437035">
      <w:pPr>
        <w:snapToGrid w:val="0"/>
        <w:ind w:firstLine="560" w:firstLineChars="200"/>
        <w:rPr>
          <w:rFonts w:hint="default" w:ascii="Times New Roman" w:hAnsi="Times New Roman" w:eastAsia="仿宋" w:cs="Times New Roman"/>
          <w:bCs/>
          <w:color w:val="auto"/>
          <w:szCs w:val="28"/>
          <w:highlight w:val="none"/>
        </w:rPr>
      </w:pPr>
    </w:p>
    <w:p w14:paraId="5E0154C4">
      <w:pPr>
        <w:pStyle w:val="29"/>
        <w:rPr>
          <w:rFonts w:hint="default" w:ascii="Times New Roman" w:hAnsi="Times New Roman" w:cs="Times New Roman"/>
          <w:bCs/>
          <w:color w:val="auto"/>
          <w:highlight w:val="none"/>
        </w:rPr>
      </w:pPr>
    </w:p>
    <w:p w14:paraId="65BDDCB5">
      <w:pPr>
        <w:pStyle w:val="29"/>
        <w:rPr>
          <w:rFonts w:hint="default" w:ascii="Times New Roman" w:hAnsi="Times New Roman" w:eastAsia="仿宋" w:cs="Times New Roman"/>
          <w:bCs/>
          <w:color w:val="auto"/>
          <w:szCs w:val="28"/>
          <w:highlight w:val="none"/>
        </w:rPr>
      </w:pPr>
    </w:p>
    <w:p w14:paraId="700A26C9">
      <w:pP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p>
    <w:p w14:paraId="5B8ABAFD">
      <w:pPr>
        <w:spacing w:line="360" w:lineRule="auto"/>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（二）询比采购服务响应偏离表</w:t>
      </w:r>
    </w:p>
    <w:p w14:paraId="44D4BD04">
      <w:pPr>
        <w:snapToGrid w:val="0"/>
        <w:spacing w:line="360" w:lineRule="auto"/>
        <w:jc w:val="center"/>
        <w:rPr>
          <w:rFonts w:hint="default" w:ascii="Times New Roman" w:hAnsi="Times New Roman" w:eastAsia="仿宋" w:cs="Times New Roman"/>
          <w:bCs/>
          <w:color w:val="auto"/>
          <w:szCs w:val="28"/>
          <w:highlight w:val="none"/>
        </w:rPr>
      </w:pPr>
      <w:r>
        <w:rPr>
          <w:rFonts w:hint="default" w:ascii="Times New Roman" w:hAnsi="Times New Roman" w:eastAsia="仿宋" w:cs="Times New Roman"/>
          <w:bCs/>
          <w:color w:val="auto"/>
          <w:szCs w:val="28"/>
          <w:highlight w:val="none"/>
        </w:rPr>
        <w:t>询比采购服务响应偏离表</w:t>
      </w:r>
    </w:p>
    <w:p w14:paraId="22DEDFE1">
      <w:pPr>
        <w:snapToGrid w:val="0"/>
        <w:spacing w:line="360" w:lineRule="auto"/>
        <w:ind w:firstLine="465"/>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对于询比采购文件的采购服务要求，如有任何偏离请如实填写下表：</w:t>
      </w:r>
    </w:p>
    <w:tbl>
      <w:tblPr>
        <w:tblStyle w:val="2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4C3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F1275CC">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序号</w:t>
            </w:r>
          </w:p>
        </w:tc>
        <w:tc>
          <w:tcPr>
            <w:tcW w:w="3179" w:type="dxa"/>
            <w:vAlign w:val="center"/>
          </w:tcPr>
          <w:p w14:paraId="28281CC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询比采购项目需求</w:t>
            </w:r>
          </w:p>
        </w:tc>
        <w:tc>
          <w:tcPr>
            <w:tcW w:w="2434" w:type="dxa"/>
            <w:vAlign w:val="center"/>
          </w:tcPr>
          <w:p w14:paraId="0151837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响应情况</w:t>
            </w:r>
          </w:p>
        </w:tc>
        <w:tc>
          <w:tcPr>
            <w:tcW w:w="2355" w:type="dxa"/>
            <w:vAlign w:val="center"/>
          </w:tcPr>
          <w:p w14:paraId="15158A0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差异说明</w:t>
            </w:r>
          </w:p>
        </w:tc>
      </w:tr>
      <w:tr w14:paraId="404E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96B49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492BEA8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6CDBBFA2">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13ACED85">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5394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A00AFE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3DCCD2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45F9F05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4660DEF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1F5A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45724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72A50BE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032C65B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1EF2D65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2888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5AAF46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6456788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73D82EE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7F2C3F5D">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06BA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92C48E8">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74A27DA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25F74CC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09E1205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70FB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6102F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4F8F55F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2583B5D0">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2499A72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bl>
    <w:p w14:paraId="1BBA3159">
      <w:pPr>
        <w:snapToGrid w:val="0"/>
        <w:spacing w:line="360" w:lineRule="auto"/>
        <w:ind w:firstLine="465"/>
        <w:rPr>
          <w:rFonts w:hint="default" w:ascii="Times New Roman" w:hAnsi="Times New Roman" w:eastAsia="仿宋" w:cs="Times New Roman"/>
          <w:bCs/>
          <w:color w:val="auto"/>
          <w:sz w:val="24"/>
          <w:szCs w:val="24"/>
          <w:highlight w:val="none"/>
        </w:rPr>
      </w:pPr>
    </w:p>
    <w:p w14:paraId="13D0BBD9">
      <w:pPr>
        <w:spacing w:line="500" w:lineRule="exact"/>
        <w:ind w:firstLine="600" w:firstLineChars="2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                                   法定代表人授权代表/</w:t>
      </w:r>
      <w:r>
        <w:rPr>
          <w:rFonts w:hint="default" w:ascii="Times New Roman" w:hAnsi="Times New Roman" w:eastAsia="仿宋" w:cs="Times New Roman"/>
          <w:bCs/>
          <w:color w:val="auto"/>
          <w:sz w:val="24"/>
          <w:szCs w:val="24"/>
          <w:highlight w:val="none"/>
        </w:rPr>
        <w:t>自然人</w:t>
      </w:r>
      <w:r>
        <w:rPr>
          <w:rFonts w:hint="default" w:ascii="Times New Roman" w:hAnsi="Times New Roman" w:eastAsia="仿宋" w:cs="Times New Roman"/>
          <w:bCs/>
          <w:color w:val="auto"/>
          <w:sz w:val="24"/>
          <w:szCs w:val="28"/>
          <w:highlight w:val="none"/>
        </w:rPr>
        <w:t>：</w:t>
      </w:r>
    </w:p>
    <w:p w14:paraId="4F276575">
      <w:pPr>
        <w:spacing w:line="500" w:lineRule="exact"/>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w:t>
      </w:r>
    </w:p>
    <w:p w14:paraId="3830742A">
      <w:pPr>
        <w:spacing w:line="500" w:lineRule="exact"/>
        <w:ind w:firstLine="360" w:firstLineChars="1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（供应商公章）                                 （签字或盖章）</w:t>
      </w:r>
    </w:p>
    <w:p w14:paraId="02304EF6">
      <w:pPr>
        <w:tabs>
          <w:tab w:val="left" w:pos="6300"/>
        </w:tabs>
        <w:snapToGrid w:val="0"/>
        <w:spacing w:line="500" w:lineRule="exact"/>
        <w:ind w:firstLine="57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年     月     日</w:t>
      </w:r>
    </w:p>
    <w:p w14:paraId="167EC967">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注：</w:t>
      </w:r>
    </w:p>
    <w:p w14:paraId="18B9D0FB">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bookmarkStart w:id="288" w:name="_Toc342913421"/>
      <w:bookmarkStart w:id="289" w:name="_Toc313888362"/>
      <w:bookmarkStart w:id="290" w:name="_Toc313008358"/>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sz w:val="24"/>
          <w:highlight w:val="none"/>
        </w:rPr>
        <w:t>.本表即为对本项目“第二篇 询比采购服务需求”中所列技术要求进行比较和响应；</w:t>
      </w:r>
    </w:p>
    <w:p w14:paraId="75D9FDB3">
      <w:pPr>
        <w:tabs>
          <w:tab w:val="left" w:pos="6300"/>
        </w:tabs>
        <w:snapToGrid w:val="0"/>
        <w:spacing w:line="500" w:lineRule="exact"/>
        <w:ind w:firstLine="480" w:firstLineChars="200"/>
        <w:rPr>
          <w:rFonts w:hint="default" w:ascii="Times New Roman" w:hAnsi="Times New Roman" w:eastAsia="仿宋" w:cs="Times New Roman"/>
          <w:bCs/>
          <w:color w:val="auto"/>
          <w:sz w:val="24"/>
          <w:szCs w:val="22"/>
          <w:highlight w:val="none"/>
        </w:rPr>
      </w:pPr>
      <w:r>
        <w:rPr>
          <w:rFonts w:hint="default" w:ascii="Times New Roman" w:hAnsi="Times New Roman" w:eastAsia="仿宋" w:cs="Times New Roman"/>
          <w:bCs/>
          <w:color w:val="auto"/>
          <w:sz w:val="24"/>
          <w:highlight w:val="none"/>
        </w:rPr>
        <w:t>2.该表必须按照询比采购要求逐条如实填写，根据响应情况在“差异说明”项填写正</w:t>
      </w:r>
      <w:r>
        <w:rPr>
          <w:rFonts w:hint="default" w:ascii="Times New Roman" w:hAnsi="Times New Roman" w:eastAsia="仿宋" w:cs="Times New Roman"/>
          <w:bCs/>
          <w:color w:val="auto"/>
          <w:sz w:val="24"/>
          <w:szCs w:val="22"/>
          <w:highlight w:val="none"/>
        </w:rPr>
        <w:t>偏离或负偏离及原因，</w:t>
      </w:r>
      <w:r>
        <w:rPr>
          <w:rFonts w:hint="default" w:ascii="Times New Roman" w:hAnsi="Times New Roman" w:eastAsia="仿宋" w:cs="Times New Roman"/>
          <w:b/>
          <w:color w:val="auto"/>
          <w:sz w:val="24"/>
          <w:szCs w:val="22"/>
          <w:highlight w:val="none"/>
        </w:rPr>
        <w:t>完全符合的填写“无差异”</w:t>
      </w:r>
      <w:r>
        <w:rPr>
          <w:rFonts w:hint="default" w:ascii="Times New Roman" w:hAnsi="Times New Roman" w:eastAsia="仿宋" w:cs="Times New Roman"/>
          <w:bCs/>
          <w:color w:val="auto"/>
          <w:sz w:val="24"/>
          <w:szCs w:val="22"/>
          <w:highlight w:val="none"/>
        </w:rPr>
        <w:t>；</w:t>
      </w:r>
    </w:p>
    <w:p w14:paraId="0CD4D5FC">
      <w:pPr>
        <w:tabs>
          <w:tab w:val="left" w:pos="6300"/>
        </w:tabs>
        <w:snapToGrid w:val="0"/>
        <w:spacing w:line="500" w:lineRule="exact"/>
        <w:ind w:firstLine="480" w:firstLineChars="200"/>
        <w:rPr>
          <w:rFonts w:hint="default" w:ascii="Times New Roman" w:hAnsi="Times New Roman" w:eastAsia="仿宋" w:cs="Times New Roman"/>
          <w:bCs/>
          <w:color w:val="auto"/>
          <w:sz w:val="24"/>
          <w:szCs w:val="22"/>
          <w:highlight w:val="none"/>
        </w:rPr>
        <w:sectPr>
          <w:headerReference r:id="rId14" w:type="default"/>
          <w:footerReference r:id="rId15" w:type="default"/>
          <w:pgSz w:w="11907" w:h="16840"/>
          <w:pgMar w:top="1134" w:right="1191" w:bottom="1134" w:left="1304" w:header="624" w:footer="992" w:gutter="0"/>
          <w:pgNumType w:fmt="numberInDash"/>
          <w:cols w:space="720" w:num="1"/>
          <w:docGrid w:linePitch="380" w:charSpace="-5735"/>
        </w:sectPr>
      </w:pPr>
      <w:r>
        <w:rPr>
          <w:rFonts w:hint="default" w:ascii="Times New Roman" w:hAnsi="Times New Roman" w:eastAsia="仿宋" w:cs="Times New Roman"/>
          <w:bCs/>
          <w:color w:val="auto"/>
          <w:sz w:val="24"/>
          <w:szCs w:val="22"/>
          <w:highlight w:val="none"/>
        </w:rPr>
        <w:t>3.该表可扩展，并逐页签字或盖章。</w:t>
      </w:r>
    </w:p>
    <w:p w14:paraId="038F4133">
      <w:pP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三、商务部分</w:t>
      </w:r>
      <w:bookmarkEnd w:id="288"/>
      <w:bookmarkEnd w:id="289"/>
      <w:bookmarkEnd w:id="290"/>
    </w:p>
    <w:p w14:paraId="19370831">
      <w:pPr>
        <w:pStyle w:val="2"/>
        <w:rPr>
          <w:rFonts w:hint="default" w:ascii="Times New Roman" w:hAnsi="Times New Roman" w:cs="Times New Roman"/>
          <w:color w:val="auto"/>
          <w:highlight w:val="none"/>
        </w:rPr>
      </w:pPr>
    </w:p>
    <w:p w14:paraId="43FB5D80">
      <w:pPr>
        <w:spacing w:line="360" w:lineRule="auto"/>
        <w:ind w:firstLine="480" w:firstLineChars="200"/>
        <w:rPr>
          <w:rFonts w:hint="default" w:ascii="Times New Roman" w:hAnsi="Times New Roman" w:eastAsia="仿宋" w:cs="Times New Roman"/>
          <w:bCs/>
          <w:color w:val="auto"/>
          <w:sz w:val="24"/>
          <w:szCs w:val="24"/>
          <w:highlight w:val="none"/>
        </w:rPr>
      </w:pPr>
      <w:bookmarkStart w:id="291" w:name="_Toc283382459"/>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eastAsia="zh-CN"/>
        </w:rPr>
        <w:t>一</w:t>
      </w:r>
      <w:r>
        <w:rPr>
          <w:rFonts w:hint="default" w:ascii="Times New Roman" w:hAnsi="Times New Roman" w:eastAsia="仿宋" w:cs="Times New Roman"/>
          <w:bCs/>
          <w:color w:val="auto"/>
          <w:sz w:val="24"/>
          <w:szCs w:val="24"/>
          <w:highlight w:val="none"/>
        </w:rPr>
        <w:t>）询比采购商务响应偏离表</w:t>
      </w:r>
    </w:p>
    <w:p w14:paraId="74624387">
      <w:pPr>
        <w:snapToGrid w:val="0"/>
        <w:spacing w:line="360" w:lineRule="auto"/>
        <w:jc w:val="center"/>
        <w:rPr>
          <w:rFonts w:hint="default" w:ascii="Times New Roman" w:hAnsi="Times New Roman" w:eastAsia="仿宋" w:cs="Times New Roman"/>
          <w:bCs/>
          <w:color w:val="auto"/>
          <w:szCs w:val="28"/>
          <w:highlight w:val="none"/>
        </w:rPr>
      </w:pPr>
      <w:r>
        <w:rPr>
          <w:rFonts w:hint="default" w:ascii="Times New Roman" w:hAnsi="Times New Roman" w:eastAsia="仿宋" w:cs="Times New Roman"/>
          <w:bCs/>
          <w:color w:val="auto"/>
          <w:szCs w:val="28"/>
          <w:highlight w:val="none"/>
        </w:rPr>
        <w:t>询比采购商务响应偏离表</w:t>
      </w:r>
    </w:p>
    <w:p w14:paraId="50B4832C">
      <w:pPr>
        <w:snapToGrid w:val="0"/>
        <w:spacing w:line="360" w:lineRule="auto"/>
        <w:ind w:firstLine="465"/>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对于询比采购文件的商务要求，如有任何偏离请如实填写下表：</w:t>
      </w:r>
    </w:p>
    <w:tbl>
      <w:tblPr>
        <w:tblStyle w:val="24"/>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ED64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B3DC5D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序号</w:t>
            </w:r>
          </w:p>
        </w:tc>
        <w:tc>
          <w:tcPr>
            <w:tcW w:w="3179" w:type="dxa"/>
            <w:vAlign w:val="center"/>
          </w:tcPr>
          <w:p w14:paraId="63FC0465">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询比采购项目需求</w:t>
            </w:r>
          </w:p>
        </w:tc>
        <w:tc>
          <w:tcPr>
            <w:tcW w:w="2434" w:type="dxa"/>
            <w:vAlign w:val="center"/>
          </w:tcPr>
          <w:p w14:paraId="20C9D53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响应情况</w:t>
            </w:r>
          </w:p>
        </w:tc>
        <w:tc>
          <w:tcPr>
            <w:tcW w:w="2355" w:type="dxa"/>
            <w:vAlign w:val="center"/>
          </w:tcPr>
          <w:p w14:paraId="4E179811">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r>
              <w:rPr>
                <w:rFonts w:hint="default" w:ascii="Times New Roman" w:hAnsi="Times New Roman" w:eastAsia="仿宋" w:cs="Times New Roman"/>
                <w:bCs/>
                <w:color w:val="auto"/>
                <w:sz w:val="21"/>
                <w:szCs w:val="24"/>
                <w:highlight w:val="none"/>
              </w:rPr>
              <w:t>差异说明</w:t>
            </w:r>
          </w:p>
        </w:tc>
      </w:tr>
      <w:tr w14:paraId="346D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B5A6156">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393881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7769696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2A83663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7E63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F0709EC">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3FBF05B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40F17CDA">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3ADF4138">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865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395B8E">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361F928">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6DF87CA3">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56D39144">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60A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C1B48BC">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3BE146E5">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6CEE153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245BCA5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5442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313CCD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0A2CB09B">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7E25A59F">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615E32D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r w14:paraId="46F2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D005B6">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3179" w:type="dxa"/>
            <w:vAlign w:val="center"/>
          </w:tcPr>
          <w:p w14:paraId="645F6C89">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434" w:type="dxa"/>
            <w:vAlign w:val="center"/>
          </w:tcPr>
          <w:p w14:paraId="586031FD">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c>
          <w:tcPr>
            <w:tcW w:w="2355" w:type="dxa"/>
            <w:vAlign w:val="center"/>
          </w:tcPr>
          <w:p w14:paraId="55912FC7">
            <w:pPr>
              <w:tabs>
                <w:tab w:val="left" w:pos="6300"/>
              </w:tabs>
              <w:snapToGrid w:val="0"/>
              <w:spacing w:line="360" w:lineRule="auto"/>
              <w:jc w:val="center"/>
              <w:rPr>
                <w:rFonts w:hint="default" w:ascii="Times New Roman" w:hAnsi="Times New Roman" w:eastAsia="仿宋" w:cs="Times New Roman"/>
                <w:bCs/>
                <w:color w:val="auto"/>
                <w:sz w:val="21"/>
                <w:szCs w:val="24"/>
                <w:highlight w:val="none"/>
              </w:rPr>
            </w:pPr>
          </w:p>
        </w:tc>
      </w:tr>
    </w:tbl>
    <w:p w14:paraId="0AEF74D5">
      <w:pPr>
        <w:snapToGrid w:val="0"/>
        <w:spacing w:line="360" w:lineRule="auto"/>
        <w:ind w:firstLine="465"/>
        <w:rPr>
          <w:rFonts w:hint="default" w:ascii="Times New Roman" w:hAnsi="Times New Roman" w:eastAsia="仿宋" w:cs="Times New Roman"/>
          <w:bCs/>
          <w:color w:val="auto"/>
          <w:sz w:val="24"/>
          <w:szCs w:val="24"/>
          <w:highlight w:val="none"/>
        </w:rPr>
      </w:pPr>
    </w:p>
    <w:p w14:paraId="140FA615">
      <w:pPr>
        <w:spacing w:line="500" w:lineRule="exact"/>
        <w:ind w:firstLine="600" w:firstLineChars="2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                                     法定代表人授权代表/</w:t>
      </w:r>
      <w:r>
        <w:rPr>
          <w:rFonts w:hint="default" w:ascii="Times New Roman" w:hAnsi="Times New Roman" w:eastAsia="仿宋" w:cs="Times New Roman"/>
          <w:bCs/>
          <w:color w:val="auto"/>
          <w:sz w:val="24"/>
          <w:szCs w:val="24"/>
          <w:highlight w:val="none"/>
        </w:rPr>
        <w:t>自然人</w:t>
      </w:r>
      <w:r>
        <w:rPr>
          <w:rFonts w:hint="default" w:ascii="Times New Roman" w:hAnsi="Times New Roman" w:eastAsia="仿宋" w:cs="Times New Roman"/>
          <w:bCs/>
          <w:color w:val="auto"/>
          <w:sz w:val="24"/>
          <w:szCs w:val="28"/>
          <w:highlight w:val="none"/>
        </w:rPr>
        <w:t>：</w:t>
      </w:r>
    </w:p>
    <w:p w14:paraId="6E385E45">
      <w:pPr>
        <w:spacing w:line="500" w:lineRule="exact"/>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w:t>
      </w:r>
    </w:p>
    <w:p w14:paraId="4261E762">
      <w:pPr>
        <w:spacing w:line="500" w:lineRule="exact"/>
        <w:ind w:firstLine="360" w:firstLineChars="150"/>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（供应商公章）                                 （签字或盖章）</w:t>
      </w:r>
    </w:p>
    <w:p w14:paraId="294A1F65">
      <w:pPr>
        <w:tabs>
          <w:tab w:val="left" w:pos="6300"/>
        </w:tabs>
        <w:snapToGrid w:val="0"/>
        <w:spacing w:line="500" w:lineRule="exact"/>
        <w:ind w:firstLine="57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8"/>
          <w:highlight w:val="none"/>
        </w:rPr>
        <w:t xml:space="preserve">                                            年     月     日</w:t>
      </w:r>
    </w:p>
    <w:p w14:paraId="15EDF230">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注：</w:t>
      </w:r>
    </w:p>
    <w:p w14:paraId="5AB0987B">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sz w:val="24"/>
          <w:highlight w:val="none"/>
        </w:rPr>
        <w:t>.本表即为对本项目“第三篇 询比采购商务、技术需求”中所列服务要求进行比较和响应；</w:t>
      </w:r>
    </w:p>
    <w:p w14:paraId="7FD0D097">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2.该表必须按照询比采购要求逐条如实填写，根据响应情况在“差异说明”项填写正偏离或负偏离及原因，</w:t>
      </w:r>
      <w:r>
        <w:rPr>
          <w:rFonts w:hint="default" w:ascii="Times New Roman" w:hAnsi="Times New Roman" w:eastAsia="仿宋" w:cs="Times New Roman"/>
          <w:b/>
          <w:color w:val="auto"/>
          <w:sz w:val="24"/>
          <w:highlight w:val="none"/>
        </w:rPr>
        <w:t>完全符合的填写“无差异”</w:t>
      </w:r>
      <w:r>
        <w:rPr>
          <w:rFonts w:hint="default" w:ascii="Times New Roman" w:hAnsi="Times New Roman" w:eastAsia="仿宋" w:cs="Times New Roman"/>
          <w:bCs/>
          <w:color w:val="auto"/>
          <w:sz w:val="24"/>
          <w:highlight w:val="none"/>
        </w:rPr>
        <w:t>；</w:t>
      </w:r>
    </w:p>
    <w:p w14:paraId="019A3679">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3.该表可扩展</w:t>
      </w:r>
      <w:r>
        <w:rPr>
          <w:rFonts w:hint="default" w:ascii="Times New Roman" w:hAnsi="Times New Roman" w:eastAsia="仿宋" w:cs="Times New Roman"/>
          <w:bCs/>
          <w:color w:val="auto"/>
          <w:sz w:val="24"/>
          <w:szCs w:val="28"/>
          <w:highlight w:val="none"/>
        </w:rPr>
        <w:t>，并逐页签字或盖章</w:t>
      </w:r>
      <w:r>
        <w:rPr>
          <w:rFonts w:hint="default" w:ascii="Times New Roman" w:hAnsi="Times New Roman" w:eastAsia="仿宋" w:cs="Times New Roman"/>
          <w:bCs/>
          <w:color w:val="auto"/>
          <w:sz w:val="24"/>
          <w:highlight w:val="none"/>
        </w:rPr>
        <w:t>。</w:t>
      </w:r>
    </w:p>
    <w:p w14:paraId="2315F24E">
      <w:pPr>
        <w:snapToGrid w:val="0"/>
        <w:spacing w:line="500" w:lineRule="exact"/>
        <w:ind w:firstLine="48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highlight w:val="none"/>
        </w:rPr>
        <w:br w:type="page"/>
      </w:r>
    </w:p>
    <w:bookmarkEnd w:id="291"/>
    <w:p w14:paraId="6620CBC5">
      <w:pPr>
        <w:spacing w:line="360" w:lineRule="auto"/>
        <w:rPr>
          <w:rFonts w:hint="default" w:ascii="Times New Roman" w:hAnsi="Times New Roman" w:eastAsia="仿宋" w:cs="Times New Roman"/>
          <w:bCs/>
          <w:color w:val="auto"/>
          <w:sz w:val="24"/>
          <w:szCs w:val="24"/>
          <w:highlight w:val="none"/>
        </w:rPr>
      </w:pPr>
      <w:bookmarkStart w:id="292" w:name="_Toc313008359"/>
      <w:bookmarkStart w:id="293" w:name="_Toc313888363"/>
      <w:bookmarkStart w:id="294" w:name="_Toc342913422"/>
      <w:r>
        <w:rPr>
          <w:rFonts w:hint="default" w:ascii="Times New Roman" w:hAnsi="Times New Roman" w:eastAsia="仿宋" w:cs="Times New Roman"/>
          <w:bCs/>
          <w:color w:val="auto"/>
          <w:sz w:val="24"/>
          <w:szCs w:val="24"/>
          <w:highlight w:val="none"/>
          <w:lang w:eastAsia="zh-CN"/>
        </w:rPr>
        <w:t>四</w:t>
      </w:r>
      <w:r>
        <w:rPr>
          <w:rFonts w:hint="default" w:ascii="Times New Roman" w:hAnsi="Times New Roman" w:eastAsia="仿宋" w:cs="Times New Roman"/>
          <w:bCs/>
          <w:color w:val="auto"/>
          <w:sz w:val="24"/>
          <w:szCs w:val="24"/>
          <w:highlight w:val="none"/>
        </w:rPr>
        <w:t>、资格条件</w:t>
      </w:r>
      <w:bookmarkEnd w:id="292"/>
      <w:bookmarkEnd w:id="293"/>
      <w:bookmarkEnd w:id="294"/>
    </w:p>
    <w:p w14:paraId="0F1BA30F">
      <w:pPr>
        <w:tabs>
          <w:tab w:val="left" w:pos="6300"/>
        </w:tabs>
        <w:snapToGrid w:val="0"/>
        <w:spacing w:line="500" w:lineRule="exact"/>
        <w:ind w:firstLine="57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（一）营业执照（副本）</w:t>
      </w:r>
    </w:p>
    <w:p w14:paraId="1ADEB704">
      <w:pPr>
        <w:tabs>
          <w:tab w:val="left" w:pos="6300"/>
        </w:tabs>
        <w:snapToGrid w:val="0"/>
        <w:spacing w:line="500" w:lineRule="exact"/>
        <w:ind w:firstLine="570"/>
        <w:rPr>
          <w:rFonts w:hint="default" w:ascii="Times New Roman" w:hAnsi="Times New Roman" w:eastAsia="仿宋" w:cs="Times New Roman"/>
          <w:bCs/>
          <w:color w:val="auto"/>
          <w:sz w:val="24"/>
          <w:szCs w:val="24"/>
          <w:highlight w:val="none"/>
        </w:rPr>
      </w:pPr>
    </w:p>
    <w:p w14:paraId="3BA1DBF2">
      <w:pPr>
        <w:tabs>
          <w:tab w:val="left" w:pos="6300"/>
        </w:tabs>
        <w:snapToGrid w:val="0"/>
        <w:spacing w:line="500" w:lineRule="exact"/>
        <w:ind w:firstLine="570"/>
        <w:rPr>
          <w:rFonts w:hint="default" w:ascii="Times New Roman" w:hAnsi="Times New Roman" w:eastAsia="仿宋" w:cs="Times New Roman"/>
          <w:bCs/>
          <w:color w:val="auto"/>
          <w:highlight w:val="none"/>
        </w:rPr>
      </w:pPr>
    </w:p>
    <w:p w14:paraId="7114576D">
      <w:pPr>
        <w:tabs>
          <w:tab w:val="left" w:pos="6300"/>
        </w:tabs>
        <w:snapToGrid w:val="0"/>
        <w:spacing w:line="500" w:lineRule="exact"/>
        <w:ind w:firstLine="570"/>
        <w:rPr>
          <w:rFonts w:hint="default" w:ascii="Times New Roman" w:hAnsi="Times New Roman" w:eastAsia="仿宋" w:cs="Times New Roman"/>
          <w:bCs/>
          <w:color w:val="auto"/>
          <w:highlight w:val="none"/>
        </w:rPr>
      </w:pPr>
    </w:p>
    <w:p w14:paraId="2FF4A686">
      <w:pPr>
        <w:widowControl/>
        <w:spacing w:before="240" w:beforeLines="100"/>
        <w:ind w:firstLine="560" w:firstLineChars="200"/>
        <w:jc w:val="center"/>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br w:type="page"/>
      </w:r>
      <w:r>
        <w:rPr>
          <w:rFonts w:hint="default" w:ascii="Times New Roman" w:hAnsi="Times New Roman" w:eastAsia="仿宋" w:cs="Times New Roman"/>
          <w:bCs/>
          <w:color w:val="auto"/>
          <w:sz w:val="24"/>
          <w:szCs w:val="24"/>
          <w:highlight w:val="none"/>
        </w:rPr>
        <w:t>（二）法定代表人/自然人</w:t>
      </w:r>
      <w:r>
        <w:rPr>
          <w:rFonts w:hint="default" w:ascii="Times New Roman" w:hAnsi="Times New Roman" w:eastAsia="仿宋" w:cs="Times New Roman"/>
          <w:bCs/>
          <w:color w:val="auto"/>
          <w:sz w:val="24"/>
          <w:szCs w:val="28"/>
          <w:highlight w:val="none"/>
        </w:rPr>
        <w:t>：</w:t>
      </w:r>
      <w:r>
        <w:rPr>
          <w:rFonts w:hint="default" w:ascii="Times New Roman" w:hAnsi="Times New Roman" w:eastAsia="仿宋" w:cs="Times New Roman"/>
          <w:bCs/>
          <w:color w:val="auto"/>
          <w:sz w:val="24"/>
          <w:szCs w:val="24"/>
          <w:highlight w:val="none"/>
        </w:rPr>
        <w:t>身份证明书（格式）</w:t>
      </w:r>
    </w:p>
    <w:p w14:paraId="0B67BA50">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422288C1">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p>
    <w:p w14:paraId="44E23870">
      <w:pPr>
        <w:tabs>
          <w:tab w:val="left" w:pos="6300"/>
        </w:tabs>
        <w:snapToGrid w:val="0"/>
        <w:spacing w:line="500" w:lineRule="exact"/>
        <w:ind w:firstLine="480"/>
        <w:rPr>
          <w:rFonts w:hint="eastAsia" w:ascii="仿宋" w:hAnsi="仿宋" w:eastAsia="仿宋" w:cs="仿宋"/>
          <w:sz w:val="24"/>
          <w:szCs w:val="24"/>
        </w:rPr>
      </w:pPr>
    </w:p>
    <w:p w14:paraId="57FE47BC">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31C66AB2">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（法定代表人姓名）在</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（供应商名称）任</w:t>
      </w:r>
      <w:r>
        <w:rPr>
          <w:rFonts w:hint="eastAsia" w:ascii="仿宋" w:hAnsi="仿宋" w:eastAsia="仿宋" w:cs="仿宋"/>
          <w:sz w:val="24"/>
          <w:szCs w:val="24"/>
          <w:u w:val="single"/>
        </w:rPr>
        <w:t xml:space="preserve">    </w:t>
      </w:r>
      <w:r>
        <w:rPr>
          <w:rFonts w:hint="eastAsia" w:ascii="仿宋" w:hAnsi="仿宋" w:eastAsia="仿宋" w:cs="仿宋"/>
          <w:sz w:val="24"/>
          <w:szCs w:val="24"/>
        </w:rPr>
        <w:t>（职务名称）职务，是（供应商名称）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的法定代表人。</w:t>
      </w:r>
    </w:p>
    <w:p w14:paraId="5D18225F">
      <w:pPr>
        <w:tabs>
          <w:tab w:val="left" w:pos="6300"/>
        </w:tabs>
        <w:snapToGrid w:val="0"/>
        <w:spacing w:line="500" w:lineRule="exact"/>
        <w:ind w:firstLine="480"/>
        <w:rPr>
          <w:rFonts w:hint="eastAsia" w:ascii="仿宋" w:hAnsi="仿宋" w:eastAsia="仿宋" w:cs="仿宋"/>
          <w:sz w:val="24"/>
          <w:szCs w:val="24"/>
        </w:rPr>
      </w:pPr>
    </w:p>
    <w:p w14:paraId="6A9FC074">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特此证明。</w:t>
      </w:r>
    </w:p>
    <w:p w14:paraId="4C309CDF">
      <w:pPr>
        <w:tabs>
          <w:tab w:val="left" w:pos="6300"/>
        </w:tabs>
        <w:snapToGrid w:val="0"/>
        <w:spacing w:line="500" w:lineRule="exact"/>
        <w:ind w:firstLine="480"/>
        <w:rPr>
          <w:rFonts w:hint="eastAsia" w:ascii="仿宋" w:hAnsi="仿宋" w:eastAsia="仿宋" w:cs="仿宋"/>
          <w:sz w:val="24"/>
          <w:szCs w:val="24"/>
        </w:rPr>
      </w:pPr>
    </w:p>
    <w:p w14:paraId="3D128443">
      <w:pPr>
        <w:tabs>
          <w:tab w:val="left" w:pos="6300"/>
        </w:tabs>
        <w:snapToGrid w:val="0"/>
        <w:spacing w:line="500" w:lineRule="exact"/>
        <w:ind w:firstLine="480"/>
        <w:rPr>
          <w:rFonts w:hint="eastAsia" w:ascii="仿宋" w:hAnsi="仿宋" w:eastAsia="仿宋" w:cs="仿宋"/>
          <w:sz w:val="24"/>
          <w:szCs w:val="24"/>
        </w:rPr>
      </w:pPr>
    </w:p>
    <w:p w14:paraId="39218C3E">
      <w:pPr>
        <w:tabs>
          <w:tab w:val="left" w:pos="6300"/>
        </w:tabs>
        <w:snapToGrid w:val="0"/>
        <w:spacing w:line="500" w:lineRule="exact"/>
        <w:ind w:firstLine="480"/>
        <w:rPr>
          <w:rFonts w:hint="eastAsia" w:ascii="仿宋" w:hAnsi="仿宋" w:eastAsia="仿宋" w:cs="仿宋"/>
          <w:sz w:val="24"/>
          <w:szCs w:val="24"/>
        </w:rPr>
      </w:pPr>
    </w:p>
    <w:p w14:paraId="3D33F843">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                                             （供应商公章）</w:t>
      </w:r>
    </w:p>
    <w:p w14:paraId="1F563BE0">
      <w:pPr>
        <w:tabs>
          <w:tab w:val="left" w:pos="6300"/>
        </w:tabs>
        <w:snapToGrid w:val="0"/>
        <w:spacing w:line="500" w:lineRule="exact"/>
        <w:ind w:firstLine="480"/>
        <w:rPr>
          <w:rFonts w:hint="eastAsia" w:ascii="仿宋" w:hAnsi="仿宋" w:eastAsia="仿宋" w:cs="仿宋"/>
          <w:sz w:val="24"/>
          <w:szCs w:val="24"/>
        </w:rPr>
      </w:pPr>
    </w:p>
    <w:p w14:paraId="0DEC2A5F">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 xml:space="preserve">                                             年   月   日</w:t>
      </w:r>
    </w:p>
    <w:p w14:paraId="39E24789">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法定代表人电话：XXXXXXX      电子邮箱：XXXXXX@XXXXX（若授权他人办理并签署响应文件的可不填写法定代表人电话和电子邮箱）</w:t>
      </w:r>
    </w:p>
    <w:p w14:paraId="02DB6C08">
      <w:pPr>
        <w:tabs>
          <w:tab w:val="left" w:pos="6300"/>
        </w:tabs>
        <w:snapToGrid w:val="0"/>
        <w:spacing w:line="500" w:lineRule="exact"/>
        <w:ind w:firstLine="480"/>
        <w:rPr>
          <w:rFonts w:hint="eastAsia" w:ascii="仿宋" w:hAnsi="仿宋" w:eastAsia="仿宋" w:cs="仿宋"/>
          <w:sz w:val="24"/>
          <w:szCs w:val="24"/>
        </w:rPr>
      </w:pPr>
    </w:p>
    <w:p w14:paraId="05E24FBD">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（附：法定代表人身份证正反面复印件）</w:t>
      </w:r>
    </w:p>
    <w:p w14:paraId="5C9B5EE7">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5FEDDDE4">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65BEB485">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31839A6C">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70A7AB33">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1483232E">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68D1D271">
      <w:pPr>
        <w:tabs>
          <w:tab w:val="left" w:pos="6300"/>
        </w:tabs>
        <w:snapToGrid w:val="0"/>
        <w:spacing w:line="500" w:lineRule="exact"/>
        <w:ind w:firstLine="570"/>
        <w:jc w:val="center"/>
        <w:rPr>
          <w:rFonts w:hint="default" w:ascii="Times New Roman" w:hAnsi="Times New Roman" w:eastAsia="仿宋" w:cs="Times New Roman"/>
          <w:bCs/>
          <w:color w:val="auto"/>
          <w:highlight w:val="none"/>
        </w:rPr>
      </w:pPr>
      <w:r>
        <w:rPr>
          <w:rFonts w:hint="default" w:ascii="Times New Roman" w:hAnsi="Times New Roman" w:eastAsia="仿宋" w:cs="Times New Roman"/>
          <w:bCs/>
          <w:color w:val="auto"/>
          <w:highlight w:val="none"/>
        </w:rPr>
        <w:br w:type="column"/>
      </w:r>
      <w:r>
        <w:rPr>
          <w:rFonts w:hint="default" w:ascii="Times New Roman" w:hAnsi="Times New Roman" w:eastAsia="仿宋" w:cs="Times New Roman"/>
          <w:bCs/>
          <w:color w:val="auto"/>
          <w:sz w:val="24"/>
          <w:szCs w:val="24"/>
          <w:highlight w:val="none"/>
        </w:rPr>
        <w:t>（三）法定代表人授权委托书（格式）</w:t>
      </w:r>
    </w:p>
    <w:p w14:paraId="29246EBF">
      <w:pPr>
        <w:tabs>
          <w:tab w:val="left" w:pos="6300"/>
        </w:tabs>
        <w:snapToGrid w:val="0"/>
        <w:spacing w:line="500" w:lineRule="exact"/>
        <w:ind w:firstLine="57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 xml:space="preserve">    </w:t>
      </w:r>
    </w:p>
    <w:p w14:paraId="56E54CA8">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50916495">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w:t>
      </w:r>
    </w:p>
    <w:p w14:paraId="16BC8A51">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代表我单位全权办理上述项目的竞采、签约等具体工作，并签署全部有关文件、协议及合同。</w:t>
      </w:r>
    </w:p>
    <w:p w14:paraId="38D512E5">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我单位对被授权人的签字负全部责任。</w:t>
      </w:r>
    </w:p>
    <w:p w14:paraId="4FC07D7A">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在撤消授权的书面通知以前，本授权书一直有效。被授权人在授权书有效期内签署的所有文件不因授权的撤消而失效。</w:t>
      </w:r>
    </w:p>
    <w:p w14:paraId="3D3F9C7F">
      <w:pPr>
        <w:tabs>
          <w:tab w:val="left" w:pos="6300"/>
        </w:tabs>
        <w:snapToGrid w:val="0"/>
        <w:spacing w:line="312" w:lineRule="auto"/>
        <w:ind w:firstLine="480"/>
        <w:rPr>
          <w:rFonts w:hint="eastAsia" w:ascii="仿宋" w:hAnsi="仿宋" w:eastAsia="仿宋" w:cs="仿宋"/>
          <w:sz w:val="24"/>
          <w:szCs w:val="24"/>
        </w:rPr>
      </w:pPr>
    </w:p>
    <w:p w14:paraId="1514A832">
      <w:pPr>
        <w:tabs>
          <w:tab w:val="left" w:pos="6300"/>
        </w:tabs>
        <w:snapToGrid w:val="0"/>
        <w:spacing w:line="312" w:lineRule="auto"/>
        <w:ind w:firstLine="480"/>
        <w:rPr>
          <w:rFonts w:hint="eastAsia" w:ascii="仿宋" w:hAnsi="仿宋" w:eastAsia="仿宋" w:cs="仿宋"/>
          <w:sz w:val="24"/>
          <w:szCs w:val="24"/>
        </w:rPr>
      </w:pPr>
    </w:p>
    <w:p w14:paraId="65297D26">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被授权人：                                 法定代表人：</w:t>
      </w:r>
    </w:p>
    <w:p w14:paraId="04ED6C85">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（签字或盖章）                             （签字或盖章）</w:t>
      </w:r>
    </w:p>
    <w:p w14:paraId="7E80888E">
      <w:pPr>
        <w:tabs>
          <w:tab w:val="left" w:pos="6300"/>
        </w:tabs>
        <w:snapToGrid w:val="0"/>
        <w:spacing w:line="312" w:lineRule="auto"/>
        <w:ind w:firstLine="480"/>
        <w:rPr>
          <w:rFonts w:hint="eastAsia" w:ascii="仿宋" w:hAnsi="仿宋" w:eastAsia="仿宋" w:cs="仿宋"/>
          <w:sz w:val="24"/>
          <w:szCs w:val="24"/>
        </w:rPr>
      </w:pPr>
    </w:p>
    <w:p w14:paraId="5D42F213">
      <w:pPr>
        <w:tabs>
          <w:tab w:val="left" w:pos="6300"/>
        </w:tabs>
        <w:snapToGrid w:val="0"/>
        <w:spacing w:line="500" w:lineRule="exact"/>
        <w:ind w:firstLine="480"/>
        <w:rPr>
          <w:rFonts w:hint="eastAsia" w:ascii="仿宋" w:hAnsi="仿宋" w:eastAsia="仿宋" w:cs="仿宋"/>
          <w:sz w:val="24"/>
          <w:szCs w:val="24"/>
        </w:rPr>
      </w:pPr>
      <w:r>
        <w:rPr>
          <w:rFonts w:hint="eastAsia" w:ascii="仿宋" w:hAnsi="仿宋" w:eastAsia="仿宋" w:cs="仿宋"/>
          <w:sz w:val="24"/>
          <w:szCs w:val="24"/>
        </w:rPr>
        <w:t>被授权人电话：XXXXXXX     电子邮箱：XXXXXX@XXXXX（若法定代表人办理并签署响应文件的可不填写）</w:t>
      </w:r>
    </w:p>
    <w:p w14:paraId="0D800DEC">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（附：被授权人身份证正反面复印件）</w:t>
      </w:r>
    </w:p>
    <w:p w14:paraId="6C5110F6">
      <w:pPr>
        <w:tabs>
          <w:tab w:val="left" w:pos="6300"/>
        </w:tabs>
        <w:snapToGrid w:val="0"/>
        <w:spacing w:line="312"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14:paraId="65B2417A">
      <w:pPr>
        <w:tabs>
          <w:tab w:val="left" w:pos="6300"/>
        </w:tabs>
        <w:snapToGrid w:val="0"/>
        <w:spacing w:line="312" w:lineRule="auto"/>
        <w:ind w:firstLine="480"/>
        <w:rPr>
          <w:rFonts w:hint="eastAsia" w:ascii="仿宋" w:hAnsi="仿宋" w:eastAsia="仿宋" w:cs="仿宋"/>
          <w:sz w:val="24"/>
          <w:szCs w:val="24"/>
        </w:rPr>
      </w:pPr>
    </w:p>
    <w:p w14:paraId="34ACCE5A">
      <w:pPr>
        <w:tabs>
          <w:tab w:val="left" w:pos="6300"/>
        </w:tabs>
        <w:snapToGrid w:val="0"/>
        <w:spacing w:line="312" w:lineRule="auto"/>
        <w:ind w:right="480" w:firstLine="480"/>
        <w:jc w:val="right"/>
        <w:rPr>
          <w:rFonts w:hint="eastAsia" w:ascii="仿宋" w:hAnsi="仿宋" w:eastAsia="仿宋" w:cs="仿宋"/>
          <w:sz w:val="24"/>
          <w:szCs w:val="24"/>
        </w:rPr>
      </w:pPr>
      <w:r>
        <w:rPr>
          <w:rFonts w:hint="eastAsia" w:ascii="仿宋" w:hAnsi="仿宋" w:eastAsia="仿宋" w:cs="仿宋"/>
          <w:sz w:val="24"/>
          <w:szCs w:val="24"/>
        </w:rPr>
        <w:t>（供应商公章）</w:t>
      </w:r>
    </w:p>
    <w:p w14:paraId="70D7FBA6">
      <w:pPr>
        <w:tabs>
          <w:tab w:val="left" w:pos="6300"/>
        </w:tabs>
        <w:snapToGrid w:val="0"/>
        <w:spacing w:line="312" w:lineRule="auto"/>
        <w:ind w:right="480" w:firstLine="480"/>
        <w:jc w:val="right"/>
        <w:rPr>
          <w:rFonts w:hint="eastAsia" w:ascii="仿宋" w:hAnsi="仿宋" w:eastAsia="仿宋" w:cs="仿宋"/>
          <w:sz w:val="24"/>
          <w:szCs w:val="24"/>
        </w:rPr>
      </w:pPr>
      <w:r>
        <w:rPr>
          <w:rFonts w:hint="eastAsia" w:ascii="仿宋" w:hAnsi="仿宋" w:eastAsia="仿宋" w:cs="仿宋"/>
          <w:sz w:val="24"/>
          <w:szCs w:val="24"/>
        </w:rPr>
        <w:t>年   月   日</w:t>
      </w:r>
    </w:p>
    <w:p w14:paraId="46A086B0">
      <w:pPr>
        <w:tabs>
          <w:tab w:val="left" w:pos="6300"/>
        </w:tabs>
        <w:snapToGrid w:val="0"/>
        <w:spacing w:line="500" w:lineRule="exact"/>
        <w:ind w:right="480" w:firstLine="570"/>
        <w:jc w:val="right"/>
        <w:rPr>
          <w:rFonts w:hint="default" w:ascii="Times New Roman" w:hAnsi="Times New Roman" w:eastAsia="仿宋" w:cs="Times New Roman"/>
          <w:bCs/>
          <w:color w:val="auto"/>
          <w:sz w:val="24"/>
          <w:highlight w:val="none"/>
        </w:rPr>
      </w:pPr>
    </w:p>
    <w:p w14:paraId="39297C3D">
      <w:pPr>
        <w:tabs>
          <w:tab w:val="left" w:pos="6300"/>
        </w:tabs>
        <w:snapToGrid w:val="0"/>
        <w:spacing w:line="500" w:lineRule="exact"/>
        <w:rPr>
          <w:rFonts w:hint="default" w:ascii="Times New Roman" w:hAnsi="Times New Roman" w:eastAsia="仿宋" w:cs="Times New Roman"/>
          <w:bCs/>
          <w:color w:val="auto"/>
          <w:sz w:val="24"/>
          <w:szCs w:val="24"/>
          <w:highlight w:val="none"/>
        </w:rPr>
      </w:pPr>
    </w:p>
    <w:p w14:paraId="62ABCB1E">
      <w:pPr>
        <w:tabs>
          <w:tab w:val="left" w:pos="6300"/>
        </w:tabs>
        <w:snapToGrid w:val="0"/>
        <w:spacing w:line="500" w:lineRule="exact"/>
        <w:jc w:val="center"/>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4"/>
          <w:highlight w:val="none"/>
        </w:rPr>
        <w:br w:type="page"/>
      </w:r>
      <w:r>
        <w:rPr>
          <w:rFonts w:hint="default" w:ascii="Times New Roman" w:hAnsi="Times New Roman" w:eastAsia="仿宋" w:cs="Times New Roman"/>
          <w:bCs/>
          <w:color w:val="auto"/>
          <w:sz w:val="24"/>
          <w:szCs w:val="24"/>
          <w:highlight w:val="none"/>
        </w:rPr>
        <w:t>（四）书面声明（格式）</w:t>
      </w:r>
    </w:p>
    <w:p w14:paraId="7D306154">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55E7BA12">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szCs w:val="28"/>
          <w:highlight w:val="none"/>
        </w:rPr>
        <w:t>项目名称</w:t>
      </w:r>
      <w:r>
        <w:rPr>
          <w:rFonts w:hint="default" w:ascii="Times New Roman" w:hAnsi="Times New Roman" w:eastAsia="仿宋" w:cs="Times New Roman"/>
          <w:bCs/>
          <w:color w:val="auto"/>
          <w:sz w:val="24"/>
          <w:highlight w:val="none"/>
        </w:rPr>
        <w:t>：</w:t>
      </w:r>
      <w:r>
        <w:rPr>
          <w:rFonts w:hint="default" w:ascii="Times New Roman" w:hAnsi="Times New Roman" w:eastAsia="仿宋" w:cs="Times New Roman"/>
          <w:bCs/>
          <w:color w:val="auto"/>
          <w:sz w:val="24"/>
          <w:highlight w:val="none"/>
          <w:u w:val="single"/>
        </w:rPr>
        <w:t xml:space="preserve">                                                </w:t>
      </w:r>
    </w:p>
    <w:p w14:paraId="2F915A0A">
      <w:pPr>
        <w:tabs>
          <w:tab w:val="left" w:pos="6300"/>
        </w:tabs>
        <w:snapToGrid w:val="0"/>
        <w:spacing w:line="500" w:lineRule="exact"/>
        <w:ind w:firstLine="570"/>
        <w:rPr>
          <w:rFonts w:hint="default" w:ascii="Times New Roman" w:hAnsi="Times New Roman" w:eastAsia="仿宋" w:cs="Times New Roman"/>
          <w:bCs/>
          <w:color w:val="auto"/>
          <w:sz w:val="24"/>
          <w:highlight w:val="none"/>
        </w:rPr>
      </w:pPr>
    </w:p>
    <w:p w14:paraId="4CA73D13">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致：</w:t>
      </w: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（采购人名称）：</w:t>
      </w:r>
    </w:p>
    <w:p w14:paraId="61BB725B">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u w:val="single"/>
        </w:rPr>
        <w:t xml:space="preserve">                      </w:t>
      </w:r>
      <w:r>
        <w:rPr>
          <w:rFonts w:hint="default" w:ascii="Times New Roman" w:hAnsi="Times New Roman" w:eastAsia="仿宋" w:cs="Times New Roman"/>
          <w:bCs/>
          <w:color w:val="auto"/>
          <w:sz w:val="24"/>
          <w:highlight w:val="none"/>
        </w:rPr>
        <w:t>（供应商名称）郑重声明：</w:t>
      </w:r>
    </w:p>
    <w:p w14:paraId="0D898E8E">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1.我方具有良好的商业信誉和健全的财务会计制度，具有履行合同所必需的设备和专业技术能力，具</w:t>
      </w:r>
      <w:r>
        <w:rPr>
          <w:rFonts w:hint="default" w:ascii="Times New Roman" w:hAnsi="Times New Roman" w:eastAsia="仿宋" w:cs="Times New Roman"/>
          <w:color w:val="auto"/>
          <w:sz w:val="24"/>
          <w:highlight w:val="none"/>
          <w:lang w:val="zh-CN"/>
        </w:rPr>
        <w:t>有依法缴纳税收和社会保障金的良好记录</w:t>
      </w:r>
      <w:r>
        <w:rPr>
          <w:rFonts w:hint="default" w:ascii="Times New Roman" w:hAnsi="Times New Roman" w:eastAsia="仿宋" w:cs="Times New Roman"/>
          <w:color w:val="auto"/>
          <w:sz w:val="24"/>
          <w:highlight w:val="none"/>
        </w:rPr>
        <w:t>，参加本项目采购活动前三年内无重大违法活动记录。</w:t>
      </w:r>
    </w:p>
    <w:p w14:paraId="7C17774E">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0A5988A2">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3.我方在采购项目评审（评标）环节结束后，随时接受采购人的检查验证，配合提供相关证明材料，证明符合《中华人民共和国政府采购法》规定的供应商基本资格条件。</w:t>
      </w:r>
    </w:p>
    <w:p w14:paraId="236D53C4">
      <w:pPr>
        <w:tabs>
          <w:tab w:val="left" w:pos="6300"/>
        </w:tabs>
        <w:snapToGrid w:val="0"/>
        <w:spacing w:line="500" w:lineRule="exact"/>
        <w:ind w:firstLine="480" w:firstLineChars="20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我方对以上承诺负全部法律责任。</w:t>
      </w:r>
    </w:p>
    <w:p w14:paraId="0CF1E757">
      <w:pPr>
        <w:tabs>
          <w:tab w:val="left" w:pos="6300"/>
        </w:tabs>
        <w:snapToGrid w:val="0"/>
        <w:spacing w:line="500" w:lineRule="exact"/>
        <w:ind w:firstLine="480" w:firstLineChars="200"/>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4"/>
          <w:highlight w:val="none"/>
        </w:rPr>
        <w:t>特此承诺。</w:t>
      </w:r>
    </w:p>
    <w:p w14:paraId="71146568">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09997D54">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7C5719C9">
      <w:pPr>
        <w:tabs>
          <w:tab w:val="left" w:pos="6300"/>
        </w:tabs>
        <w:snapToGrid w:val="0"/>
        <w:spacing w:line="500" w:lineRule="exact"/>
        <w:ind w:right="424" w:firstLine="570"/>
        <w:jc w:val="right"/>
        <w:rPr>
          <w:rFonts w:hint="default" w:ascii="Times New Roman" w:hAnsi="Times New Roman" w:eastAsia="仿宋" w:cs="Times New Roman"/>
          <w:bCs/>
          <w:color w:val="auto"/>
          <w:sz w:val="24"/>
          <w:szCs w:val="28"/>
          <w:highlight w:val="none"/>
        </w:rPr>
      </w:pPr>
      <w:r>
        <w:rPr>
          <w:rFonts w:hint="default" w:ascii="Times New Roman" w:hAnsi="Times New Roman" w:eastAsia="仿宋" w:cs="Times New Roman"/>
          <w:bCs/>
          <w:color w:val="auto"/>
          <w:sz w:val="24"/>
          <w:szCs w:val="28"/>
          <w:highlight w:val="none"/>
        </w:rPr>
        <w:t xml:space="preserve"> 法定代表人授权代表/</w:t>
      </w:r>
      <w:r>
        <w:rPr>
          <w:rFonts w:hint="default" w:ascii="Times New Roman" w:hAnsi="Times New Roman" w:eastAsia="仿宋" w:cs="Times New Roman"/>
          <w:bCs/>
          <w:color w:val="auto"/>
          <w:sz w:val="24"/>
          <w:szCs w:val="24"/>
          <w:highlight w:val="none"/>
        </w:rPr>
        <w:t>自然人</w:t>
      </w:r>
      <w:r>
        <w:rPr>
          <w:rFonts w:hint="default" w:ascii="Times New Roman" w:hAnsi="Times New Roman" w:eastAsia="仿宋" w:cs="Times New Roman"/>
          <w:bCs/>
          <w:color w:val="auto"/>
          <w:sz w:val="24"/>
          <w:szCs w:val="28"/>
          <w:highlight w:val="none"/>
        </w:rPr>
        <w:t>：</w:t>
      </w:r>
    </w:p>
    <w:p w14:paraId="389F0310">
      <w:pPr>
        <w:pStyle w:val="2"/>
        <w:ind w:firstLine="6240" w:firstLineChars="2600"/>
        <w:rPr>
          <w:rFonts w:hint="default"/>
        </w:rPr>
      </w:pPr>
      <w:r>
        <w:rPr>
          <w:rFonts w:hint="default" w:ascii="Times New Roman" w:hAnsi="Times New Roman" w:eastAsia="仿宋" w:cs="Times New Roman"/>
          <w:bCs/>
          <w:color w:val="auto"/>
          <w:sz w:val="24"/>
          <w:szCs w:val="28"/>
          <w:highlight w:val="none"/>
        </w:rPr>
        <w:t>（签字或盖章）</w:t>
      </w:r>
    </w:p>
    <w:p w14:paraId="00E1F0AA">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27CE431E">
      <w:pPr>
        <w:tabs>
          <w:tab w:val="left" w:pos="6300"/>
        </w:tabs>
        <w:snapToGrid w:val="0"/>
        <w:spacing w:line="500" w:lineRule="exact"/>
        <w:ind w:right="424" w:firstLine="570"/>
        <w:jc w:val="right"/>
        <w:rPr>
          <w:rFonts w:hint="default" w:ascii="Times New Roman" w:hAnsi="Times New Roman" w:eastAsia="仿宋" w:cs="Times New Roman"/>
          <w:bCs/>
          <w:color w:val="auto"/>
          <w:sz w:val="24"/>
          <w:highlight w:val="none"/>
        </w:rPr>
      </w:pPr>
    </w:p>
    <w:p w14:paraId="1149213E">
      <w:pPr>
        <w:tabs>
          <w:tab w:val="left" w:pos="6300"/>
        </w:tabs>
        <w:snapToGrid w:val="0"/>
        <w:spacing w:line="500" w:lineRule="exact"/>
        <w:ind w:right="424" w:firstLine="570"/>
        <w:jc w:val="center"/>
        <w:rPr>
          <w:rFonts w:hint="default" w:ascii="Times New Roman" w:hAnsi="Times New Roman" w:eastAsia="仿宋" w:cs="Times New Roman"/>
          <w:bCs/>
          <w:color w:val="auto"/>
          <w:sz w:val="24"/>
          <w:highlight w:val="none"/>
        </w:rPr>
      </w:pPr>
      <w:r>
        <w:rPr>
          <w:rFonts w:hint="eastAsia" w:eastAsia="仿宋" w:cs="Times New Roman"/>
          <w:bCs/>
          <w:color w:val="auto"/>
          <w:sz w:val="24"/>
          <w:highlight w:val="none"/>
          <w:lang w:val="en-US" w:eastAsia="zh-CN"/>
        </w:rPr>
        <w:t xml:space="preserve">                                       </w:t>
      </w:r>
      <w:r>
        <w:rPr>
          <w:rFonts w:hint="default" w:ascii="Times New Roman" w:hAnsi="Times New Roman" w:eastAsia="仿宋" w:cs="Times New Roman"/>
          <w:bCs/>
          <w:color w:val="auto"/>
          <w:sz w:val="24"/>
          <w:highlight w:val="none"/>
        </w:rPr>
        <w:t>（供应商公章）</w:t>
      </w:r>
    </w:p>
    <w:p w14:paraId="6023E2E2">
      <w:pPr>
        <w:tabs>
          <w:tab w:val="left" w:pos="6300"/>
        </w:tabs>
        <w:snapToGrid w:val="0"/>
        <w:spacing w:line="500" w:lineRule="exact"/>
        <w:ind w:right="480" w:firstLine="570"/>
        <w:jc w:val="right"/>
        <w:rPr>
          <w:rFonts w:hint="default" w:ascii="Times New Roman" w:hAnsi="Times New Roman" w:eastAsia="仿宋" w:cs="Times New Roman"/>
          <w:bCs/>
          <w:color w:val="auto"/>
          <w:sz w:val="24"/>
          <w:highlight w:val="none"/>
        </w:rPr>
      </w:pPr>
      <w:r>
        <w:rPr>
          <w:rFonts w:hint="default" w:ascii="Times New Roman" w:hAnsi="Times New Roman" w:eastAsia="仿宋" w:cs="Times New Roman"/>
          <w:bCs/>
          <w:color w:val="auto"/>
          <w:sz w:val="24"/>
          <w:highlight w:val="none"/>
        </w:rPr>
        <w:t>年   月   日</w:t>
      </w:r>
    </w:p>
    <w:p w14:paraId="72F3C88C">
      <w:pPr>
        <w:tabs>
          <w:tab w:val="left" w:pos="6300"/>
        </w:tabs>
        <w:snapToGrid w:val="0"/>
        <w:spacing w:line="500" w:lineRule="exact"/>
        <w:ind w:right="1680"/>
        <w:rPr>
          <w:rFonts w:hint="default" w:ascii="Times New Roman" w:hAnsi="Times New Roman" w:eastAsia="仿宋" w:cs="Times New Roman"/>
          <w:bCs/>
          <w:color w:val="auto"/>
          <w:sz w:val="24"/>
          <w:highlight w:val="none"/>
        </w:rPr>
      </w:pPr>
    </w:p>
    <w:p w14:paraId="62354217">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3B2A4CB2">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0BB79D12">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1A75CC2B">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546D61D4">
      <w:pPr>
        <w:tabs>
          <w:tab w:val="left" w:pos="6300"/>
        </w:tabs>
        <w:snapToGrid w:val="0"/>
        <w:spacing w:line="360" w:lineRule="auto"/>
        <w:ind w:firstLine="480" w:firstLineChars="200"/>
        <w:rPr>
          <w:rFonts w:hint="default" w:ascii="Times New Roman" w:hAnsi="Times New Roman" w:eastAsia="仿宋" w:cs="Times New Roman"/>
          <w:bCs/>
          <w:color w:val="auto"/>
          <w:sz w:val="24"/>
          <w:szCs w:val="24"/>
          <w:highlight w:val="none"/>
        </w:rPr>
      </w:pPr>
    </w:p>
    <w:p w14:paraId="4F327E28">
      <w:pP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p>
    <w:p w14:paraId="7D1BC2D4">
      <w:pPr>
        <w:tabs>
          <w:tab w:val="left" w:pos="6300"/>
        </w:tabs>
        <w:snapToGrid w:val="0"/>
        <w:spacing w:line="500" w:lineRule="exact"/>
        <w:ind w:firstLine="560"/>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（五）特定资格条件证明材料（如果有）</w:t>
      </w:r>
    </w:p>
    <w:p w14:paraId="182F5CE1">
      <w:pPr>
        <w:pStyle w:val="29"/>
        <w:rPr>
          <w:rFonts w:hint="default" w:ascii="Times New Roman" w:hAnsi="Times New Roman" w:eastAsia="仿宋" w:cs="Times New Roman"/>
          <w:bCs/>
          <w:color w:val="auto"/>
          <w:sz w:val="24"/>
          <w:szCs w:val="24"/>
          <w:highlight w:val="none"/>
        </w:rPr>
      </w:pPr>
      <w:bookmarkStart w:id="295" w:name="_Toc14422"/>
      <w:r>
        <w:rPr>
          <w:rFonts w:hint="default" w:ascii="Times New Roman" w:hAnsi="Times New Roman" w:eastAsia="仿宋" w:cs="Times New Roman"/>
          <w:bCs/>
          <w:color w:val="auto"/>
          <w:highlight w:val="none"/>
        </w:rPr>
        <w:br w:type="page"/>
      </w:r>
      <w:r>
        <w:rPr>
          <w:rFonts w:hint="default" w:ascii="Times New Roman" w:hAnsi="Times New Roman" w:eastAsia="仿宋" w:cs="Times New Roman"/>
          <w:bCs/>
          <w:color w:val="auto"/>
          <w:sz w:val="24"/>
          <w:szCs w:val="24"/>
          <w:highlight w:val="none"/>
        </w:rPr>
        <w:t>五、</w:t>
      </w:r>
      <w:bookmarkEnd w:id="295"/>
      <w:bookmarkStart w:id="296" w:name="_Toc2395"/>
      <w:bookmarkStart w:id="297" w:name="_Toc30376"/>
      <w:bookmarkStart w:id="298" w:name="_Toc27849"/>
      <w:bookmarkStart w:id="299" w:name="_Toc106030420"/>
      <w:bookmarkStart w:id="300" w:name="_Toc24540"/>
      <w:bookmarkStart w:id="301" w:name="_Toc11519"/>
      <w:bookmarkStart w:id="302" w:name="_Toc75793543"/>
      <w:bookmarkStart w:id="303" w:name="_Toc14316"/>
      <w:bookmarkStart w:id="304" w:name="_Toc493178792"/>
      <w:bookmarkStart w:id="305" w:name="_Toc4624"/>
      <w:bookmarkStart w:id="306" w:name="_Toc19687"/>
      <w:bookmarkStart w:id="307" w:name="_Toc29932"/>
      <w:bookmarkStart w:id="308" w:name="_Toc6000"/>
      <w:bookmarkStart w:id="309" w:name="_Toc5854"/>
      <w:bookmarkStart w:id="310" w:name="_Toc3199"/>
      <w:bookmarkStart w:id="311" w:name="_Toc11165"/>
      <w:bookmarkStart w:id="312" w:name="_Toc7042"/>
      <w:bookmarkStart w:id="313" w:name="_Toc29543"/>
      <w:bookmarkStart w:id="314" w:name="_Toc23915"/>
      <w:bookmarkStart w:id="315" w:name="_Toc492721041"/>
      <w:bookmarkStart w:id="316" w:name="_Toc6978"/>
      <w:r>
        <w:rPr>
          <w:rFonts w:hint="default" w:ascii="Times New Roman" w:hAnsi="Times New Roman" w:eastAsia="仿宋" w:cs="Times New Roman"/>
          <w:bCs/>
          <w:color w:val="auto"/>
          <w:sz w:val="24"/>
          <w:szCs w:val="24"/>
          <w:highlight w:val="none"/>
        </w:rPr>
        <w:t>其他</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63964425">
      <w:pPr>
        <w:pStyle w:val="29"/>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rPr>
        <w:t>（一）中小企业声明函、监狱企业证明文件、残疾人福利性单位声明函</w:t>
      </w:r>
    </w:p>
    <w:p w14:paraId="0BEE55E3">
      <w:pPr>
        <w:pStyle w:val="29"/>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中小企业声明函</w:t>
      </w:r>
    </w:p>
    <w:p w14:paraId="13483FE3">
      <w:pPr>
        <w:pStyle w:val="29"/>
        <w:ind w:firstLine="480" w:firstLineChars="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本公司（联合体）郑重声明，根据《政府采购促进中小企业发展管理办法》（财库〔2020〕46号）的规定，本公司（联合体）参加</w:t>
      </w:r>
      <w:r>
        <w:rPr>
          <w:rFonts w:hint="default" w:ascii="Times New Roman" w:hAnsi="Times New Roman" w:eastAsia="仿宋" w:cs="Times New Roman"/>
          <w:bCs/>
          <w:color w:val="auto"/>
          <w:sz w:val="24"/>
          <w:szCs w:val="24"/>
          <w:highlight w:val="none"/>
          <w:u w:val="single"/>
        </w:rPr>
        <w:t>（单位名称）</w:t>
      </w:r>
      <w:r>
        <w:rPr>
          <w:rFonts w:hint="default" w:ascii="Times New Roman" w:hAnsi="Times New Roman" w:eastAsia="仿宋" w:cs="Times New Roman"/>
          <w:bCs/>
          <w:color w:val="auto"/>
          <w:sz w:val="24"/>
          <w:szCs w:val="24"/>
          <w:highlight w:val="none"/>
        </w:rPr>
        <w:t>的</w:t>
      </w:r>
      <w:r>
        <w:rPr>
          <w:rFonts w:hint="default" w:ascii="Times New Roman" w:hAnsi="Times New Roman" w:eastAsia="仿宋" w:cs="Times New Roman"/>
          <w:bCs/>
          <w:color w:val="auto"/>
          <w:sz w:val="24"/>
          <w:szCs w:val="24"/>
          <w:highlight w:val="none"/>
          <w:u w:val="single"/>
        </w:rPr>
        <w:t>（项目名称）</w:t>
      </w:r>
      <w:r>
        <w:rPr>
          <w:rFonts w:hint="default" w:ascii="Times New Roman" w:hAnsi="Times New Roman" w:eastAsia="仿宋" w:cs="Times New Roman"/>
          <w:bCs/>
          <w:color w:val="auto"/>
          <w:sz w:val="24"/>
          <w:szCs w:val="24"/>
          <w:highlight w:val="none"/>
        </w:rPr>
        <w:t>采购活动，提供的</w:t>
      </w:r>
      <w:r>
        <w:rPr>
          <w:rFonts w:hint="default" w:ascii="Times New Roman" w:hAnsi="Times New Roman" w:eastAsia="仿宋" w:cs="Times New Roman"/>
          <w:bCs/>
          <w:color w:val="auto"/>
          <w:sz w:val="24"/>
          <w:szCs w:val="24"/>
          <w:highlight w:val="none"/>
          <w:lang w:eastAsia="zh-CN"/>
        </w:rPr>
        <w:t>项目</w:t>
      </w:r>
      <w:r>
        <w:rPr>
          <w:rFonts w:hint="default" w:ascii="Times New Roman" w:hAnsi="Times New Roman" w:eastAsia="仿宋" w:cs="Times New Roman"/>
          <w:bCs/>
          <w:color w:val="auto"/>
          <w:sz w:val="24"/>
          <w:szCs w:val="24"/>
          <w:highlight w:val="none"/>
        </w:rPr>
        <w:t>全部由符合政策要求的中小企业</w:t>
      </w:r>
      <w:r>
        <w:rPr>
          <w:rFonts w:hint="default" w:ascii="Times New Roman" w:hAnsi="Times New Roman" w:eastAsia="仿宋" w:cs="Times New Roman"/>
          <w:bCs/>
          <w:color w:val="auto"/>
          <w:sz w:val="24"/>
          <w:szCs w:val="24"/>
          <w:highlight w:val="none"/>
          <w:lang w:eastAsia="zh-CN"/>
        </w:rPr>
        <w:t>承接</w:t>
      </w:r>
      <w:r>
        <w:rPr>
          <w:rFonts w:hint="default" w:ascii="Times New Roman" w:hAnsi="Times New Roman" w:eastAsia="仿宋" w:cs="Times New Roman"/>
          <w:bCs/>
          <w:color w:val="auto"/>
          <w:sz w:val="24"/>
          <w:szCs w:val="24"/>
          <w:highlight w:val="none"/>
        </w:rPr>
        <w:t>。相关企业（含联合体中的中小企业、签订分包意向协议的中小企业）的具体情况如下：</w:t>
      </w:r>
    </w:p>
    <w:p w14:paraId="41C2D958">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w:t>
      </w:r>
      <w:r>
        <w:rPr>
          <w:rFonts w:hint="default" w:ascii="Times New Roman" w:hAnsi="Times New Roman" w:eastAsia="仿宋" w:cs="Times New Roman"/>
          <w:bCs/>
          <w:color w:val="auto"/>
          <w:sz w:val="24"/>
          <w:szCs w:val="24"/>
          <w:highlight w:val="none"/>
          <w:u w:val="single"/>
        </w:rPr>
        <w:t>（标的名称）</w:t>
      </w:r>
      <w:r>
        <w:rPr>
          <w:rFonts w:hint="default" w:ascii="Times New Roman" w:hAnsi="Times New Roman" w:eastAsia="仿宋" w:cs="Times New Roman"/>
          <w:bCs/>
          <w:color w:val="auto"/>
          <w:sz w:val="24"/>
          <w:szCs w:val="24"/>
          <w:highlight w:val="none"/>
        </w:rPr>
        <w:t>，属于（</w:t>
      </w:r>
      <w:r>
        <w:rPr>
          <w:rFonts w:hint="default" w:ascii="Times New Roman" w:hAnsi="Times New Roman" w:eastAsia="仿宋" w:cs="Times New Roman"/>
          <w:bCs/>
          <w:color w:val="auto"/>
          <w:sz w:val="24"/>
          <w:szCs w:val="24"/>
          <w:highlight w:val="none"/>
          <w:u w:val="single"/>
        </w:rPr>
        <w:t>采购文件中明确的所属行业）</w:t>
      </w:r>
      <w:r>
        <w:rPr>
          <w:rFonts w:hint="default" w:ascii="Times New Roman" w:hAnsi="Times New Roman" w:eastAsia="仿宋" w:cs="Times New Roman"/>
          <w:bCs/>
          <w:color w:val="auto"/>
          <w:sz w:val="24"/>
          <w:szCs w:val="24"/>
          <w:highlight w:val="none"/>
        </w:rPr>
        <w:t>行业；承接企业为</w:t>
      </w:r>
      <w:r>
        <w:rPr>
          <w:rFonts w:hint="default" w:ascii="Times New Roman" w:hAnsi="Times New Roman" w:eastAsia="仿宋" w:cs="Times New Roman"/>
          <w:bCs/>
          <w:color w:val="auto"/>
          <w:sz w:val="24"/>
          <w:szCs w:val="24"/>
          <w:highlight w:val="none"/>
          <w:u w:val="single"/>
        </w:rPr>
        <w:t>（企业名称）</w:t>
      </w:r>
      <w:r>
        <w:rPr>
          <w:rFonts w:hint="default" w:ascii="Times New Roman" w:hAnsi="Times New Roman" w:eastAsia="仿宋" w:cs="Times New Roman"/>
          <w:bCs/>
          <w:color w:val="auto"/>
          <w:sz w:val="24"/>
          <w:szCs w:val="24"/>
          <w:highlight w:val="none"/>
        </w:rPr>
        <w:t>，从业人员</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人，营业收入为</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 xml:space="preserve">万元，资产总额为 </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万元，属于</w:t>
      </w:r>
      <w:r>
        <w:rPr>
          <w:rFonts w:hint="default" w:ascii="Times New Roman" w:hAnsi="Times New Roman" w:eastAsia="仿宋" w:cs="Times New Roman"/>
          <w:bCs/>
          <w:color w:val="auto"/>
          <w:sz w:val="24"/>
          <w:szCs w:val="24"/>
          <w:highlight w:val="none"/>
          <w:u w:val="single"/>
        </w:rPr>
        <w:t>（中型企业、小型企业、微型企业）</w:t>
      </w:r>
      <w:r>
        <w:rPr>
          <w:rFonts w:hint="default" w:ascii="Times New Roman" w:hAnsi="Times New Roman" w:eastAsia="仿宋" w:cs="Times New Roman"/>
          <w:bCs/>
          <w:color w:val="auto"/>
          <w:sz w:val="24"/>
          <w:szCs w:val="24"/>
          <w:highlight w:val="none"/>
        </w:rPr>
        <w:t>；</w:t>
      </w:r>
    </w:p>
    <w:p w14:paraId="206842B8">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w:t>
      </w:r>
      <w:r>
        <w:rPr>
          <w:rFonts w:hint="default" w:ascii="Times New Roman" w:hAnsi="Times New Roman" w:eastAsia="仿宋" w:cs="Times New Roman"/>
          <w:bCs/>
          <w:color w:val="auto"/>
          <w:sz w:val="24"/>
          <w:szCs w:val="24"/>
          <w:highlight w:val="none"/>
          <w:u w:val="single"/>
        </w:rPr>
        <w:t>标的名称）</w:t>
      </w:r>
      <w:r>
        <w:rPr>
          <w:rFonts w:hint="default" w:ascii="Times New Roman" w:hAnsi="Times New Roman" w:eastAsia="仿宋" w:cs="Times New Roman"/>
          <w:bCs/>
          <w:color w:val="auto"/>
          <w:sz w:val="24"/>
          <w:szCs w:val="24"/>
          <w:highlight w:val="none"/>
        </w:rPr>
        <w:t>，属于</w:t>
      </w:r>
      <w:r>
        <w:rPr>
          <w:rFonts w:hint="default" w:ascii="Times New Roman" w:hAnsi="Times New Roman" w:eastAsia="仿宋" w:cs="Times New Roman"/>
          <w:bCs/>
          <w:color w:val="auto"/>
          <w:sz w:val="24"/>
          <w:szCs w:val="24"/>
          <w:highlight w:val="none"/>
          <w:u w:val="single"/>
        </w:rPr>
        <w:t>（采购文件中明确的所属行业）</w:t>
      </w:r>
      <w:r>
        <w:rPr>
          <w:rFonts w:hint="default" w:ascii="Times New Roman" w:hAnsi="Times New Roman" w:eastAsia="仿宋" w:cs="Times New Roman"/>
          <w:bCs/>
          <w:color w:val="auto"/>
          <w:sz w:val="24"/>
          <w:szCs w:val="24"/>
          <w:highlight w:val="none"/>
        </w:rPr>
        <w:t>行业；</w:t>
      </w:r>
      <w:r>
        <w:rPr>
          <w:rFonts w:hint="default" w:ascii="Times New Roman" w:hAnsi="Times New Roman" w:eastAsia="仿宋" w:cs="Times New Roman"/>
          <w:bCs/>
          <w:color w:val="auto"/>
          <w:sz w:val="24"/>
          <w:szCs w:val="24"/>
          <w:highlight w:val="none"/>
          <w:lang w:eastAsia="zh-CN"/>
        </w:rPr>
        <w:t>承接企业</w:t>
      </w:r>
      <w:r>
        <w:rPr>
          <w:rFonts w:hint="default" w:ascii="Times New Roman" w:hAnsi="Times New Roman" w:eastAsia="仿宋" w:cs="Times New Roman"/>
          <w:bCs/>
          <w:color w:val="auto"/>
          <w:sz w:val="24"/>
          <w:szCs w:val="24"/>
          <w:highlight w:val="none"/>
        </w:rPr>
        <w:t>为</w:t>
      </w:r>
      <w:r>
        <w:rPr>
          <w:rFonts w:hint="default" w:ascii="Times New Roman" w:hAnsi="Times New Roman" w:eastAsia="仿宋" w:cs="Times New Roman"/>
          <w:bCs/>
          <w:color w:val="auto"/>
          <w:sz w:val="24"/>
          <w:szCs w:val="24"/>
          <w:highlight w:val="none"/>
          <w:u w:val="single"/>
        </w:rPr>
        <w:t>（企业名称）</w:t>
      </w:r>
      <w:r>
        <w:rPr>
          <w:rFonts w:hint="default" w:ascii="Times New Roman" w:hAnsi="Times New Roman" w:eastAsia="仿宋" w:cs="Times New Roman"/>
          <w:bCs/>
          <w:color w:val="auto"/>
          <w:sz w:val="24"/>
          <w:szCs w:val="24"/>
          <w:highlight w:val="none"/>
        </w:rPr>
        <w:t>），从业人员</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人，营业收入为</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万元，资产总额为</w:t>
      </w:r>
      <w:r>
        <w:rPr>
          <w:rFonts w:hint="default" w:ascii="Times New Roman" w:hAnsi="Times New Roman" w:eastAsia="仿宋" w:cs="Times New Roman"/>
          <w:bCs/>
          <w:color w:val="auto"/>
          <w:sz w:val="24"/>
          <w:szCs w:val="24"/>
          <w:highlight w:val="none"/>
          <w:u w:val="single"/>
        </w:rPr>
        <w:t xml:space="preserve">    </w:t>
      </w:r>
      <w:r>
        <w:rPr>
          <w:rFonts w:hint="default" w:ascii="Times New Roman" w:hAnsi="Times New Roman" w:eastAsia="仿宋" w:cs="Times New Roman"/>
          <w:bCs/>
          <w:color w:val="auto"/>
          <w:sz w:val="24"/>
          <w:szCs w:val="24"/>
          <w:highlight w:val="none"/>
        </w:rPr>
        <w:t>万元，属于（</w:t>
      </w:r>
      <w:r>
        <w:rPr>
          <w:rFonts w:hint="default" w:ascii="Times New Roman" w:hAnsi="Times New Roman" w:eastAsia="仿宋" w:cs="Times New Roman"/>
          <w:bCs/>
          <w:color w:val="auto"/>
          <w:sz w:val="24"/>
          <w:szCs w:val="24"/>
          <w:highlight w:val="none"/>
          <w:u w:val="single"/>
        </w:rPr>
        <w:t>中型企业、小型企业、微型企业）</w:t>
      </w:r>
      <w:r>
        <w:rPr>
          <w:rFonts w:hint="default" w:ascii="Times New Roman" w:hAnsi="Times New Roman" w:eastAsia="仿宋" w:cs="Times New Roman"/>
          <w:bCs/>
          <w:color w:val="auto"/>
          <w:sz w:val="24"/>
          <w:szCs w:val="24"/>
          <w:highlight w:val="none"/>
        </w:rPr>
        <w:t>；</w:t>
      </w:r>
    </w:p>
    <w:p w14:paraId="73E9D5F6">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w:t>
      </w:r>
    </w:p>
    <w:p w14:paraId="2A33930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以上企业，不属于大企业的分支机构，不存在控股股东为大企业的情形，也不存在与大企业的负责人为同一人的情形。</w:t>
      </w:r>
    </w:p>
    <w:p w14:paraId="24F822E2">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本企业对上述声明内容的真实性负责。如有虚假，将依法承担相应责任。</w:t>
      </w:r>
    </w:p>
    <w:p w14:paraId="43EA66DD">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w:t>
      </w:r>
    </w:p>
    <w:p w14:paraId="0AF7CE86">
      <w:pPr>
        <w:pStyle w:val="29"/>
        <w:ind w:firstLine="5040" w:firstLineChars="21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企业名称（盖章）： </w:t>
      </w:r>
    </w:p>
    <w:p w14:paraId="14ACEDF1">
      <w:pPr>
        <w:pStyle w:val="29"/>
        <w:ind w:firstLine="5280" w:firstLineChars="2200"/>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日期：</w:t>
      </w:r>
    </w:p>
    <w:p w14:paraId="34E5CA1E">
      <w:pPr>
        <w:pStyle w:val="29"/>
        <w:rPr>
          <w:rFonts w:hint="default" w:ascii="Times New Roman" w:hAnsi="Times New Roman" w:eastAsia="仿宋" w:cs="Times New Roman"/>
          <w:bCs/>
          <w:color w:val="auto"/>
          <w:sz w:val="24"/>
          <w:szCs w:val="24"/>
          <w:highlight w:val="none"/>
        </w:rPr>
      </w:pPr>
    </w:p>
    <w:p w14:paraId="200E2E19">
      <w:pPr>
        <w:pStyle w:val="29"/>
        <w:rPr>
          <w:rFonts w:hint="default" w:ascii="Times New Roman" w:hAnsi="Times New Roman" w:eastAsia="仿宋" w:cs="Times New Roman"/>
          <w:bCs/>
          <w:color w:val="auto"/>
          <w:sz w:val="24"/>
          <w:szCs w:val="24"/>
          <w:highlight w:val="none"/>
        </w:rPr>
      </w:pPr>
    </w:p>
    <w:p w14:paraId="7E1DA0E5">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填写时应注意以下事项：</w:t>
      </w:r>
    </w:p>
    <w:p w14:paraId="1537362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1.从业人员、营业收入、资产总额填报上一年度数据，无上一年度数据的新成立企业可不填报。</w:t>
      </w:r>
    </w:p>
    <w:p w14:paraId="570BB65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2.中小企业应当按照《中小企业划型标准规定》（工信部联企业〔2011〕300号），如实填写并提交《中小企业声明函》。</w:t>
      </w:r>
    </w:p>
    <w:p w14:paraId="036132B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3.投标人填写《中小企业声明函》中所属行业时，应与采购文件第一篇“采购标的对应的中小企业划分标准所属行业”中填写的所属行业一致。</w:t>
      </w:r>
    </w:p>
    <w:p w14:paraId="5CF14D9E">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4.本声明函“企业名称（盖章）”处为投标人盖章。</w:t>
      </w:r>
    </w:p>
    <w:p w14:paraId="5A11F7AC">
      <w:pPr>
        <w:pStyle w:val="29"/>
        <w:rPr>
          <w:rFonts w:hint="default" w:ascii="Times New Roman" w:hAnsi="Times New Roman" w:eastAsia="仿宋" w:cs="Times New Roman"/>
          <w:bCs/>
          <w:color w:val="auto"/>
          <w:sz w:val="24"/>
          <w:szCs w:val="24"/>
          <w:highlight w:val="none"/>
        </w:rPr>
      </w:pPr>
    </w:p>
    <w:p w14:paraId="00CAB5F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注：各行业划型标准：</w:t>
      </w:r>
    </w:p>
    <w:p w14:paraId="49A478AE">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2462B1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41B705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4D511D">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4F55566">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311B0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776335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80708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E74C0D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77649E1">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4D6B56">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5089C69">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24E88EF">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A87163">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B73D52E">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27E85E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1BFCBF11">
      <w:pPr>
        <w:pStyle w:val="29"/>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r>
        <w:rPr>
          <w:rFonts w:hint="default" w:ascii="Times New Roman" w:hAnsi="Times New Roman" w:eastAsia="仿宋" w:cs="Times New Roman"/>
          <w:bCs/>
          <w:color w:val="auto"/>
          <w:sz w:val="24"/>
          <w:szCs w:val="24"/>
          <w:highlight w:val="none"/>
        </w:rPr>
        <w:t>监狱企业证明文件</w:t>
      </w:r>
    </w:p>
    <w:p w14:paraId="25FE7CF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【以省级以上监狱管理局、戒毒管理局（含新疆生产建设兵团）出具的属于监狱企业的证明文件为准】</w:t>
      </w:r>
    </w:p>
    <w:p w14:paraId="23794797">
      <w:pPr>
        <w:pStyle w:val="29"/>
        <w:jc w:val="center"/>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br w:type="page"/>
      </w:r>
      <w:r>
        <w:rPr>
          <w:rFonts w:hint="default" w:ascii="Times New Roman" w:hAnsi="Times New Roman" w:eastAsia="仿宋" w:cs="Times New Roman"/>
          <w:bCs/>
          <w:color w:val="auto"/>
          <w:sz w:val="24"/>
          <w:szCs w:val="24"/>
          <w:highlight w:val="none"/>
        </w:rPr>
        <w:t xml:space="preserve"> 残疾人福利性单位声明函</w:t>
      </w:r>
    </w:p>
    <w:p w14:paraId="70AE007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1C75F8">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本单位对上述声明的真实性负责。如有虚假，将依法承担相应责任。</w:t>
      </w:r>
    </w:p>
    <w:p w14:paraId="43901236">
      <w:pPr>
        <w:pStyle w:val="29"/>
        <w:rPr>
          <w:rFonts w:hint="default" w:ascii="Times New Roman" w:hAnsi="Times New Roman" w:eastAsia="仿宋" w:cs="Times New Roman"/>
          <w:bCs/>
          <w:color w:val="auto"/>
          <w:sz w:val="24"/>
          <w:szCs w:val="24"/>
          <w:highlight w:val="none"/>
        </w:rPr>
      </w:pPr>
    </w:p>
    <w:p w14:paraId="78143617">
      <w:pPr>
        <w:pStyle w:val="29"/>
        <w:rPr>
          <w:rFonts w:hint="default" w:ascii="Times New Roman" w:hAnsi="Times New Roman" w:eastAsia="仿宋" w:cs="Times New Roman"/>
          <w:bCs/>
          <w:color w:val="auto"/>
          <w:sz w:val="24"/>
          <w:szCs w:val="24"/>
          <w:highlight w:val="none"/>
        </w:rPr>
      </w:pPr>
    </w:p>
    <w:p w14:paraId="47BB87AB">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投标人名称（盖章）：</w:t>
      </w:r>
    </w:p>
    <w:p w14:paraId="3EC35221">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 xml:space="preserve">                                                日   期：</w:t>
      </w:r>
    </w:p>
    <w:p w14:paraId="7C1CA92A">
      <w:pPr>
        <w:pStyle w:val="29"/>
        <w:rPr>
          <w:rFonts w:hint="default" w:ascii="Times New Roman" w:hAnsi="Times New Roman" w:eastAsia="仿宋" w:cs="Times New Roman"/>
          <w:bCs/>
          <w:color w:val="auto"/>
          <w:sz w:val="24"/>
          <w:szCs w:val="24"/>
          <w:highlight w:val="none"/>
        </w:rPr>
      </w:pPr>
    </w:p>
    <w:p w14:paraId="61391BEC">
      <w:pPr>
        <w:pStyle w:val="29"/>
        <w:rPr>
          <w:rFonts w:hint="default" w:ascii="Times New Roman" w:hAnsi="Times New Roman" w:eastAsia="仿宋" w:cs="Times New Roman"/>
          <w:bCs/>
          <w:color w:val="auto"/>
          <w:sz w:val="24"/>
          <w:szCs w:val="24"/>
          <w:highlight w:val="none"/>
        </w:rPr>
      </w:pPr>
    </w:p>
    <w:p w14:paraId="056D0FDD">
      <w:pPr>
        <w:pStyle w:val="29"/>
        <w:rPr>
          <w:rFonts w:hint="default" w:ascii="Times New Roman" w:hAnsi="Times New Roman" w:eastAsia="仿宋" w:cs="Times New Roman"/>
          <w:bCs/>
          <w:color w:val="auto"/>
          <w:sz w:val="24"/>
          <w:szCs w:val="24"/>
          <w:highlight w:val="none"/>
        </w:rPr>
      </w:pPr>
    </w:p>
    <w:p w14:paraId="67FB93F7">
      <w:pPr>
        <w:pStyle w:val="29"/>
        <w:rPr>
          <w:rFonts w:hint="default" w:ascii="Times New Roman" w:hAnsi="Times New Roman" w:eastAsia="仿宋" w:cs="Times New Roman"/>
          <w:bCs/>
          <w:color w:val="auto"/>
          <w:sz w:val="24"/>
          <w:szCs w:val="24"/>
          <w:highlight w:val="none"/>
        </w:rPr>
      </w:pPr>
    </w:p>
    <w:p w14:paraId="0AD42991">
      <w:pPr>
        <w:pStyle w:val="29"/>
        <w:rPr>
          <w:rFonts w:hint="default" w:ascii="Times New Roman" w:hAnsi="Times New Roman" w:eastAsia="仿宋" w:cs="Times New Roman"/>
          <w:bCs/>
          <w:color w:val="auto"/>
          <w:sz w:val="24"/>
          <w:szCs w:val="24"/>
          <w:highlight w:val="none"/>
        </w:rPr>
      </w:pPr>
    </w:p>
    <w:p w14:paraId="6BB36191">
      <w:pPr>
        <w:pStyle w:val="29"/>
        <w:rPr>
          <w:rFonts w:hint="default" w:ascii="Times New Roman" w:hAnsi="Times New Roman" w:eastAsia="仿宋" w:cs="Times New Roman"/>
          <w:bCs/>
          <w:color w:val="auto"/>
          <w:sz w:val="24"/>
          <w:szCs w:val="24"/>
          <w:highlight w:val="none"/>
        </w:rPr>
      </w:pPr>
    </w:p>
    <w:p w14:paraId="0665352D">
      <w:pPr>
        <w:pStyle w:val="29"/>
        <w:rPr>
          <w:rFonts w:hint="default" w:ascii="Times New Roman" w:hAnsi="Times New Roman" w:eastAsia="仿宋" w:cs="Times New Roman"/>
          <w:bCs/>
          <w:color w:val="auto"/>
          <w:sz w:val="24"/>
          <w:szCs w:val="24"/>
          <w:highlight w:val="none"/>
        </w:rPr>
      </w:pPr>
    </w:p>
    <w:p w14:paraId="1A15A492">
      <w:pPr>
        <w:pStyle w:val="29"/>
        <w:rPr>
          <w:rFonts w:hint="default" w:ascii="Times New Roman" w:hAnsi="Times New Roman" w:eastAsia="仿宋" w:cs="Times New Roman"/>
          <w:bCs/>
          <w:color w:val="auto"/>
          <w:sz w:val="24"/>
          <w:szCs w:val="24"/>
          <w:highlight w:val="none"/>
        </w:rPr>
      </w:pPr>
    </w:p>
    <w:p w14:paraId="0B284324">
      <w:pPr>
        <w:pStyle w:val="29"/>
        <w:rPr>
          <w:rFonts w:hint="default" w:ascii="Times New Roman" w:hAnsi="Times New Roman" w:eastAsia="仿宋" w:cs="Times New Roman"/>
          <w:bCs/>
          <w:color w:val="auto"/>
          <w:sz w:val="24"/>
          <w:szCs w:val="24"/>
          <w:highlight w:val="none"/>
        </w:rPr>
      </w:pPr>
    </w:p>
    <w:p w14:paraId="624AC789">
      <w:pPr>
        <w:pStyle w:val="29"/>
        <w:rPr>
          <w:rFonts w:hint="default" w:ascii="Times New Roman" w:hAnsi="Times New Roman" w:eastAsia="仿宋" w:cs="Times New Roman"/>
          <w:bCs/>
          <w:color w:val="auto"/>
          <w:sz w:val="24"/>
          <w:szCs w:val="24"/>
          <w:highlight w:val="none"/>
        </w:rPr>
      </w:pPr>
    </w:p>
    <w:p w14:paraId="6F8B0F40">
      <w:pPr>
        <w:pStyle w:val="29"/>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szCs w:val="24"/>
          <w:highlight w:val="none"/>
        </w:rPr>
        <w:t>若中标人为残疾人福利性单位的，将在结果公告时公告其《残疾人福利性单位声明函》。</w:t>
      </w:r>
    </w:p>
    <w:p w14:paraId="41FF4E58">
      <w:pPr>
        <w:pStyle w:val="29"/>
        <w:rPr>
          <w:rFonts w:hint="default" w:ascii="Times New Roman" w:hAnsi="Times New Roman" w:eastAsia="仿宋" w:cs="Times New Roman"/>
          <w:bCs/>
          <w:color w:val="auto"/>
          <w:sz w:val="24"/>
          <w:szCs w:val="24"/>
          <w:highlight w:val="none"/>
        </w:rPr>
      </w:pPr>
    </w:p>
    <w:p w14:paraId="13E4ECC6">
      <w:pPr>
        <w:pStyle w:val="29"/>
        <w:rPr>
          <w:rFonts w:hint="default" w:ascii="Times New Roman" w:hAnsi="Times New Roman" w:eastAsia="仿宋" w:cs="Times New Roman"/>
          <w:bCs/>
          <w:color w:val="auto"/>
          <w:sz w:val="24"/>
          <w:szCs w:val="24"/>
          <w:highlight w:val="none"/>
        </w:rPr>
      </w:pPr>
    </w:p>
    <w:p w14:paraId="465C773B">
      <w:pPr>
        <w:pStyle w:val="29"/>
        <w:rPr>
          <w:rFonts w:hint="default" w:ascii="Times New Roman" w:hAnsi="Times New Roman" w:eastAsia="仿宋" w:cs="Times New Roman"/>
          <w:bCs/>
          <w:color w:val="auto"/>
          <w:sz w:val="24"/>
          <w:szCs w:val="24"/>
          <w:highlight w:val="none"/>
        </w:rPr>
      </w:pPr>
    </w:p>
    <w:p w14:paraId="6F19AF4F">
      <w:pPr>
        <w:pStyle w:val="29"/>
        <w:rPr>
          <w:rFonts w:hint="default" w:ascii="Times New Roman" w:hAnsi="Times New Roman" w:eastAsia="仿宋" w:cs="Times New Roman"/>
          <w:bCs/>
          <w:color w:val="auto"/>
          <w:sz w:val="24"/>
          <w:szCs w:val="24"/>
          <w:highlight w:val="none"/>
        </w:rPr>
      </w:pPr>
    </w:p>
    <w:p w14:paraId="6D44DF63">
      <w:pPr>
        <w:pStyle w:val="29"/>
        <w:rPr>
          <w:rFonts w:hint="default" w:ascii="Times New Roman" w:hAnsi="Times New Roman" w:eastAsia="仿宋" w:cs="Times New Roman"/>
          <w:bCs/>
          <w:color w:val="auto"/>
          <w:sz w:val="24"/>
          <w:szCs w:val="24"/>
          <w:highlight w:val="none"/>
        </w:rPr>
      </w:pPr>
    </w:p>
    <w:p w14:paraId="644B1382">
      <w:pPr>
        <w:pStyle w:val="29"/>
        <w:rPr>
          <w:rFonts w:hint="default" w:ascii="Times New Roman" w:hAnsi="Times New Roman" w:eastAsia="仿宋" w:cs="Times New Roman"/>
          <w:bCs/>
          <w:color w:val="auto"/>
          <w:sz w:val="24"/>
          <w:szCs w:val="24"/>
          <w:highlight w:val="none"/>
        </w:rPr>
      </w:pPr>
    </w:p>
    <w:p w14:paraId="56D77666">
      <w:pPr>
        <w:pStyle w:val="29"/>
        <w:rPr>
          <w:rFonts w:hint="default" w:ascii="Times New Roman" w:hAnsi="Times New Roman" w:eastAsia="仿宋" w:cs="Times New Roman"/>
          <w:bCs/>
          <w:color w:val="auto"/>
          <w:sz w:val="24"/>
          <w:szCs w:val="24"/>
          <w:highlight w:val="none"/>
        </w:rPr>
      </w:pPr>
    </w:p>
    <w:p w14:paraId="68132FEE">
      <w:pPr>
        <w:pStyle w:val="29"/>
        <w:rPr>
          <w:rFonts w:hint="default" w:ascii="Times New Roman" w:hAnsi="Times New Roman" w:eastAsia="仿宋" w:cs="Times New Roman"/>
          <w:bCs/>
          <w:color w:val="auto"/>
          <w:sz w:val="24"/>
          <w:szCs w:val="24"/>
          <w:highlight w:val="none"/>
        </w:rPr>
      </w:pPr>
    </w:p>
    <w:p w14:paraId="49DE865D">
      <w:pPr>
        <w:pStyle w:val="29"/>
        <w:rPr>
          <w:rFonts w:hint="default" w:ascii="Times New Roman" w:hAnsi="Times New Roman" w:eastAsia="仿宋" w:cs="Times New Roman"/>
          <w:bCs/>
          <w:color w:val="auto"/>
          <w:sz w:val="24"/>
          <w:szCs w:val="24"/>
          <w:highlight w:val="none"/>
        </w:rPr>
      </w:pPr>
    </w:p>
    <w:p w14:paraId="421AFC19">
      <w:pPr>
        <w:pStyle w:val="29"/>
        <w:rPr>
          <w:rFonts w:hint="default" w:ascii="Times New Roman" w:hAnsi="Times New Roman" w:eastAsia="仿宋" w:cs="Times New Roman"/>
          <w:bCs/>
          <w:color w:val="auto"/>
          <w:sz w:val="24"/>
          <w:szCs w:val="24"/>
          <w:highlight w:val="none"/>
        </w:rPr>
      </w:pPr>
    </w:p>
    <w:p w14:paraId="4B26A994">
      <w:pPr>
        <w:pStyle w:val="29"/>
        <w:rPr>
          <w:rFonts w:hint="default" w:ascii="Times New Roman" w:hAnsi="Times New Roman" w:eastAsia="仿宋" w:cs="Times New Roman"/>
          <w:bCs/>
          <w:color w:val="auto"/>
          <w:sz w:val="24"/>
          <w:szCs w:val="24"/>
          <w:highlight w:val="none"/>
        </w:rPr>
      </w:pPr>
    </w:p>
    <w:p w14:paraId="397744DA">
      <w:pPr>
        <w:pStyle w:val="29"/>
        <w:rPr>
          <w:rFonts w:hint="default" w:ascii="Times New Roman" w:hAnsi="Times New Roman" w:eastAsia="仿宋" w:cs="Times New Roman"/>
          <w:bCs/>
          <w:color w:val="auto"/>
          <w:sz w:val="24"/>
          <w:szCs w:val="24"/>
          <w:highlight w:val="none"/>
        </w:rPr>
      </w:pPr>
    </w:p>
    <w:p w14:paraId="309CDC89">
      <w:pPr>
        <w:pStyle w:val="29"/>
        <w:rPr>
          <w:rFonts w:hint="default" w:ascii="Times New Roman" w:hAnsi="Times New Roman" w:eastAsia="仿宋" w:cs="Times New Roman"/>
          <w:bCs/>
          <w:color w:val="auto"/>
          <w:sz w:val="24"/>
          <w:szCs w:val="24"/>
          <w:highlight w:val="none"/>
        </w:rPr>
      </w:pPr>
    </w:p>
    <w:p w14:paraId="0F35648B">
      <w:pPr>
        <w:pStyle w:val="29"/>
        <w:rPr>
          <w:rFonts w:hint="default" w:ascii="Times New Roman" w:hAnsi="Times New Roman" w:eastAsia="仿宋" w:cs="Times New Roman"/>
          <w:bCs/>
          <w:color w:val="auto"/>
          <w:sz w:val="24"/>
          <w:szCs w:val="24"/>
          <w:highlight w:val="none"/>
        </w:rPr>
      </w:pPr>
    </w:p>
    <w:p w14:paraId="19EB26B4">
      <w:pPr>
        <w:pStyle w:val="29"/>
        <w:rPr>
          <w:rFonts w:hint="default" w:ascii="Times New Roman" w:hAnsi="Times New Roman" w:eastAsia="仿宋" w:cs="Times New Roman"/>
          <w:bCs/>
          <w:color w:val="auto"/>
          <w:sz w:val="24"/>
          <w:szCs w:val="24"/>
          <w:highlight w:val="none"/>
        </w:rPr>
      </w:pPr>
    </w:p>
    <w:p w14:paraId="3A04A216">
      <w:pPr>
        <w:pStyle w:val="29"/>
        <w:rPr>
          <w:rFonts w:hint="default" w:ascii="Times New Roman" w:hAnsi="Times New Roman" w:eastAsia="仿宋" w:cs="Times New Roman"/>
          <w:bCs/>
          <w:color w:val="auto"/>
          <w:sz w:val="24"/>
          <w:szCs w:val="24"/>
          <w:highlight w:val="none"/>
        </w:rPr>
      </w:pPr>
    </w:p>
    <w:p w14:paraId="25366353">
      <w:pPr>
        <w:pStyle w:val="29"/>
        <w:rPr>
          <w:rFonts w:hint="default" w:ascii="Times New Roman" w:hAnsi="Times New Roman" w:eastAsia="仿宋" w:cs="Times New Roman"/>
          <w:bCs/>
          <w:color w:val="auto"/>
          <w:sz w:val="24"/>
          <w:szCs w:val="24"/>
          <w:highlight w:val="none"/>
        </w:rPr>
      </w:pPr>
    </w:p>
    <w:p w14:paraId="4006FC96">
      <w:pPr>
        <w:pStyle w:val="29"/>
        <w:rPr>
          <w:rFonts w:hint="default" w:ascii="Times New Roman" w:hAnsi="Times New Roman" w:eastAsia="仿宋" w:cs="Times New Roman"/>
          <w:bCs/>
          <w:color w:val="auto"/>
          <w:sz w:val="24"/>
          <w:szCs w:val="24"/>
          <w:highlight w:val="none"/>
        </w:rPr>
      </w:pPr>
    </w:p>
    <w:p w14:paraId="201931C0">
      <w:pPr>
        <w:pStyle w:val="29"/>
        <w:rPr>
          <w:rFonts w:hint="default" w:ascii="Times New Roman" w:hAnsi="Times New Roman" w:eastAsia="仿宋" w:cs="Times New Roman"/>
          <w:bCs/>
          <w:color w:val="auto"/>
          <w:sz w:val="24"/>
          <w:szCs w:val="24"/>
          <w:highlight w:val="none"/>
        </w:rPr>
      </w:pPr>
    </w:p>
    <w:p w14:paraId="68C86219">
      <w:pPr>
        <w:pStyle w:val="29"/>
        <w:rPr>
          <w:rFonts w:hint="default" w:ascii="Times New Roman" w:hAnsi="Times New Roman" w:eastAsia="仿宋" w:cs="Times New Roman"/>
          <w:bCs/>
          <w:color w:val="auto"/>
          <w:sz w:val="24"/>
          <w:szCs w:val="24"/>
          <w:highlight w:val="none"/>
        </w:rPr>
      </w:pPr>
    </w:p>
    <w:p w14:paraId="6273F687">
      <w:pPr>
        <w:pStyle w:val="29"/>
        <w:rPr>
          <w:rFonts w:hint="default" w:ascii="Times New Roman" w:hAnsi="Times New Roman" w:eastAsia="仿宋" w:cs="Times New Roman"/>
          <w:bCs/>
          <w:color w:val="auto"/>
          <w:sz w:val="24"/>
          <w:szCs w:val="24"/>
          <w:highlight w:val="none"/>
        </w:rPr>
      </w:pPr>
    </w:p>
    <w:p w14:paraId="5868C8DA">
      <w:pPr>
        <w:pStyle w:val="29"/>
        <w:rPr>
          <w:rFonts w:hint="default" w:ascii="Times New Roman" w:hAnsi="Times New Roman" w:eastAsia="仿宋" w:cs="Times New Roman"/>
          <w:bCs/>
          <w:color w:val="auto"/>
          <w:sz w:val="24"/>
          <w:szCs w:val="24"/>
          <w:highlight w:val="none"/>
        </w:rPr>
      </w:pPr>
    </w:p>
    <w:p w14:paraId="2D87F83D">
      <w:pPr>
        <w:pStyle w:val="29"/>
        <w:rPr>
          <w:rFonts w:hint="default" w:ascii="Times New Roman" w:hAnsi="Times New Roman" w:eastAsia="仿宋" w:cs="Times New Roman"/>
          <w:bCs/>
          <w:color w:val="auto"/>
          <w:sz w:val="24"/>
          <w:szCs w:val="24"/>
          <w:highlight w:val="none"/>
        </w:rPr>
      </w:pPr>
    </w:p>
    <w:p w14:paraId="6668E2D5">
      <w:pPr>
        <w:pStyle w:val="29"/>
        <w:rPr>
          <w:rFonts w:hint="default" w:ascii="Times New Roman" w:hAnsi="Times New Roman" w:eastAsia="仿宋" w:cs="Times New Roman"/>
          <w:bCs/>
          <w:color w:val="auto"/>
          <w:sz w:val="24"/>
          <w:szCs w:val="24"/>
          <w:highlight w:val="none"/>
        </w:rPr>
      </w:pPr>
    </w:p>
    <w:p w14:paraId="3BB5CACA">
      <w:pPr>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br w:type="page"/>
      </w:r>
    </w:p>
    <w:p w14:paraId="784F00F8">
      <w:pPr>
        <w:pStyle w:val="29"/>
        <w:rPr>
          <w:rFonts w:hint="default" w:ascii="Times New Roman" w:hAnsi="Times New Roman" w:eastAsia="仿宋" w:cs="Times New Roman"/>
          <w:bCs/>
          <w:color w:val="auto"/>
          <w:sz w:val="24"/>
          <w:szCs w:val="24"/>
          <w:highlight w:val="none"/>
          <w:lang w:eastAsia="zh-CN"/>
        </w:rPr>
      </w:pPr>
      <w:r>
        <w:rPr>
          <w:rFonts w:hint="default" w:ascii="Times New Roman" w:hAnsi="Times New Roman" w:eastAsia="仿宋" w:cs="Times New Roman"/>
          <w:bCs/>
          <w:color w:val="auto"/>
          <w:sz w:val="24"/>
          <w:szCs w:val="24"/>
          <w:highlight w:val="none"/>
          <w:lang w:eastAsia="zh-CN"/>
        </w:rPr>
        <w:t>（二）</w:t>
      </w:r>
      <w:r>
        <w:rPr>
          <w:rFonts w:hint="default" w:ascii="Times New Roman" w:hAnsi="Times New Roman" w:eastAsia="仿宋" w:cs="Times New Roman"/>
          <w:bCs/>
          <w:color w:val="auto"/>
          <w:sz w:val="24"/>
          <w:szCs w:val="24"/>
          <w:highlight w:val="none"/>
        </w:rPr>
        <w:t>其他与项</w:t>
      </w:r>
      <w:r>
        <w:rPr>
          <w:rFonts w:hint="default" w:ascii="Times New Roman" w:hAnsi="Times New Roman" w:eastAsia="仿宋" w:cs="Times New Roman"/>
          <w:bCs/>
          <w:color w:val="auto"/>
          <w:sz w:val="24"/>
          <w:szCs w:val="24"/>
          <w:highlight w:val="none"/>
          <w:lang w:eastAsia="zh-CN"/>
        </w:rPr>
        <w:t>目</w:t>
      </w:r>
      <w:r>
        <w:rPr>
          <w:rFonts w:hint="default" w:ascii="Times New Roman" w:hAnsi="Times New Roman" w:eastAsia="仿宋" w:cs="Times New Roman"/>
          <w:bCs/>
          <w:color w:val="auto"/>
          <w:sz w:val="24"/>
          <w:szCs w:val="24"/>
          <w:highlight w:val="none"/>
        </w:rPr>
        <w:t>有关的资料</w:t>
      </w:r>
      <w:r>
        <w:rPr>
          <w:rFonts w:hint="default" w:ascii="Times New Roman" w:hAnsi="Times New Roman" w:eastAsia="仿宋" w:cs="Times New Roman"/>
          <w:bCs/>
          <w:color w:val="auto"/>
          <w:sz w:val="24"/>
          <w:szCs w:val="24"/>
          <w:highlight w:val="none"/>
          <w:lang w:eastAsia="zh-CN"/>
        </w:rPr>
        <w:t>（自附）</w:t>
      </w:r>
    </w:p>
    <w:p w14:paraId="6F62DF5A">
      <w:pPr>
        <w:pStyle w:val="29"/>
        <w:spacing w:line="20" w:lineRule="atLeast"/>
        <w:jc w:val="both"/>
        <w:rPr>
          <w:rFonts w:hint="default" w:ascii="Times New Roman" w:hAnsi="Times New Roman" w:eastAsia="宋体" w:cs="Times New Roman"/>
          <w:color w:val="auto"/>
          <w:sz w:val="24"/>
          <w:szCs w:val="24"/>
          <w:highlight w:val="none"/>
        </w:rPr>
      </w:pPr>
    </w:p>
    <w:p w14:paraId="55728EC2">
      <w:pPr>
        <w:pStyle w:val="29"/>
        <w:spacing w:line="20" w:lineRule="atLeast"/>
        <w:jc w:val="both"/>
        <w:rPr>
          <w:rFonts w:hint="default" w:ascii="Times New Roman" w:hAnsi="Times New Roman" w:eastAsia="宋体" w:cs="Times New Roman"/>
          <w:color w:val="auto"/>
          <w:sz w:val="24"/>
          <w:szCs w:val="24"/>
          <w:highlight w:val="none"/>
        </w:rPr>
      </w:pPr>
    </w:p>
    <w:p w14:paraId="4D6CE635">
      <w:pPr>
        <w:pStyle w:val="29"/>
        <w:spacing w:line="20" w:lineRule="atLeast"/>
        <w:jc w:val="both"/>
        <w:rPr>
          <w:rFonts w:hint="default" w:ascii="Times New Roman" w:hAnsi="Times New Roman" w:eastAsia="宋体" w:cs="Times New Roman"/>
          <w:color w:val="auto"/>
          <w:sz w:val="24"/>
          <w:szCs w:val="24"/>
          <w:highlight w:val="none"/>
        </w:rPr>
      </w:pPr>
    </w:p>
    <w:p w14:paraId="6A689EEF">
      <w:pPr>
        <w:pStyle w:val="29"/>
        <w:spacing w:line="20" w:lineRule="atLeast"/>
        <w:jc w:val="both"/>
        <w:rPr>
          <w:rFonts w:hint="default" w:ascii="Times New Roman" w:hAnsi="Times New Roman" w:eastAsia="宋体" w:cs="Times New Roman"/>
          <w:color w:val="auto"/>
          <w:sz w:val="24"/>
          <w:szCs w:val="24"/>
          <w:highlight w:val="none"/>
        </w:rPr>
      </w:pPr>
    </w:p>
    <w:p w14:paraId="313F57CA">
      <w:pPr>
        <w:pStyle w:val="29"/>
        <w:spacing w:line="20" w:lineRule="atLeast"/>
        <w:jc w:val="both"/>
        <w:rPr>
          <w:rFonts w:hint="default" w:ascii="Times New Roman" w:hAnsi="Times New Roman" w:eastAsia="宋体" w:cs="Times New Roman"/>
          <w:color w:val="auto"/>
          <w:sz w:val="24"/>
          <w:szCs w:val="24"/>
          <w:highlight w:val="none"/>
        </w:rPr>
      </w:pPr>
    </w:p>
    <w:p w14:paraId="36EE0563">
      <w:pPr>
        <w:pStyle w:val="29"/>
        <w:spacing w:line="20" w:lineRule="atLeast"/>
        <w:jc w:val="both"/>
        <w:rPr>
          <w:rFonts w:hint="default" w:ascii="Times New Roman" w:hAnsi="Times New Roman" w:eastAsia="宋体" w:cs="Times New Roman"/>
          <w:color w:val="auto"/>
          <w:sz w:val="24"/>
          <w:szCs w:val="24"/>
          <w:highlight w:val="none"/>
        </w:rPr>
      </w:pPr>
    </w:p>
    <w:p w14:paraId="48EA8C78">
      <w:pPr>
        <w:pStyle w:val="29"/>
        <w:spacing w:line="20" w:lineRule="atLeast"/>
        <w:jc w:val="both"/>
        <w:rPr>
          <w:rFonts w:hint="default" w:ascii="Times New Roman" w:hAnsi="Times New Roman" w:eastAsia="宋体" w:cs="Times New Roman"/>
          <w:color w:val="auto"/>
          <w:sz w:val="24"/>
          <w:szCs w:val="24"/>
          <w:highlight w:val="none"/>
        </w:rPr>
      </w:pPr>
    </w:p>
    <w:p w14:paraId="2AA8E529">
      <w:pPr>
        <w:pStyle w:val="29"/>
        <w:spacing w:line="20" w:lineRule="atLeast"/>
        <w:jc w:val="both"/>
        <w:rPr>
          <w:rFonts w:hint="default" w:ascii="Times New Roman" w:hAnsi="Times New Roman" w:eastAsia="宋体" w:cs="Times New Roman"/>
          <w:color w:val="auto"/>
          <w:sz w:val="24"/>
          <w:szCs w:val="24"/>
          <w:highlight w:val="none"/>
        </w:rPr>
      </w:pPr>
    </w:p>
    <w:p w14:paraId="09BC9AB6">
      <w:pPr>
        <w:pStyle w:val="29"/>
        <w:spacing w:line="20" w:lineRule="atLeast"/>
        <w:jc w:val="both"/>
        <w:rPr>
          <w:rFonts w:hint="default" w:ascii="Times New Roman" w:hAnsi="Times New Roman" w:eastAsia="宋体" w:cs="Times New Roman"/>
          <w:color w:val="auto"/>
          <w:sz w:val="24"/>
          <w:szCs w:val="24"/>
          <w:highlight w:val="none"/>
        </w:rPr>
      </w:pPr>
    </w:p>
    <w:p w14:paraId="1B43FA14">
      <w:pPr>
        <w:pStyle w:val="29"/>
        <w:spacing w:line="20" w:lineRule="atLeast"/>
        <w:jc w:val="both"/>
        <w:rPr>
          <w:rFonts w:hint="default" w:ascii="Times New Roman" w:hAnsi="Times New Roman" w:eastAsia="宋体" w:cs="Times New Roman"/>
          <w:color w:val="auto"/>
          <w:sz w:val="24"/>
          <w:szCs w:val="24"/>
          <w:highlight w:val="none"/>
        </w:rPr>
      </w:pPr>
    </w:p>
    <w:p w14:paraId="23008B5B">
      <w:pPr>
        <w:pStyle w:val="29"/>
        <w:spacing w:line="20" w:lineRule="atLeast"/>
        <w:jc w:val="both"/>
        <w:rPr>
          <w:rFonts w:hint="default" w:ascii="Times New Roman" w:hAnsi="Times New Roman" w:eastAsia="宋体" w:cs="Times New Roman"/>
          <w:color w:val="auto"/>
          <w:sz w:val="24"/>
          <w:szCs w:val="24"/>
          <w:highlight w:val="none"/>
        </w:rPr>
      </w:pPr>
    </w:p>
    <w:p w14:paraId="4F9B84E0">
      <w:pPr>
        <w:pStyle w:val="29"/>
        <w:spacing w:line="20" w:lineRule="atLeast"/>
        <w:jc w:val="both"/>
        <w:rPr>
          <w:rFonts w:hint="default" w:ascii="Times New Roman" w:hAnsi="Times New Roman" w:eastAsia="宋体" w:cs="Times New Roman"/>
          <w:color w:val="auto"/>
          <w:sz w:val="24"/>
          <w:szCs w:val="24"/>
          <w:highlight w:val="none"/>
        </w:rPr>
      </w:pPr>
    </w:p>
    <w:p w14:paraId="56B971E6">
      <w:pPr>
        <w:pStyle w:val="29"/>
        <w:spacing w:line="20" w:lineRule="atLeast"/>
        <w:jc w:val="both"/>
        <w:rPr>
          <w:rFonts w:hint="default" w:ascii="Times New Roman" w:hAnsi="Times New Roman" w:eastAsia="宋体" w:cs="Times New Roman"/>
          <w:color w:val="auto"/>
          <w:sz w:val="24"/>
          <w:szCs w:val="24"/>
          <w:highlight w:val="none"/>
        </w:rPr>
      </w:pPr>
    </w:p>
    <w:p w14:paraId="15527AF4">
      <w:pPr>
        <w:pStyle w:val="29"/>
        <w:spacing w:line="20" w:lineRule="atLeast"/>
        <w:jc w:val="both"/>
        <w:rPr>
          <w:rFonts w:hint="default" w:ascii="Times New Roman" w:hAnsi="Times New Roman" w:eastAsia="宋体" w:cs="Times New Roman"/>
          <w:color w:val="auto"/>
          <w:sz w:val="24"/>
          <w:szCs w:val="24"/>
          <w:highlight w:val="none"/>
        </w:rPr>
      </w:pPr>
    </w:p>
    <w:p w14:paraId="6D220430">
      <w:pPr>
        <w:pStyle w:val="29"/>
        <w:spacing w:line="20" w:lineRule="atLeast"/>
        <w:jc w:val="both"/>
        <w:rPr>
          <w:rFonts w:hint="default" w:ascii="Times New Roman" w:hAnsi="Times New Roman" w:eastAsia="宋体" w:cs="Times New Roman"/>
          <w:color w:val="auto"/>
          <w:sz w:val="24"/>
          <w:szCs w:val="24"/>
          <w:highlight w:val="none"/>
        </w:rPr>
      </w:pPr>
    </w:p>
    <w:p w14:paraId="67B24FD4">
      <w:pPr>
        <w:pStyle w:val="29"/>
        <w:spacing w:line="20" w:lineRule="atLeast"/>
        <w:jc w:val="both"/>
        <w:rPr>
          <w:rFonts w:hint="default" w:ascii="Times New Roman" w:hAnsi="Times New Roman" w:eastAsia="宋体" w:cs="Times New Roman"/>
          <w:color w:val="auto"/>
          <w:sz w:val="24"/>
          <w:szCs w:val="24"/>
          <w:highlight w:val="none"/>
        </w:rPr>
      </w:pPr>
    </w:p>
    <w:p w14:paraId="16353027">
      <w:pPr>
        <w:pStyle w:val="29"/>
        <w:spacing w:line="20" w:lineRule="atLeast"/>
        <w:jc w:val="both"/>
        <w:rPr>
          <w:rFonts w:hint="default" w:ascii="Times New Roman" w:hAnsi="Times New Roman" w:eastAsia="宋体" w:cs="Times New Roman"/>
          <w:color w:val="auto"/>
          <w:sz w:val="24"/>
          <w:szCs w:val="24"/>
          <w:highlight w:val="none"/>
        </w:rPr>
      </w:pPr>
    </w:p>
    <w:p w14:paraId="21E64E5B">
      <w:pPr>
        <w:pStyle w:val="29"/>
        <w:spacing w:line="20" w:lineRule="atLeast"/>
        <w:jc w:val="both"/>
        <w:rPr>
          <w:rFonts w:hint="default" w:ascii="Times New Roman" w:hAnsi="Times New Roman" w:eastAsia="宋体" w:cs="Times New Roman"/>
          <w:color w:val="auto"/>
          <w:sz w:val="24"/>
          <w:szCs w:val="24"/>
          <w:highlight w:val="none"/>
        </w:rPr>
      </w:pPr>
    </w:p>
    <w:p w14:paraId="16BDA72D">
      <w:pPr>
        <w:pStyle w:val="29"/>
        <w:spacing w:line="20" w:lineRule="atLeast"/>
        <w:jc w:val="both"/>
        <w:rPr>
          <w:rFonts w:hint="default" w:ascii="Times New Roman" w:hAnsi="Times New Roman" w:eastAsia="宋体" w:cs="Times New Roman"/>
          <w:color w:val="auto"/>
          <w:sz w:val="24"/>
          <w:szCs w:val="24"/>
          <w:highlight w:val="none"/>
        </w:rPr>
      </w:pPr>
    </w:p>
    <w:p w14:paraId="76216F62">
      <w:pPr>
        <w:pStyle w:val="29"/>
        <w:spacing w:line="20" w:lineRule="atLeast"/>
        <w:jc w:val="both"/>
        <w:rPr>
          <w:rFonts w:hint="default" w:ascii="Times New Roman" w:hAnsi="Times New Roman" w:eastAsia="宋体" w:cs="Times New Roman"/>
          <w:color w:val="auto"/>
          <w:sz w:val="24"/>
          <w:szCs w:val="24"/>
          <w:highlight w:val="none"/>
        </w:rPr>
      </w:pPr>
    </w:p>
    <w:p w14:paraId="0F3E980F">
      <w:pPr>
        <w:pStyle w:val="29"/>
        <w:spacing w:line="20" w:lineRule="atLeast"/>
        <w:jc w:val="both"/>
        <w:rPr>
          <w:rFonts w:hint="default" w:ascii="Times New Roman" w:hAnsi="Times New Roman" w:eastAsia="宋体" w:cs="Times New Roman"/>
          <w:color w:val="auto"/>
          <w:sz w:val="24"/>
          <w:szCs w:val="24"/>
          <w:highlight w:val="none"/>
        </w:rPr>
      </w:pPr>
    </w:p>
    <w:p w14:paraId="0CEEE182">
      <w:pPr>
        <w:pStyle w:val="29"/>
        <w:spacing w:line="20" w:lineRule="atLeast"/>
        <w:jc w:val="both"/>
        <w:rPr>
          <w:rFonts w:hint="default" w:ascii="Times New Roman" w:hAnsi="Times New Roman" w:eastAsia="宋体" w:cs="Times New Roman"/>
          <w:color w:val="auto"/>
          <w:sz w:val="24"/>
          <w:szCs w:val="24"/>
          <w:highlight w:val="none"/>
        </w:rPr>
      </w:pPr>
    </w:p>
    <w:p w14:paraId="53A5F1C8">
      <w:pPr>
        <w:pStyle w:val="29"/>
        <w:spacing w:line="20" w:lineRule="atLeast"/>
        <w:jc w:val="both"/>
        <w:rPr>
          <w:rFonts w:hint="default" w:ascii="Times New Roman" w:hAnsi="Times New Roman" w:eastAsia="宋体" w:cs="Times New Roman"/>
          <w:color w:val="auto"/>
          <w:sz w:val="24"/>
          <w:szCs w:val="24"/>
          <w:highlight w:val="none"/>
        </w:rPr>
      </w:pPr>
    </w:p>
    <w:p w14:paraId="1D29F760">
      <w:pPr>
        <w:pStyle w:val="29"/>
        <w:spacing w:line="20" w:lineRule="atLeast"/>
        <w:jc w:val="both"/>
        <w:rPr>
          <w:rFonts w:hint="default" w:ascii="Times New Roman" w:hAnsi="Times New Roman" w:eastAsia="宋体" w:cs="Times New Roman"/>
          <w:color w:val="auto"/>
          <w:sz w:val="24"/>
          <w:szCs w:val="24"/>
          <w:highlight w:val="none"/>
        </w:rPr>
      </w:pPr>
    </w:p>
    <w:p w14:paraId="291CA8A7">
      <w:pPr>
        <w:pStyle w:val="29"/>
        <w:spacing w:line="20" w:lineRule="atLeast"/>
        <w:jc w:val="both"/>
        <w:rPr>
          <w:rFonts w:hint="default" w:ascii="Times New Roman" w:hAnsi="Times New Roman" w:eastAsia="宋体" w:cs="Times New Roman"/>
          <w:color w:val="auto"/>
          <w:sz w:val="24"/>
          <w:szCs w:val="24"/>
          <w:highlight w:val="none"/>
        </w:rPr>
      </w:pPr>
    </w:p>
    <w:p w14:paraId="702E6162">
      <w:pPr>
        <w:pStyle w:val="29"/>
        <w:spacing w:line="20" w:lineRule="atLeast"/>
        <w:jc w:val="both"/>
        <w:rPr>
          <w:rFonts w:hint="default" w:ascii="Times New Roman" w:hAnsi="Times New Roman" w:eastAsia="宋体" w:cs="Times New Roman"/>
          <w:color w:val="auto"/>
          <w:sz w:val="24"/>
          <w:szCs w:val="24"/>
          <w:highlight w:val="none"/>
        </w:rPr>
      </w:pPr>
    </w:p>
    <w:p w14:paraId="6B4DBF85">
      <w:pPr>
        <w:pStyle w:val="29"/>
        <w:spacing w:line="20" w:lineRule="atLeast"/>
        <w:jc w:val="both"/>
        <w:rPr>
          <w:rFonts w:hint="default" w:ascii="Times New Roman" w:hAnsi="Times New Roman" w:eastAsia="宋体" w:cs="Times New Roman"/>
          <w:color w:val="auto"/>
          <w:sz w:val="24"/>
          <w:szCs w:val="24"/>
          <w:highlight w:val="none"/>
        </w:rPr>
      </w:pPr>
    </w:p>
    <w:p w14:paraId="1B9F1F82">
      <w:pPr>
        <w:pStyle w:val="29"/>
        <w:spacing w:line="20" w:lineRule="atLeast"/>
        <w:jc w:val="both"/>
        <w:rPr>
          <w:rFonts w:hint="default" w:ascii="Times New Roman" w:hAnsi="Times New Roman" w:eastAsia="宋体" w:cs="Times New Roman"/>
          <w:color w:val="auto"/>
          <w:sz w:val="24"/>
          <w:szCs w:val="24"/>
          <w:highlight w:val="none"/>
        </w:rPr>
      </w:pPr>
    </w:p>
    <w:p w14:paraId="7808666E">
      <w:pPr>
        <w:pStyle w:val="29"/>
        <w:spacing w:line="20" w:lineRule="atLeast"/>
        <w:jc w:val="both"/>
        <w:rPr>
          <w:rFonts w:hint="default" w:ascii="Times New Roman" w:hAnsi="Times New Roman" w:eastAsia="宋体" w:cs="Times New Roman"/>
          <w:color w:val="auto"/>
          <w:sz w:val="24"/>
          <w:szCs w:val="24"/>
          <w:highlight w:val="none"/>
        </w:rPr>
      </w:pPr>
    </w:p>
    <w:p w14:paraId="007B59BD">
      <w:pPr>
        <w:pStyle w:val="29"/>
        <w:spacing w:line="20" w:lineRule="atLeast"/>
        <w:jc w:val="both"/>
        <w:rPr>
          <w:rFonts w:hint="default" w:ascii="Times New Roman" w:hAnsi="Times New Roman" w:eastAsia="宋体" w:cs="Times New Roman"/>
          <w:color w:val="auto"/>
          <w:sz w:val="24"/>
          <w:szCs w:val="24"/>
          <w:highlight w:val="none"/>
        </w:rPr>
      </w:pPr>
    </w:p>
    <w:p w14:paraId="74217AEA">
      <w:pPr>
        <w:pStyle w:val="29"/>
        <w:spacing w:line="20" w:lineRule="atLeast"/>
        <w:jc w:val="both"/>
        <w:rPr>
          <w:rFonts w:hint="default" w:ascii="Times New Roman" w:hAnsi="Times New Roman" w:eastAsia="宋体" w:cs="Times New Roman"/>
          <w:color w:val="auto"/>
          <w:sz w:val="24"/>
          <w:szCs w:val="24"/>
          <w:highlight w:val="none"/>
        </w:rPr>
      </w:pPr>
    </w:p>
    <w:p w14:paraId="5A7942BE">
      <w:pPr>
        <w:pStyle w:val="29"/>
        <w:spacing w:line="20" w:lineRule="atLeast"/>
        <w:jc w:val="both"/>
        <w:rPr>
          <w:rFonts w:hint="default" w:ascii="Times New Roman" w:hAnsi="Times New Roman" w:eastAsia="宋体" w:cs="Times New Roman"/>
          <w:color w:val="auto"/>
          <w:sz w:val="24"/>
          <w:szCs w:val="24"/>
          <w:highlight w:val="none"/>
        </w:rPr>
      </w:pPr>
    </w:p>
    <w:p w14:paraId="4592B615">
      <w:pPr>
        <w:pStyle w:val="29"/>
        <w:spacing w:line="20" w:lineRule="atLeast"/>
        <w:jc w:val="both"/>
        <w:rPr>
          <w:rFonts w:hint="default" w:ascii="Times New Roman" w:hAnsi="Times New Roman" w:eastAsia="宋体" w:cs="Times New Roman"/>
          <w:color w:val="auto"/>
          <w:sz w:val="24"/>
          <w:szCs w:val="24"/>
          <w:highlight w:val="none"/>
        </w:rPr>
      </w:pPr>
    </w:p>
    <w:p w14:paraId="3900F821">
      <w:pPr>
        <w:pStyle w:val="29"/>
        <w:spacing w:line="20" w:lineRule="atLeast"/>
        <w:jc w:val="both"/>
        <w:rPr>
          <w:rFonts w:hint="default" w:ascii="Times New Roman" w:hAnsi="Times New Roman" w:eastAsia="宋体" w:cs="Times New Roman"/>
          <w:color w:val="auto"/>
          <w:sz w:val="24"/>
          <w:szCs w:val="24"/>
          <w:highlight w:val="none"/>
        </w:rPr>
      </w:pPr>
    </w:p>
    <w:p w14:paraId="2615EF28">
      <w:pPr>
        <w:pStyle w:val="29"/>
        <w:spacing w:line="20" w:lineRule="atLeast"/>
        <w:jc w:val="both"/>
        <w:rPr>
          <w:rFonts w:hint="default" w:ascii="Times New Roman" w:hAnsi="Times New Roman" w:eastAsia="宋体" w:cs="Times New Roman"/>
          <w:color w:val="auto"/>
          <w:sz w:val="24"/>
          <w:szCs w:val="24"/>
          <w:highlight w:val="none"/>
        </w:rPr>
      </w:pPr>
    </w:p>
    <w:p w14:paraId="7781AE2A">
      <w:pPr>
        <w:pStyle w:val="29"/>
        <w:spacing w:line="20" w:lineRule="atLeast"/>
        <w:jc w:val="both"/>
        <w:rPr>
          <w:rFonts w:hint="default" w:ascii="Times New Roman" w:hAnsi="Times New Roman" w:eastAsia="宋体" w:cs="Times New Roman"/>
          <w:color w:val="auto"/>
          <w:sz w:val="24"/>
          <w:szCs w:val="24"/>
          <w:highlight w:val="none"/>
        </w:rPr>
      </w:pPr>
    </w:p>
    <w:p w14:paraId="1EFE7F06">
      <w:pPr>
        <w:pStyle w:val="29"/>
        <w:spacing w:line="20" w:lineRule="atLeast"/>
        <w:jc w:val="both"/>
        <w:rPr>
          <w:rFonts w:hint="default" w:ascii="Times New Roman" w:hAnsi="Times New Roman" w:eastAsia="宋体" w:cs="Times New Roman"/>
          <w:color w:val="auto"/>
          <w:sz w:val="24"/>
          <w:szCs w:val="24"/>
          <w:highlight w:val="none"/>
        </w:rPr>
      </w:pPr>
    </w:p>
    <w:p w14:paraId="2A8BC812">
      <w:pPr>
        <w:pStyle w:val="29"/>
        <w:spacing w:line="20" w:lineRule="atLeast"/>
        <w:jc w:val="both"/>
        <w:rPr>
          <w:rFonts w:hint="default" w:ascii="Times New Roman" w:hAnsi="Times New Roman" w:eastAsia="宋体" w:cs="Times New Roman"/>
          <w:color w:val="auto"/>
          <w:sz w:val="24"/>
          <w:szCs w:val="24"/>
          <w:highlight w:val="none"/>
        </w:rPr>
      </w:pPr>
    </w:p>
    <w:p w14:paraId="4DF462C3">
      <w:pPr>
        <w:pStyle w:val="29"/>
        <w:spacing w:line="20" w:lineRule="atLeast"/>
        <w:jc w:val="both"/>
        <w:rPr>
          <w:rFonts w:hint="default" w:ascii="Times New Roman" w:hAnsi="Times New Roman" w:eastAsia="宋体" w:cs="Times New Roman"/>
          <w:color w:val="auto"/>
          <w:sz w:val="24"/>
          <w:szCs w:val="24"/>
          <w:highlight w:val="none"/>
        </w:rPr>
      </w:pPr>
    </w:p>
    <w:p w14:paraId="1BD16B39">
      <w:pPr>
        <w:pStyle w:val="29"/>
        <w:spacing w:line="20" w:lineRule="atLeast"/>
        <w:jc w:val="both"/>
        <w:rPr>
          <w:rFonts w:hint="default" w:ascii="Times New Roman" w:hAnsi="Times New Roman" w:eastAsia="宋体" w:cs="Times New Roman"/>
          <w:color w:val="auto"/>
          <w:sz w:val="24"/>
          <w:szCs w:val="24"/>
          <w:highlight w:val="none"/>
        </w:rPr>
      </w:pPr>
    </w:p>
    <w:p w14:paraId="7F4FAF7A">
      <w:pPr>
        <w:pStyle w:val="29"/>
        <w:spacing w:line="20" w:lineRule="atLeast"/>
        <w:jc w:val="both"/>
        <w:rPr>
          <w:rFonts w:hint="default" w:ascii="Times New Roman" w:hAnsi="Times New Roman" w:eastAsia="宋体" w:cs="Times New Roman"/>
          <w:color w:val="auto"/>
          <w:sz w:val="24"/>
          <w:szCs w:val="24"/>
          <w:highlight w:val="none"/>
        </w:rPr>
      </w:pPr>
    </w:p>
    <w:p w14:paraId="2386BB3A">
      <w:pPr>
        <w:pStyle w:val="29"/>
        <w:spacing w:line="20" w:lineRule="atLeast"/>
        <w:jc w:val="center"/>
        <w:rPr>
          <w:rFonts w:hint="default" w:ascii="Times New Roman" w:hAnsi="Times New Roman" w:eastAsia="宋体" w:cs="Times New Roman"/>
          <w:color w:val="auto"/>
          <w:sz w:val="24"/>
          <w:szCs w:val="24"/>
          <w:highlight w:val="none"/>
        </w:rPr>
      </w:pPr>
    </w:p>
    <w:p w14:paraId="5A294E56">
      <w:pPr>
        <w:pStyle w:val="29"/>
        <w:spacing w:line="20" w:lineRule="atLeast"/>
        <w:jc w:val="center"/>
        <w:rPr>
          <w:rFonts w:hint="default" w:ascii="Times New Roman" w:hAnsi="Times New Roman" w:cs="Times New Roman"/>
          <w:color w:val="auto"/>
          <w:highlight w:val="none"/>
        </w:rPr>
      </w:pPr>
      <w:r>
        <w:rPr>
          <w:rFonts w:hint="default" w:ascii="Times New Roman" w:hAnsi="Times New Roman" w:eastAsia="仿宋" w:cs="Times New Roman"/>
          <w:bCs/>
          <w:color w:val="auto"/>
          <w:sz w:val="24"/>
          <w:szCs w:val="24"/>
          <w:highlight w:val="none"/>
        </w:rPr>
        <w:t>（结束）</w:t>
      </w:r>
    </w:p>
    <w:sectPr>
      <w:headerReference r:id="rId16" w:type="default"/>
      <w:footerReference r:id="rId17"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Univers">
    <w:altName w:val="Arial"/>
    <w:panose1 w:val="00000000000000000000"/>
    <w:charset w:val="00"/>
    <w:family w:val="swiss"/>
    <w:pitch w:val="default"/>
    <w:sig w:usb0="00000000" w:usb1="00000000" w:usb2="00000000" w:usb3="00000000" w:csb0="00000093" w:csb1="00000000"/>
  </w:font>
  <w:font w:name="MS Mincho">
    <w:panose1 w:val="02020609040205080304"/>
    <w:charset w:val="80"/>
    <w:family w:val="modern"/>
    <w:pitch w:val="default"/>
    <w:sig w:usb0="E00002FF" w:usb1="6AC7FDFB" w:usb2="00000012" w:usb3="00000000" w:csb0="4002009F" w:csb1="DFD7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6E68B">
    <w:pPr>
      <w:pStyle w:val="14"/>
      <w:framePr w:wrap="around" w:vAnchor="text" w:hAnchor="margin" w:xAlign="center" w:y="1"/>
      <w:jc w:val="center"/>
      <w:rPr>
        <w:rStyle w:val="26"/>
        <w:rFonts w:ascii="宋体"/>
        <w:sz w:val="21"/>
        <w:szCs w:val="21"/>
      </w:rPr>
    </w:pPr>
    <w:r>
      <w:rPr>
        <w:rFonts w:ascii="宋体"/>
        <w:sz w:val="21"/>
        <w:szCs w:val="21"/>
      </w:rPr>
      <w:fldChar w:fldCharType="begin"/>
    </w:r>
    <w:r>
      <w:rPr>
        <w:rStyle w:val="26"/>
        <w:rFonts w:ascii="宋体"/>
        <w:sz w:val="21"/>
        <w:szCs w:val="21"/>
      </w:rPr>
      <w:instrText xml:space="preserve">PAGE  </w:instrText>
    </w:r>
    <w:r>
      <w:rPr>
        <w:rFonts w:ascii="宋体"/>
        <w:sz w:val="21"/>
        <w:szCs w:val="21"/>
      </w:rPr>
      <w:fldChar w:fldCharType="separate"/>
    </w:r>
    <w:r>
      <w:rPr>
        <w:rStyle w:val="26"/>
        <w:rFonts w:ascii="宋体"/>
        <w:sz w:val="21"/>
        <w:szCs w:val="21"/>
      </w:rPr>
      <w:t>- 1 -</w:t>
    </w:r>
    <w:r>
      <w:rPr>
        <w:rFonts w:ascii="宋体"/>
        <w:sz w:val="21"/>
        <w:szCs w:val="21"/>
      </w:rPr>
      <w:fldChar w:fldCharType="end"/>
    </w:r>
  </w:p>
  <w:p w14:paraId="22986E9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218B">
    <w:pPr>
      <w:pStyle w:val="14"/>
      <w:framePr w:wrap="around" w:vAnchor="text" w:hAnchor="margin" w:xAlign="center" w:y="1"/>
      <w:rPr>
        <w:rStyle w:val="26"/>
      </w:rPr>
    </w:pPr>
    <w:r>
      <w:fldChar w:fldCharType="begin"/>
    </w:r>
    <w:r>
      <w:rPr>
        <w:rStyle w:val="26"/>
      </w:rPr>
      <w:instrText xml:space="preserve">PAGE  </w:instrText>
    </w:r>
    <w:r>
      <w:fldChar w:fldCharType="end"/>
    </w:r>
  </w:p>
  <w:p w14:paraId="2B029F6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B429">
    <w:pPr>
      <w:pStyle w:val="14"/>
      <w:framePr w:wrap="around" w:vAnchor="text" w:hAnchor="margin" w:xAlign="center" w:y="1"/>
      <w:rPr>
        <w:rStyle w:val="26"/>
      </w:rPr>
    </w:pPr>
  </w:p>
  <w:p w14:paraId="72F09AB2">
    <w:pPr>
      <w:pStyle w:val="14"/>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C9A7">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D21AC">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9D21AC">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1C67">
    <w:pPr>
      <w:pStyle w:val="14"/>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FF0536">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5FF0536">
                    <w:pPr>
                      <w:pStyle w:val="1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E356B">
    <w:pPr>
      <w:pStyle w:val="14"/>
      <w:ind w:right="360"/>
      <w:jc w:val="center"/>
    </w:pPr>
    <w:r>
      <w:fldChar w:fldCharType="begin"/>
    </w:r>
    <w:r>
      <w:rPr>
        <w:rStyle w:val="26"/>
      </w:rPr>
      <w:instrText xml:space="preserve"> PAGE </w:instrText>
    </w:r>
    <w:r>
      <w:fldChar w:fldCharType="separate"/>
    </w:r>
    <w:r>
      <w:rPr>
        <w:rStyle w:val="26"/>
      </w:rPr>
      <w:t>- 28 -</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6E42">
    <w:pPr>
      <w:pStyle w:val="14"/>
      <w:jc w:val="center"/>
      <w:rPr>
        <w:rFonts w:ascii="宋体" w:hAnsi="宋体"/>
        <w:sz w:val="21"/>
        <w:szCs w:val="21"/>
      </w:rPr>
    </w:pPr>
    <w:r>
      <w:rPr>
        <w:rFonts w:ascii="宋体" w:hAnsi="宋体"/>
        <w:sz w:val="21"/>
        <w:szCs w:val="21"/>
      </w:rPr>
      <w:fldChar w:fldCharType="begin"/>
    </w:r>
    <w:r>
      <w:rPr>
        <w:rStyle w:val="26"/>
        <w:rFonts w:ascii="宋体" w:hAnsi="宋体"/>
        <w:sz w:val="21"/>
        <w:szCs w:val="21"/>
      </w:rPr>
      <w:instrText xml:space="preserve"> PAGE </w:instrText>
    </w:r>
    <w:r>
      <w:rPr>
        <w:rFonts w:ascii="宋体" w:hAnsi="宋体"/>
        <w:sz w:val="21"/>
        <w:szCs w:val="21"/>
      </w:rPr>
      <w:fldChar w:fldCharType="separate"/>
    </w:r>
    <w:r>
      <w:rPr>
        <w:rStyle w:val="26"/>
        <w:rFonts w:ascii="宋体" w:hAnsi="宋体"/>
        <w:sz w:val="21"/>
        <w:szCs w:val="21"/>
      </w:rPr>
      <w:t>- 30 -</w:t>
    </w:r>
    <w:r>
      <w:rPr>
        <w:rFonts w:ascii="宋体" w:hAnsi="宋体"/>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F4001">
    <w:pPr>
      <w:pStyle w:val="14"/>
      <w:jc w:val="center"/>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C82D">
                          <w:pPr>
                            <w:pStyle w:val="14"/>
                          </w:pPr>
                          <w:r>
                            <w:fldChar w:fldCharType="begin"/>
                          </w:r>
                          <w:r>
                            <w:instrText xml:space="preserve"> PAGE  \* MERGEFORMAT </w:instrText>
                          </w:r>
                          <w:r>
                            <w:fldChar w:fldCharType="separate"/>
                          </w:r>
                          <w:r>
                            <w:t>54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3956C82D">
                    <w:pPr>
                      <w:pStyle w:val="1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D2CE">
    <w:pPr>
      <w:pStyle w:val="15"/>
      <w:pBdr>
        <w:bottom w:val="none" w:color="auto" w:sz="0" w:space="1"/>
      </w:pBdr>
      <w:jc w:val="both"/>
      <w:rPr>
        <w:rFonts w:ascii="方正仿宋_GBK" w:eastAsia="方正仿宋_GBK"/>
        <w:sz w:val="21"/>
        <w:szCs w:val="21"/>
      </w:rPr>
    </w:pPr>
    <w:r>
      <w:rPr>
        <w:rFonts w:hint="eastAsia" w:ascii="方正仿宋_GBK" w:eastAsia="方正仿宋_GBK"/>
        <w:sz w:val="21"/>
        <w:szCs w:val="21"/>
      </w:rPr>
      <w:t xml:space="preserve">           </w:t>
    </w:r>
  </w:p>
  <w:p w14:paraId="42CE5083">
    <w:pPr>
      <w:pStyle w:val="15"/>
      <w:pBdr>
        <w:bottom w:val="none" w:color="auto" w:sz="0" w:space="1"/>
      </w:pBdr>
      <w:jc w:val="both"/>
      <w:rPr>
        <w:rFonts w:hint="eastAsia" w:ascii="方正仿宋_GBK" w:eastAsia="方正仿宋_GBK"/>
        <w:sz w:val="21"/>
        <w:szCs w:val="21"/>
        <w:lang w:val="en-US" w:eastAsia="zh-CN"/>
      </w:rPr>
    </w:pPr>
    <w:r>
      <w:rPr>
        <w:rFonts w:hint="eastAsia" w:ascii="方正仿宋_GBK" w:eastAsia="方正仿宋_GBK"/>
        <w:sz w:val="21"/>
        <w:szCs w:val="21"/>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2576A">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718DD">
    <w:pPr>
      <w:pStyle w:val="15"/>
      <w:pBdr>
        <w:bottom w:val="none" w:color="auto" w:sz="0" w:space="1"/>
      </w:pBdr>
      <w:jc w:val="left"/>
      <w:rPr>
        <w:rFonts w:hint="eastAsia"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FDB37">
    <w:pPr>
      <w:pStyle w:val="15"/>
      <w:pBdr>
        <w:bottom w:val="none" w:color="auto" w:sz="0" w:space="1"/>
      </w:pBdr>
      <w:jc w:val="left"/>
      <w:rPr>
        <w:rFonts w:hint="eastAsia"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7861">
    <w:pPr>
      <w:pStyle w:val="15"/>
      <w:pBdr>
        <w:bottom w:val="none" w:color="auto" w:sz="0" w:space="1"/>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0D0E">
    <w:pPr>
      <w:pStyle w:val="15"/>
      <w:pBdr>
        <w:bottom w:val="none" w:color="auto" w:sz="0" w:space="1"/>
      </w:pBdr>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0C813">
    <w:pPr>
      <w:pStyle w:val="15"/>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0DA1E4"/>
    <w:multiLevelType w:val="singleLevel"/>
    <w:tmpl w:val="4A0DA1E4"/>
    <w:lvl w:ilvl="0" w:tentative="0">
      <w:start w:val="3"/>
      <w:numFmt w:val="chineseCounting"/>
      <w:suff w:val="nothing"/>
      <w:lvlText w:val="%1、"/>
      <w:lvlJc w:val="left"/>
      <w:rPr>
        <w:rFonts w:hint="eastAsia"/>
      </w:rPr>
    </w:lvl>
  </w:abstractNum>
  <w:abstractNum w:abstractNumId="1">
    <w:nsid w:val="63848A98"/>
    <w:multiLevelType w:val="singleLevel"/>
    <w:tmpl w:val="63848A98"/>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Y2Y5ZmU5NGE2Njk2M2ExY2FjMjAzNzJiNDQ2NzQifQ=="/>
  </w:docVars>
  <w:rsids>
    <w:rsidRoot w:val="00E05721"/>
    <w:rsid w:val="00010310"/>
    <w:rsid w:val="00020ED1"/>
    <w:rsid w:val="00067644"/>
    <w:rsid w:val="0008763A"/>
    <w:rsid w:val="000970F1"/>
    <w:rsid w:val="00097702"/>
    <w:rsid w:val="000C3F13"/>
    <w:rsid w:val="000C7874"/>
    <w:rsid w:val="000D4539"/>
    <w:rsid w:val="000E307E"/>
    <w:rsid w:val="000E675F"/>
    <w:rsid w:val="00105CB4"/>
    <w:rsid w:val="00116795"/>
    <w:rsid w:val="001205FA"/>
    <w:rsid w:val="0016029D"/>
    <w:rsid w:val="00163A62"/>
    <w:rsid w:val="00166FE4"/>
    <w:rsid w:val="001C3BCB"/>
    <w:rsid w:val="001D0A2C"/>
    <w:rsid w:val="001D3AB8"/>
    <w:rsid w:val="00232937"/>
    <w:rsid w:val="00247343"/>
    <w:rsid w:val="00254170"/>
    <w:rsid w:val="002702EF"/>
    <w:rsid w:val="00277A3A"/>
    <w:rsid w:val="002A42FA"/>
    <w:rsid w:val="002A4BE3"/>
    <w:rsid w:val="002D3646"/>
    <w:rsid w:val="003357D8"/>
    <w:rsid w:val="003C07E8"/>
    <w:rsid w:val="004428F5"/>
    <w:rsid w:val="00442A04"/>
    <w:rsid w:val="004650F2"/>
    <w:rsid w:val="0047398E"/>
    <w:rsid w:val="004933C1"/>
    <w:rsid w:val="004946DD"/>
    <w:rsid w:val="004C2A82"/>
    <w:rsid w:val="005045E0"/>
    <w:rsid w:val="005060C3"/>
    <w:rsid w:val="00516CC7"/>
    <w:rsid w:val="00516D3D"/>
    <w:rsid w:val="00525886"/>
    <w:rsid w:val="00532D76"/>
    <w:rsid w:val="0054010A"/>
    <w:rsid w:val="00545901"/>
    <w:rsid w:val="00596BF6"/>
    <w:rsid w:val="005A09E8"/>
    <w:rsid w:val="005B14B0"/>
    <w:rsid w:val="005D50D6"/>
    <w:rsid w:val="00620B8D"/>
    <w:rsid w:val="00626F9C"/>
    <w:rsid w:val="00667E8A"/>
    <w:rsid w:val="006734B3"/>
    <w:rsid w:val="00673A42"/>
    <w:rsid w:val="006816DC"/>
    <w:rsid w:val="0068799A"/>
    <w:rsid w:val="006956A1"/>
    <w:rsid w:val="006C51C0"/>
    <w:rsid w:val="006D4D06"/>
    <w:rsid w:val="006E0634"/>
    <w:rsid w:val="00700B66"/>
    <w:rsid w:val="007112B3"/>
    <w:rsid w:val="00720E16"/>
    <w:rsid w:val="00723FCC"/>
    <w:rsid w:val="0072769A"/>
    <w:rsid w:val="007354A9"/>
    <w:rsid w:val="00737936"/>
    <w:rsid w:val="0074735C"/>
    <w:rsid w:val="0075194C"/>
    <w:rsid w:val="007613AC"/>
    <w:rsid w:val="00774607"/>
    <w:rsid w:val="00792248"/>
    <w:rsid w:val="007A69B2"/>
    <w:rsid w:val="007B531A"/>
    <w:rsid w:val="00803668"/>
    <w:rsid w:val="00803679"/>
    <w:rsid w:val="00810BE9"/>
    <w:rsid w:val="00816B4F"/>
    <w:rsid w:val="00833244"/>
    <w:rsid w:val="008A5709"/>
    <w:rsid w:val="008B0F33"/>
    <w:rsid w:val="008C2D4B"/>
    <w:rsid w:val="008D284B"/>
    <w:rsid w:val="008F5009"/>
    <w:rsid w:val="00914BAD"/>
    <w:rsid w:val="009610DE"/>
    <w:rsid w:val="009613AD"/>
    <w:rsid w:val="00984C28"/>
    <w:rsid w:val="009A74D4"/>
    <w:rsid w:val="009C512B"/>
    <w:rsid w:val="009E3A07"/>
    <w:rsid w:val="00A032AB"/>
    <w:rsid w:val="00A114D2"/>
    <w:rsid w:val="00A2611F"/>
    <w:rsid w:val="00A50D5D"/>
    <w:rsid w:val="00A525CA"/>
    <w:rsid w:val="00A94A37"/>
    <w:rsid w:val="00AB69EF"/>
    <w:rsid w:val="00AC0146"/>
    <w:rsid w:val="00AE7E74"/>
    <w:rsid w:val="00AF33C1"/>
    <w:rsid w:val="00AF58AB"/>
    <w:rsid w:val="00B63F65"/>
    <w:rsid w:val="00B7238C"/>
    <w:rsid w:val="00B74301"/>
    <w:rsid w:val="00B84626"/>
    <w:rsid w:val="00B9424D"/>
    <w:rsid w:val="00BB3F72"/>
    <w:rsid w:val="00BC2AF2"/>
    <w:rsid w:val="00BE2C13"/>
    <w:rsid w:val="00C10C9D"/>
    <w:rsid w:val="00CA0407"/>
    <w:rsid w:val="00CA7996"/>
    <w:rsid w:val="00D1097E"/>
    <w:rsid w:val="00D408E5"/>
    <w:rsid w:val="00D85074"/>
    <w:rsid w:val="00DC3AF9"/>
    <w:rsid w:val="00DD5BF1"/>
    <w:rsid w:val="00E05721"/>
    <w:rsid w:val="00E52CB7"/>
    <w:rsid w:val="00E865C2"/>
    <w:rsid w:val="00EF448C"/>
    <w:rsid w:val="00F02F12"/>
    <w:rsid w:val="00F04C76"/>
    <w:rsid w:val="00F70B9F"/>
    <w:rsid w:val="00F74067"/>
    <w:rsid w:val="00F87036"/>
    <w:rsid w:val="00FA2F0E"/>
    <w:rsid w:val="00FB22FD"/>
    <w:rsid w:val="00FC13C3"/>
    <w:rsid w:val="00FE6E62"/>
    <w:rsid w:val="00FF06A3"/>
    <w:rsid w:val="0117036D"/>
    <w:rsid w:val="013E0646"/>
    <w:rsid w:val="01DC3839"/>
    <w:rsid w:val="01E463E0"/>
    <w:rsid w:val="01FC259F"/>
    <w:rsid w:val="020F4082"/>
    <w:rsid w:val="024737BC"/>
    <w:rsid w:val="02714395"/>
    <w:rsid w:val="028D5673"/>
    <w:rsid w:val="031C69F7"/>
    <w:rsid w:val="032B09E8"/>
    <w:rsid w:val="03634A0A"/>
    <w:rsid w:val="03684072"/>
    <w:rsid w:val="04090D29"/>
    <w:rsid w:val="040C05F0"/>
    <w:rsid w:val="04446205"/>
    <w:rsid w:val="04A1273E"/>
    <w:rsid w:val="04BC1F2C"/>
    <w:rsid w:val="04E672BC"/>
    <w:rsid w:val="050F6813"/>
    <w:rsid w:val="05120152"/>
    <w:rsid w:val="055406CA"/>
    <w:rsid w:val="0571302A"/>
    <w:rsid w:val="05AA653C"/>
    <w:rsid w:val="05D215EF"/>
    <w:rsid w:val="06297310"/>
    <w:rsid w:val="06527A7A"/>
    <w:rsid w:val="06EC5E8E"/>
    <w:rsid w:val="06FF31BC"/>
    <w:rsid w:val="070F3333"/>
    <w:rsid w:val="07195727"/>
    <w:rsid w:val="0748600C"/>
    <w:rsid w:val="08033CE1"/>
    <w:rsid w:val="08251EAA"/>
    <w:rsid w:val="082641D3"/>
    <w:rsid w:val="082C148A"/>
    <w:rsid w:val="08B80F70"/>
    <w:rsid w:val="08E25FED"/>
    <w:rsid w:val="09100E8B"/>
    <w:rsid w:val="091B49E5"/>
    <w:rsid w:val="092D370C"/>
    <w:rsid w:val="093E7167"/>
    <w:rsid w:val="09540018"/>
    <w:rsid w:val="09712FC1"/>
    <w:rsid w:val="097A6225"/>
    <w:rsid w:val="09E87633"/>
    <w:rsid w:val="0A193C90"/>
    <w:rsid w:val="0A39731A"/>
    <w:rsid w:val="0A3B7A5B"/>
    <w:rsid w:val="0ACA0AE6"/>
    <w:rsid w:val="0B602A7C"/>
    <w:rsid w:val="0C526B86"/>
    <w:rsid w:val="0C9B4A10"/>
    <w:rsid w:val="0CB4392F"/>
    <w:rsid w:val="0D0E0E20"/>
    <w:rsid w:val="0D0F4ED6"/>
    <w:rsid w:val="0D2639A3"/>
    <w:rsid w:val="0D2E628A"/>
    <w:rsid w:val="0D4903E8"/>
    <w:rsid w:val="0D9D1FC6"/>
    <w:rsid w:val="0DDE4FF7"/>
    <w:rsid w:val="0DE61630"/>
    <w:rsid w:val="0DED662C"/>
    <w:rsid w:val="0DEE2D3E"/>
    <w:rsid w:val="0DF14556"/>
    <w:rsid w:val="0E2F3A82"/>
    <w:rsid w:val="0E4B0190"/>
    <w:rsid w:val="0E7E40C2"/>
    <w:rsid w:val="0F360E8E"/>
    <w:rsid w:val="0F5C551E"/>
    <w:rsid w:val="0F8676D2"/>
    <w:rsid w:val="0FA36F7B"/>
    <w:rsid w:val="0FC6075F"/>
    <w:rsid w:val="0FC96ED0"/>
    <w:rsid w:val="0FD541B5"/>
    <w:rsid w:val="101809AD"/>
    <w:rsid w:val="10270CA8"/>
    <w:rsid w:val="103F5B4D"/>
    <w:rsid w:val="10753235"/>
    <w:rsid w:val="10F158EF"/>
    <w:rsid w:val="110B3741"/>
    <w:rsid w:val="11440FE4"/>
    <w:rsid w:val="116B5E0B"/>
    <w:rsid w:val="119D041B"/>
    <w:rsid w:val="11D02E86"/>
    <w:rsid w:val="11D74292"/>
    <w:rsid w:val="11DF30C9"/>
    <w:rsid w:val="11FC1ECD"/>
    <w:rsid w:val="12015736"/>
    <w:rsid w:val="120B7738"/>
    <w:rsid w:val="1218482D"/>
    <w:rsid w:val="1222745A"/>
    <w:rsid w:val="12270675"/>
    <w:rsid w:val="122E4A0F"/>
    <w:rsid w:val="12372F05"/>
    <w:rsid w:val="125E364D"/>
    <w:rsid w:val="12687563"/>
    <w:rsid w:val="12922832"/>
    <w:rsid w:val="12A83E03"/>
    <w:rsid w:val="12AA36D7"/>
    <w:rsid w:val="12B1379C"/>
    <w:rsid w:val="12C86600"/>
    <w:rsid w:val="131377AE"/>
    <w:rsid w:val="1315511C"/>
    <w:rsid w:val="131B45D5"/>
    <w:rsid w:val="13A10F7E"/>
    <w:rsid w:val="13A46E01"/>
    <w:rsid w:val="13E97113"/>
    <w:rsid w:val="14411E19"/>
    <w:rsid w:val="147527BF"/>
    <w:rsid w:val="14F0383F"/>
    <w:rsid w:val="1542486B"/>
    <w:rsid w:val="157F1109"/>
    <w:rsid w:val="15A05D16"/>
    <w:rsid w:val="15AC59B8"/>
    <w:rsid w:val="15B23376"/>
    <w:rsid w:val="15CF4381"/>
    <w:rsid w:val="15D2312F"/>
    <w:rsid w:val="160E7A0D"/>
    <w:rsid w:val="163F5F71"/>
    <w:rsid w:val="16B36EB9"/>
    <w:rsid w:val="17012C98"/>
    <w:rsid w:val="1706734A"/>
    <w:rsid w:val="17103D25"/>
    <w:rsid w:val="173D04F2"/>
    <w:rsid w:val="17967340"/>
    <w:rsid w:val="17E01949"/>
    <w:rsid w:val="18273A1C"/>
    <w:rsid w:val="18575DF3"/>
    <w:rsid w:val="18700F1F"/>
    <w:rsid w:val="18D314AE"/>
    <w:rsid w:val="18D41542"/>
    <w:rsid w:val="18ED07C2"/>
    <w:rsid w:val="18F953B8"/>
    <w:rsid w:val="19033B41"/>
    <w:rsid w:val="190A3EBD"/>
    <w:rsid w:val="19315BD4"/>
    <w:rsid w:val="194505FE"/>
    <w:rsid w:val="19834139"/>
    <w:rsid w:val="19B17A41"/>
    <w:rsid w:val="19C2310A"/>
    <w:rsid w:val="19CA0B03"/>
    <w:rsid w:val="1A1828BF"/>
    <w:rsid w:val="1A537CC6"/>
    <w:rsid w:val="1A7647E7"/>
    <w:rsid w:val="1AEA644E"/>
    <w:rsid w:val="1B0342CC"/>
    <w:rsid w:val="1B2B2348"/>
    <w:rsid w:val="1B395F40"/>
    <w:rsid w:val="1B4072CF"/>
    <w:rsid w:val="1B652940"/>
    <w:rsid w:val="1B6F2A33"/>
    <w:rsid w:val="1B9B3444"/>
    <w:rsid w:val="1C1442B7"/>
    <w:rsid w:val="1C1B73F4"/>
    <w:rsid w:val="1C33298F"/>
    <w:rsid w:val="1C35495A"/>
    <w:rsid w:val="1C817B9F"/>
    <w:rsid w:val="1C986C96"/>
    <w:rsid w:val="1CB076D3"/>
    <w:rsid w:val="1D296092"/>
    <w:rsid w:val="1D6A20D8"/>
    <w:rsid w:val="1D6F73D1"/>
    <w:rsid w:val="1D8155A0"/>
    <w:rsid w:val="1D8E3BF5"/>
    <w:rsid w:val="1DE47856"/>
    <w:rsid w:val="1DF21D48"/>
    <w:rsid w:val="1E1C7453"/>
    <w:rsid w:val="1E2A6014"/>
    <w:rsid w:val="1E3C6D0C"/>
    <w:rsid w:val="1E472722"/>
    <w:rsid w:val="1E512E44"/>
    <w:rsid w:val="1EC51899"/>
    <w:rsid w:val="1EFF124F"/>
    <w:rsid w:val="1F0203E2"/>
    <w:rsid w:val="1FDA5251"/>
    <w:rsid w:val="1FF72B56"/>
    <w:rsid w:val="200843F5"/>
    <w:rsid w:val="20743577"/>
    <w:rsid w:val="208B0E73"/>
    <w:rsid w:val="20BE6FAB"/>
    <w:rsid w:val="20BF1ADF"/>
    <w:rsid w:val="21204FF0"/>
    <w:rsid w:val="216655B5"/>
    <w:rsid w:val="2186411B"/>
    <w:rsid w:val="218B3DFB"/>
    <w:rsid w:val="21E576BC"/>
    <w:rsid w:val="22032BC7"/>
    <w:rsid w:val="22482F0D"/>
    <w:rsid w:val="227A2FC4"/>
    <w:rsid w:val="234A25AF"/>
    <w:rsid w:val="235C2FCA"/>
    <w:rsid w:val="23953F30"/>
    <w:rsid w:val="23B0584D"/>
    <w:rsid w:val="242B6642"/>
    <w:rsid w:val="24396401"/>
    <w:rsid w:val="243B5F35"/>
    <w:rsid w:val="2471674B"/>
    <w:rsid w:val="249A1F8C"/>
    <w:rsid w:val="24B432CA"/>
    <w:rsid w:val="24B44889"/>
    <w:rsid w:val="250F1CF5"/>
    <w:rsid w:val="25137802"/>
    <w:rsid w:val="252512E3"/>
    <w:rsid w:val="254A0D4A"/>
    <w:rsid w:val="254A2AF8"/>
    <w:rsid w:val="258103B9"/>
    <w:rsid w:val="259739F7"/>
    <w:rsid w:val="25BA7C7E"/>
    <w:rsid w:val="25DE49F4"/>
    <w:rsid w:val="25FD1B57"/>
    <w:rsid w:val="26013AFE"/>
    <w:rsid w:val="2640497E"/>
    <w:rsid w:val="26CA0394"/>
    <w:rsid w:val="26D134D1"/>
    <w:rsid w:val="26D94810"/>
    <w:rsid w:val="27062FF4"/>
    <w:rsid w:val="276322F4"/>
    <w:rsid w:val="278542BB"/>
    <w:rsid w:val="279938C3"/>
    <w:rsid w:val="280451E0"/>
    <w:rsid w:val="282627EB"/>
    <w:rsid w:val="283E4B96"/>
    <w:rsid w:val="285D0AB8"/>
    <w:rsid w:val="28665E9B"/>
    <w:rsid w:val="28873E81"/>
    <w:rsid w:val="28D41056"/>
    <w:rsid w:val="28E41B63"/>
    <w:rsid w:val="28EA3162"/>
    <w:rsid w:val="28F97D64"/>
    <w:rsid w:val="28FC235B"/>
    <w:rsid w:val="29037B8D"/>
    <w:rsid w:val="292A336C"/>
    <w:rsid w:val="299F108C"/>
    <w:rsid w:val="29BB2501"/>
    <w:rsid w:val="29D84B76"/>
    <w:rsid w:val="2A031240"/>
    <w:rsid w:val="2A4E6BE6"/>
    <w:rsid w:val="2A64465C"/>
    <w:rsid w:val="2A726288"/>
    <w:rsid w:val="2A795895"/>
    <w:rsid w:val="2AAC12B3"/>
    <w:rsid w:val="2ACE5E61"/>
    <w:rsid w:val="2AE8528D"/>
    <w:rsid w:val="2AEF03C9"/>
    <w:rsid w:val="2AF43C32"/>
    <w:rsid w:val="2AFF5B61"/>
    <w:rsid w:val="2B492773"/>
    <w:rsid w:val="2B6F7F5F"/>
    <w:rsid w:val="2BDF028A"/>
    <w:rsid w:val="2C0E487F"/>
    <w:rsid w:val="2C3D33B6"/>
    <w:rsid w:val="2C6208C4"/>
    <w:rsid w:val="2C894183"/>
    <w:rsid w:val="2C9D5C03"/>
    <w:rsid w:val="2CAE3BAA"/>
    <w:rsid w:val="2CC15D95"/>
    <w:rsid w:val="2CF57371"/>
    <w:rsid w:val="2D39592C"/>
    <w:rsid w:val="2D5C786C"/>
    <w:rsid w:val="2D832B32"/>
    <w:rsid w:val="2DA37249"/>
    <w:rsid w:val="2DE01460"/>
    <w:rsid w:val="2DFB7085"/>
    <w:rsid w:val="2E0B6A2C"/>
    <w:rsid w:val="2E5A0250"/>
    <w:rsid w:val="2E7568B3"/>
    <w:rsid w:val="2E7F3B7F"/>
    <w:rsid w:val="2ED55B28"/>
    <w:rsid w:val="2F2E0BE4"/>
    <w:rsid w:val="2F326AD7"/>
    <w:rsid w:val="2F67289A"/>
    <w:rsid w:val="303A20E7"/>
    <w:rsid w:val="303E2560"/>
    <w:rsid w:val="30533F6E"/>
    <w:rsid w:val="30534F57"/>
    <w:rsid w:val="308B12EC"/>
    <w:rsid w:val="30977539"/>
    <w:rsid w:val="30C95219"/>
    <w:rsid w:val="312A28E8"/>
    <w:rsid w:val="3140197F"/>
    <w:rsid w:val="31B5579D"/>
    <w:rsid w:val="31CF685F"/>
    <w:rsid w:val="31F718E3"/>
    <w:rsid w:val="320209E2"/>
    <w:rsid w:val="321150C9"/>
    <w:rsid w:val="323E5792"/>
    <w:rsid w:val="327D450D"/>
    <w:rsid w:val="32805DAB"/>
    <w:rsid w:val="3316259B"/>
    <w:rsid w:val="33B4517A"/>
    <w:rsid w:val="33E34843"/>
    <w:rsid w:val="33FB1B8D"/>
    <w:rsid w:val="340E3279"/>
    <w:rsid w:val="34192897"/>
    <w:rsid w:val="341E7629"/>
    <w:rsid w:val="3421711A"/>
    <w:rsid w:val="3431139A"/>
    <w:rsid w:val="34797BD0"/>
    <w:rsid w:val="34F14D3E"/>
    <w:rsid w:val="3577501F"/>
    <w:rsid w:val="357E603D"/>
    <w:rsid w:val="35AA44AA"/>
    <w:rsid w:val="35B30245"/>
    <w:rsid w:val="35DF2C57"/>
    <w:rsid w:val="35E12C8E"/>
    <w:rsid w:val="3628478F"/>
    <w:rsid w:val="368C5217"/>
    <w:rsid w:val="368F0CB2"/>
    <w:rsid w:val="36906B9E"/>
    <w:rsid w:val="36A71B58"/>
    <w:rsid w:val="372C6501"/>
    <w:rsid w:val="3793032E"/>
    <w:rsid w:val="37F949BF"/>
    <w:rsid w:val="383057F6"/>
    <w:rsid w:val="38417D8A"/>
    <w:rsid w:val="385C4BC4"/>
    <w:rsid w:val="3881462B"/>
    <w:rsid w:val="38907D45"/>
    <w:rsid w:val="38B30C88"/>
    <w:rsid w:val="38F22046"/>
    <w:rsid w:val="38FC4E3B"/>
    <w:rsid w:val="39062BB4"/>
    <w:rsid w:val="390C2146"/>
    <w:rsid w:val="393F076E"/>
    <w:rsid w:val="39534219"/>
    <w:rsid w:val="39A14A8C"/>
    <w:rsid w:val="39A73DF2"/>
    <w:rsid w:val="3A314864"/>
    <w:rsid w:val="3A970136"/>
    <w:rsid w:val="3A981368"/>
    <w:rsid w:val="3AB47B7B"/>
    <w:rsid w:val="3AB76E12"/>
    <w:rsid w:val="3ABD5CA2"/>
    <w:rsid w:val="3AC53C8C"/>
    <w:rsid w:val="3AD13648"/>
    <w:rsid w:val="3B602967"/>
    <w:rsid w:val="3B9052B1"/>
    <w:rsid w:val="3BDB67A6"/>
    <w:rsid w:val="3BE660B3"/>
    <w:rsid w:val="3C20460B"/>
    <w:rsid w:val="3C2123AD"/>
    <w:rsid w:val="3C231C30"/>
    <w:rsid w:val="3C3B6FA3"/>
    <w:rsid w:val="3C7626F9"/>
    <w:rsid w:val="3CCF005B"/>
    <w:rsid w:val="3D32091D"/>
    <w:rsid w:val="3D3E7E89"/>
    <w:rsid w:val="3D8A3C1F"/>
    <w:rsid w:val="3E025B80"/>
    <w:rsid w:val="3E035DA8"/>
    <w:rsid w:val="3E0E6961"/>
    <w:rsid w:val="3E2B7513"/>
    <w:rsid w:val="3ED80A17"/>
    <w:rsid w:val="3F3B5533"/>
    <w:rsid w:val="3F3E6DC2"/>
    <w:rsid w:val="3F4D655A"/>
    <w:rsid w:val="3F6F78D3"/>
    <w:rsid w:val="3FDF6807"/>
    <w:rsid w:val="4001771E"/>
    <w:rsid w:val="40BB068F"/>
    <w:rsid w:val="416A65A4"/>
    <w:rsid w:val="41752ED2"/>
    <w:rsid w:val="417D62D7"/>
    <w:rsid w:val="417E02F4"/>
    <w:rsid w:val="41B8399A"/>
    <w:rsid w:val="41E2613A"/>
    <w:rsid w:val="423A7D24"/>
    <w:rsid w:val="425F2B99"/>
    <w:rsid w:val="436808C1"/>
    <w:rsid w:val="43DF7D53"/>
    <w:rsid w:val="43F7309A"/>
    <w:rsid w:val="44056110"/>
    <w:rsid w:val="444E3F5B"/>
    <w:rsid w:val="447F2366"/>
    <w:rsid w:val="44D97CC8"/>
    <w:rsid w:val="44F468B0"/>
    <w:rsid w:val="45036769"/>
    <w:rsid w:val="451534AD"/>
    <w:rsid w:val="455D7DF3"/>
    <w:rsid w:val="458D4F3F"/>
    <w:rsid w:val="45A57BAB"/>
    <w:rsid w:val="45BE0C6C"/>
    <w:rsid w:val="45C2075D"/>
    <w:rsid w:val="45DA2C58"/>
    <w:rsid w:val="45F82555"/>
    <w:rsid w:val="45FF27E8"/>
    <w:rsid w:val="4615494F"/>
    <w:rsid w:val="46184820"/>
    <w:rsid w:val="46226C7C"/>
    <w:rsid w:val="4626534C"/>
    <w:rsid w:val="462A689E"/>
    <w:rsid w:val="46445615"/>
    <w:rsid w:val="465A0649"/>
    <w:rsid w:val="46B1257F"/>
    <w:rsid w:val="46FF153C"/>
    <w:rsid w:val="477B3ABE"/>
    <w:rsid w:val="47D44777"/>
    <w:rsid w:val="47F15329"/>
    <w:rsid w:val="483671E0"/>
    <w:rsid w:val="4847319B"/>
    <w:rsid w:val="486E0728"/>
    <w:rsid w:val="48946B88"/>
    <w:rsid w:val="48FF3FE4"/>
    <w:rsid w:val="4904108C"/>
    <w:rsid w:val="495777FB"/>
    <w:rsid w:val="495E69EE"/>
    <w:rsid w:val="4972249A"/>
    <w:rsid w:val="499B0421"/>
    <w:rsid w:val="49AE2DA6"/>
    <w:rsid w:val="49FF6A89"/>
    <w:rsid w:val="4A080708"/>
    <w:rsid w:val="4A235542"/>
    <w:rsid w:val="4A5D0A54"/>
    <w:rsid w:val="4A721C1B"/>
    <w:rsid w:val="4AAE2F89"/>
    <w:rsid w:val="4ADA6548"/>
    <w:rsid w:val="4ADE0D3D"/>
    <w:rsid w:val="4B1E457F"/>
    <w:rsid w:val="4B1F21AD"/>
    <w:rsid w:val="4B6444D1"/>
    <w:rsid w:val="4B7661A7"/>
    <w:rsid w:val="4B8976A1"/>
    <w:rsid w:val="4BC30D8B"/>
    <w:rsid w:val="4BC62629"/>
    <w:rsid w:val="4BE06F19"/>
    <w:rsid w:val="4C1415E6"/>
    <w:rsid w:val="4C36316A"/>
    <w:rsid w:val="4C373527"/>
    <w:rsid w:val="4C547C35"/>
    <w:rsid w:val="4C580066"/>
    <w:rsid w:val="4CA50490"/>
    <w:rsid w:val="4CE955B8"/>
    <w:rsid w:val="4D04687B"/>
    <w:rsid w:val="4D1A10FE"/>
    <w:rsid w:val="4D421890"/>
    <w:rsid w:val="4D636650"/>
    <w:rsid w:val="4DA4699A"/>
    <w:rsid w:val="4DD92AE7"/>
    <w:rsid w:val="4DFB0CF4"/>
    <w:rsid w:val="4E190B8F"/>
    <w:rsid w:val="4E257ADB"/>
    <w:rsid w:val="4E4D0DDF"/>
    <w:rsid w:val="4E604FB7"/>
    <w:rsid w:val="4EC260B1"/>
    <w:rsid w:val="4EC5306C"/>
    <w:rsid w:val="4ECD1F20"/>
    <w:rsid w:val="4FCF0266"/>
    <w:rsid w:val="4FDC0F3A"/>
    <w:rsid w:val="4FE87012"/>
    <w:rsid w:val="500D0826"/>
    <w:rsid w:val="503D44F5"/>
    <w:rsid w:val="505A492D"/>
    <w:rsid w:val="50632ECA"/>
    <w:rsid w:val="508211CB"/>
    <w:rsid w:val="509B2E74"/>
    <w:rsid w:val="50A8054F"/>
    <w:rsid w:val="50B11AF9"/>
    <w:rsid w:val="518C1C1F"/>
    <w:rsid w:val="51FA127E"/>
    <w:rsid w:val="51FB0B52"/>
    <w:rsid w:val="520B6FE7"/>
    <w:rsid w:val="523C1897"/>
    <w:rsid w:val="5260529F"/>
    <w:rsid w:val="531D3F6B"/>
    <w:rsid w:val="532516FC"/>
    <w:rsid w:val="532C5467"/>
    <w:rsid w:val="534251ED"/>
    <w:rsid w:val="53963229"/>
    <w:rsid w:val="53BD4A5C"/>
    <w:rsid w:val="53D5033F"/>
    <w:rsid w:val="53D61A06"/>
    <w:rsid w:val="53D6609D"/>
    <w:rsid w:val="53E13AEC"/>
    <w:rsid w:val="53F75E90"/>
    <w:rsid w:val="53FE2AC5"/>
    <w:rsid w:val="54330A77"/>
    <w:rsid w:val="543640C4"/>
    <w:rsid w:val="543654EE"/>
    <w:rsid w:val="5465067C"/>
    <w:rsid w:val="54A5048E"/>
    <w:rsid w:val="54B35714"/>
    <w:rsid w:val="55051B4B"/>
    <w:rsid w:val="5507618C"/>
    <w:rsid w:val="553714FE"/>
    <w:rsid w:val="555A3A3F"/>
    <w:rsid w:val="555E77FF"/>
    <w:rsid w:val="55886BA1"/>
    <w:rsid w:val="55A43730"/>
    <w:rsid w:val="55AF05D2"/>
    <w:rsid w:val="55D818D6"/>
    <w:rsid w:val="5631754F"/>
    <w:rsid w:val="56596D7D"/>
    <w:rsid w:val="56CC7577"/>
    <w:rsid w:val="56DB69E5"/>
    <w:rsid w:val="573B211D"/>
    <w:rsid w:val="573C40E7"/>
    <w:rsid w:val="57730ABB"/>
    <w:rsid w:val="579935B4"/>
    <w:rsid w:val="57E5652D"/>
    <w:rsid w:val="584B1819"/>
    <w:rsid w:val="585039A6"/>
    <w:rsid w:val="58900246"/>
    <w:rsid w:val="58E578B7"/>
    <w:rsid w:val="58F702C5"/>
    <w:rsid w:val="59271606"/>
    <w:rsid w:val="598729A5"/>
    <w:rsid w:val="59A0270B"/>
    <w:rsid w:val="59B241EC"/>
    <w:rsid w:val="5A1B533D"/>
    <w:rsid w:val="5A44753A"/>
    <w:rsid w:val="5A7871E4"/>
    <w:rsid w:val="5AAB580B"/>
    <w:rsid w:val="5AB04BD0"/>
    <w:rsid w:val="5AFC7657"/>
    <w:rsid w:val="5B0E18F6"/>
    <w:rsid w:val="5B1E125F"/>
    <w:rsid w:val="5B3A6B8F"/>
    <w:rsid w:val="5B5A4B3C"/>
    <w:rsid w:val="5BB36D43"/>
    <w:rsid w:val="5BB42944"/>
    <w:rsid w:val="5BB73D3C"/>
    <w:rsid w:val="5C1D0043"/>
    <w:rsid w:val="5C606182"/>
    <w:rsid w:val="5CA2297D"/>
    <w:rsid w:val="5CA52A3F"/>
    <w:rsid w:val="5CDC1D57"/>
    <w:rsid w:val="5D2E44D2"/>
    <w:rsid w:val="5D644DC2"/>
    <w:rsid w:val="5DB93D9B"/>
    <w:rsid w:val="5E306879"/>
    <w:rsid w:val="5E421FE3"/>
    <w:rsid w:val="5E492DA0"/>
    <w:rsid w:val="5E5E4943"/>
    <w:rsid w:val="5E9842F9"/>
    <w:rsid w:val="5EC953EE"/>
    <w:rsid w:val="5ECB4020"/>
    <w:rsid w:val="5ED11B1B"/>
    <w:rsid w:val="5EF96EAA"/>
    <w:rsid w:val="5F16521D"/>
    <w:rsid w:val="5F50072F"/>
    <w:rsid w:val="5F8B79B9"/>
    <w:rsid w:val="5FDE5D3B"/>
    <w:rsid w:val="5FF4555F"/>
    <w:rsid w:val="602C2F4B"/>
    <w:rsid w:val="605B3830"/>
    <w:rsid w:val="60641B67"/>
    <w:rsid w:val="60873384"/>
    <w:rsid w:val="608A5EC3"/>
    <w:rsid w:val="60972588"/>
    <w:rsid w:val="60C80651"/>
    <w:rsid w:val="60C969EB"/>
    <w:rsid w:val="60DD75E5"/>
    <w:rsid w:val="610E12D2"/>
    <w:rsid w:val="6117352C"/>
    <w:rsid w:val="611B7BC6"/>
    <w:rsid w:val="6129748A"/>
    <w:rsid w:val="612E684E"/>
    <w:rsid w:val="613049B8"/>
    <w:rsid w:val="614A3BE6"/>
    <w:rsid w:val="61EF1E04"/>
    <w:rsid w:val="62030153"/>
    <w:rsid w:val="62151FC7"/>
    <w:rsid w:val="62373E29"/>
    <w:rsid w:val="6266691D"/>
    <w:rsid w:val="62722229"/>
    <w:rsid w:val="628F5A13"/>
    <w:rsid w:val="62D42450"/>
    <w:rsid w:val="62D578C9"/>
    <w:rsid w:val="62EF674E"/>
    <w:rsid w:val="63057A83"/>
    <w:rsid w:val="63742834"/>
    <w:rsid w:val="63826DCB"/>
    <w:rsid w:val="63DD630A"/>
    <w:rsid w:val="63EE6769"/>
    <w:rsid w:val="640A3EF3"/>
    <w:rsid w:val="64432611"/>
    <w:rsid w:val="64484BBF"/>
    <w:rsid w:val="646442A1"/>
    <w:rsid w:val="64964E36"/>
    <w:rsid w:val="650E1074"/>
    <w:rsid w:val="653B3C30"/>
    <w:rsid w:val="65444892"/>
    <w:rsid w:val="65C21C5B"/>
    <w:rsid w:val="65D976D1"/>
    <w:rsid w:val="66337A85"/>
    <w:rsid w:val="668A2F6D"/>
    <w:rsid w:val="672F2DA9"/>
    <w:rsid w:val="675B5EC3"/>
    <w:rsid w:val="677F0131"/>
    <w:rsid w:val="6780592A"/>
    <w:rsid w:val="67C80E53"/>
    <w:rsid w:val="67F00D02"/>
    <w:rsid w:val="68B96D8B"/>
    <w:rsid w:val="68C31F72"/>
    <w:rsid w:val="68DC400B"/>
    <w:rsid w:val="68F369AD"/>
    <w:rsid w:val="69011FC3"/>
    <w:rsid w:val="693B5FAC"/>
    <w:rsid w:val="693E784B"/>
    <w:rsid w:val="69402526"/>
    <w:rsid w:val="69460607"/>
    <w:rsid w:val="694A6CE4"/>
    <w:rsid w:val="69710F03"/>
    <w:rsid w:val="69863B20"/>
    <w:rsid w:val="69CE5072"/>
    <w:rsid w:val="69FC1BE0"/>
    <w:rsid w:val="6A340CC2"/>
    <w:rsid w:val="6A4B0471"/>
    <w:rsid w:val="6A4B221F"/>
    <w:rsid w:val="6A5C30DF"/>
    <w:rsid w:val="6AA54025"/>
    <w:rsid w:val="6ACF16BD"/>
    <w:rsid w:val="6AFF6A89"/>
    <w:rsid w:val="6B263791"/>
    <w:rsid w:val="6B2A6098"/>
    <w:rsid w:val="6B9B7774"/>
    <w:rsid w:val="6BA90661"/>
    <w:rsid w:val="6BB11336"/>
    <w:rsid w:val="6BBF0C7F"/>
    <w:rsid w:val="6C086103"/>
    <w:rsid w:val="6C33740F"/>
    <w:rsid w:val="6C5A499B"/>
    <w:rsid w:val="6CD90324"/>
    <w:rsid w:val="6CF448DF"/>
    <w:rsid w:val="6D01750D"/>
    <w:rsid w:val="6D1F7035"/>
    <w:rsid w:val="6D312F6B"/>
    <w:rsid w:val="6D3A7770"/>
    <w:rsid w:val="6D480062"/>
    <w:rsid w:val="6D542BE0"/>
    <w:rsid w:val="6D567859"/>
    <w:rsid w:val="6D6000CA"/>
    <w:rsid w:val="6D88339E"/>
    <w:rsid w:val="6D8C5028"/>
    <w:rsid w:val="6DA24DBC"/>
    <w:rsid w:val="6E0A23F1"/>
    <w:rsid w:val="6E276AFF"/>
    <w:rsid w:val="6E4F2B71"/>
    <w:rsid w:val="6E6873E2"/>
    <w:rsid w:val="6E7C364D"/>
    <w:rsid w:val="6E9A66EC"/>
    <w:rsid w:val="6ECB1B80"/>
    <w:rsid w:val="6F51652A"/>
    <w:rsid w:val="6F814935"/>
    <w:rsid w:val="6FA33559"/>
    <w:rsid w:val="6FAC3760"/>
    <w:rsid w:val="70480FAF"/>
    <w:rsid w:val="709661BE"/>
    <w:rsid w:val="7097629B"/>
    <w:rsid w:val="70A72179"/>
    <w:rsid w:val="70B45627"/>
    <w:rsid w:val="70DB6ACE"/>
    <w:rsid w:val="70E17439"/>
    <w:rsid w:val="70E84C6C"/>
    <w:rsid w:val="71436346"/>
    <w:rsid w:val="71491CB4"/>
    <w:rsid w:val="716408AF"/>
    <w:rsid w:val="716776CC"/>
    <w:rsid w:val="71B440BD"/>
    <w:rsid w:val="72181581"/>
    <w:rsid w:val="724A3704"/>
    <w:rsid w:val="725F4256"/>
    <w:rsid w:val="727442DD"/>
    <w:rsid w:val="72760055"/>
    <w:rsid w:val="729606F7"/>
    <w:rsid w:val="72AE3C93"/>
    <w:rsid w:val="72AE7D36"/>
    <w:rsid w:val="72CD5A67"/>
    <w:rsid w:val="72E476B5"/>
    <w:rsid w:val="72E85E38"/>
    <w:rsid w:val="72F01BB6"/>
    <w:rsid w:val="72F82FC7"/>
    <w:rsid w:val="733B7C71"/>
    <w:rsid w:val="73682094"/>
    <w:rsid w:val="737C5B3F"/>
    <w:rsid w:val="73883592"/>
    <w:rsid w:val="73B52DFF"/>
    <w:rsid w:val="73BF77DA"/>
    <w:rsid w:val="73E84F83"/>
    <w:rsid w:val="73ED4347"/>
    <w:rsid w:val="740E5704"/>
    <w:rsid w:val="74896327"/>
    <w:rsid w:val="74CD6720"/>
    <w:rsid w:val="74D177C5"/>
    <w:rsid w:val="74E92D60"/>
    <w:rsid w:val="74FA6D1C"/>
    <w:rsid w:val="751740EC"/>
    <w:rsid w:val="7531117B"/>
    <w:rsid w:val="754B678A"/>
    <w:rsid w:val="75642008"/>
    <w:rsid w:val="758E3A09"/>
    <w:rsid w:val="75DA09B0"/>
    <w:rsid w:val="75DF041B"/>
    <w:rsid w:val="75E31EA6"/>
    <w:rsid w:val="75EA1B8C"/>
    <w:rsid w:val="75FD179C"/>
    <w:rsid w:val="763371A8"/>
    <w:rsid w:val="76424E1E"/>
    <w:rsid w:val="76C11997"/>
    <w:rsid w:val="76E557A9"/>
    <w:rsid w:val="7760037C"/>
    <w:rsid w:val="77860D3A"/>
    <w:rsid w:val="77B751D7"/>
    <w:rsid w:val="77E410F3"/>
    <w:rsid w:val="77F35CA4"/>
    <w:rsid w:val="780B1F70"/>
    <w:rsid w:val="786C4C30"/>
    <w:rsid w:val="78722FA2"/>
    <w:rsid w:val="78FD590F"/>
    <w:rsid w:val="79225E03"/>
    <w:rsid w:val="79263DF0"/>
    <w:rsid w:val="794269D6"/>
    <w:rsid w:val="795135CA"/>
    <w:rsid w:val="79B871A5"/>
    <w:rsid w:val="79FF2AEC"/>
    <w:rsid w:val="7A7418C8"/>
    <w:rsid w:val="7AE91D0C"/>
    <w:rsid w:val="7AEC35AA"/>
    <w:rsid w:val="7B073F40"/>
    <w:rsid w:val="7B0C1557"/>
    <w:rsid w:val="7B1228E5"/>
    <w:rsid w:val="7B1D4B4A"/>
    <w:rsid w:val="7B4506CB"/>
    <w:rsid w:val="7B5B0730"/>
    <w:rsid w:val="7B661E49"/>
    <w:rsid w:val="7B7B492E"/>
    <w:rsid w:val="7B7C05CC"/>
    <w:rsid w:val="7B7C2F3C"/>
    <w:rsid w:val="7BC9569A"/>
    <w:rsid w:val="7BE20509"/>
    <w:rsid w:val="7C6B1942"/>
    <w:rsid w:val="7CDD753B"/>
    <w:rsid w:val="7D0270B5"/>
    <w:rsid w:val="7D3905FD"/>
    <w:rsid w:val="7D731D61"/>
    <w:rsid w:val="7DD83F6D"/>
    <w:rsid w:val="7E232311"/>
    <w:rsid w:val="7E3D5ECB"/>
    <w:rsid w:val="7E4D25B2"/>
    <w:rsid w:val="7E572DBB"/>
    <w:rsid w:val="7E7E276B"/>
    <w:rsid w:val="7E995D98"/>
    <w:rsid w:val="7EB75ADA"/>
    <w:rsid w:val="7ED72E9F"/>
    <w:rsid w:val="7F2F1CB8"/>
    <w:rsid w:val="7F8259F6"/>
    <w:rsid w:val="7F94139B"/>
    <w:rsid w:val="7FB56661"/>
    <w:rsid w:val="7FF86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autoRedefine/>
    <w:qFormat/>
    <w:uiPriority w:val="0"/>
    <w:pPr>
      <w:keepNext/>
      <w:snapToGrid w:val="0"/>
      <w:spacing w:line="360" w:lineRule="atLeast"/>
      <w:outlineLvl w:val="0"/>
    </w:pPr>
    <w:rPr>
      <w:rFonts w:ascii="宋体"/>
    </w:rPr>
  </w:style>
  <w:style w:type="paragraph" w:styleId="4">
    <w:name w:val="heading 2"/>
    <w:basedOn w:val="1"/>
    <w:next w:val="1"/>
    <w:link w:val="30"/>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sz w:val="32"/>
    </w:rPr>
  </w:style>
  <w:style w:type="paragraph" w:styleId="6">
    <w:name w:val="heading 4"/>
    <w:basedOn w:val="1"/>
    <w:next w:val="1"/>
    <w:autoRedefine/>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25">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仿宋_GB2312" w:eastAsia="仿宋_GB2312"/>
      <w:sz w:val="32"/>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line="700" w:lineRule="exact"/>
      <w:ind w:left="960"/>
    </w:pPr>
    <w:rPr>
      <w:sz w:val="44"/>
    </w:rPr>
  </w:style>
  <w:style w:type="paragraph" w:styleId="9">
    <w:name w:val="toc 3"/>
    <w:basedOn w:val="1"/>
    <w:next w:val="1"/>
    <w:autoRedefine/>
    <w:qFormat/>
    <w:uiPriority w:val="39"/>
    <w:pPr>
      <w:ind w:left="840" w:leftChars="400"/>
    </w:pPr>
  </w:style>
  <w:style w:type="paragraph" w:styleId="10">
    <w:name w:val="Plain Text"/>
    <w:basedOn w:val="1"/>
    <w:autoRedefine/>
    <w:qFormat/>
    <w:uiPriority w:val="0"/>
    <w:rPr>
      <w:rFonts w:ascii="宋体" w:hAnsi="Courier New"/>
      <w:sz w:val="21"/>
    </w:rPr>
  </w:style>
  <w:style w:type="paragraph" w:styleId="11">
    <w:name w:val="Date"/>
    <w:basedOn w:val="1"/>
    <w:next w:val="1"/>
    <w:autoRedefine/>
    <w:qFormat/>
    <w:uiPriority w:val="0"/>
  </w:style>
  <w:style w:type="paragraph" w:styleId="12">
    <w:name w:val="Body Text Indent 2"/>
    <w:basedOn w:val="1"/>
    <w:autoRedefine/>
    <w:qFormat/>
    <w:uiPriority w:val="0"/>
    <w:pPr>
      <w:snapToGrid w:val="0"/>
      <w:spacing w:line="560" w:lineRule="atLeast"/>
      <w:ind w:firstLine="540"/>
    </w:pPr>
  </w:style>
  <w:style w:type="paragraph" w:styleId="13">
    <w:name w:val="Balloon Text"/>
    <w:basedOn w:val="1"/>
    <w:link w:val="34"/>
    <w:autoRedefine/>
    <w:qFormat/>
    <w:uiPriority w:val="0"/>
    <w:rPr>
      <w:sz w:val="18"/>
      <w:szCs w:val="18"/>
    </w:rPr>
  </w:style>
  <w:style w:type="paragraph" w:styleId="14">
    <w:name w:val="footer"/>
    <w:basedOn w:val="1"/>
    <w:autoRedefine/>
    <w:qFormat/>
    <w:uiPriority w:val="99"/>
    <w:pPr>
      <w:tabs>
        <w:tab w:val="center" w:pos="4153"/>
        <w:tab w:val="right" w:pos="8306"/>
      </w:tabs>
      <w:snapToGrid w:val="0"/>
      <w:jc w:val="left"/>
    </w:pPr>
    <w:rPr>
      <w:sz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autoRedefine/>
    <w:qFormat/>
    <w:uiPriority w:val="0"/>
    <w:pPr>
      <w:spacing w:line="180" w:lineRule="auto"/>
      <w:jc w:val="center"/>
    </w:pPr>
    <w:rPr>
      <w:sz w:val="30"/>
    </w:rPr>
  </w:style>
  <w:style w:type="paragraph" w:styleId="17">
    <w:name w:val="List"/>
    <w:basedOn w:val="2"/>
    <w:autoRedefine/>
    <w:qFormat/>
    <w:uiPriority w:val="0"/>
    <w:pPr>
      <w:widowControl/>
      <w:tabs>
        <w:tab w:val="left" w:pos="720"/>
      </w:tabs>
      <w:spacing w:before="120" w:after="80"/>
      <w:ind w:left="720" w:right="274" w:hanging="360"/>
    </w:pPr>
    <w:rPr>
      <w:rFonts w:ascii="Univers" w:hAnsi="Univers" w:eastAsia="MS Mincho"/>
      <w:sz w:val="22"/>
      <w:lang w:val="en-GB" w:eastAsia="ja-JP"/>
    </w:rPr>
  </w:style>
  <w:style w:type="paragraph" w:styleId="18">
    <w:name w:val="index 7"/>
    <w:basedOn w:val="1"/>
    <w:next w:val="1"/>
    <w:autoRedefine/>
    <w:qFormat/>
    <w:uiPriority w:val="0"/>
    <w:pPr>
      <w:ind w:left="2520"/>
    </w:pPr>
  </w:style>
  <w:style w:type="paragraph" w:styleId="19">
    <w:name w:val="toc 2"/>
    <w:basedOn w:val="1"/>
    <w:next w:val="1"/>
    <w:autoRedefine/>
    <w:qFormat/>
    <w:uiPriority w:val="39"/>
    <w:pPr>
      <w:ind w:left="420" w:leftChars="200"/>
    </w:pPr>
  </w:style>
  <w:style w:type="paragraph" w:styleId="20">
    <w:name w:val="Body Text 2"/>
    <w:basedOn w:val="1"/>
    <w:autoRedefine/>
    <w:qFormat/>
    <w:uiPriority w:val="0"/>
    <w:pPr>
      <w:adjustRightInd w:val="0"/>
      <w:snapToGrid w:val="0"/>
      <w:spacing w:after="120" w:afterLines="0" w:afterAutospacing="0" w:line="480" w:lineRule="auto"/>
    </w:pPr>
    <w:rPr>
      <w:sz w:val="24"/>
    </w:rPr>
  </w:style>
  <w:style w:type="paragraph" w:styleId="21">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22">
    <w:name w:val="Body Text First Indent"/>
    <w:basedOn w:val="2"/>
    <w:autoRedefine/>
    <w:qFormat/>
    <w:uiPriority w:val="0"/>
    <w:pPr>
      <w:spacing w:line="360" w:lineRule="auto"/>
      <w:ind w:firstLine="420"/>
    </w:pPr>
    <w:rPr>
      <w:rFonts w:ascii="宋体" w:hAnsi="宋体"/>
      <w:sz w:val="24"/>
    </w:rPr>
  </w:style>
  <w:style w:type="paragraph" w:styleId="23">
    <w:name w:val="Body Text First Indent 2"/>
    <w:basedOn w:val="8"/>
    <w:next w:val="1"/>
    <w:autoRedefine/>
    <w:semiHidden/>
    <w:qFormat/>
    <w:uiPriority w:val="0"/>
    <w:pPr>
      <w:ind w:firstLine="420"/>
    </w:pPr>
    <w:rPr>
      <w:sz w:val="18"/>
      <w:szCs w:val="18"/>
    </w:rPr>
  </w:style>
  <w:style w:type="character" w:styleId="26">
    <w:name w:val="page number"/>
    <w:autoRedefine/>
    <w:qFormat/>
    <w:uiPriority w:val="0"/>
  </w:style>
  <w:style w:type="character" w:styleId="27">
    <w:name w:val="annotation reference"/>
    <w:basedOn w:val="25"/>
    <w:autoRedefine/>
    <w:qFormat/>
    <w:uiPriority w:val="0"/>
    <w:rPr>
      <w:sz w:val="21"/>
      <w:szCs w:val="21"/>
    </w:rPr>
  </w:style>
  <w:style w:type="paragraph" w:customStyle="1" w:styleId="28">
    <w:name w:val="正文（缩进）"/>
    <w:basedOn w:val="1"/>
    <w:autoRedefine/>
    <w:qFormat/>
    <w:uiPriority w:val="99"/>
    <w:pPr>
      <w:spacing w:before="156" w:after="156"/>
      <w:ind w:firstLine="480"/>
    </w:pPr>
  </w:style>
  <w:style w:type="paragraph" w:customStyle="1" w:styleId="29">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30">
    <w:name w:val="标题 2 Char"/>
    <w:link w:val="4"/>
    <w:autoRedefine/>
    <w:qFormat/>
    <w:uiPriority w:val="0"/>
    <w:rPr>
      <w:rFonts w:ascii="Arial" w:hAnsi="Arial" w:eastAsia="黑体"/>
      <w:b/>
      <w:sz w:val="32"/>
    </w:rPr>
  </w:style>
  <w:style w:type="paragraph" w:customStyle="1" w:styleId="31">
    <w:name w:val="样式3"/>
    <w:basedOn w:val="17"/>
    <w:next w:val="3"/>
    <w:autoRedefine/>
    <w:qFormat/>
    <w:uiPriority w:val="0"/>
    <w:pPr>
      <w:keepLines/>
      <w:adjustRightInd w:val="0"/>
      <w:spacing w:before="340" w:after="330" w:line="576" w:lineRule="auto"/>
    </w:pPr>
    <w:rPr>
      <w:rFonts w:ascii="Times New Roman" w:eastAsia="黑体"/>
      <w:b/>
      <w:kern w:val="44"/>
      <w:sz w:val="44"/>
    </w:rPr>
  </w:style>
  <w:style w:type="paragraph" w:customStyle="1" w:styleId="32">
    <w:name w:val="1"/>
    <w:basedOn w:val="1"/>
    <w:next w:val="10"/>
    <w:autoRedefine/>
    <w:qFormat/>
    <w:uiPriority w:val="0"/>
    <w:rPr>
      <w:rFonts w:ascii="宋体" w:hAnsi="Courier New"/>
      <w:sz w:val="21"/>
    </w:rPr>
  </w:style>
  <w:style w:type="paragraph" w:customStyle="1" w:styleId="3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4">
    <w:name w:val="批注框文本 Char"/>
    <w:basedOn w:val="25"/>
    <w:link w:val="13"/>
    <w:autoRedefine/>
    <w:qFormat/>
    <w:uiPriority w:val="0"/>
    <w:rPr>
      <w:kern w:val="2"/>
      <w:sz w:val="18"/>
      <w:szCs w:val="18"/>
    </w:rPr>
  </w:style>
  <w:style w:type="paragraph" w:customStyle="1" w:styleId="35">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6">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37">
    <w:name w:val="列出段落1"/>
    <w:basedOn w:val="1"/>
    <w:autoRedefine/>
    <w:qFormat/>
    <w:uiPriority w:val="0"/>
    <w:pPr>
      <w:ind w:firstLine="420" w:firstLineChars="200"/>
    </w:pPr>
    <w:rPr>
      <w:sz w:val="28"/>
      <w:szCs w:val="28"/>
    </w:rPr>
  </w:style>
  <w:style w:type="paragraph" w:customStyle="1" w:styleId="38">
    <w:name w:val="正文1"/>
    <w:basedOn w:val="1"/>
    <w:autoRedefine/>
    <w:qFormat/>
    <w:uiPriority w:val="0"/>
    <w:pPr>
      <w:spacing w:line="30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66</Pages>
  <Words>12781</Words>
  <Characters>13409</Characters>
  <Lines>172</Lines>
  <Paragraphs>48</Paragraphs>
  <TotalTime>13</TotalTime>
  <ScaleCrop>false</ScaleCrop>
  <LinksUpToDate>false</LinksUpToDate>
  <CharactersWithSpaces>13504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2022-10-06T10:29:00Z</dcterms:created>
  <dc:creator>Administrator</dc:creator>
  <cp:lastModifiedBy>跳磴镇人民政府</cp:lastModifiedBy>
  <cp:lastPrinted>2022-06-01T10:26:00Z</cp:lastPrinted>
  <dcterms:modified xsi:type="dcterms:W3CDTF">2025-11-14T09:20:25Z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10CFC91CE873422DA657AE8C18288ACE</vt:lpwstr>
  </property>
  <property fmtid="{D5CDD505-2E9C-101B-9397-08002B2CF9AE}" pid="4" name="KSOTemplateDocerSaveRecord">
    <vt:lpwstr>eyJoZGlkIjoiMjkxY2Y5ZmU5NGE2Njk2M2ExY2FjMjAzNzJiNDQ2NzQiLCJ1c2VySWQiOiIzMjY2MjYxMDUifQ==</vt:lpwstr>
  </property>
</Properties>
</file>